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048853">
      <w:pPr>
        <w:spacing w:line="300" w:lineRule="exact"/>
        <w:jc w:val="center"/>
        <w:rPr>
          <w:rFonts w:hint="eastAsia" w:ascii="Arial" w:hAnsi="Arial"/>
        </w:rPr>
      </w:pPr>
    </w:p>
    <w:p w14:paraId="7AEEB2F6">
      <w:pPr>
        <w:spacing w:line="300" w:lineRule="exact"/>
        <w:rPr>
          <w:rFonts w:ascii="Arial" w:hAnsi="Arial"/>
        </w:rPr>
      </w:pPr>
    </w:p>
    <w:p w14:paraId="32548D44">
      <w:pPr>
        <w:spacing w:line="300" w:lineRule="exact"/>
        <w:rPr>
          <w:rFonts w:ascii="Arial" w:hAnsi="Arial"/>
        </w:rPr>
      </w:pPr>
    </w:p>
    <w:p w14:paraId="70BC33F4">
      <w:pPr>
        <w:spacing w:line="300" w:lineRule="exact"/>
        <w:rPr>
          <w:rFonts w:ascii="Arial" w:hAnsi="Arial"/>
        </w:rPr>
      </w:pPr>
    </w:p>
    <w:p w14:paraId="7F221810">
      <w:pPr>
        <w:spacing w:line="300" w:lineRule="exact"/>
        <w:rPr>
          <w:rFonts w:ascii="Arial" w:hAnsi="Arial"/>
        </w:rPr>
      </w:pPr>
    </w:p>
    <w:p w14:paraId="5A022AE7">
      <w:pPr>
        <w:spacing w:line="300" w:lineRule="exact"/>
        <w:rPr>
          <w:rFonts w:ascii="Arial" w:hAnsi="Arial"/>
        </w:rPr>
      </w:pPr>
    </w:p>
    <w:p w14:paraId="2034BAF5">
      <w:pPr>
        <w:spacing w:line="300" w:lineRule="exact"/>
        <w:rPr>
          <w:rFonts w:ascii="Arial" w:hAnsi="Arial"/>
        </w:rPr>
      </w:pPr>
    </w:p>
    <w:p w14:paraId="21F51715">
      <w:pPr>
        <w:spacing w:line="300" w:lineRule="exact"/>
        <w:rPr>
          <w:rFonts w:ascii="Arial" w:hAnsi="Arial"/>
        </w:rPr>
      </w:pPr>
    </w:p>
    <w:p w14:paraId="52833E72">
      <w:pPr>
        <w:spacing w:line="300" w:lineRule="exact"/>
        <w:rPr>
          <w:rFonts w:ascii="Arial" w:hAnsi="Arial"/>
        </w:rPr>
      </w:pPr>
    </w:p>
    <w:p w14:paraId="0FFF6FA3">
      <w:pPr>
        <w:spacing w:line="300" w:lineRule="exact"/>
        <w:rPr>
          <w:rFonts w:ascii="Arial" w:hAnsi="Arial"/>
        </w:rPr>
      </w:pPr>
    </w:p>
    <w:p w14:paraId="556A79FC">
      <w:pPr>
        <w:snapToGrid w:val="0"/>
        <w:spacing w:line="360" w:lineRule="auto"/>
        <w:jc w:val="center"/>
        <w:rPr>
          <w:rFonts w:ascii="Arial" w:hAnsi="Arial"/>
          <w:sz w:val="52"/>
          <w:szCs w:val="52"/>
        </w:rPr>
      </w:pPr>
      <w:r>
        <w:rPr>
          <w:rFonts w:ascii="Arial" w:hAnsi="Arial"/>
          <w:sz w:val="52"/>
          <w:szCs w:val="52"/>
        </w:rPr>
        <w:t>房地产估价报告</w:t>
      </w:r>
    </w:p>
    <w:p w14:paraId="70D6941B">
      <w:pPr>
        <w:spacing w:line="300" w:lineRule="exact"/>
        <w:rPr>
          <w:rFonts w:ascii="Arial" w:hAnsi="Arial"/>
        </w:rPr>
      </w:pPr>
    </w:p>
    <w:p w14:paraId="72FCCEA9">
      <w:pPr>
        <w:spacing w:line="300" w:lineRule="exact"/>
        <w:rPr>
          <w:rFonts w:ascii="Arial" w:hAnsi="Arial"/>
        </w:rPr>
      </w:pPr>
    </w:p>
    <w:p w14:paraId="6791172A">
      <w:pPr>
        <w:spacing w:line="300" w:lineRule="exact"/>
        <w:rPr>
          <w:rFonts w:ascii="Arial" w:hAnsi="Arial"/>
        </w:rPr>
      </w:pPr>
    </w:p>
    <w:p w14:paraId="44328425">
      <w:pPr>
        <w:spacing w:line="300" w:lineRule="exact"/>
        <w:rPr>
          <w:rFonts w:ascii="Arial" w:hAnsi="Arial"/>
        </w:rPr>
      </w:pPr>
    </w:p>
    <w:p w14:paraId="610449C5">
      <w:pPr>
        <w:spacing w:line="300" w:lineRule="exact"/>
        <w:rPr>
          <w:rFonts w:ascii="Arial" w:hAnsi="Arial"/>
        </w:rPr>
      </w:pPr>
    </w:p>
    <w:p w14:paraId="7C8EEB98">
      <w:pPr>
        <w:spacing w:line="300" w:lineRule="exact"/>
        <w:rPr>
          <w:rFonts w:ascii="Arial" w:hAnsi="Arial"/>
        </w:rPr>
      </w:pPr>
    </w:p>
    <w:p w14:paraId="11F12F0A">
      <w:pPr>
        <w:spacing w:line="300" w:lineRule="exact"/>
        <w:rPr>
          <w:rFonts w:hint="eastAsia" w:ascii="Arial" w:hAnsi="Arial"/>
        </w:rPr>
      </w:pPr>
    </w:p>
    <w:p w14:paraId="6CA6602E">
      <w:pPr>
        <w:spacing w:line="300" w:lineRule="exact"/>
        <w:rPr>
          <w:rFonts w:hint="eastAsia" w:ascii="Arial" w:hAnsi="Arial"/>
        </w:rPr>
      </w:pPr>
    </w:p>
    <w:p w14:paraId="45C4C4D7">
      <w:pPr>
        <w:spacing w:line="300" w:lineRule="exact"/>
        <w:rPr>
          <w:rFonts w:hint="eastAsia" w:ascii="Arial" w:hAnsi="Arial"/>
        </w:rPr>
      </w:pPr>
    </w:p>
    <w:p w14:paraId="28C036F6">
      <w:pPr>
        <w:spacing w:line="300" w:lineRule="exact"/>
        <w:rPr>
          <w:rFonts w:hint="eastAsia" w:ascii="Arial" w:hAnsi="Arial"/>
        </w:rPr>
      </w:pPr>
    </w:p>
    <w:p w14:paraId="71094073">
      <w:pPr>
        <w:spacing w:line="300" w:lineRule="exact"/>
        <w:rPr>
          <w:rFonts w:ascii="Arial" w:hAnsi="Arial"/>
        </w:rPr>
      </w:pPr>
    </w:p>
    <w:p w14:paraId="0AFA67C1">
      <w:pPr>
        <w:spacing w:line="300" w:lineRule="exact"/>
        <w:rPr>
          <w:rFonts w:ascii="Arial" w:hAnsi="Arial"/>
        </w:rPr>
      </w:pPr>
    </w:p>
    <w:p w14:paraId="436B00D9">
      <w:pPr>
        <w:spacing w:line="300" w:lineRule="exact"/>
        <w:rPr>
          <w:rFonts w:hint="eastAsia" w:ascii="Arial" w:hAnsi="Arial"/>
        </w:rPr>
      </w:pPr>
    </w:p>
    <w:p w14:paraId="7B0C6556">
      <w:pPr>
        <w:pStyle w:val="54"/>
        <w:numPr>
          <w:ilvl w:val="0"/>
          <w:numId w:val="4"/>
        </w:numPr>
        <w:spacing w:line="300" w:lineRule="exact"/>
        <w:ind w:right="-93" w:firstLineChars="0"/>
        <w:jc w:val="both"/>
        <w:outlineLvl w:val="0"/>
        <w:rPr>
          <w:rFonts w:hint="eastAsia" w:ascii="Arial" w:hAnsi="Arial" w:eastAsia="方正黑体简体" w:cs="Arial"/>
          <w:b/>
          <w:bCs/>
          <w:sz w:val="21"/>
          <w:szCs w:val="21"/>
        </w:rPr>
      </w:pPr>
      <w:r>
        <w:rPr>
          <w:rFonts w:hint="eastAsia" w:ascii="Arial" w:hAnsi="Arial" w:eastAsia="方正黑体简体" w:cs="Arial"/>
          <w:b/>
          <w:bCs/>
          <w:sz w:val="21"/>
          <w:szCs w:val="21"/>
        </w:rPr>
        <w:t>估价项目名称：</w:t>
      </w:r>
    </w:p>
    <w:p w14:paraId="259892A6">
      <w:pPr>
        <w:pStyle w:val="54"/>
        <w:spacing w:line="300" w:lineRule="exact"/>
        <w:ind w:left="360" w:firstLine="0" w:firstLineChars="0"/>
        <w:jc w:val="both"/>
        <w:rPr>
          <w:rFonts w:hint="eastAsia" w:ascii="Arial" w:hAnsi="Arial" w:eastAsia="方正黑体简体" w:cs="Arial"/>
          <w:sz w:val="21"/>
          <w:szCs w:val="21"/>
        </w:rPr>
      </w:pPr>
      <w:r>
        <w:rPr>
          <w:rFonts w:ascii="Arial" w:hAnsi="Arial" w:eastAsia="方正黑体简体" w:cs="Arial"/>
          <w:sz w:val="21"/>
          <w:szCs w:val="21"/>
        </w:rPr>
        <w:t>北京市</w:t>
      </w:r>
      <w:r>
        <w:rPr>
          <w:rFonts w:hint="eastAsia" w:ascii="Arial" w:hAnsi="Arial" w:eastAsia="方正黑体简体" w:cs="Arial"/>
          <w:sz w:val="21"/>
          <w:szCs w:val="21"/>
        </w:rPr>
        <w:t>北京经济技术开发区博兴九路19号院一区1号楼等5幢（X13海棠苑）共1487套、北京经济技术开发区鹿海园五里1号楼等13幢（X38鹿海园五里）共1231套</w:t>
      </w:r>
      <w:r>
        <w:rPr>
          <w:rFonts w:ascii="Arial" w:hAnsi="Arial" w:eastAsia="方正黑体简体" w:cs="Arial"/>
          <w:sz w:val="21"/>
          <w:szCs w:val="21"/>
        </w:rPr>
        <w:t>公共租赁住房</w:t>
      </w:r>
      <w:r>
        <w:rPr>
          <w:rFonts w:hint="eastAsia" w:ascii="Arial" w:hAnsi="Arial" w:eastAsia="方正黑体简体" w:cs="Arial"/>
          <w:sz w:val="21"/>
          <w:szCs w:val="21"/>
        </w:rPr>
        <w:t>项目</w:t>
      </w:r>
      <w:r>
        <w:rPr>
          <w:rFonts w:ascii="Arial" w:hAnsi="Arial" w:eastAsia="方正黑体简体" w:cs="Arial"/>
          <w:sz w:val="21"/>
          <w:szCs w:val="21"/>
        </w:rPr>
        <w:t>市场租金评估</w:t>
      </w:r>
    </w:p>
    <w:p w14:paraId="693EAE43">
      <w:pPr>
        <w:spacing w:line="300" w:lineRule="exact"/>
        <w:rPr>
          <w:rFonts w:hint="eastAsia" w:ascii="Arial" w:hAnsi="Arial" w:eastAsia="方正黑体简体" w:cs="Arial"/>
          <w:b/>
          <w:bCs/>
          <w:sz w:val="21"/>
          <w:szCs w:val="21"/>
        </w:rPr>
      </w:pPr>
    </w:p>
    <w:p w14:paraId="24B036E1">
      <w:pPr>
        <w:pStyle w:val="54"/>
        <w:numPr>
          <w:ilvl w:val="0"/>
          <w:numId w:val="4"/>
        </w:numPr>
        <w:spacing w:line="300" w:lineRule="exact"/>
        <w:ind w:firstLineChars="0"/>
        <w:jc w:val="both"/>
        <w:outlineLvl w:val="0"/>
        <w:rPr>
          <w:rFonts w:hint="eastAsia" w:ascii="Arial" w:hAnsi="Arial" w:eastAsia="方正黑体简体" w:cs="Arial"/>
          <w:b/>
          <w:sz w:val="21"/>
          <w:szCs w:val="21"/>
        </w:rPr>
      </w:pPr>
      <w:r>
        <w:rPr>
          <w:rFonts w:hint="eastAsia" w:ascii="Arial" w:hAnsi="Arial" w:eastAsia="方正黑体简体" w:cs="Arial"/>
          <w:b/>
          <w:sz w:val="21"/>
          <w:szCs w:val="21"/>
        </w:rPr>
        <w:t>估价委托人：</w:t>
      </w:r>
    </w:p>
    <w:p w14:paraId="173616DB">
      <w:pPr>
        <w:pStyle w:val="54"/>
        <w:spacing w:line="300" w:lineRule="exact"/>
        <w:ind w:left="360" w:firstLine="0" w:firstLineChars="0"/>
        <w:jc w:val="both"/>
        <w:rPr>
          <w:rFonts w:hint="eastAsia" w:ascii="Arial" w:hAnsi="Arial" w:eastAsia="方正黑体简体" w:cs="Arial"/>
          <w:sz w:val="21"/>
          <w:szCs w:val="21"/>
        </w:rPr>
      </w:pPr>
      <w:r>
        <w:rPr>
          <w:rFonts w:hint="eastAsia" w:ascii="Arial" w:hAnsi="Arial" w:eastAsia="方正黑体简体" w:cs="Arial"/>
          <w:sz w:val="21"/>
          <w:szCs w:val="21"/>
        </w:rPr>
        <w:t>北京博大新元房地产开发有限公司</w:t>
      </w:r>
    </w:p>
    <w:p w14:paraId="11177D1E">
      <w:pPr>
        <w:pStyle w:val="54"/>
        <w:spacing w:line="300" w:lineRule="exact"/>
        <w:ind w:left="360" w:firstLine="0" w:firstLineChars="0"/>
        <w:jc w:val="both"/>
        <w:rPr>
          <w:rFonts w:hint="eastAsia" w:ascii="Arial" w:hAnsi="Arial" w:eastAsia="方正黑体简体" w:cs="Arial"/>
          <w:sz w:val="21"/>
          <w:szCs w:val="21"/>
        </w:rPr>
      </w:pPr>
    </w:p>
    <w:p w14:paraId="4D27AC28">
      <w:pPr>
        <w:pStyle w:val="54"/>
        <w:numPr>
          <w:ilvl w:val="0"/>
          <w:numId w:val="4"/>
        </w:numPr>
        <w:spacing w:line="300" w:lineRule="exact"/>
        <w:ind w:firstLineChars="0"/>
        <w:jc w:val="both"/>
        <w:outlineLvl w:val="0"/>
        <w:rPr>
          <w:rFonts w:hint="eastAsia" w:ascii="Arial" w:hAnsi="Arial" w:eastAsia="方正黑体简体" w:cs="Arial"/>
          <w:b/>
          <w:sz w:val="21"/>
          <w:szCs w:val="21"/>
        </w:rPr>
      </w:pPr>
      <w:r>
        <w:rPr>
          <w:rFonts w:hint="eastAsia" w:ascii="Arial" w:hAnsi="Arial" w:eastAsia="方正黑体简体" w:cs="Arial"/>
          <w:b/>
          <w:sz w:val="21"/>
          <w:szCs w:val="21"/>
        </w:rPr>
        <w:t>房地产估价机构：</w:t>
      </w:r>
    </w:p>
    <w:p w14:paraId="06046695">
      <w:pPr>
        <w:pStyle w:val="54"/>
        <w:spacing w:line="300" w:lineRule="exact"/>
        <w:ind w:left="360" w:firstLine="0" w:firstLineChars="0"/>
        <w:jc w:val="both"/>
        <w:rPr>
          <w:rFonts w:hint="eastAsia"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71E012C1">
      <w:pPr>
        <w:spacing w:line="300" w:lineRule="exact"/>
        <w:jc w:val="both"/>
        <w:rPr>
          <w:rFonts w:hint="eastAsia" w:ascii="Arial" w:hAnsi="Arial" w:eastAsia="方正黑体简体" w:cs="Arial"/>
          <w:b/>
          <w:sz w:val="21"/>
          <w:szCs w:val="21"/>
        </w:rPr>
      </w:pPr>
    </w:p>
    <w:p w14:paraId="3C3C71E5">
      <w:pPr>
        <w:pStyle w:val="54"/>
        <w:numPr>
          <w:ilvl w:val="0"/>
          <w:numId w:val="4"/>
        </w:numPr>
        <w:spacing w:line="300" w:lineRule="exact"/>
        <w:ind w:firstLineChars="0"/>
        <w:jc w:val="both"/>
        <w:outlineLvl w:val="0"/>
        <w:rPr>
          <w:rFonts w:hint="eastAsia" w:ascii="Arial" w:hAnsi="Arial" w:eastAsia="方正黑体简体" w:cs="Arial"/>
          <w:b/>
          <w:sz w:val="21"/>
          <w:szCs w:val="21"/>
        </w:rPr>
      </w:pPr>
      <w:r>
        <w:rPr>
          <w:rFonts w:hint="eastAsia" w:ascii="Arial" w:hAnsi="Arial" w:eastAsia="方正黑体简体" w:cs="Arial"/>
          <w:b/>
          <w:sz w:val="21"/>
          <w:szCs w:val="21"/>
        </w:rPr>
        <w:t>注册房地产估价师：</w:t>
      </w:r>
    </w:p>
    <w:p w14:paraId="69B03B83">
      <w:pPr>
        <w:pStyle w:val="54"/>
        <w:spacing w:line="300" w:lineRule="exact"/>
        <w:jc w:val="both"/>
        <w:rPr>
          <w:rFonts w:ascii="Arial" w:hAnsi="Arial" w:eastAsia="方正黑体简体" w:cs="Arial"/>
          <w:sz w:val="21"/>
          <w:szCs w:val="21"/>
        </w:rPr>
      </w:pPr>
      <w:r>
        <w:rPr>
          <w:rFonts w:ascii="Arial" w:hAnsi="Arial" w:eastAsia="方正黑体简体" w:cs="Arial"/>
          <w:sz w:val="21"/>
          <w:szCs w:val="21"/>
        </w:rPr>
        <w:t>高</w:t>
      </w:r>
      <w:r>
        <w:rPr>
          <w:rFonts w:ascii="Arial" w:hAnsi="Arial" w:eastAsia="Arial" w:cs="Arial"/>
          <w:sz w:val="21"/>
          <w:szCs w:val="21"/>
        </w:rPr>
        <w:t xml:space="preserve"> </w:t>
      </w:r>
      <w:r>
        <w:rPr>
          <w:rFonts w:ascii="Arial" w:hAnsi="Arial" w:eastAsia="方正黑体简体" w:cs="Arial"/>
          <w:sz w:val="21"/>
          <w:szCs w:val="21"/>
        </w:rPr>
        <w:t>鹏（注册号：1120140024）、许皓源（注册号：1119980019）</w:t>
      </w:r>
    </w:p>
    <w:p w14:paraId="52B6F535">
      <w:pPr>
        <w:spacing w:line="300" w:lineRule="exact"/>
        <w:jc w:val="both"/>
        <w:rPr>
          <w:rFonts w:ascii="Arial" w:hAnsi="Arial" w:eastAsia="方正黑体简体" w:cs="Arial"/>
          <w:b/>
          <w:sz w:val="21"/>
          <w:szCs w:val="21"/>
        </w:rPr>
      </w:pPr>
    </w:p>
    <w:p w14:paraId="4DF7575E">
      <w:pPr>
        <w:pStyle w:val="54"/>
        <w:numPr>
          <w:ilvl w:val="0"/>
          <w:numId w:val="4"/>
        </w:numPr>
        <w:spacing w:line="300" w:lineRule="exact"/>
        <w:ind w:firstLineChars="0"/>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24DF9ACD">
      <w:pPr>
        <w:pStyle w:val="54"/>
        <w:spacing w:line="300" w:lineRule="exact"/>
        <w:ind w:left="360" w:firstLine="0" w:firstLineChars="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年</w:t>
      </w:r>
      <w:r>
        <w:rPr>
          <w:rFonts w:hint="eastAsia" w:ascii="Arial" w:hAnsi="Arial" w:eastAsia="方正黑体简体" w:cs="Arial"/>
          <w:sz w:val="21"/>
          <w:szCs w:val="21"/>
        </w:rPr>
        <w:t>11</w:t>
      </w:r>
      <w:r>
        <w:rPr>
          <w:rFonts w:ascii="Arial" w:hAnsi="Arial" w:eastAsia="方正黑体简体" w:cs="Arial"/>
          <w:sz w:val="21"/>
          <w:szCs w:val="21"/>
        </w:rPr>
        <w:t>月1日</w:t>
      </w:r>
    </w:p>
    <w:p w14:paraId="3142624C">
      <w:pPr>
        <w:spacing w:line="300" w:lineRule="exact"/>
        <w:jc w:val="both"/>
        <w:rPr>
          <w:rFonts w:hint="eastAsia" w:ascii="Arial" w:hAnsi="Arial" w:eastAsia="方正黑体简体" w:cs="Arial"/>
          <w:b/>
          <w:sz w:val="21"/>
          <w:szCs w:val="21"/>
        </w:rPr>
      </w:pPr>
    </w:p>
    <w:p w14:paraId="5AC1BD72">
      <w:pPr>
        <w:pStyle w:val="54"/>
        <w:numPr>
          <w:ilvl w:val="0"/>
          <w:numId w:val="4"/>
        </w:numPr>
        <w:spacing w:line="300" w:lineRule="exact"/>
        <w:ind w:firstLineChars="0"/>
        <w:jc w:val="both"/>
        <w:outlineLvl w:val="0"/>
        <w:rPr>
          <w:rFonts w:hint="eastAsia" w:ascii="Arial" w:hAnsi="Arial" w:eastAsia="方正黑体简体" w:cs="Arial"/>
          <w:sz w:val="21"/>
          <w:szCs w:val="21"/>
        </w:rPr>
      </w:pPr>
      <w:r>
        <w:rPr>
          <w:rFonts w:hint="eastAsia" w:ascii="Arial" w:hAnsi="Arial" w:eastAsia="方正黑体简体" w:cs="Arial"/>
          <w:b/>
          <w:sz w:val="21"/>
          <w:szCs w:val="21"/>
        </w:rPr>
        <w:t>估价报告编号：</w:t>
      </w:r>
    </w:p>
    <w:p w14:paraId="558DB553">
      <w:pPr>
        <w:pStyle w:val="54"/>
        <w:spacing w:line="300" w:lineRule="exact"/>
        <w:ind w:left="360" w:firstLine="0" w:firstLineChars="0"/>
        <w:jc w:val="both"/>
        <w:rPr>
          <w:rFonts w:hint="eastAsia" w:ascii="Arial" w:hAnsi="Arial" w:eastAsia="方正黑体简体" w:cs="Arial"/>
          <w:sz w:val="21"/>
          <w:szCs w:val="21"/>
        </w:rPr>
        <w:sectPr>
          <w:headerReference r:id="rId7" w:type="first"/>
          <w:footerReference r:id="rId10" w:type="first"/>
          <w:headerReference r:id="rId5" w:type="default"/>
          <w:footerReference r:id="rId8" w:type="default"/>
          <w:headerReference r:id="rId6" w:type="even"/>
          <w:footerReference r:id="rId9" w:type="even"/>
          <w:type w:val="continuous"/>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康正评字2025-1-0802-F01ZLGJ6号</w:t>
      </w:r>
    </w:p>
    <w:p w14:paraId="3872151C">
      <w:pPr>
        <w:pStyle w:val="2"/>
        <w:spacing w:line="480" w:lineRule="auto"/>
        <w:jc w:val="center"/>
        <w:rPr>
          <w:rFonts w:eastAsia="方正黑体简体"/>
          <w:b w:val="0"/>
          <w:color w:val="000000"/>
          <w:kern w:val="2"/>
          <w:sz w:val="32"/>
          <w:szCs w:val="32"/>
        </w:rPr>
      </w:pPr>
      <w:bookmarkStart w:id="0" w:name="_Toc22020"/>
      <w:bookmarkStart w:id="1" w:name="_Toc477252437"/>
      <w:bookmarkStart w:id="2" w:name="_Toc379795040"/>
      <w:r>
        <w:rPr>
          <w:rFonts w:eastAsia="方正黑体简体"/>
          <w:b w:val="0"/>
          <w:color w:val="000000"/>
          <w:kern w:val="2"/>
          <w:sz w:val="32"/>
          <w:szCs w:val="32"/>
        </w:rPr>
        <w:t>致估价委托人函</w:t>
      </w:r>
      <w:bookmarkEnd w:id="0"/>
      <w:bookmarkEnd w:id="1"/>
      <w:bookmarkEnd w:id="2"/>
    </w:p>
    <w:p w14:paraId="0BA0927D">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北京博大新元房地产开发有限公司</w:t>
      </w:r>
      <w:r>
        <w:rPr>
          <w:rFonts w:ascii="Arial" w:hAnsi="Arial" w:cs="Arial"/>
          <w:b/>
          <w:bCs/>
          <w:sz w:val="21"/>
          <w:szCs w:val="21"/>
        </w:rPr>
        <w:t>：</w:t>
      </w:r>
    </w:p>
    <w:p w14:paraId="2A208B8B">
      <w:pPr>
        <w:overflowPunct w:val="0"/>
        <w:spacing w:line="480" w:lineRule="auto"/>
        <w:ind w:firstLine="420" w:firstLineChars="200"/>
        <w:jc w:val="both"/>
        <w:textAlignment w:val="auto"/>
        <w:rPr>
          <w:rFonts w:hint="eastAsia"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w:t>
      </w:r>
      <w:r>
        <w:rPr>
          <w:rFonts w:ascii="Arial" w:hAnsi="Arial" w:cs="Arial"/>
          <w:kern w:val="2"/>
          <w:sz w:val="21"/>
          <w:szCs w:val="21"/>
        </w:rPr>
        <w:t>公共租赁住房</w:t>
      </w:r>
      <w:r>
        <w:rPr>
          <w:rFonts w:hint="eastAsia" w:ascii="Arial" w:hAnsi="Arial" w:cs="Arial"/>
          <w:kern w:val="2"/>
          <w:sz w:val="21"/>
          <w:szCs w:val="21"/>
        </w:rPr>
        <w:t>的市场租金</w:t>
      </w:r>
      <w:r>
        <w:rPr>
          <w:rFonts w:ascii="Arial" w:hAnsi="Arial" w:cs="Arial"/>
          <w:kern w:val="2"/>
          <w:sz w:val="21"/>
          <w:szCs w:val="21"/>
        </w:rPr>
        <w:t>进行</w:t>
      </w:r>
      <w:r>
        <w:rPr>
          <w:rFonts w:ascii="Arial" w:hAnsi="Arial" w:cs="Arial"/>
          <w:sz w:val="21"/>
          <w:szCs w:val="21"/>
        </w:rPr>
        <w:t>了评估</w:t>
      </w:r>
      <w:r>
        <w:rPr>
          <w:rFonts w:ascii="Arial" w:hAnsi="Arial" w:cs="Arial"/>
          <w:kern w:val="2"/>
          <w:sz w:val="21"/>
          <w:szCs w:val="21"/>
        </w:rPr>
        <w:t>。</w:t>
      </w:r>
    </w:p>
    <w:p w14:paraId="3D962DEF">
      <w:pPr>
        <w:overflowPunct w:val="0"/>
        <w:spacing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cs="Arial"/>
          <w:sz w:val="21"/>
          <w:szCs w:val="21"/>
        </w:rPr>
        <w:t>为估价委托人确定公共租赁住房项目市场租金提供价格参考依据</w:t>
      </w:r>
      <w:r>
        <w:rPr>
          <w:rFonts w:ascii="Arial" w:hAnsi="Arial" w:cs="Arial"/>
          <w:sz w:val="21"/>
          <w:szCs w:val="21"/>
        </w:rPr>
        <w:t>。</w:t>
      </w:r>
    </w:p>
    <w:p w14:paraId="456D0CE1">
      <w:pPr>
        <w:overflowPunct w:val="0"/>
        <w:spacing w:line="480" w:lineRule="auto"/>
        <w:ind w:firstLine="422" w:firstLineChars="200"/>
        <w:jc w:val="both"/>
        <w:textAlignment w:val="auto"/>
        <w:rPr>
          <w:rFonts w:hint="eastAsia" w:ascii="Arial" w:hAnsi="Arial" w:cs="Arial"/>
          <w:kern w:val="2"/>
          <w:sz w:val="21"/>
          <w:szCs w:val="21"/>
        </w:rPr>
      </w:pPr>
      <w:r>
        <w:rPr>
          <w:rFonts w:ascii="Arial" w:hAnsi="Arial" w:cs="Arial"/>
          <w:b/>
          <w:bCs/>
          <w:sz w:val="21"/>
          <w:szCs w:val="21"/>
        </w:rPr>
        <w:t>估价对象：</w:t>
      </w:r>
      <w:r>
        <w:rPr>
          <w:rFonts w:ascii="Arial" w:hAnsi="Arial" w:cs="Arial"/>
          <w:bCs/>
          <w:color w:val="000000"/>
          <w:sz w:val="21"/>
          <w:szCs w:val="21"/>
        </w:rPr>
        <w:t>估价对象</w:t>
      </w:r>
      <w:r>
        <w:rPr>
          <w:rFonts w:hint="eastAsia" w:ascii="Arial" w:hAnsi="Arial" w:cs="Arial"/>
          <w:kern w:val="2"/>
          <w:sz w:val="21"/>
          <w:szCs w:val="21"/>
        </w:rPr>
        <w:t>公共租赁住房共计</w:t>
      </w:r>
      <w:r>
        <w:rPr>
          <w:rFonts w:ascii="Arial" w:hAnsi="Arial" w:cs="Arial"/>
          <w:kern w:val="2"/>
          <w:sz w:val="21"/>
          <w:szCs w:val="21"/>
        </w:rPr>
        <w:t>2718</w:t>
      </w:r>
      <w:r>
        <w:rPr>
          <w:rFonts w:hint="eastAsia" w:ascii="Arial" w:hAnsi="Arial" w:cs="Arial"/>
          <w:kern w:val="2"/>
          <w:sz w:val="21"/>
          <w:szCs w:val="21"/>
        </w:rPr>
        <w:t>套，总建筑面积</w:t>
      </w:r>
      <w:r>
        <w:rPr>
          <w:rFonts w:ascii="Arial" w:hAnsi="Arial" w:cs="Arial"/>
          <w:kern w:val="2"/>
          <w:sz w:val="21"/>
          <w:szCs w:val="21"/>
        </w:rPr>
        <w:t>202563.58</w:t>
      </w:r>
      <w:r>
        <w:rPr>
          <w:rFonts w:hint="eastAsia" w:ascii="Arial" w:hAnsi="Arial" w:cs="Arial"/>
          <w:kern w:val="2"/>
          <w:sz w:val="21"/>
          <w:szCs w:val="21"/>
        </w:rPr>
        <w:t>平方米。各公共租赁住房项目具体情况如下：</w:t>
      </w:r>
    </w:p>
    <w:p w14:paraId="0393F28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kern w:val="2"/>
          <w:sz w:val="21"/>
          <w:szCs w:val="21"/>
        </w:rPr>
        <w:t>北京市北京经济技术开发区博兴九路19号院一区1号楼等5幢（X13海棠苑）公共租赁住房项目，现状四至为东至博兴九路，西至博兴十路，南至泰河路，北至凉水河二街。根据估价委托人提供的《估价委托书》、</w:t>
      </w: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w:t>
      </w:r>
      <w:r>
        <w:rPr>
          <w:rFonts w:hint="eastAsia" w:ascii="Arial" w:hAnsi="Arial" w:cs="Arial"/>
          <w:kern w:val="2"/>
          <w:sz w:val="21"/>
          <w:szCs w:val="21"/>
        </w:rPr>
        <w:t>《房屋收购协议》[编号：2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及其</w:t>
      </w:r>
      <w:r>
        <w:rPr>
          <w:rFonts w:hint="eastAsia" w:ascii="Arial" w:hAnsi="Arial" w:cs="Arial"/>
          <w:sz w:val="21"/>
          <w:szCs w:val="21"/>
        </w:rPr>
        <w:t>介绍</w:t>
      </w:r>
      <w:r>
        <w:rPr>
          <w:rFonts w:hint="eastAsia" w:ascii="Arial" w:hAnsi="Arial" w:cs="Arial"/>
          <w:kern w:val="2"/>
          <w:sz w:val="21"/>
          <w:szCs w:val="21"/>
        </w:rPr>
        <w:t>，本次评估的</w:t>
      </w:r>
      <w:r>
        <w:rPr>
          <w:rFonts w:ascii="Arial" w:hAnsi="Arial" w:cs="Arial"/>
          <w:kern w:val="2"/>
          <w:sz w:val="21"/>
          <w:szCs w:val="21"/>
        </w:rPr>
        <w:t>1487</w:t>
      </w:r>
      <w:r>
        <w:rPr>
          <w:rFonts w:hint="eastAsia" w:ascii="Arial" w:hAnsi="Arial" w:cs="Arial"/>
          <w:kern w:val="2"/>
          <w:sz w:val="21"/>
          <w:szCs w:val="21"/>
        </w:rPr>
        <w:t>套公共租赁住房所属宗地土地用途为住宅，由北京首开住总房地产开发有限公司开发建设，北京博大新元房地产开发有限公司持有并经营，总建筑面积</w:t>
      </w:r>
      <w:r>
        <w:rPr>
          <w:rFonts w:ascii="Arial" w:hAnsi="Arial" w:cs="Arial"/>
          <w:kern w:val="2"/>
          <w:sz w:val="21"/>
          <w:szCs w:val="21"/>
        </w:rPr>
        <w:t>80734.26</w:t>
      </w:r>
      <w:r>
        <w:rPr>
          <w:rFonts w:hint="eastAsia" w:ascii="Arial" w:hAnsi="Arial" w:cs="Arial"/>
          <w:kern w:val="2"/>
          <w:sz w:val="21"/>
          <w:szCs w:val="21"/>
        </w:rPr>
        <w:t>平方米。</w:t>
      </w:r>
      <w:r>
        <w:rPr>
          <w:rFonts w:hint="eastAsia" w:ascii="Arial" w:hAnsi="Arial" w:cs="Arial"/>
          <w:sz w:val="21"/>
          <w:szCs w:val="21"/>
        </w:rPr>
        <w:t>具体情况如下：</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2C17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5DCBCFE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6EF3A6DC">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14552CE0">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22A75708">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08C29697">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7526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2A068BE1">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开间</w:t>
            </w:r>
          </w:p>
        </w:tc>
        <w:tc>
          <w:tcPr>
            <w:tcW w:w="1462" w:type="pct"/>
            <w:vAlign w:val="center"/>
          </w:tcPr>
          <w:p w14:paraId="5830FBE5">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25.44-50.91</w:t>
            </w:r>
          </w:p>
        </w:tc>
        <w:tc>
          <w:tcPr>
            <w:tcW w:w="681" w:type="pct"/>
            <w:vAlign w:val="center"/>
          </w:tcPr>
          <w:p w14:paraId="6A3C732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201</w:t>
            </w:r>
          </w:p>
        </w:tc>
        <w:tc>
          <w:tcPr>
            <w:tcW w:w="1559" w:type="pct"/>
            <w:vAlign w:val="center"/>
          </w:tcPr>
          <w:p w14:paraId="2C19AB4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9227.08</w:t>
            </w:r>
          </w:p>
        </w:tc>
        <w:tc>
          <w:tcPr>
            <w:tcW w:w="713" w:type="pct"/>
            <w:vAlign w:val="center"/>
          </w:tcPr>
          <w:p w14:paraId="6FCBB686">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4CC2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554CDBEB">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009D9C0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50.91-62.94</w:t>
            </w:r>
          </w:p>
        </w:tc>
        <w:tc>
          <w:tcPr>
            <w:tcW w:w="681" w:type="pct"/>
            <w:vAlign w:val="center"/>
          </w:tcPr>
          <w:p w14:paraId="3977108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427</w:t>
            </w:r>
          </w:p>
        </w:tc>
        <w:tc>
          <w:tcPr>
            <w:tcW w:w="1559" w:type="pct"/>
            <w:vAlign w:val="center"/>
          </w:tcPr>
          <w:p w14:paraId="27C20B6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24126.11</w:t>
            </w:r>
          </w:p>
        </w:tc>
        <w:tc>
          <w:tcPr>
            <w:tcW w:w="713" w:type="pct"/>
            <w:vAlign w:val="center"/>
          </w:tcPr>
          <w:p w14:paraId="5A3C0CC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3F90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5D5B9582">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D8373E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38.46-51.96</w:t>
            </w:r>
          </w:p>
        </w:tc>
        <w:tc>
          <w:tcPr>
            <w:tcW w:w="681" w:type="pct"/>
            <w:vAlign w:val="center"/>
          </w:tcPr>
          <w:p w14:paraId="5701DF9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231</w:t>
            </w:r>
          </w:p>
        </w:tc>
        <w:tc>
          <w:tcPr>
            <w:tcW w:w="1559" w:type="pct"/>
            <w:vAlign w:val="center"/>
          </w:tcPr>
          <w:p w14:paraId="7DEBCE6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11061.45</w:t>
            </w:r>
          </w:p>
        </w:tc>
        <w:tc>
          <w:tcPr>
            <w:tcW w:w="713" w:type="pct"/>
            <w:vAlign w:val="center"/>
          </w:tcPr>
          <w:p w14:paraId="5A59BC0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0BFC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7C00A54">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3D59055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51.05-60.85</w:t>
            </w:r>
          </w:p>
        </w:tc>
        <w:tc>
          <w:tcPr>
            <w:tcW w:w="681" w:type="pct"/>
            <w:vAlign w:val="center"/>
          </w:tcPr>
          <w:p w14:paraId="1B2DD53C">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442</w:t>
            </w:r>
          </w:p>
        </w:tc>
        <w:tc>
          <w:tcPr>
            <w:tcW w:w="1559" w:type="pct"/>
            <w:vAlign w:val="center"/>
          </w:tcPr>
          <w:p w14:paraId="485A2C5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24982.07</w:t>
            </w:r>
          </w:p>
        </w:tc>
        <w:tc>
          <w:tcPr>
            <w:tcW w:w="713" w:type="pct"/>
            <w:vAlign w:val="center"/>
          </w:tcPr>
          <w:p w14:paraId="46642C19">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658F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71A54D87">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6D9C284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100</w:t>
            </w:r>
          </w:p>
        </w:tc>
        <w:tc>
          <w:tcPr>
            <w:tcW w:w="1559" w:type="pct"/>
            <w:vAlign w:val="center"/>
          </w:tcPr>
          <w:p w14:paraId="1AC13B54">
            <w:pPr>
              <w:widowControl/>
              <w:spacing w:line="240" w:lineRule="atLeast"/>
              <w:jc w:val="center"/>
              <w:rPr>
                <w:rFonts w:hint="eastAsia" w:ascii="Arial" w:hAnsi="Arial" w:eastAsia="华文细黑" w:cs="Arial"/>
                <w:color w:val="000000"/>
                <w:sz w:val="18"/>
                <w:szCs w:val="18"/>
              </w:rPr>
            </w:pPr>
            <w:r>
              <w:rPr>
                <w:rFonts w:ascii="Arial" w:hAnsi="Arial" w:eastAsia="华文细黑" w:cs="Arial"/>
                <w:color w:val="000000"/>
                <w:sz w:val="18"/>
                <w:szCs w:val="18"/>
              </w:rPr>
              <w:t>60169.63</w:t>
            </w:r>
          </w:p>
        </w:tc>
        <w:tc>
          <w:tcPr>
            <w:tcW w:w="713" w:type="pct"/>
            <w:vAlign w:val="center"/>
          </w:tcPr>
          <w:p w14:paraId="020DC6C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544D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524C6E30">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592C04DF">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60.42-61.34</w:t>
            </w:r>
          </w:p>
        </w:tc>
        <w:tc>
          <w:tcPr>
            <w:tcW w:w="681" w:type="pct"/>
            <w:vAlign w:val="center"/>
          </w:tcPr>
          <w:p w14:paraId="08C3CC43">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92</w:t>
            </w:r>
          </w:p>
        </w:tc>
        <w:tc>
          <w:tcPr>
            <w:tcW w:w="1559" w:type="pct"/>
            <w:vAlign w:val="center"/>
          </w:tcPr>
          <w:p w14:paraId="5A7FD35F">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5608.43</w:t>
            </w:r>
          </w:p>
        </w:tc>
        <w:tc>
          <w:tcPr>
            <w:tcW w:w="713" w:type="pct"/>
            <w:vAlign w:val="center"/>
          </w:tcPr>
          <w:p w14:paraId="74DCC3B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485B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3477D352">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73F2BF7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60.42-61.34</w:t>
            </w:r>
          </w:p>
        </w:tc>
        <w:tc>
          <w:tcPr>
            <w:tcW w:w="681" w:type="pct"/>
            <w:vAlign w:val="center"/>
          </w:tcPr>
          <w:p w14:paraId="42A8076E">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94</w:t>
            </w:r>
          </w:p>
        </w:tc>
        <w:tc>
          <w:tcPr>
            <w:tcW w:w="1559" w:type="pct"/>
            <w:vAlign w:val="center"/>
          </w:tcPr>
          <w:p w14:paraId="4331E0A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5729.12</w:t>
            </w:r>
          </w:p>
        </w:tc>
        <w:tc>
          <w:tcPr>
            <w:tcW w:w="713" w:type="pct"/>
            <w:vAlign w:val="center"/>
          </w:tcPr>
          <w:p w14:paraId="6B842A6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49F5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7C25274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38608232">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86</w:t>
            </w:r>
          </w:p>
        </w:tc>
        <w:tc>
          <w:tcPr>
            <w:tcW w:w="1559" w:type="pct"/>
            <w:vAlign w:val="center"/>
          </w:tcPr>
          <w:p w14:paraId="696F830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1337.55</w:t>
            </w:r>
          </w:p>
        </w:tc>
        <w:tc>
          <w:tcPr>
            <w:tcW w:w="713" w:type="pct"/>
            <w:vAlign w:val="center"/>
          </w:tcPr>
          <w:p w14:paraId="76021BE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7A07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5EA0352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合计</w:t>
            </w:r>
          </w:p>
        </w:tc>
        <w:tc>
          <w:tcPr>
            <w:tcW w:w="681" w:type="pct"/>
            <w:vAlign w:val="center"/>
          </w:tcPr>
          <w:p w14:paraId="4323869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487</w:t>
            </w:r>
          </w:p>
        </w:tc>
        <w:tc>
          <w:tcPr>
            <w:tcW w:w="1559" w:type="pct"/>
            <w:vAlign w:val="center"/>
          </w:tcPr>
          <w:p w14:paraId="44EF008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8</w:t>
            </w:r>
            <w:r>
              <w:rPr>
                <w:rFonts w:ascii="Arial" w:hAnsi="Arial" w:eastAsia="华文细黑" w:cs="Arial"/>
                <w:color w:val="000000"/>
                <w:sz w:val="18"/>
                <w:szCs w:val="18"/>
              </w:rPr>
              <w:t>0734.26</w:t>
            </w:r>
          </w:p>
        </w:tc>
        <w:tc>
          <w:tcPr>
            <w:tcW w:w="713" w:type="pct"/>
            <w:vAlign w:val="center"/>
          </w:tcPr>
          <w:p w14:paraId="1FF44BA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01922A66">
      <w:pPr>
        <w:overflowPunct w:val="0"/>
        <w:spacing w:before="240" w:beforeLines="100"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（2）北京市</w:t>
      </w:r>
      <w:r>
        <w:rPr>
          <w:rFonts w:hint="eastAsia" w:ascii="Arial" w:hAnsi="Arial" w:cs="Arial"/>
          <w:kern w:val="2"/>
          <w:sz w:val="21"/>
          <w:szCs w:val="21"/>
        </w:rPr>
        <w:t>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项目现状四至为东至博兴七路，西至博兴八路，南至泰河三街，北至泰河二街</w:t>
      </w:r>
      <w:r>
        <w:rPr>
          <w:rFonts w:hint="eastAsia" w:ascii="Arial" w:hAnsi="Arial" w:cs="Arial"/>
          <w:sz w:val="21"/>
          <w:szCs w:val="21"/>
        </w:rPr>
        <w:t>。根据估价委托人提供的</w:t>
      </w:r>
      <w:r>
        <w:rPr>
          <w:rFonts w:hint="eastAsia" w:ascii="Arial" w:hAnsi="Arial" w:cs="Arial"/>
          <w:kern w:val="2"/>
          <w:sz w:val="21"/>
          <w:szCs w:val="21"/>
        </w:rPr>
        <w:t>《估价委托书》、</w:t>
      </w:r>
      <w:bookmarkStart w:id="3" w:name="_Hlk111548273"/>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w:t>
      </w:r>
      <w:r>
        <w:rPr>
          <w:rFonts w:hint="eastAsia" w:ascii="Arial" w:hAnsi="Arial" w:cs="Arial"/>
          <w:kern w:val="2"/>
          <w:sz w:val="21"/>
          <w:szCs w:val="21"/>
        </w:rPr>
        <w:t>《房屋交接书》</w:t>
      </w:r>
      <w:bookmarkEnd w:id="3"/>
      <w:r>
        <w:rPr>
          <w:rFonts w:hint="eastAsia" w:ascii="Arial" w:hAnsi="Arial" w:cs="Arial"/>
          <w:sz w:val="21"/>
          <w:szCs w:val="21"/>
        </w:rPr>
        <w:t>及其介绍，</w:t>
      </w:r>
      <w:r>
        <w:rPr>
          <w:rFonts w:hint="eastAsia" w:ascii="Arial" w:hAnsi="Arial" w:cs="Arial"/>
          <w:kern w:val="2"/>
          <w:sz w:val="21"/>
          <w:szCs w:val="21"/>
        </w:rPr>
        <w:t>本次评估的</w:t>
      </w:r>
      <w:r>
        <w:rPr>
          <w:rFonts w:ascii="Arial" w:hAnsi="Arial" w:cs="Arial"/>
          <w:kern w:val="2"/>
          <w:sz w:val="21"/>
          <w:szCs w:val="21"/>
        </w:rPr>
        <w:t>1231</w:t>
      </w:r>
      <w:r>
        <w:rPr>
          <w:rFonts w:hint="eastAsia" w:ascii="Arial" w:hAnsi="Arial" w:cs="Arial"/>
          <w:kern w:val="2"/>
          <w:sz w:val="21"/>
          <w:szCs w:val="21"/>
        </w:rPr>
        <w:t>套</w:t>
      </w:r>
      <w:r>
        <w:rPr>
          <w:rFonts w:ascii="Arial" w:hAnsi="Arial" w:cs="Arial"/>
          <w:kern w:val="2"/>
          <w:sz w:val="21"/>
          <w:szCs w:val="21"/>
        </w:rPr>
        <w:t>公共租赁住房</w:t>
      </w:r>
      <w:r>
        <w:rPr>
          <w:rFonts w:hint="eastAsia" w:ascii="Arial" w:hAnsi="Arial" w:cs="Arial"/>
          <w:kern w:val="2"/>
          <w:sz w:val="21"/>
          <w:szCs w:val="21"/>
        </w:rPr>
        <w:t>由北京博大经开建设有限公司开发建设，北京博大新元房地产开发有限公司持有并经营，总建筑面积</w:t>
      </w:r>
      <w:r>
        <w:rPr>
          <w:rFonts w:ascii="Arial" w:hAnsi="Arial" w:cs="Arial"/>
          <w:kern w:val="2"/>
          <w:sz w:val="21"/>
          <w:szCs w:val="21"/>
        </w:rPr>
        <w:t>121829.32</w:t>
      </w:r>
      <w:r>
        <w:rPr>
          <w:rFonts w:hint="eastAsia" w:ascii="Arial" w:hAnsi="Arial" w:cs="Arial"/>
          <w:kern w:val="2"/>
          <w:sz w:val="21"/>
          <w:szCs w:val="21"/>
        </w:rPr>
        <w:t>平方米。</w:t>
      </w:r>
      <w:r>
        <w:rPr>
          <w:rFonts w:hint="eastAsia" w:ascii="Arial" w:hAnsi="Arial" w:cs="Arial"/>
          <w:sz w:val="21"/>
          <w:szCs w:val="21"/>
        </w:rPr>
        <w:t>具体情况如下：</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229C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585" w:type="pct"/>
            <w:vAlign w:val="center"/>
          </w:tcPr>
          <w:p w14:paraId="5F71383C">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158743F2">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01465A4F">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03032F71">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2C3FB202">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6909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72637327">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6C458BA0">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51.15-71.3</w:t>
            </w:r>
          </w:p>
        </w:tc>
        <w:tc>
          <w:tcPr>
            <w:tcW w:w="681" w:type="pct"/>
            <w:vAlign w:val="center"/>
          </w:tcPr>
          <w:p w14:paraId="430A634C">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110</w:t>
            </w:r>
          </w:p>
        </w:tc>
        <w:tc>
          <w:tcPr>
            <w:tcW w:w="1559" w:type="pct"/>
            <w:vAlign w:val="center"/>
          </w:tcPr>
          <w:p w14:paraId="0090434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7338.79</w:t>
            </w:r>
          </w:p>
        </w:tc>
        <w:tc>
          <w:tcPr>
            <w:tcW w:w="713" w:type="pct"/>
          </w:tcPr>
          <w:p w14:paraId="397217D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东</w:t>
            </w:r>
          </w:p>
        </w:tc>
      </w:tr>
      <w:tr w14:paraId="3AEF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DC72D76">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4D27C4DC">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70-71.05</w:t>
            </w:r>
          </w:p>
        </w:tc>
        <w:tc>
          <w:tcPr>
            <w:tcW w:w="681" w:type="pct"/>
            <w:vAlign w:val="center"/>
          </w:tcPr>
          <w:p w14:paraId="09B8003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114</w:t>
            </w:r>
          </w:p>
        </w:tc>
        <w:tc>
          <w:tcPr>
            <w:tcW w:w="1559" w:type="pct"/>
            <w:vAlign w:val="center"/>
          </w:tcPr>
          <w:p w14:paraId="72ED251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8063.76</w:t>
            </w:r>
          </w:p>
        </w:tc>
        <w:tc>
          <w:tcPr>
            <w:tcW w:w="713" w:type="pct"/>
          </w:tcPr>
          <w:p w14:paraId="0EB46E13">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南</w:t>
            </w:r>
          </w:p>
        </w:tc>
      </w:tr>
      <w:tr w14:paraId="4A94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1471677">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6F35915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51.14-71.3</w:t>
            </w:r>
          </w:p>
        </w:tc>
        <w:tc>
          <w:tcPr>
            <w:tcW w:w="681" w:type="pct"/>
            <w:vAlign w:val="center"/>
          </w:tcPr>
          <w:p w14:paraId="7515CD0F">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110</w:t>
            </w:r>
          </w:p>
        </w:tc>
        <w:tc>
          <w:tcPr>
            <w:tcW w:w="1559" w:type="pct"/>
            <w:vAlign w:val="center"/>
          </w:tcPr>
          <w:p w14:paraId="6068AE7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7307.39</w:t>
            </w:r>
          </w:p>
        </w:tc>
        <w:tc>
          <w:tcPr>
            <w:tcW w:w="713" w:type="pct"/>
          </w:tcPr>
          <w:p w14:paraId="2AF9C20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西</w:t>
            </w:r>
          </w:p>
        </w:tc>
      </w:tr>
      <w:tr w14:paraId="40C3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3BDC1D2D">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06582610">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334</w:t>
            </w:r>
          </w:p>
        </w:tc>
        <w:tc>
          <w:tcPr>
            <w:tcW w:w="1559" w:type="pct"/>
            <w:vAlign w:val="center"/>
          </w:tcPr>
          <w:p w14:paraId="7EB8D7B3">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22709.94</w:t>
            </w:r>
          </w:p>
        </w:tc>
        <w:tc>
          <w:tcPr>
            <w:tcW w:w="713" w:type="pct"/>
          </w:tcPr>
          <w:p w14:paraId="1437EE7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w:t>
            </w:r>
          </w:p>
        </w:tc>
      </w:tr>
      <w:tr w14:paraId="2CE3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85" w:type="pct"/>
            <w:vMerge w:val="restart"/>
            <w:vAlign w:val="center"/>
          </w:tcPr>
          <w:p w14:paraId="307E259D">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7275BF2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98.27-98.36</w:t>
            </w:r>
          </w:p>
        </w:tc>
        <w:tc>
          <w:tcPr>
            <w:tcW w:w="681" w:type="pct"/>
            <w:vAlign w:val="center"/>
          </w:tcPr>
          <w:p w14:paraId="2A32B06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80</w:t>
            </w:r>
          </w:p>
        </w:tc>
        <w:tc>
          <w:tcPr>
            <w:tcW w:w="1559" w:type="pct"/>
            <w:vAlign w:val="center"/>
          </w:tcPr>
          <w:p w14:paraId="75A54D1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7867.72</w:t>
            </w:r>
          </w:p>
        </w:tc>
        <w:tc>
          <w:tcPr>
            <w:tcW w:w="713" w:type="pct"/>
          </w:tcPr>
          <w:p w14:paraId="618B024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北</w:t>
            </w:r>
          </w:p>
        </w:tc>
      </w:tr>
      <w:tr w14:paraId="1032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CF82A83">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4783B44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94.39-110.57</w:t>
            </w:r>
          </w:p>
        </w:tc>
        <w:tc>
          <w:tcPr>
            <w:tcW w:w="681" w:type="pct"/>
            <w:vAlign w:val="center"/>
          </w:tcPr>
          <w:p w14:paraId="22A8466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501</w:t>
            </w:r>
          </w:p>
        </w:tc>
        <w:tc>
          <w:tcPr>
            <w:tcW w:w="1559" w:type="pct"/>
            <w:vAlign w:val="center"/>
          </w:tcPr>
          <w:p w14:paraId="2CA2079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52828.51</w:t>
            </w:r>
          </w:p>
        </w:tc>
        <w:tc>
          <w:tcPr>
            <w:tcW w:w="713" w:type="pct"/>
          </w:tcPr>
          <w:p w14:paraId="5F09A602">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南北</w:t>
            </w:r>
          </w:p>
        </w:tc>
      </w:tr>
      <w:tr w14:paraId="2EA5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F773940">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BDC552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91.83-92.52</w:t>
            </w:r>
          </w:p>
        </w:tc>
        <w:tc>
          <w:tcPr>
            <w:tcW w:w="681" w:type="pct"/>
            <w:vAlign w:val="center"/>
          </w:tcPr>
          <w:p w14:paraId="6EBB40E2">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75</w:t>
            </w:r>
          </w:p>
        </w:tc>
        <w:tc>
          <w:tcPr>
            <w:tcW w:w="1559" w:type="pct"/>
            <w:vAlign w:val="center"/>
          </w:tcPr>
          <w:p w14:paraId="20B5132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6922.55</w:t>
            </w:r>
          </w:p>
        </w:tc>
        <w:tc>
          <w:tcPr>
            <w:tcW w:w="713" w:type="pct"/>
          </w:tcPr>
          <w:p w14:paraId="5DAC1B6D">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南</w:t>
            </w:r>
          </w:p>
        </w:tc>
      </w:tr>
      <w:tr w14:paraId="582F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0CCFE8B2">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1F1EB4CE">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656</w:t>
            </w:r>
          </w:p>
        </w:tc>
        <w:tc>
          <w:tcPr>
            <w:tcW w:w="1559" w:type="pct"/>
            <w:vAlign w:val="center"/>
          </w:tcPr>
          <w:p w14:paraId="780B08E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67618.78</w:t>
            </w:r>
          </w:p>
        </w:tc>
        <w:tc>
          <w:tcPr>
            <w:tcW w:w="713" w:type="pct"/>
          </w:tcPr>
          <w:p w14:paraId="5A610CA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w:t>
            </w:r>
          </w:p>
        </w:tc>
      </w:tr>
      <w:tr w14:paraId="0EBE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34B5FD31">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三</w:t>
            </w:r>
            <w:r>
              <w:rPr>
                <w:rFonts w:ascii="华文细黑" w:hAnsi="华文细黑" w:eastAsia="华文细黑" w:cs="Arial"/>
                <w:kern w:val="2"/>
                <w:sz w:val="18"/>
                <w:szCs w:val="18"/>
              </w:rPr>
              <w:t>居</w:t>
            </w:r>
          </w:p>
        </w:tc>
        <w:tc>
          <w:tcPr>
            <w:tcW w:w="1462" w:type="pct"/>
            <w:vAlign w:val="center"/>
          </w:tcPr>
          <w:p w14:paraId="44BF0D4D">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123.14-131.57</w:t>
            </w:r>
          </w:p>
        </w:tc>
        <w:tc>
          <w:tcPr>
            <w:tcW w:w="681" w:type="pct"/>
            <w:vAlign w:val="center"/>
          </w:tcPr>
          <w:p w14:paraId="706E2E4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241</w:t>
            </w:r>
          </w:p>
        </w:tc>
        <w:tc>
          <w:tcPr>
            <w:tcW w:w="1559" w:type="pct"/>
            <w:vAlign w:val="center"/>
          </w:tcPr>
          <w:p w14:paraId="4DF1EB1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31500.6</w:t>
            </w:r>
          </w:p>
        </w:tc>
        <w:tc>
          <w:tcPr>
            <w:tcW w:w="713" w:type="pct"/>
          </w:tcPr>
          <w:p w14:paraId="54D51CC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南北</w:t>
            </w:r>
          </w:p>
        </w:tc>
      </w:tr>
      <w:tr w14:paraId="678C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307BF36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合计</w:t>
            </w:r>
          </w:p>
        </w:tc>
        <w:tc>
          <w:tcPr>
            <w:tcW w:w="681" w:type="pct"/>
            <w:vAlign w:val="center"/>
          </w:tcPr>
          <w:p w14:paraId="1E3496F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1231</w:t>
            </w:r>
          </w:p>
        </w:tc>
        <w:tc>
          <w:tcPr>
            <w:tcW w:w="1559" w:type="pct"/>
            <w:vAlign w:val="center"/>
          </w:tcPr>
          <w:p w14:paraId="629093E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121829.32</w:t>
            </w:r>
          </w:p>
        </w:tc>
        <w:tc>
          <w:tcPr>
            <w:tcW w:w="713" w:type="pct"/>
            <w:vAlign w:val="center"/>
          </w:tcPr>
          <w:p w14:paraId="5F87607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w:t>
            </w:r>
          </w:p>
        </w:tc>
      </w:tr>
    </w:tbl>
    <w:p w14:paraId="0C0AADEF">
      <w:pPr>
        <w:overflowPunct w:val="0"/>
        <w:spacing w:before="240" w:beforeLines="100"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由于估价对象均未进行土地分摊测绘，故本次评估不列示估价对象分摊土地面积。</w:t>
      </w:r>
    </w:p>
    <w:p w14:paraId="10BF7462">
      <w:pPr>
        <w:overflowPunct w:val="0"/>
        <w:spacing w:line="480" w:lineRule="auto"/>
        <w:ind w:firstLine="422" w:firstLineChars="200"/>
        <w:jc w:val="both"/>
        <w:textAlignment w:val="auto"/>
        <w:rPr>
          <w:rFonts w:hint="eastAsia" w:ascii="Arial" w:hAnsi="Arial" w:cs="Arial"/>
          <w:sz w:val="21"/>
          <w:szCs w:val="21"/>
        </w:rPr>
      </w:pPr>
      <w:r>
        <w:rPr>
          <w:rFonts w:ascii="Arial" w:hAnsi="Arial" w:cs="Arial"/>
          <w:b/>
          <w:bCs/>
          <w:sz w:val="21"/>
          <w:szCs w:val="21"/>
        </w:rPr>
        <w:t>价值时点：</w:t>
      </w:r>
      <w:r>
        <w:rPr>
          <w:rFonts w:hint="eastAsia" w:ascii="Arial" w:hAnsi="Arial" w:cs="Arial"/>
          <w:sz w:val="21"/>
          <w:szCs w:val="21"/>
        </w:rPr>
        <w:t>2025年10月1日（</w:t>
      </w:r>
      <w:r>
        <w:rPr>
          <w:rFonts w:ascii="Arial" w:hAnsi="Arial" w:cs="Arial"/>
          <w:sz w:val="21"/>
          <w:szCs w:val="21"/>
        </w:rPr>
        <w:t>根据《估价委托书》确定</w:t>
      </w:r>
      <w:r>
        <w:rPr>
          <w:rFonts w:hint="eastAsia" w:ascii="Arial" w:hAnsi="Arial" w:cs="Arial"/>
          <w:sz w:val="21"/>
          <w:szCs w:val="21"/>
        </w:rPr>
        <w:t>）</w:t>
      </w:r>
    </w:p>
    <w:p w14:paraId="1BE07CD1">
      <w:pPr>
        <w:overflowPunct w:val="0"/>
        <w:spacing w:line="480" w:lineRule="auto"/>
        <w:ind w:firstLine="422" w:firstLineChars="200"/>
        <w:jc w:val="both"/>
        <w:textAlignment w:val="auto"/>
        <w:rPr>
          <w:rFonts w:ascii="Arial" w:hAnsi="Arial" w:cs="Arial"/>
          <w:sz w:val="21"/>
          <w:szCs w:val="21"/>
        </w:rPr>
      </w:pPr>
      <w:r>
        <w:rPr>
          <w:rFonts w:hint="eastAsia" w:ascii="Arial" w:hAnsi="Arial" w:cs="Arial"/>
          <w:b/>
          <w:bCs/>
          <w:sz w:val="21"/>
          <w:szCs w:val="21"/>
        </w:rPr>
        <w:t>估价时段：</w:t>
      </w:r>
      <w:r>
        <w:rPr>
          <w:rFonts w:hint="eastAsia" w:ascii="Arial" w:hAnsi="Arial" w:cs="Arial"/>
          <w:sz w:val="21"/>
          <w:szCs w:val="21"/>
        </w:rPr>
        <w:t>于价值时点2025年10月1日前一年内（2024年10月1日至2025年9月30日）</w:t>
      </w:r>
    </w:p>
    <w:p w14:paraId="0E210DA9">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估价结果中的房地产租金价格是指估价对象在估价时段（2024年10月1日至2025年9月30日）规划利用条件及下述设定条件下的市场平均租金价格：</w:t>
      </w:r>
      <w:r>
        <w:rPr>
          <w:rFonts w:ascii="Arial" w:hAnsi="Arial" w:cs="Arial"/>
          <w:sz w:val="21"/>
          <w:szCs w:val="21"/>
        </w:rPr>
        <w:t xml:space="preserve"> </w:t>
      </w:r>
    </w:p>
    <w:p w14:paraId="2515B48F">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 xml:space="preserve"> </w:t>
      </w:r>
    </w:p>
    <w:p w14:paraId="4CBC9336">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79686078">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3449E457">
      <w:pPr>
        <w:overflowPunct w:val="0"/>
        <w:spacing w:line="480" w:lineRule="auto"/>
        <w:ind w:firstLine="420" w:firstLineChars="200"/>
        <w:jc w:val="both"/>
        <w:textAlignment w:val="auto"/>
        <w:rPr>
          <w:rFonts w:hint="eastAsia"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11C9A41E">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FA9C373">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 xml:space="preserve">同地块、同类型普通住宅房地产于价值时点2025年10月1日前一年内（2024年10月1日至2025年9月30日）平均市场租金水平为： </w:t>
      </w:r>
    </w:p>
    <w:p w14:paraId="2EBC0798">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X13海棠苑：54.53元/平方米·月（货币种类：人民币）</w:t>
      </w:r>
    </w:p>
    <w:p w14:paraId="7E7C0C96">
      <w:pPr>
        <w:overflowPunct w:val="0"/>
        <w:spacing w:line="480" w:lineRule="auto"/>
        <w:ind w:firstLine="1897" w:firstLineChars="900"/>
        <w:textAlignment w:val="auto"/>
        <w:rPr>
          <w:rFonts w:hint="eastAsia" w:ascii="Arial" w:hAnsi="Arial" w:cs="Arial"/>
          <w:b/>
          <w:bCs/>
          <w:sz w:val="21"/>
          <w:szCs w:val="21"/>
        </w:rPr>
      </w:pPr>
      <w:r>
        <w:rPr>
          <w:rFonts w:hint="eastAsia" w:ascii="Arial" w:hAnsi="Arial" w:cs="Arial"/>
          <w:b/>
          <w:bCs/>
          <w:sz w:val="21"/>
          <w:szCs w:val="21"/>
        </w:rPr>
        <w:t>X</w:t>
      </w:r>
      <w:r>
        <w:rPr>
          <w:rFonts w:ascii="Arial" w:hAnsi="Arial" w:cs="Arial"/>
          <w:b/>
          <w:bCs/>
          <w:sz w:val="21"/>
          <w:szCs w:val="21"/>
        </w:rPr>
        <w:t>38</w:t>
      </w:r>
      <w:r>
        <w:rPr>
          <w:rFonts w:hint="eastAsia" w:ascii="Arial" w:hAnsi="Arial" w:cs="Arial"/>
          <w:b/>
          <w:bCs/>
          <w:sz w:val="21"/>
          <w:szCs w:val="21"/>
        </w:rPr>
        <w:t>鹿海园五里：55.18元/平方米·月（货币种类：人民币）</w:t>
      </w:r>
    </w:p>
    <w:p w14:paraId="77FBC36F">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10857DBA">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6C34FA8C">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bookmarkStart w:id="4" w:name="_Hlk104887094"/>
    </w:p>
    <w:bookmarkEnd w:id="4"/>
    <w:p w14:paraId="477CAC9E">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4、估价结果</w:t>
      </w:r>
      <w:r>
        <w:rPr>
          <w:rFonts w:hint="eastAsia" w:ascii="Arial" w:hAnsi="Arial" w:cs="Arial"/>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14F708A3">
      <w:pPr>
        <w:spacing w:line="480" w:lineRule="auto"/>
        <w:jc w:val="both"/>
        <w:rPr>
          <w:rFonts w:hint="eastAsia" w:ascii="Arial" w:hAnsi="Arial" w:cs="Arial"/>
          <w:sz w:val="21"/>
          <w:szCs w:val="21"/>
        </w:rPr>
      </w:pPr>
    </w:p>
    <w:p w14:paraId="64130385">
      <w:pPr>
        <w:spacing w:line="480" w:lineRule="auto"/>
        <w:ind w:firstLine="4200" w:firstLineChars="2000"/>
        <w:jc w:val="both"/>
        <w:rPr>
          <w:rFonts w:ascii="Arial" w:hAnsi="Arial" w:cs="Arial"/>
          <w:sz w:val="21"/>
          <w:szCs w:val="21"/>
        </w:rPr>
      </w:pPr>
      <w:r>
        <w:rPr>
          <w:rFonts w:ascii="Arial" w:hAnsi="Arial" w:cs="Arial"/>
          <w:sz w:val="21"/>
          <w:szCs w:val="21"/>
        </w:rPr>
        <w:t>顺致</w:t>
      </w:r>
    </w:p>
    <w:p w14:paraId="487AE8E5">
      <w:pPr>
        <w:spacing w:line="480" w:lineRule="auto"/>
        <w:ind w:firstLine="4200" w:firstLineChars="2000"/>
        <w:jc w:val="both"/>
        <w:rPr>
          <w:rFonts w:ascii="Arial" w:hAnsi="Arial" w:cs="Arial"/>
          <w:sz w:val="21"/>
          <w:szCs w:val="21"/>
        </w:rPr>
      </w:pPr>
    </w:p>
    <w:p w14:paraId="2E458264">
      <w:pPr>
        <w:spacing w:line="480" w:lineRule="auto"/>
        <w:ind w:firstLine="420" w:firstLineChars="200"/>
        <w:jc w:val="both"/>
        <w:rPr>
          <w:rFonts w:ascii="Arial" w:hAnsi="Arial" w:cs="Arial"/>
          <w:sz w:val="21"/>
          <w:szCs w:val="21"/>
        </w:rPr>
      </w:pPr>
      <w:r>
        <w:rPr>
          <w:rFonts w:ascii="Arial" w:hAnsi="Arial" w:cs="Arial"/>
          <w:sz w:val="21"/>
          <w:szCs w:val="21"/>
        </w:rPr>
        <w:t>商祺</w:t>
      </w:r>
    </w:p>
    <w:p w14:paraId="3BA81111">
      <w:pPr>
        <w:spacing w:line="480" w:lineRule="auto"/>
        <w:jc w:val="both"/>
        <w:rPr>
          <w:rFonts w:hint="eastAsia" w:ascii="Arial" w:hAnsi="Arial" w:cs="Arial"/>
          <w:sz w:val="21"/>
          <w:szCs w:val="21"/>
        </w:rPr>
      </w:pPr>
      <w:r>
        <w:rPr>
          <w:rFonts w:hint="eastAsia" w:ascii="Arial" w:hAnsi="Arial" w:cs="Arial"/>
          <w:sz w:val="21"/>
          <w:szCs w:val="21"/>
        </w:rPr>
        <w:t xml:space="preserve">                                               </w:t>
      </w:r>
    </w:p>
    <w:p w14:paraId="39A391BE">
      <w:pPr>
        <w:spacing w:line="480" w:lineRule="auto"/>
        <w:jc w:val="both"/>
        <w:rPr>
          <w:rFonts w:hint="eastAsia" w:ascii="Arial" w:hAnsi="Arial" w:cs="Arial"/>
          <w:sz w:val="21"/>
          <w:szCs w:val="21"/>
        </w:rPr>
      </w:pPr>
    </w:p>
    <w:p w14:paraId="531AF453">
      <w:pPr>
        <w:spacing w:line="480" w:lineRule="auto"/>
        <w:jc w:val="right"/>
        <w:rPr>
          <w:rFonts w:ascii="Arial" w:hAnsi="Arial" w:cs="Arial"/>
          <w:sz w:val="21"/>
          <w:szCs w:val="21"/>
        </w:rPr>
      </w:pPr>
      <w:r>
        <w:rPr>
          <w:rFonts w:hint="eastAsia" w:ascii="Arial" w:hAnsi="Arial" w:cs="Arial"/>
          <w:sz w:val="21"/>
          <w:szCs w:val="21"/>
        </w:rPr>
        <w:t xml:space="preserve"> </w:t>
      </w:r>
    </w:p>
    <w:tbl>
      <w:tblPr>
        <w:tblStyle w:val="33"/>
        <w:tblW w:w="0" w:type="auto"/>
        <w:tblInd w:w="5920" w:type="dxa"/>
        <w:tblLayout w:type="autofit"/>
        <w:tblCellMar>
          <w:top w:w="0" w:type="dxa"/>
          <w:left w:w="108" w:type="dxa"/>
          <w:bottom w:w="0" w:type="dxa"/>
          <w:right w:w="108" w:type="dxa"/>
        </w:tblCellMar>
      </w:tblPr>
      <w:tblGrid>
        <w:gridCol w:w="3402"/>
      </w:tblGrid>
      <w:tr w14:paraId="6574E73B">
        <w:tblPrEx>
          <w:tblCellMar>
            <w:top w:w="0" w:type="dxa"/>
            <w:left w:w="108" w:type="dxa"/>
            <w:bottom w:w="0" w:type="dxa"/>
            <w:right w:w="108" w:type="dxa"/>
          </w:tblCellMar>
        </w:tblPrEx>
        <w:tc>
          <w:tcPr>
            <w:tcW w:w="3402" w:type="dxa"/>
          </w:tcPr>
          <w:p w14:paraId="4C1BE6DF">
            <w:pPr>
              <w:spacing w:line="480" w:lineRule="auto"/>
              <w:rPr>
                <w:rFonts w:ascii="Arial" w:hAnsi="Arial" w:cs="Arial"/>
                <w:sz w:val="21"/>
                <w:szCs w:val="21"/>
              </w:rPr>
            </w:pPr>
            <w:r>
              <w:rPr>
                <w:rFonts w:ascii="Arial" w:hAnsi="Arial" w:cs="Arial"/>
                <w:sz w:val="21"/>
                <w:szCs w:val="21"/>
              </w:rPr>
              <w:t>北京康正宏基房地产评估有限公司</w:t>
            </w:r>
          </w:p>
        </w:tc>
      </w:tr>
      <w:tr w14:paraId="7BAF8E4C">
        <w:tblPrEx>
          <w:tblCellMar>
            <w:top w:w="0" w:type="dxa"/>
            <w:left w:w="108" w:type="dxa"/>
            <w:bottom w:w="0" w:type="dxa"/>
            <w:right w:w="108" w:type="dxa"/>
          </w:tblCellMar>
        </w:tblPrEx>
        <w:trPr>
          <w:trHeight w:val="1431" w:hRule="atLeast"/>
        </w:trPr>
        <w:tc>
          <w:tcPr>
            <w:tcW w:w="3402" w:type="dxa"/>
          </w:tcPr>
          <w:p w14:paraId="50D7A3B1">
            <w:pPr>
              <w:spacing w:line="480" w:lineRule="auto"/>
              <w:rPr>
                <w:rFonts w:ascii="Arial" w:hAnsi="Arial" w:cs="Arial"/>
                <w:sz w:val="21"/>
                <w:szCs w:val="21"/>
              </w:rPr>
            </w:pPr>
            <w:r>
              <w:rPr>
                <w:rFonts w:ascii="Arial" w:hAnsi="Arial" w:cs="Arial"/>
                <w:sz w:val="21"/>
                <w:szCs w:val="21"/>
              </w:rPr>
              <w:t>法定代表人：</w:t>
            </w:r>
          </w:p>
        </w:tc>
      </w:tr>
      <w:tr w14:paraId="38AEFD0B">
        <w:tblPrEx>
          <w:tblCellMar>
            <w:top w:w="0" w:type="dxa"/>
            <w:left w:w="108" w:type="dxa"/>
            <w:bottom w:w="0" w:type="dxa"/>
            <w:right w:w="108" w:type="dxa"/>
          </w:tblCellMar>
        </w:tblPrEx>
        <w:tc>
          <w:tcPr>
            <w:tcW w:w="3402" w:type="dxa"/>
          </w:tcPr>
          <w:p w14:paraId="18F2E103">
            <w:pPr>
              <w:spacing w:line="480" w:lineRule="auto"/>
              <w:jc w:val="right"/>
              <w:rPr>
                <w:rFonts w:hint="eastAsia" w:ascii="Arial" w:hAnsi="Arial" w:cs="Arial"/>
                <w:sz w:val="21"/>
                <w:szCs w:val="21"/>
              </w:rPr>
            </w:pPr>
            <w:r>
              <w:rPr>
                <w:rFonts w:hint="eastAsia" w:ascii="Arial" w:hAnsi="Arial" w:cs="Arial"/>
                <w:sz w:val="21"/>
                <w:szCs w:val="21"/>
              </w:rPr>
              <w:t>二〇二五年十一月一日</w:t>
            </w:r>
          </w:p>
        </w:tc>
      </w:tr>
    </w:tbl>
    <w:p w14:paraId="2C2E5761">
      <w:pPr>
        <w:spacing w:line="480" w:lineRule="auto"/>
        <w:jc w:val="right"/>
        <w:rPr>
          <w:rFonts w:ascii="Arial" w:hAnsi="Arial" w:cs="Arial"/>
          <w:sz w:val="21"/>
          <w:szCs w:val="21"/>
        </w:rPr>
      </w:pPr>
    </w:p>
    <w:p w14:paraId="08DAE98D">
      <w:pPr>
        <w:spacing w:line="480" w:lineRule="auto"/>
        <w:rPr>
          <w:rFonts w:ascii="Arial" w:hAnsi="Arial" w:cs="Arial"/>
          <w:color w:val="E36C0A"/>
          <w:sz w:val="21"/>
          <w:szCs w:val="21"/>
        </w:rPr>
        <w:sectPr>
          <w:headerReference r:id="rId11" w:type="default"/>
          <w:pgSz w:w="11907" w:h="16840"/>
          <w:pgMar w:top="1843" w:right="1134" w:bottom="1134" w:left="1134" w:header="1134" w:footer="907" w:gutter="340"/>
          <w:pgNumType w:start="1"/>
          <w:cols w:space="720" w:num="1"/>
          <w:docGrid w:linePitch="326" w:charSpace="0"/>
        </w:sectPr>
      </w:pPr>
    </w:p>
    <w:p w14:paraId="513E7A5F">
      <w:pPr>
        <w:spacing w:line="480" w:lineRule="auto"/>
        <w:jc w:val="center"/>
        <w:outlineLvl w:val="0"/>
        <w:rPr>
          <w:rFonts w:hint="eastAsia" w:ascii="Arial" w:hAnsi="Arial" w:eastAsia="方正黑体简体" w:cs="Arial"/>
          <w:sz w:val="32"/>
          <w:szCs w:val="32"/>
        </w:rPr>
      </w:pPr>
      <w:r>
        <w:rPr>
          <w:rFonts w:hint="eastAsia" w:ascii="Arial" w:hAnsi="Arial" w:eastAsia="方正黑体简体" w:cs="Arial"/>
          <w:sz w:val="32"/>
          <w:szCs w:val="32"/>
        </w:rPr>
        <w:t>目   录</w:t>
      </w:r>
    </w:p>
    <w:p w14:paraId="64E97889">
      <w:pPr>
        <w:pStyle w:val="23"/>
        <w:tabs>
          <w:tab w:val="right" w:leader="dot" w:pos="9299"/>
          <w:tab w:val="clear" w:pos="9072"/>
        </w:tabs>
        <w:rPr>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"_Toc22020" </w:instrText>
      </w:r>
      <w:r>
        <w:fldChar w:fldCharType="separate"/>
      </w:r>
      <w:r>
        <w:rPr>
          <w:rFonts w:eastAsia="方正黑体简体"/>
          <w:kern w:val="2"/>
          <w:sz w:val="24"/>
          <w:szCs w:val="24"/>
        </w:rPr>
        <w:t>致估价委托人函</w:t>
      </w:r>
      <w:r>
        <w:rPr>
          <w:sz w:val="24"/>
          <w:szCs w:val="24"/>
        </w:rPr>
        <w:tab/>
      </w:r>
      <w:r>
        <w:rPr>
          <w:sz w:val="24"/>
          <w:szCs w:val="24"/>
        </w:rPr>
        <w:fldChar w:fldCharType="begin"/>
      </w:r>
      <w:r>
        <w:rPr>
          <w:sz w:val="24"/>
          <w:szCs w:val="24"/>
        </w:rPr>
        <w:instrText xml:space="preserve"> PAGEREF _Toc22020 \h </w:instrText>
      </w:r>
      <w:r>
        <w:rPr>
          <w:sz w:val="24"/>
          <w:szCs w:val="24"/>
        </w:rPr>
        <w:fldChar w:fldCharType="separate"/>
      </w:r>
      <w:r>
        <w:rPr>
          <w:sz w:val="24"/>
          <w:szCs w:val="24"/>
        </w:rPr>
        <w:t>1</w:t>
      </w:r>
      <w:r>
        <w:rPr>
          <w:sz w:val="24"/>
          <w:szCs w:val="24"/>
        </w:rPr>
        <w:fldChar w:fldCharType="end"/>
      </w:r>
      <w:r>
        <w:rPr>
          <w:sz w:val="24"/>
          <w:szCs w:val="24"/>
        </w:rPr>
        <w:fldChar w:fldCharType="end"/>
      </w:r>
    </w:p>
    <w:p w14:paraId="6BC1FA6E">
      <w:pPr>
        <w:pStyle w:val="23"/>
        <w:tabs>
          <w:tab w:val="right" w:leader="dot" w:pos="9299"/>
          <w:tab w:val="clear" w:pos="9072"/>
        </w:tabs>
        <w:rPr>
          <w:sz w:val="24"/>
          <w:szCs w:val="24"/>
        </w:rPr>
      </w:pPr>
      <w:r>
        <w:fldChar w:fldCharType="begin"/>
      </w:r>
      <w:r>
        <w:instrText xml:space="preserve"> HYPERLINK \l "_Toc20279" </w:instrText>
      </w:r>
      <w:r>
        <w:fldChar w:fldCharType="separate"/>
      </w:r>
      <w:r>
        <w:rPr>
          <w:rFonts w:hint="eastAsia" w:eastAsia="方正黑体简体"/>
          <w:kern w:val="2"/>
          <w:sz w:val="24"/>
          <w:szCs w:val="24"/>
        </w:rPr>
        <w:t>估价师声明</w:t>
      </w:r>
      <w:r>
        <w:rPr>
          <w:sz w:val="24"/>
          <w:szCs w:val="24"/>
        </w:rPr>
        <w:tab/>
      </w:r>
      <w:r>
        <w:rPr>
          <w:sz w:val="24"/>
          <w:szCs w:val="24"/>
        </w:rPr>
        <w:fldChar w:fldCharType="begin"/>
      </w:r>
      <w:r>
        <w:rPr>
          <w:sz w:val="24"/>
          <w:szCs w:val="24"/>
        </w:rPr>
        <w:instrText xml:space="preserve"> PAGEREF _Toc20279 \h </w:instrText>
      </w:r>
      <w:r>
        <w:rPr>
          <w:sz w:val="24"/>
          <w:szCs w:val="24"/>
        </w:rPr>
        <w:fldChar w:fldCharType="separate"/>
      </w:r>
      <w:r>
        <w:rPr>
          <w:sz w:val="24"/>
          <w:szCs w:val="24"/>
        </w:rPr>
        <w:t>6</w:t>
      </w:r>
      <w:r>
        <w:rPr>
          <w:sz w:val="24"/>
          <w:szCs w:val="24"/>
        </w:rPr>
        <w:fldChar w:fldCharType="end"/>
      </w:r>
      <w:r>
        <w:rPr>
          <w:sz w:val="24"/>
          <w:szCs w:val="24"/>
        </w:rPr>
        <w:fldChar w:fldCharType="end"/>
      </w:r>
    </w:p>
    <w:p w14:paraId="0BB145ED">
      <w:pPr>
        <w:pStyle w:val="23"/>
        <w:tabs>
          <w:tab w:val="right" w:leader="dot" w:pos="9299"/>
          <w:tab w:val="clear" w:pos="9072"/>
        </w:tabs>
        <w:rPr>
          <w:sz w:val="24"/>
          <w:szCs w:val="24"/>
        </w:rPr>
      </w:pPr>
      <w:r>
        <w:fldChar w:fldCharType="begin"/>
      </w:r>
      <w:r>
        <w:instrText xml:space="preserve"> HYPERLINK \l "_Toc19765" </w:instrText>
      </w:r>
      <w:r>
        <w:fldChar w:fldCharType="separate"/>
      </w:r>
      <w:r>
        <w:rPr>
          <w:rFonts w:hint="eastAsia" w:eastAsia="方正黑体简体"/>
          <w:kern w:val="2"/>
          <w:sz w:val="24"/>
          <w:szCs w:val="24"/>
        </w:rPr>
        <w:t>估价假设和限制条件</w:t>
      </w:r>
      <w:r>
        <w:rPr>
          <w:sz w:val="24"/>
          <w:szCs w:val="24"/>
        </w:rPr>
        <w:tab/>
      </w:r>
      <w:r>
        <w:rPr>
          <w:sz w:val="24"/>
          <w:szCs w:val="24"/>
        </w:rPr>
        <w:fldChar w:fldCharType="begin"/>
      </w:r>
      <w:r>
        <w:rPr>
          <w:sz w:val="24"/>
          <w:szCs w:val="24"/>
        </w:rPr>
        <w:instrText xml:space="preserve"> PAGEREF _Toc19765 \h </w:instrText>
      </w:r>
      <w:r>
        <w:rPr>
          <w:sz w:val="24"/>
          <w:szCs w:val="24"/>
        </w:rPr>
        <w:fldChar w:fldCharType="separate"/>
      </w:r>
      <w:r>
        <w:rPr>
          <w:sz w:val="24"/>
          <w:szCs w:val="24"/>
        </w:rPr>
        <w:t>7</w:t>
      </w:r>
      <w:r>
        <w:rPr>
          <w:sz w:val="24"/>
          <w:szCs w:val="24"/>
        </w:rPr>
        <w:fldChar w:fldCharType="end"/>
      </w:r>
      <w:r>
        <w:rPr>
          <w:sz w:val="24"/>
          <w:szCs w:val="24"/>
        </w:rPr>
        <w:fldChar w:fldCharType="end"/>
      </w:r>
    </w:p>
    <w:p w14:paraId="2AD4413B">
      <w:pPr>
        <w:pStyle w:val="23"/>
        <w:tabs>
          <w:tab w:val="right" w:leader="dot" w:pos="9299"/>
          <w:tab w:val="clear" w:pos="9072"/>
        </w:tabs>
      </w:pPr>
      <w:r>
        <w:fldChar w:fldCharType="begin"/>
      </w:r>
      <w:r>
        <w:instrText xml:space="preserve"> HYPERLINK \l "_Toc16935" </w:instrText>
      </w:r>
      <w:r>
        <w:fldChar w:fldCharType="separate"/>
      </w:r>
      <w:r>
        <w:rPr>
          <w:rFonts w:hint="eastAsia" w:eastAsia="方正黑体简体"/>
          <w:kern w:val="2"/>
          <w:sz w:val="24"/>
          <w:szCs w:val="24"/>
        </w:rPr>
        <w:t>估价结果报告</w:t>
      </w:r>
      <w:r>
        <w:rPr>
          <w:sz w:val="24"/>
          <w:szCs w:val="24"/>
        </w:rPr>
        <w:tab/>
      </w:r>
      <w:r>
        <w:rPr>
          <w:sz w:val="24"/>
          <w:szCs w:val="24"/>
        </w:rPr>
        <w:fldChar w:fldCharType="begin"/>
      </w:r>
      <w:r>
        <w:rPr>
          <w:sz w:val="24"/>
          <w:szCs w:val="24"/>
        </w:rPr>
        <w:instrText xml:space="preserve"> PAGEREF _Toc16935 \h </w:instrText>
      </w:r>
      <w:r>
        <w:rPr>
          <w:sz w:val="24"/>
          <w:szCs w:val="24"/>
        </w:rPr>
        <w:fldChar w:fldCharType="separate"/>
      </w:r>
      <w:r>
        <w:rPr>
          <w:sz w:val="24"/>
          <w:szCs w:val="24"/>
        </w:rPr>
        <w:t>10</w:t>
      </w:r>
      <w:r>
        <w:rPr>
          <w:sz w:val="24"/>
          <w:szCs w:val="24"/>
        </w:rPr>
        <w:fldChar w:fldCharType="end"/>
      </w:r>
      <w:r>
        <w:rPr>
          <w:sz w:val="24"/>
          <w:szCs w:val="24"/>
        </w:rPr>
        <w:fldChar w:fldCharType="end"/>
      </w:r>
    </w:p>
    <w:p w14:paraId="2BD74DC0">
      <w:pPr>
        <w:pStyle w:val="27"/>
        <w:tabs>
          <w:tab w:val="right" w:leader="dot" w:pos="9299"/>
          <w:tab w:val="clear" w:pos="9072"/>
        </w:tabs>
        <w:rPr>
          <w:sz w:val="22"/>
          <w:szCs w:val="18"/>
        </w:rPr>
      </w:pPr>
      <w:r>
        <w:fldChar w:fldCharType="begin"/>
      </w:r>
      <w:r>
        <w:instrText xml:space="preserve"> HYPERLINK \l "_Toc21377" </w:instrText>
      </w:r>
      <w:r>
        <w:fldChar w:fldCharType="separate"/>
      </w:r>
      <w:r>
        <w:rPr>
          <w:rFonts w:eastAsia="宋体"/>
          <w:kern w:val="2"/>
          <w:sz w:val="22"/>
        </w:rPr>
        <w:t>一、估价委托人</w:t>
      </w:r>
      <w:r>
        <w:rPr>
          <w:sz w:val="22"/>
          <w:szCs w:val="18"/>
        </w:rPr>
        <w:tab/>
      </w:r>
      <w:r>
        <w:rPr>
          <w:sz w:val="22"/>
          <w:szCs w:val="18"/>
        </w:rPr>
        <w:fldChar w:fldCharType="begin"/>
      </w:r>
      <w:r>
        <w:rPr>
          <w:sz w:val="22"/>
          <w:szCs w:val="18"/>
        </w:rPr>
        <w:instrText xml:space="preserve"> PAGEREF _Toc21377 \h </w:instrText>
      </w:r>
      <w:r>
        <w:rPr>
          <w:sz w:val="22"/>
          <w:szCs w:val="18"/>
        </w:rPr>
        <w:fldChar w:fldCharType="separate"/>
      </w:r>
      <w:r>
        <w:rPr>
          <w:sz w:val="22"/>
          <w:szCs w:val="18"/>
        </w:rPr>
        <w:t>10</w:t>
      </w:r>
      <w:r>
        <w:rPr>
          <w:sz w:val="22"/>
          <w:szCs w:val="18"/>
        </w:rPr>
        <w:fldChar w:fldCharType="end"/>
      </w:r>
      <w:r>
        <w:rPr>
          <w:sz w:val="22"/>
          <w:szCs w:val="18"/>
        </w:rPr>
        <w:fldChar w:fldCharType="end"/>
      </w:r>
    </w:p>
    <w:p w14:paraId="7DCE8601">
      <w:pPr>
        <w:pStyle w:val="27"/>
        <w:tabs>
          <w:tab w:val="right" w:leader="dot" w:pos="9299"/>
          <w:tab w:val="clear" w:pos="9072"/>
        </w:tabs>
        <w:rPr>
          <w:sz w:val="22"/>
          <w:szCs w:val="18"/>
        </w:rPr>
      </w:pPr>
      <w:r>
        <w:fldChar w:fldCharType="begin"/>
      </w:r>
      <w:r>
        <w:instrText xml:space="preserve"> HYPERLINK \l "_Toc22547" </w:instrText>
      </w:r>
      <w:r>
        <w:fldChar w:fldCharType="separate"/>
      </w:r>
      <w:r>
        <w:rPr>
          <w:rFonts w:eastAsia="宋体"/>
          <w:kern w:val="2"/>
          <w:sz w:val="22"/>
        </w:rPr>
        <w:t>二、房地产估价机构</w:t>
      </w:r>
      <w:r>
        <w:rPr>
          <w:sz w:val="22"/>
          <w:szCs w:val="18"/>
        </w:rPr>
        <w:tab/>
      </w:r>
      <w:r>
        <w:rPr>
          <w:sz w:val="22"/>
          <w:szCs w:val="18"/>
        </w:rPr>
        <w:fldChar w:fldCharType="begin"/>
      </w:r>
      <w:r>
        <w:rPr>
          <w:sz w:val="22"/>
          <w:szCs w:val="18"/>
        </w:rPr>
        <w:instrText xml:space="preserve"> PAGEREF _Toc22547 \h </w:instrText>
      </w:r>
      <w:r>
        <w:rPr>
          <w:sz w:val="22"/>
          <w:szCs w:val="18"/>
        </w:rPr>
        <w:fldChar w:fldCharType="separate"/>
      </w:r>
      <w:r>
        <w:rPr>
          <w:sz w:val="22"/>
          <w:szCs w:val="18"/>
        </w:rPr>
        <w:t>10</w:t>
      </w:r>
      <w:r>
        <w:rPr>
          <w:sz w:val="22"/>
          <w:szCs w:val="18"/>
        </w:rPr>
        <w:fldChar w:fldCharType="end"/>
      </w:r>
      <w:r>
        <w:rPr>
          <w:sz w:val="22"/>
          <w:szCs w:val="18"/>
        </w:rPr>
        <w:fldChar w:fldCharType="end"/>
      </w:r>
    </w:p>
    <w:p w14:paraId="76F7CA99">
      <w:pPr>
        <w:pStyle w:val="27"/>
        <w:tabs>
          <w:tab w:val="right" w:leader="dot" w:pos="9299"/>
          <w:tab w:val="clear" w:pos="9072"/>
        </w:tabs>
        <w:rPr>
          <w:sz w:val="22"/>
          <w:szCs w:val="18"/>
        </w:rPr>
      </w:pPr>
      <w:r>
        <w:fldChar w:fldCharType="begin"/>
      </w:r>
      <w:r>
        <w:instrText xml:space="preserve"> HYPERLINK \l "_Toc17650" </w:instrText>
      </w:r>
      <w:r>
        <w:fldChar w:fldCharType="separate"/>
      </w:r>
      <w:r>
        <w:rPr>
          <w:rFonts w:eastAsia="宋体"/>
          <w:kern w:val="2"/>
          <w:sz w:val="22"/>
        </w:rPr>
        <w:t>三、估价目的</w:t>
      </w:r>
      <w:r>
        <w:rPr>
          <w:sz w:val="22"/>
          <w:szCs w:val="18"/>
        </w:rPr>
        <w:tab/>
      </w:r>
      <w:r>
        <w:rPr>
          <w:sz w:val="22"/>
          <w:szCs w:val="18"/>
        </w:rPr>
        <w:fldChar w:fldCharType="begin"/>
      </w:r>
      <w:r>
        <w:rPr>
          <w:sz w:val="22"/>
          <w:szCs w:val="18"/>
        </w:rPr>
        <w:instrText xml:space="preserve"> PAGEREF _Toc17650 \h </w:instrText>
      </w:r>
      <w:r>
        <w:rPr>
          <w:sz w:val="22"/>
          <w:szCs w:val="18"/>
        </w:rPr>
        <w:fldChar w:fldCharType="separate"/>
      </w:r>
      <w:r>
        <w:rPr>
          <w:sz w:val="22"/>
          <w:szCs w:val="18"/>
        </w:rPr>
        <w:t>10</w:t>
      </w:r>
      <w:r>
        <w:rPr>
          <w:sz w:val="22"/>
          <w:szCs w:val="18"/>
        </w:rPr>
        <w:fldChar w:fldCharType="end"/>
      </w:r>
      <w:r>
        <w:rPr>
          <w:sz w:val="22"/>
          <w:szCs w:val="18"/>
        </w:rPr>
        <w:fldChar w:fldCharType="end"/>
      </w:r>
    </w:p>
    <w:p w14:paraId="1B2441B3">
      <w:pPr>
        <w:pStyle w:val="27"/>
        <w:tabs>
          <w:tab w:val="right" w:leader="dot" w:pos="9299"/>
          <w:tab w:val="clear" w:pos="9072"/>
        </w:tabs>
        <w:rPr>
          <w:sz w:val="22"/>
          <w:szCs w:val="18"/>
        </w:rPr>
      </w:pPr>
      <w:r>
        <w:fldChar w:fldCharType="begin"/>
      </w:r>
      <w:r>
        <w:instrText xml:space="preserve"> HYPERLINK \l "_Toc24901" </w:instrText>
      </w:r>
      <w:r>
        <w:fldChar w:fldCharType="separate"/>
      </w:r>
      <w:r>
        <w:rPr>
          <w:rFonts w:eastAsia="宋体"/>
          <w:kern w:val="2"/>
          <w:sz w:val="22"/>
        </w:rPr>
        <w:t>四、估价对象</w:t>
      </w:r>
      <w:r>
        <w:rPr>
          <w:sz w:val="22"/>
          <w:szCs w:val="18"/>
        </w:rPr>
        <w:tab/>
      </w:r>
      <w:r>
        <w:rPr>
          <w:sz w:val="22"/>
          <w:szCs w:val="18"/>
        </w:rPr>
        <w:fldChar w:fldCharType="begin"/>
      </w:r>
      <w:r>
        <w:rPr>
          <w:sz w:val="22"/>
          <w:szCs w:val="18"/>
        </w:rPr>
        <w:instrText xml:space="preserve"> PAGEREF _Toc24901 \h </w:instrText>
      </w:r>
      <w:r>
        <w:rPr>
          <w:sz w:val="22"/>
          <w:szCs w:val="18"/>
        </w:rPr>
        <w:fldChar w:fldCharType="separate"/>
      </w:r>
      <w:r>
        <w:rPr>
          <w:sz w:val="22"/>
          <w:szCs w:val="18"/>
        </w:rPr>
        <w:t>10</w:t>
      </w:r>
      <w:r>
        <w:rPr>
          <w:sz w:val="22"/>
          <w:szCs w:val="18"/>
        </w:rPr>
        <w:fldChar w:fldCharType="end"/>
      </w:r>
      <w:r>
        <w:rPr>
          <w:sz w:val="22"/>
          <w:szCs w:val="18"/>
        </w:rPr>
        <w:fldChar w:fldCharType="end"/>
      </w:r>
    </w:p>
    <w:p w14:paraId="58F93C14">
      <w:pPr>
        <w:pStyle w:val="27"/>
        <w:tabs>
          <w:tab w:val="right" w:leader="dot" w:pos="9299"/>
          <w:tab w:val="clear" w:pos="9072"/>
        </w:tabs>
        <w:rPr>
          <w:sz w:val="22"/>
          <w:szCs w:val="18"/>
        </w:rPr>
      </w:pPr>
      <w:r>
        <w:fldChar w:fldCharType="begin"/>
      </w:r>
      <w:r>
        <w:instrText xml:space="preserve"> HYPERLINK \l "_Toc11111" </w:instrText>
      </w:r>
      <w:r>
        <w:fldChar w:fldCharType="separate"/>
      </w:r>
      <w:r>
        <w:rPr>
          <w:rFonts w:eastAsia="宋体"/>
          <w:kern w:val="2"/>
          <w:sz w:val="22"/>
        </w:rPr>
        <w:t>五、价值时点</w:t>
      </w:r>
      <w:r>
        <w:rPr>
          <w:sz w:val="22"/>
          <w:szCs w:val="18"/>
        </w:rPr>
        <w:tab/>
      </w:r>
      <w:r>
        <w:rPr>
          <w:sz w:val="22"/>
          <w:szCs w:val="18"/>
        </w:rPr>
        <w:fldChar w:fldCharType="begin"/>
      </w:r>
      <w:r>
        <w:rPr>
          <w:sz w:val="22"/>
          <w:szCs w:val="18"/>
        </w:rPr>
        <w:instrText xml:space="preserve"> PAGEREF _Toc11111 \h </w:instrText>
      </w:r>
      <w:r>
        <w:rPr>
          <w:sz w:val="22"/>
          <w:szCs w:val="18"/>
        </w:rPr>
        <w:fldChar w:fldCharType="separate"/>
      </w:r>
      <w:r>
        <w:rPr>
          <w:sz w:val="22"/>
          <w:szCs w:val="18"/>
        </w:rPr>
        <w:t>14</w:t>
      </w:r>
      <w:r>
        <w:rPr>
          <w:sz w:val="22"/>
          <w:szCs w:val="18"/>
        </w:rPr>
        <w:fldChar w:fldCharType="end"/>
      </w:r>
      <w:r>
        <w:rPr>
          <w:sz w:val="22"/>
          <w:szCs w:val="18"/>
        </w:rPr>
        <w:fldChar w:fldCharType="end"/>
      </w:r>
    </w:p>
    <w:p w14:paraId="6C82B31D">
      <w:pPr>
        <w:pStyle w:val="27"/>
        <w:tabs>
          <w:tab w:val="right" w:leader="dot" w:pos="9299"/>
          <w:tab w:val="clear" w:pos="9072"/>
        </w:tabs>
        <w:rPr>
          <w:sz w:val="22"/>
          <w:szCs w:val="18"/>
        </w:rPr>
      </w:pPr>
      <w:r>
        <w:fldChar w:fldCharType="begin"/>
      </w:r>
      <w:r>
        <w:instrText xml:space="preserve"> HYPERLINK \l "_Toc22494" </w:instrText>
      </w:r>
      <w:r>
        <w:fldChar w:fldCharType="separate"/>
      </w:r>
      <w:r>
        <w:rPr>
          <w:rFonts w:ascii="Arial" w:hAnsi="Arial" w:eastAsia="宋体;SimSun" w:cs="Arial"/>
          <w:bCs/>
          <w:kern w:val="2"/>
          <w:sz w:val="22"/>
        </w:rPr>
        <w:t>六、价值类型</w:t>
      </w:r>
      <w:r>
        <w:rPr>
          <w:sz w:val="22"/>
          <w:szCs w:val="18"/>
        </w:rPr>
        <w:tab/>
      </w:r>
      <w:r>
        <w:rPr>
          <w:sz w:val="22"/>
          <w:szCs w:val="18"/>
        </w:rPr>
        <w:fldChar w:fldCharType="begin"/>
      </w:r>
      <w:r>
        <w:rPr>
          <w:sz w:val="22"/>
          <w:szCs w:val="18"/>
        </w:rPr>
        <w:instrText xml:space="preserve"> PAGEREF _Toc22494 \h </w:instrText>
      </w:r>
      <w:r>
        <w:rPr>
          <w:sz w:val="22"/>
          <w:szCs w:val="18"/>
        </w:rPr>
        <w:fldChar w:fldCharType="separate"/>
      </w:r>
      <w:r>
        <w:rPr>
          <w:sz w:val="22"/>
          <w:szCs w:val="18"/>
        </w:rPr>
        <w:t>14</w:t>
      </w:r>
      <w:r>
        <w:rPr>
          <w:sz w:val="22"/>
          <w:szCs w:val="18"/>
        </w:rPr>
        <w:fldChar w:fldCharType="end"/>
      </w:r>
      <w:r>
        <w:rPr>
          <w:sz w:val="22"/>
          <w:szCs w:val="18"/>
        </w:rPr>
        <w:fldChar w:fldCharType="end"/>
      </w:r>
    </w:p>
    <w:p w14:paraId="6D1E564B">
      <w:pPr>
        <w:pStyle w:val="27"/>
        <w:tabs>
          <w:tab w:val="right" w:leader="dot" w:pos="9299"/>
          <w:tab w:val="clear" w:pos="9072"/>
        </w:tabs>
        <w:rPr>
          <w:sz w:val="22"/>
          <w:szCs w:val="18"/>
        </w:rPr>
      </w:pPr>
      <w:r>
        <w:fldChar w:fldCharType="begin"/>
      </w:r>
      <w:r>
        <w:instrText xml:space="preserve"> HYPERLINK \l "_Toc14680" </w:instrText>
      </w:r>
      <w:r>
        <w:fldChar w:fldCharType="separate"/>
      </w:r>
      <w:r>
        <w:rPr>
          <w:rFonts w:hint="eastAsia" w:ascii="Arial" w:hAnsi="Arial" w:eastAsia="宋体;SimSun" w:cs="Arial"/>
          <w:bCs/>
          <w:kern w:val="2"/>
          <w:sz w:val="22"/>
        </w:rPr>
        <w:t>（一）价值类型</w:t>
      </w:r>
      <w:r>
        <w:rPr>
          <w:sz w:val="22"/>
          <w:szCs w:val="18"/>
        </w:rPr>
        <w:tab/>
      </w:r>
      <w:r>
        <w:rPr>
          <w:sz w:val="22"/>
          <w:szCs w:val="18"/>
        </w:rPr>
        <w:fldChar w:fldCharType="begin"/>
      </w:r>
      <w:r>
        <w:rPr>
          <w:sz w:val="22"/>
          <w:szCs w:val="18"/>
        </w:rPr>
        <w:instrText xml:space="preserve"> PAGEREF _Toc14680 \h </w:instrText>
      </w:r>
      <w:r>
        <w:rPr>
          <w:sz w:val="22"/>
          <w:szCs w:val="18"/>
        </w:rPr>
        <w:fldChar w:fldCharType="separate"/>
      </w:r>
      <w:r>
        <w:rPr>
          <w:sz w:val="22"/>
          <w:szCs w:val="18"/>
        </w:rPr>
        <w:t>14</w:t>
      </w:r>
      <w:r>
        <w:rPr>
          <w:sz w:val="22"/>
          <w:szCs w:val="18"/>
        </w:rPr>
        <w:fldChar w:fldCharType="end"/>
      </w:r>
      <w:r>
        <w:rPr>
          <w:sz w:val="22"/>
          <w:szCs w:val="18"/>
        </w:rPr>
        <w:fldChar w:fldCharType="end"/>
      </w:r>
    </w:p>
    <w:p w14:paraId="3FE177B4">
      <w:pPr>
        <w:pStyle w:val="27"/>
        <w:tabs>
          <w:tab w:val="right" w:leader="dot" w:pos="9299"/>
          <w:tab w:val="clear" w:pos="9072"/>
        </w:tabs>
        <w:rPr>
          <w:sz w:val="22"/>
          <w:szCs w:val="18"/>
        </w:rPr>
      </w:pPr>
      <w:r>
        <w:fldChar w:fldCharType="begin"/>
      </w:r>
      <w:r>
        <w:instrText xml:space="preserve"> HYPERLINK \l "_Toc2558" </w:instrText>
      </w:r>
      <w:r>
        <w:fldChar w:fldCharType="separate"/>
      </w:r>
      <w:r>
        <w:rPr>
          <w:rFonts w:eastAsia="宋体"/>
          <w:kern w:val="2"/>
          <w:sz w:val="22"/>
        </w:rPr>
        <w:t>七、估价原则</w:t>
      </w:r>
      <w:r>
        <w:rPr>
          <w:sz w:val="22"/>
          <w:szCs w:val="18"/>
        </w:rPr>
        <w:tab/>
      </w:r>
      <w:r>
        <w:rPr>
          <w:sz w:val="22"/>
          <w:szCs w:val="18"/>
        </w:rPr>
        <w:fldChar w:fldCharType="begin"/>
      </w:r>
      <w:r>
        <w:rPr>
          <w:sz w:val="22"/>
          <w:szCs w:val="18"/>
        </w:rPr>
        <w:instrText xml:space="preserve"> PAGEREF _Toc2558 \h </w:instrText>
      </w:r>
      <w:r>
        <w:rPr>
          <w:sz w:val="22"/>
          <w:szCs w:val="18"/>
        </w:rPr>
        <w:fldChar w:fldCharType="separate"/>
      </w:r>
      <w:r>
        <w:rPr>
          <w:sz w:val="22"/>
          <w:szCs w:val="18"/>
        </w:rPr>
        <w:t>15</w:t>
      </w:r>
      <w:r>
        <w:rPr>
          <w:sz w:val="22"/>
          <w:szCs w:val="18"/>
        </w:rPr>
        <w:fldChar w:fldCharType="end"/>
      </w:r>
      <w:r>
        <w:rPr>
          <w:sz w:val="22"/>
          <w:szCs w:val="18"/>
        </w:rPr>
        <w:fldChar w:fldCharType="end"/>
      </w:r>
    </w:p>
    <w:p w14:paraId="47BA02FE">
      <w:pPr>
        <w:pStyle w:val="27"/>
        <w:tabs>
          <w:tab w:val="right" w:leader="dot" w:pos="9299"/>
          <w:tab w:val="clear" w:pos="9072"/>
        </w:tabs>
        <w:rPr>
          <w:sz w:val="22"/>
          <w:szCs w:val="18"/>
        </w:rPr>
      </w:pPr>
      <w:r>
        <w:fldChar w:fldCharType="begin"/>
      </w:r>
      <w:r>
        <w:instrText xml:space="preserve"> HYPERLINK \l "_Toc31679" </w:instrText>
      </w:r>
      <w:r>
        <w:fldChar w:fldCharType="separate"/>
      </w:r>
      <w:r>
        <w:rPr>
          <w:rFonts w:eastAsia="宋体"/>
          <w:kern w:val="2"/>
          <w:sz w:val="22"/>
        </w:rPr>
        <w:t>八、估价依据</w:t>
      </w:r>
      <w:r>
        <w:rPr>
          <w:sz w:val="22"/>
          <w:szCs w:val="18"/>
        </w:rPr>
        <w:tab/>
      </w:r>
      <w:r>
        <w:rPr>
          <w:sz w:val="22"/>
          <w:szCs w:val="18"/>
        </w:rPr>
        <w:fldChar w:fldCharType="begin"/>
      </w:r>
      <w:r>
        <w:rPr>
          <w:sz w:val="22"/>
          <w:szCs w:val="18"/>
        </w:rPr>
        <w:instrText xml:space="preserve"> PAGEREF _Toc31679 \h </w:instrText>
      </w:r>
      <w:r>
        <w:rPr>
          <w:sz w:val="22"/>
          <w:szCs w:val="18"/>
        </w:rPr>
        <w:fldChar w:fldCharType="separate"/>
      </w:r>
      <w:r>
        <w:rPr>
          <w:sz w:val="22"/>
          <w:szCs w:val="18"/>
        </w:rPr>
        <w:t>17</w:t>
      </w:r>
      <w:r>
        <w:rPr>
          <w:sz w:val="22"/>
          <w:szCs w:val="18"/>
        </w:rPr>
        <w:fldChar w:fldCharType="end"/>
      </w:r>
      <w:r>
        <w:rPr>
          <w:sz w:val="22"/>
          <w:szCs w:val="18"/>
        </w:rPr>
        <w:fldChar w:fldCharType="end"/>
      </w:r>
    </w:p>
    <w:p w14:paraId="46119281">
      <w:pPr>
        <w:pStyle w:val="27"/>
        <w:tabs>
          <w:tab w:val="right" w:leader="dot" w:pos="9299"/>
          <w:tab w:val="clear" w:pos="9072"/>
        </w:tabs>
        <w:rPr>
          <w:sz w:val="22"/>
          <w:szCs w:val="18"/>
        </w:rPr>
      </w:pPr>
      <w:r>
        <w:fldChar w:fldCharType="begin"/>
      </w:r>
      <w:r>
        <w:instrText xml:space="preserve"> HYPERLINK \l "_Toc29328" </w:instrText>
      </w:r>
      <w:r>
        <w:fldChar w:fldCharType="separate"/>
      </w:r>
      <w:r>
        <w:rPr>
          <w:rFonts w:eastAsia="宋体"/>
          <w:kern w:val="2"/>
          <w:sz w:val="22"/>
        </w:rPr>
        <w:t>九、 估价方法</w:t>
      </w:r>
      <w:r>
        <w:rPr>
          <w:sz w:val="22"/>
          <w:szCs w:val="18"/>
        </w:rPr>
        <w:tab/>
      </w:r>
      <w:r>
        <w:rPr>
          <w:sz w:val="22"/>
          <w:szCs w:val="18"/>
        </w:rPr>
        <w:fldChar w:fldCharType="begin"/>
      </w:r>
      <w:r>
        <w:rPr>
          <w:sz w:val="22"/>
          <w:szCs w:val="18"/>
        </w:rPr>
        <w:instrText xml:space="preserve"> PAGEREF _Toc29328 \h </w:instrText>
      </w:r>
      <w:r>
        <w:rPr>
          <w:sz w:val="22"/>
          <w:szCs w:val="18"/>
        </w:rPr>
        <w:fldChar w:fldCharType="separate"/>
      </w:r>
      <w:r>
        <w:rPr>
          <w:sz w:val="22"/>
          <w:szCs w:val="18"/>
        </w:rPr>
        <w:t>19</w:t>
      </w:r>
      <w:r>
        <w:rPr>
          <w:sz w:val="22"/>
          <w:szCs w:val="18"/>
        </w:rPr>
        <w:fldChar w:fldCharType="end"/>
      </w:r>
      <w:r>
        <w:rPr>
          <w:sz w:val="22"/>
          <w:szCs w:val="18"/>
        </w:rPr>
        <w:fldChar w:fldCharType="end"/>
      </w:r>
    </w:p>
    <w:p w14:paraId="2B2E3C9A">
      <w:pPr>
        <w:pStyle w:val="27"/>
        <w:tabs>
          <w:tab w:val="right" w:leader="dot" w:pos="9299"/>
          <w:tab w:val="clear" w:pos="9072"/>
        </w:tabs>
        <w:rPr>
          <w:sz w:val="22"/>
          <w:szCs w:val="18"/>
        </w:rPr>
      </w:pPr>
      <w:r>
        <w:fldChar w:fldCharType="begin"/>
      </w:r>
      <w:r>
        <w:instrText xml:space="preserve"> HYPERLINK \l "_Toc1105" </w:instrText>
      </w:r>
      <w:r>
        <w:fldChar w:fldCharType="separate"/>
      </w:r>
      <w:r>
        <w:rPr>
          <w:rFonts w:eastAsia="宋体"/>
          <w:kern w:val="2"/>
          <w:sz w:val="22"/>
        </w:rPr>
        <w:t>十、估价结果</w:t>
      </w:r>
      <w:r>
        <w:rPr>
          <w:sz w:val="22"/>
          <w:szCs w:val="18"/>
        </w:rPr>
        <w:tab/>
      </w:r>
      <w:r>
        <w:rPr>
          <w:sz w:val="22"/>
          <w:szCs w:val="18"/>
        </w:rPr>
        <w:fldChar w:fldCharType="begin"/>
      </w:r>
      <w:r>
        <w:rPr>
          <w:sz w:val="22"/>
          <w:szCs w:val="18"/>
        </w:rPr>
        <w:instrText xml:space="preserve"> PAGEREF _Toc1105 \h </w:instrText>
      </w:r>
      <w:r>
        <w:rPr>
          <w:sz w:val="22"/>
          <w:szCs w:val="18"/>
        </w:rPr>
        <w:fldChar w:fldCharType="separate"/>
      </w:r>
      <w:r>
        <w:rPr>
          <w:sz w:val="22"/>
          <w:szCs w:val="18"/>
        </w:rPr>
        <w:t>21</w:t>
      </w:r>
      <w:r>
        <w:rPr>
          <w:sz w:val="22"/>
          <w:szCs w:val="18"/>
        </w:rPr>
        <w:fldChar w:fldCharType="end"/>
      </w:r>
      <w:r>
        <w:rPr>
          <w:sz w:val="22"/>
          <w:szCs w:val="18"/>
        </w:rPr>
        <w:fldChar w:fldCharType="end"/>
      </w:r>
    </w:p>
    <w:p w14:paraId="27D79C57">
      <w:pPr>
        <w:pStyle w:val="27"/>
        <w:tabs>
          <w:tab w:val="right" w:leader="dot" w:pos="9299"/>
          <w:tab w:val="clear" w:pos="9072"/>
        </w:tabs>
        <w:rPr>
          <w:sz w:val="22"/>
          <w:szCs w:val="18"/>
        </w:rPr>
      </w:pPr>
      <w:r>
        <w:fldChar w:fldCharType="begin"/>
      </w:r>
      <w:r>
        <w:instrText xml:space="preserve"> HYPERLINK \l "_Toc7458" </w:instrText>
      </w:r>
      <w:r>
        <w:fldChar w:fldCharType="separate"/>
      </w:r>
      <w:r>
        <w:rPr>
          <w:rFonts w:eastAsia="宋体"/>
          <w:kern w:val="2"/>
          <w:sz w:val="22"/>
        </w:rPr>
        <w:t>十一、参与本次估价工作的</w:t>
      </w:r>
      <w:r>
        <w:rPr>
          <w:rFonts w:hint="eastAsia" w:eastAsia="宋体"/>
          <w:kern w:val="2"/>
          <w:sz w:val="22"/>
        </w:rPr>
        <w:t>评估专业</w:t>
      </w:r>
      <w:r>
        <w:rPr>
          <w:rFonts w:eastAsia="宋体"/>
          <w:kern w:val="2"/>
          <w:sz w:val="22"/>
        </w:rPr>
        <w:t>人员</w:t>
      </w:r>
      <w:r>
        <w:rPr>
          <w:sz w:val="22"/>
          <w:szCs w:val="18"/>
        </w:rPr>
        <w:tab/>
      </w:r>
      <w:r>
        <w:rPr>
          <w:sz w:val="22"/>
          <w:szCs w:val="18"/>
        </w:rPr>
        <w:fldChar w:fldCharType="begin"/>
      </w:r>
      <w:r>
        <w:rPr>
          <w:sz w:val="22"/>
          <w:szCs w:val="18"/>
        </w:rPr>
        <w:instrText xml:space="preserve"> PAGEREF _Toc7458 \h </w:instrText>
      </w:r>
      <w:r>
        <w:rPr>
          <w:sz w:val="22"/>
          <w:szCs w:val="18"/>
        </w:rPr>
        <w:fldChar w:fldCharType="separate"/>
      </w:r>
      <w:r>
        <w:rPr>
          <w:sz w:val="22"/>
          <w:szCs w:val="18"/>
        </w:rPr>
        <w:t>23</w:t>
      </w:r>
      <w:r>
        <w:rPr>
          <w:sz w:val="22"/>
          <w:szCs w:val="18"/>
        </w:rPr>
        <w:fldChar w:fldCharType="end"/>
      </w:r>
      <w:r>
        <w:rPr>
          <w:sz w:val="22"/>
          <w:szCs w:val="18"/>
        </w:rPr>
        <w:fldChar w:fldCharType="end"/>
      </w:r>
    </w:p>
    <w:p w14:paraId="15957885">
      <w:pPr>
        <w:pStyle w:val="27"/>
        <w:tabs>
          <w:tab w:val="right" w:leader="dot" w:pos="9299"/>
          <w:tab w:val="clear" w:pos="9072"/>
        </w:tabs>
        <w:rPr>
          <w:sz w:val="22"/>
          <w:szCs w:val="18"/>
        </w:rPr>
      </w:pPr>
      <w:r>
        <w:fldChar w:fldCharType="begin"/>
      </w:r>
      <w:r>
        <w:instrText xml:space="preserve"> HYPERLINK \l "_Toc5734" </w:instrText>
      </w:r>
      <w:r>
        <w:fldChar w:fldCharType="separate"/>
      </w:r>
      <w:r>
        <w:rPr>
          <w:rFonts w:eastAsia="宋体"/>
          <w:kern w:val="2"/>
          <w:sz w:val="22"/>
        </w:rPr>
        <w:t>十二、实地查勘期</w:t>
      </w:r>
      <w:r>
        <w:rPr>
          <w:sz w:val="22"/>
          <w:szCs w:val="18"/>
        </w:rPr>
        <w:tab/>
      </w:r>
      <w:r>
        <w:rPr>
          <w:sz w:val="22"/>
          <w:szCs w:val="18"/>
        </w:rPr>
        <w:fldChar w:fldCharType="begin"/>
      </w:r>
      <w:r>
        <w:rPr>
          <w:sz w:val="22"/>
          <w:szCs w:val="18"/>
        </w:rPr>
        <w:instrText xml:space="preserve"> PAGEREF _Toc5734 \h </w:instrText>
      </w:r>
      <w:r>
        <w:rPr>
          <w:sz w:val="22"/>
          <w:szCs w:val="18"/>
        </w:rPr>
        <w:fldChar w:fldCharType="separate"/>
      </w:r>
      <w:r>
        <w:rPr>
          <w:sz w:val="22"/>
          <w:szCs w:val="18"/>
        </w:rPr>
        <w:t>23</w:t>
      </w:r>
      <w:r>
        <w:rPr>
          <w:sz w:val="22"/>
          <w:szCs w:val="18"/>
        </w:rPr>
        <w:fldChar w:fldCharType="end"/>
      </w:r>
      <w:r>
        <w:rPr>
          <w:sz w:val="22"/>
          <w:szCs w:val="18"/>
        </w:rPr>
        <w:fldChar w:fldCharType="end"/>
      </w:r>
    </w:p>
    <w:p w14:paraId="223D41A9">
      <w:pPr>
        <w:pStyle w:val="27"/>
        <w:tabs>
          <w:tab w:val="right" w:leader="dot" w:pos="9299"/>
          <w:tab w:val="clear" w:pos="9072"/>
        </w:tabs>
      </w:pPr>
      <w:r>
        <w:fldChar w:fldCharType="begin"/>
      </w:r>
      <w:r>
        <w:instrText xml:space="preserve"> HYPERLINK \l "_Toc5537" </w:instrText>
      </w:r>
      <w:r>
        <w:fldChar w:fldCharType="separate"/>
      </w:r>
      <w:r>
        <w:rPr>
          <w:rFonts w:eastAsia="宋体"/>
          <w:kern w:val="2"/>
          <w:sz w:val="22"/>
        </w:rPr>
        <w:t>十三、估价作业期</w:t>
      </w:r>
      <w:r>
        <w:rPr>
          <w:sz w:val="22"/>
          <w:szCs w:val="18"/>
        </w:rPr>
        <w:tab/>
      </w:r>
      <w:r>
        <w:rPr>
          <w:sz w:val="22"/>
          <w:szCs w:val="18"/>
        </w:rPr>
        <w:fldChar w:fldCharType="begin"/>
      </w:r>
      <w:r>
        <w:rPr>
          <w:sz w:val="22"/>
          <w:szCs w:val="18"/>
        </w:rPr>
        <w:instrText xml:space="preserve"> PAGEREF _Toc5537 \h </w:instrText>
      </w:r>
      <w:r>
        <w:rPr>
          <w:sz w:val="22"/>
          <w:szCs w:val="18"/>
        </w:rPr>
        <w:fldChar w:fldCharType="separate"/>
      </w:r>
      <w:r>
        <w:rPr>
          <w:sz w:val="22"/>
          <w:szCs w:val="18"/>
        </w:rPr>
        <w:t>23</w:t>
      </w:r>
      <w:r>
        <w:rPr>
          <w:sz w:val="22"/>
          <w:szCs w:val="18"/>
        </w:rPr>
        <w:fldChar w:fldCharType="end"/>
      </w:r>
      <w:r>
        <w:rPr>
          <w:sz w:val="22"/>
          <w:szCs w:val="18"/>
        </w:rPr>
        <w:fldChar w:fldCharType="end"/>
      </w:r>
    </w:p>
    <w:p w14:paraId="230CC4D7">
      <w:pPr>
        <w:pStyle w:val="23"/>
        <w:tabs>
          <w:tab w:val="right" w:leader="dot" w:pos="9299"/>
          <w:tab w:val="clear" w:pos="9072"/>
        </w:tabs>
        <w:rPr>
          <w:sz w:val="24"/>
          <w:szCs w:val="24"/>
        </w:rPr>
      </w:pPr>
      <w:r>
        <w:fldChar w:fldCharType="begin"/>
      </w:r>
      <w:r>
        <w:instrText xml:space="preserve"> HYPERLINK \l "_Toc29767" </w:instrText>
      </w:r>
      <w:r>
        <w:fldChar w:fldCharType="separate"/>
      </w:r>
      <w:r>
        <w:rPr>
          <w:rFonts w:hint="eastAsia" w:eastAsia="方正黑体简体"/>
          <w:kern w:val="2"/>
          <w:sz w:val="24"/>
          <w:szCs w:val="24"/>
        </w:rPr>
        <w:t>估价技术报告</w:t>
      </w:r>
      <w:r>
        <w:rPr>
          <w:sz w:val="24"/>
          <w:szCs w:val="24"/>
        </w:rPr>
        <w:tab/>
      </w:r>
      <w:r>
        <w:rPr>
          <w:sz w:val="24"/>
          <w:szCs w:val="24"/>
        </w:rPr>
        <w:fldChar w:fldCharType="begin"/>
      </w:r>
      <w:r>
        <w:rPr>
          <w:sz w:val="24"/>
          <w:szCs w:val="24"/>
        </w:rPr>
        <w:instrText xml:space="preserve"> PAGEREF _Toc29767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BE83AC8">
      <w:pPr>
        <w:pStyle w:val="27"/>
        <w:tabs>
          <w:tab w:val="right" w:leader="dot" w:pos="9299"/>
          <w:tab w:val="clear" w:pos="9072"/>
        </w:tabs>
        <w:rPr>
          <w:sz w:val="22"/>
          <w:szCs w:val="18"/>
        </w:rPr>
      </w:pPr>
      <w:r>
        <w:fldChar w:fldCharType="begin"/>
      </w:r>
      <w:r>
        <w:instrText xml:space="preserve"> HYPERLINK \l "_Toc11012" </w:instrText>
      </w:r>
      <w:r>
        <w:fldChar w:fldCharType="separate"/>
      </w:r>
      <w:r>
        <w:rPr>
          <w:rFonts w:eastAsia="宋体"/>
          <w:kern w:val="2"/>
          <w:sz w:val="22"/>
        </w:rPr>
        <w:t>一、估价对象描述与分析</w:t>
      </w:r>
      <w:r>
        <w:rPr>
          <w:sz w:val="22"/>
          <w:szCs w:val="18"/>
        </w:rPr>
        <w:tab/>
      </w:r>
      <w:r>
        <w:rPr>
          <w:sz w:val="22"/>
          <w:szCs w:val="18"/>
        </w:rPr>
        <w:fldChar w:fldCharType="begin"/>
      </w:r>
      <w:r>
        <w:rPr>
          <w:sz w:val="22"/>
          <w:szCs w:val="18"/>
        </w:rPr>
        <w:instrText xml:space="preserve"> PAGEREF _Toc11012 \h </w:instrText>
      </w:r>
      <w:r>
        <w:rPr>
          <w:sz w:val="22"/>
          <w:szCs w:val="18"/>
        </w:rPr>
        <w:fldChar w:fldCharType="separate"/>
      </w:r>
      <w:r>
        <w:rPr>
          <w:sz w:val="22"/>
          <w:szCs w:val="18"/>
        </w:rPr>
        <w:t>24</w:t>
      </w:r>
      <w:r>
        <w:rPr>
          <w:sz w:val="22"/>
          <w:szCs w:val="18"/>
        </w:rPr>
        <w:fldChar w:fldCharType="end"/>
      </w:r>
      <w:r>
        <w:rPr>
          <w:sz w:val="22"/>
          <w:szCs w:val="18"/>
        </w:rPr>
        <w:fldChar w:fldCharType="end"/>
      </w:r>
    </w:p>
    <w:p w14:paraId="5723D9DB">
      <w:pPr>
        <w:pStyle w:val="27"/>
        <w:tabs>
          <w:tab w:val="right" w:leader="dot" w:pos="9299"/>
          <w:tab w:val="clear" w:pos="9072"/>
        </w:tabs>
        <w:rPr>
          <w:sz w:val="22"/>
          <w:szCs w:val="18"/>
        </w:rPr>
      </w:pPr>
      <w:r>
        <w:fldChar w:fldCharType="begin"/>
      </w:r>
      <w:r>
        <w:instrText xml:space="preserve"> HYPERLINK \l "_Toc6068" </w:instrText>
      </w:r>
      <w:r>
        <w:fldChar w:fldCharType="separate"/>
      </w:r>
      <w:r>
        <w:rPr>
          <w:rFonts w:eastAsia="宋体"/>
          <w:kern w:val="2"/>
          <w:sz w:val="22"/>
        </w:rPr>
        <w:t>（</w:t>
      </w:r>
      <w:r>
        <w:rPr>
          <w:rFonts w:hint="eastAsia" w:eastAsia="宋体"/>
          <w:kern w:val="2"/>
          <w:sz w:val="22"/>
        </w:rPr>
        <w:t>一</w:t>
      </w:r>
      <w:r>
        <w:rPr>
          <w:rFonts w:eastAsia="宋体"/>
          <w:kern w:val="2"/>
          <w:sz w:val="22"/>
        </w:rPr>
        <w:t>）区位状况分析</w:t>
      </w:r>
      <w:r>
        <w:rPr>
          <w:sz w:val="22"/>
          <w:szCs w:val="18"/>
        </w:rPr>
        <w:tab/>
      </w:r>
      <w:r>
        <w:rPr>
          <w:sz w:val="22"/>
          <w:szCs w:val="18"/>
        </w:rPr>
        <w:fldChar w:fldCharType="begin"/>
      </w:r>
      <w:r>
        <w:rPr>
          <w:sz w:val="22"/>
          <w:szCs w:val="18"/>
        </w:rPr>
        <w:instrText xml:space="preserve"> PAGEREF _Toc6068 \h </w:instrText>
      </w:r>
      <w:r>
        <w:rPr>
          <w:sz w:val="22"/>
          <w:szCs w:val="18"/>
        </w:rPr>
        <w:fldChar w:fldCharType="separate"/>
      </w:r>
      <w:r>
        <w:rPr>
          <w:sz w:val="22"/>
          <w:szCs w:val="18"/>
        </w:rPr>
        <w:t>24</w:t>
      </w:r>
      <w:r>
        <w:rPr>
          <w:sz w:val="22"/>
          <w:szCs w:val="18"/>
        </w:rPr>
        <w:fldChar w:fldCharType="end"/>
      </w:r>
      <w:r>
        <w:rPr>
          <w:sz w:val="22"/>
          <w:szCs w:val="18"/>
        </w:rPr>
        <w:fldChar w:fldCharType="end"/>
      </w:r>
    </w:p>
    <w:p w14:paraId="1569802D">
      <w:pPr>
        <w:pStyle w:val="27"/>
        <w:tabs>
          <w:tab w:val="right" w:leader="dot" w:pos="9299"/>
          <w:tab w:val="clear" w:pos="9072"/>
        </w:tabs>
        <w:rPr>
          <w:sz w:val="22"/>
          <w:szCs w:val="18"/>
        </w:rPr>
      </w:pPr>
      <w:r>
        <w:fldChar w:fldCharType="begin"/>
      </w:r>
      <w:r>
        <w:instrText xml:space="preserve"> HYPERLINK \l "_Toc17437" </w:instrText>
      </w:r>
      <w:r>
        <w:fldChar w:fldCharType="separate"/>
      </w:r>
      <w:r>
        <w:rPr>
          <w:rFonts w:eastAsia="宋体"/>
          <w:kern w:val="2"/>
          <w:sz w:val="22"/>
        </w:rPr>
        <w:t>（</w:t>
      </w:r>
      <w:r>
        <w:rPr>
          <w:rFonts w:hint="eastAsia" w:eastAsia="宋体"/>
          <w:kern w:val="2"/>
          <w:sz w:val="22"/>
        </w:rPr>
        <w:t>二</w:t>
      </w:r>
      <w:r>
        <w:rPr>
          <w:rFonts w:eastAsia="宋体"/>
          <w:kern w:val="2"/>
          <w:sz w:val="22"/>
        </w:rPr>
        <w:t>）实物状况分析</w:t>
      </w:r>
      <w:r>
        <w:rPr>
          <w:sz w:val="22"/>
          <w:szCs w:val="18"/>
        </w:rPr>
        <w:tab/>
      </w:r>
      <w:r>
        <w:rPr>
          <w:sz w:val="22"/>
          <w:szCs w:val="18"/>
        </w:rPr>
        <w:fldChar w:fldCharType="begin"/>
      </w:r>
      <w:r>
        <w:rPr>
          <w:sz w:val="22"/>
          <w:szCs w:val="18"/>
        </w:rPr>
        <w:instrText xml:space="preserve"> PAGEREF _Toc17437 \h </w:instrText>
      </w:r>
      <w:r>
        <w:rPr>
          <w:sz w:val="22"/>
          <w:szCs w:val="18"/>
        </w:rPr>
        <w:fldChar w:fldCharType="separate"/>
      </w:r>
      <w:r>
        <w:rPr>
          <w:sz w:val="22"/>
          <w:szCs w:val="18"/>
        </w:rPr>
        <w:t>26</w:t>
      </w:r>
      <w:r>
        <w:rPr>
          <w:sz w:val="22"/>
          <w:szCs w:val="18"/>
        </w:rPr>
        <w:fldChar w:fldCharType="end"/>
      </w:r>
      <w:r>
        <w:rPr>
          <w:sz w:val="22"/>
          <w:szCs w:val="18"/>
        </w:rPr>
        <w:fldChar w:fldCharType="end"/>
      </w:r>
    </w:p>
    <w:p w14:paraId="0B66FB1E">
      <w:pPr>
        <w:pStyle w:val="27"/>
        <w:tabs>
          <w:tab w:val="right" w:leader="dot" w:pos="9299"/>
          <w:tab w:val="clear" w:pos="9072"/>
        </w:tabs>
        <w:rPr>
          <w:sz w:val="22"/>
          <w:szCs w:val="18"/>
        </w:rPr>
      </w:pPr>
      <w:r>
        <w:fldChar w:fldCharType="begin"/>
      </w:r>
      <w:r>
        <w:instrText xml:space="preserve"> HYPERLINK \l "_Toc14311" </w:instrText>
      </w:r>
      <w:r>
        <w:fldChar w:fldCharType="separate"/>
      </w:r>
      <w:r>
        <w:rPr>
          <w:rFonts w:eastAsia="宋体"/>
          <w:kern w:val="2"/>
          <w:sz w:val="22"/>
        </w:rPr>
        <w:t>（</w:t>
      </w:r>
      <w:r>
        <w:rPr>
          <w:rFonts w:hint="eastAsia" w:eastAsia="宋体"/>
          <w:kern w:val="2"/>
          <w:sz w:val="22"/>
        </w:rPr>
        <w:t>三</w:t>
      </w:r>
      <w:r>
        <w:rPr>
          <w:rFonts w:eastAsia="宋体"/>
          <w:kern w:val="2"/>
          <w:sz w:val="22"/>
        </w:rPr>
        <w:t>）权益状况分析</w:t>
      </w:r>
      <w:r>
        <w:rPr>
          <w:sz w:val="22"/>
          <w:szCs w:val="18"/>
        </w:rPr>
        <w:tab/>
      </w:r>
      <w:r>
        <w:rPr>
          <w:sz w:val="22"/>
          <w:szCs w:val="18"/>
        </w:rPr>
        <w:fldChar w:fldCharType="begin"/>
      </w:r>
      <w:r>
        <w:rPr>
          <w:sz w:val="22"/>
          <w:szCs w:val="18"/>
        </w:rPr>
        <w:instrText xml:space="preserve"> PAGEREF _Toc14311 \h </w:instrText>
      </w:r>
      <w:r>
        <w:rPr>
          <w:sz w:val="22"/>
          <w:szCs w:val="18"/>
        </w:rPr>
        <w:fldChar w:fldCharType="separate"/>
      </w:r>
      <w:r>
        <w:rPr>
          <w:sz w:val="22"/>
          <w:szCs w:val="18"/>
        </w:rPr>
        <w:t>29</w:t>
      </w:r>
      <w:r>
        <w:rPr>
          <w:sz w:val="22"/>
          <w:szCs w:val="18"/>
        </w:rPr>
        <w:fldChar w:fldCharType="end"/>
      </w:r>
      <w:r>
        <w:rPr>
          <w:sz w:val="22"/>
          <w:szCs w:val="18"/>
        </w:rPr>
        <w:fldChar w:fldCharType="end"/>
      </w:r>
    </w:p>
    <w:p w14:paraId="08BC6D4B">
      <w:pPr>
        <w:pStyle w:val="27"/>
        <w:tabs>
          <w:tab w:val="right" w:leader="dot" w:pos="9299"/>
          <w:tab w:val="clear" w:pos="9072"/>
        </w:tabs>
        <w:rPr>
          <w:sz w:val="22"/>
          <w:szCs w:val="18"/>
        </w:rPr>
      </w:pPr>
      <w:r>
        <w:fldChar w:fldCharType="begin"/>
      </w:r>
      <w:r>
        <w:instrText xml:space="preserve"> HYPERLINK \l "_Toc16429" </w:instrText>
      </w:r>
      <w:r>
        <w:fldChar w:fldCharType="separate"/>
      </w:r>
      <w:r>
        <w:rPr>
          <w:rFonts w:eastAsia="宋体"/>
          <w:kern w:val="2"/>
          <w:sz w:val="22"/>
        </w:rPr>
        <w:t>二、市场背景描述与分析</w:t>
      </w:r>
      <w:r>
        <w:rPr>
          <w:sz w:val="22"/>
          <w:szCs w:val="18"/>
        </w:rPr>
        <w:tab/>
      </w:r>
      <w:r>
        <w:rPr>
          <w:sz w:val="22"/>
          <w:szCs w:val="18"/>
        </w:rPr>
        <w:fldChar w:fldCharType="begin"/>
      </w:r>
      <w:r>
        <w:rPr>
          <w:sz w:val="22"/>
          <w:szCs w:val="18"/>
        </w:rPr>
        <w:instrText xml:space="preserve"> PAGEREF _Toc16429 \h </w:instrText>
      </w:r>
      <w:r>
        <w:rPr>
          <w:sz w:val="22"/>
          <w:szCs w:val="18"/>
        </w:rPr>
        <w:fldChar w:fldCharType="separate"/>
      </w:r>
      <w:r>
        <w:rPr>
          <w:sz w:val="22"/>
          <w:szCs w:val="18"/>
        </w:rPr>
        <w:t>30</w:t>
      </w:r>
      <w:r>
        <w:rPr>
          <w:sz w:val="22"/>
          <w:szCs w:val="18"/>
        </w:rPr>
        <w:fldChar w:fldCharType="end"/>
      </w:r>
      <w:r>
        <w:rPr>
          <w:sz w:val="22"/>
          <w:szCs w:val="18"/>
        </w:rPr>
        <w:fldChar w:fldCharType="end"/>
      </w:r>
    </w:p>
    <w:p w14:paraId="3FB97CFC">
      <w:pPr>
        <w:pStyle w:val="27"/>
        <w:tabs>
          <w:tab w:val="right" w:leader="dot" w:pos="9299"/>
          <w:tab w:val="clear" w:pos="9072"/>
        </w:tabs>
        <w:rPr>
          <w:sz w:val="22"/>
          <w:szCs w:val="18"/>
        </w:rPr>
      </w:pPr>
      <w:r>
        <w:fldChar w:fldCharType="begin"/>
      </w:r>
      <w:r>
        <w:instrText xml:space="preserve"> HYPERLINK \l "_Toc20572" </w:instrText>
      </w:r>
      <w:r>
        <w:fldChar w:fldCharType="separate"/>
      </w:r>
      <w:r>
        <w:rPr>
          <w:rFonts w:eastAsia="宋体"/>
          <w:kern w:val="2"/>
          <w:sz w:val="22"/>
        </w:rPr>
        <w:t>三、最高最佳利用分析</w:t>
      </w:r>
      <w:r>
        <w:rPr>
          <w:sz w:val="22"/>
          <w:szCs w:val="18"/>
        </w:rPr>
        <w:tab/>
      </w:r>
      <w:r>
        <w:rPr>
          <w:sz w:val="22"/>
          <w:szCs w:val="18"/>
        </w:rPr>
        <w:fldChar w:fldCharType="begin"/>
      </w:r>
      <w:r>
        <w:rPr>
          <w:sz w:val="22"/>
          <w:szCs w:val="18"/>
        </w:rPr>
        <w:instrText xml:space="preserve"> PAGEREF _Toc20572 \h </w:instrText>
      </w:r>
      <w:r>
        <w:rPr>
          <w:sz w:val="22"/>
          <w:szCs w:val="18"/>
        </w:rPr>
        <w:fldChar w:fldCharType="separate"/>
      </w:r>
      <w:r>
        <w:rPr>
          <w:sz w:val="22"/>
          <w:szCs w:val="18"/>
        </w:rPr>
        <w:t>58</w:t>
      </w:r>
      <w:r>
        <w:rPr>
          <w:sz w:val="22"/>
          <w:szCs w:val="18"/>
        </w:rPr>
        <w:fldChar w:fldCharType="end"/>
      </w:r>
      <w:r>
        <w:rPr>
          <w:sz w:val="22"/>
          <w:szCs w:val="18"/>
        </w:rPr>
        <w:fldChar w:fldCharType="end"/>
      </w:r>
    </w:p>
    <w:p w14:paraId="49FCA5DD">
      <w:pPr>
        <w:pStyle w:val="27"/>
        <w:tabs>
          <w:tab w:val="right" w:leader="dot" w:pos="9299"/>
          <w:tab w:val="clear" w:pos="9072"/>
        </w:tabs>
        <w:rPr>
          <w:sz w:val="22"/>
          <w:szCs w:val="18"/>
        </w:rPr>
      </w:pPr>
      <w:r>
        <w:fldChar w:fldCharType="begin"/>
      </w:r>
      <w:r>
        <w:instrText xml:space="preserve"> HYPERLINK \l "_Toc26871" </w:instrText>
      </w:r>
      <w:r>
        <w:fldChar w:fldCharType="separate"/>
      </w:r>
      <w:r>
        <w:rPr>
          <w:rFonts w:eastAsia="宋体"/>
          <w:kern w:val="2"/>
          <w:sz w:val="22"/>
        </w:rPr>
        <w:t>四、 估价方法适用性分析</w:t>
      </w:r>
      <w:r>
        <w:rPr>
          <w:sz w:val="22"/>
          <w:szCs w:val="18"/>
        </w:rPr>
        <w:tab/>
      </w:r>
      <w:r>
        <w:rPr>
          <w:sz w:val="22"/>
          <w:szCs w:val="18"/>
        </w:rPr>
        <w:fldChar w:fldCharType="begin"/>
      </w:r>
      <w:r>
        <w:rPr>
          <w:sz w:val="22"/>
          <w:szCs w:val="18"/>
        </w:rPr>
        <w:instrText xml:space="preserve"> PAGEREF _Toc26871 \h </w:instrText>
      </w:r>
      <w:r>
        <w:rPr>
          <w:sz w:val="22"/>
          <w:szCs w:val="18"/>
        </w:rPr>
        <w:fldChar w:fldCharType="separate"/>
      </w:r>
      <w:r>
        <w:rPr>
          <w:sz w:val="22"/>
          <w:szCs w:val="18"/>
        </w:rPr>
        <w:t>59</w:t>
      </w:r>
      <w:r>
        <w:rPr>
          <w:sz w:val="22"/>
          <w:szCs w:val="18"/>
        </w:rPr>
        <w:fldChar w:fldCharType="end"/>
      </w:r>
      <w:r>
        <w:rPr>
          <w:sz w:val="22"/>
          <w:szCs w:val="18"/>
        </w:rPr>
        <w:fldChar w:fldCharType="end"/>
      </w:r>
    </w:p>
    <w:p w14:paraId="7C73F2B6">
      <w:pPr>
        <w:pStyle w:val="27"/>
        <w:tabs>
          <w:tab w:val="right" w:leader="dot" w:pos="9299"/>
          <w:tab w:val="clear" w:pos="9072"/>
        </w:tabs>
        <w:rPr>
          <w:sz w:val="22"/>
          <w:szCs w:val="18"/>
        </w:rPr>
      </w:pPr>
      <w:r>
        <w:fldChar w:fldCharType="begin"/>
      </w:r>
      <w:r>
        <w:instrText xml:space="preserve"> HYPERLINK \l "_Toc14116" </w:instrText>
      </w:r>
      <w:r>
        <w:fldChar w:fldCharType="separate"/>
      </w:r>
      <w:r>
        <w:rPr>
          <w:rFonts w:eastAsia="宋体"/>
          <w:kern w:val="2"/>
          <w:sz w:val="22"/>
        </w:rPr>
        <w:t>五、估价测算过程</w:t>
      </w:r>
      <w:r>
        <w:rPr>
          <w:sz w:val="22"/>
          <w:szCs w:val="18"/>
        </w:rPr>
        <w:tab/>
      </w:r>
      <w:r>
        <w:rPr>
          <w:sz w:val="22"/>
          <w:szCs w:val="18"/>
        </w:rPr>
        <w:fldChar w:fldCharType="begin"/>
      </w:r>
      <w:r>
        <w:rPr>
          <w:sz w:val="22"/>
          <w:szCs w:val="18"/>
        </w:rPr>
        <w:instrText xml:space="preserve"> PAGEREF _Toc14116 \h </w:instrText>
      </w:r>
      <w:r>
        <w:rPr>
          <w:sz w:val="22"/>
          <w:szCs w:val="18"/>
        </w:rPr>
        <w:fldChar w:fldCharType="separate"/>
      </w:r>
      <w:r>
        <w:rPr>
          <w:sz w:val="22"/>
          <w:szCs w:val="18"/>
        </w:rPr>
        <w:t>63</w:t>
      </w:r>
      <w:r>
        <w:rPr>
          <w:sz w:val="22"/>
          <w:szCs w:val="18"/>
        </w:rPr>
        <w:fldChar w:fldCharType="end"/>
      </w:r>
      <w:r>
        <w:rPr>
          <w:sz w:val="22"/>
          <w:szCs w:val="18"/>
        </w:rPr>
        <w:fldChar w:fldCharType="end"/>
      </w:r>
    </w:p>
    <w:p w14:paraId="073331BF">
      <w:pPr>
        <w:pStyle w:val="27"/>
        <w:tabs>
          <w:tab w:val="right" w:leader="dot" w:pos="9299"/>
          <w:tab w:val="clear" w:pos="9072"/>
        </w:tabs>
      </w:pPr>
      <w:r>
        <w:fldChar w:fldCharType="begin"/>
      </w:r>
      <w:r>
        <w:instrText xml:space="preserve"> HYPERLINK \l "_Toc27218" </w:instrText>
      </w:r>
      <w:r>
        <w:fldChar w:fldCharType="separate"/>
      </w:r>
      <w:r>
        <w:rPr>
          <w:rFonts w:eastAsia="宋体"/>
          <w:kern w:val="2"/>
          <w:sz w:val="22"/>
        </w:rPr>
        <w:t>六、估价结果确定</w:t>
      </w:r>
      <w:r>
        <w:rPr>
          <w:sz w:val="22"/>
          <w:szCs w:val="18"/>
        </w:rPr>
        <w:tab/>
      </w:r>
      <w:r>
        <w:rPr>
          <w:sz w:val="22"/>
          <w:szCs w:val="18"/>
        </w:rPr>
        <w:fldChar w:fldCharType="begin"/>
      </w:r>
      <w:r>
        <w:rPr>
          <w:sz w:val="22"/>
          <w:szCs w:val="18"/>
        </w:rPr>
        <w:instrText xml:space="preserve"> PAGEREF _Toc27218 \h </w:instrText>
      </w:r>
      <w:r>
        <w:rPr>
          <w:sz w:val="22"/>
          <w:szCs w:val="18"/>
        </w:rPr>
        <w:fldChar w:fldCharType="separate"/>
      </w:r>
      <w:r>
        <w:rPr>
          <w:sz w:val="22"/>
          <w:szCs w:val="18"/>
        </w:rPr>
        <w:t>79</w:t>
      </w:r>
      <w:r>
        <w:rPr>
          <w:sz w:val="22"/>
          <w:szCs w:val="18"/>
        </w:rPr>
        <w:fldChar w:fldCharType="end"/>
      </w:r>
      <w:r>
        <w:rPr>
          <w:sz w:val="22"/>
          <w:szCs w:val="18"/>
        </w:rPr>
        <w:fldChar w:fldCharType="end"/>
      </w:r>
    </w:p>
    <w:p w14:paraId="52082927">
      <w:pPr>
        <w:pStyle w:val="23"/>
        <w:tabs>
          <w:tab w:val="right" w:leader="dot" w:pos="9299"/>
          <w:tab w:val="clear" w:pos="9072"/>
        </w:tabs>
        <w:rPr>
          <w:sz w:val="24"/>
          <w:szCs w:val="24"/>
        </w:rPr>
      </w:pPr>
      <w:r>
        <w:fldChar w:fldCharType="begin"/>
      </w:r>
      <w:r>
        <w:instrText xml:space="preserve"> HYPERLINK \l "_Toc1683" </w:instrText>
      </w:r>
      <w:r>
        <w:fldChar w:fldCharType="separate"/>
      </w:r>
      <w:r>
        <w:rPr>
          <w:rFonts w:hint="eastAsia" w:eastAsia="方正黑体简体"/>
          <w:kern w:val="2"/>
          <w:sz w:val="24"/>
          <w:szCs w:val="24"/>
        </w:rPr>
        <w:t>附   件</w:t>
      </w:r>
      <w:r>
        <w:rPr>
          <w:sz w:val="24"/>
          <w:szCs w:val="24"/>
        </w:rPr>
        <w:tab/>
      </w:r>
      <w:r>
        <w:rPr>
          <w:sz w:val="24"/>
          <w:szCs w:val="24"/>
        </w:rPr>
        <w:fldChar w:fldCharType="begin"/>
      </w:r>
      <w:r>
        <w:rPr>
          <w:sz w:val="24"/>
          <w:szCs w:val="24"/>
        </w:rPr>
        <w:instrText xml:space="preserve"> PAGEREF _Toc1683 \h </w:instrText>
      </w:r>
      <w:r>
        <w:rPr>
          <w:sz w:val="24"/>
          <w:szCs w:val="24"/>
        </w:rPr>
        <w:fldChar w:fldCharType="separate"/>
      </w:r>
      <w:r>
        <w:rPr>
          <w:sz w:val="24"/>
          <w:szCs w:val="24"/>
        </w:rPr>
        <w:t>80</w:t>
      </w:r>
      <w:r>
        <w:rPr>
          <w:sz w:val="24"/>
          <w:szCs w:val="24"/>
        </w:rPr>
        <w:fldChar w:fldCharType="end"/>
      </w:r>
      <w:r>
        <w:rPr>
          <w:sz w:val="24"/>
          <w:szCs w:val="24"/>
        </w:rPr>
        <w:fldChar w:fldCharType="end"/>
      </w:r>
    </w:p>
    <w:p w14:paraId="1E1FA2EC">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3EBA04D6">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01585C10">
      <w:pPr>
        <w:numPr>
          <w:ilvl w:val="0"/>
          <w:numId w:val="5"/>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35D08EE1">
      <w:pPr>
        <w:numPr>
          <w:ilvl w:val="0"/>
          <w:numId w:val="5"/>
        </w:numPr>
        <w:spacing w:line="360" w:lineRule="auto"/>
        <w:jc w:val="both"/>
        <w:rPr>
          <w:rFonts w:ascii="Arial" w:hAnsi="Arial" w:cs="Arial"/>
          <w:sz w:val="21"/>
          <w:szCs w:val="21"/>
        </w:rPr>
      </w:pPr>
      <w:r>
        <w:rPr>
          <w:rFonts w:hint="eastAsia" w:ascii="Arial" w:hAnsi="Arial" w:cs="Arial"/>
          <w:sz w:val="21"/>
          <w:szCs w:val="21"/>
        </w:rPr>
        <w:t>《X13海棠苑房源明细表》复印件</w:t>
      </w:r>
    </w:p>
    <w:p w14:paraId="1D062901">
      <w:pPr>
        <w:numPr>
          <w:ilvl w:val="0"/>
          <w:numId w:val="5"/>
        </w:numPr>
        <w:spacing w:line="360" w:lineRule="auto"/>
        <w:jc w:val="both"/>
        <w:rPr>
          <w:rFonts w:hint="eastAsia" w:ascii="Arial" w:hAnsi="Arial" w:cs="Arial"/>
          <w:sz w:val="21"/>
          <w:szCs w:val="21"/>
        </w:rPr>
      </w:pPr>
      <w:r>
        <w:rPr>
          <w:rFonts w:hint="eastAsia" w:ascii="Arial" w:hAnsi="Arial" w:cs="Arial"/>
          <w:sz w:val="21"/>
          <w:szCs w:val="21"/>
        </w:rPr>
        <w:t>《X38鹿海园五里房源明细表》复印件</w:t>
      </w:r>
    </w:p>
    <w:p w14:paraId="105FD373">
      <w:pPr>
        <w:numPr>
          <w:ilvl w:val="0"/>
          <w:numId w:val="5"/>
        </w:numPr>
        <w:spacing w:line="360" w:lineRule="auto"/>
        <w:jc w:val="both"/>
        <w:rPr>
          <w:rFonts w:hint="eastAsia" w:ascii="Arial" w:hAnsi="Arial" w:cs="Arial"/>
          <w:sz w:val="21"/>
          <w:szCs w:val="21"/>
        </w:rPr>
      </w:pPr>
      <w:r>
        <w:rPr>
          <w:rFonts w:hint="eastAsia" w:ascii="Arial" w:hAnsi="Arial" w:cs="Arial"/>
          <w:sz w:val="21"/>
          <w:szCs w:val="21"/>
        </w:rPr>
        <w:t>《房屋收购协议》[编号：2020-新元-综合-17]复印件</w:t>
      </w:r>
    </w:p>
    <w:p w14:paraId="473F8C36">
      <w:pPr>
        <w:numPr>
          <w:ilvl w:val="0"/>
          <w:numId w:val="5"/>
        </w:numPr>
        <w:spacing w:line="360" w:lineRule="auto"/>
        <w:jc w:val="both"/>
        <w:rPr>
          <w:rFonts w:ascii="Arial" w:hAnsi="Arial" w:cs="Arial"/>
          <w:sz w:val="21"/>
          <w:szCs w:val="21"/>
        </w:rPr>
      </w:pPr>
      <w:r>
        <w:rPr>
          <w:rFonts w:hint="eastAsia" w:ascii="Arial" w:hAnsi="Arial" w:cs="Arial"/>
          <w:kern w:val="2"/>
          <w:sz w:val="21"/>
          <w:szCs w:val="21"/>
        </w:rPr>
        <w:t>《房屋交接书》</w:t>
      </w:r>
      <w:r>
        <w:rPr>
          <w:rFonts w:ascii="Arial" w:hAnsi="Arial" w:cs="Arial"/>
          <w:sz w:val="21"/>
          <w:szCs w:val="21"/>
        </w:rPr>
        <w:t>复印件</w:t>
      </w:r>
    </w:p>
    <w:p w14:paraId="6BF2DE9D">
      <w:pPr>
        <w:numPr>
          <w:ilvl w:val="0"/>
          <w:numId w:val="5"/>
        </w:numPr>
        <w:spacing w:line="360" w:lineRule="auto"/>
        <w:jc w:val="both"/>
        <w:rPr>
          <w:rFonts w:hint="eastAsia" w:ascii="Arial" w:hAnsi="Arial" w:cs="Arial"/>
          <w:sz w:val="21"/>
          <w:szCs w:val="21"/>
        </w:rPr>
      </w:pPr>
      <w:r>
        <w:rPr>
          <w:rFonts w:hint="eastAsia" w:ascii="Arial" w:hAnsi="Arial" w:cs="Arial"/>
          <w:sz w:val="21"/>
          <w:szCs w:val="21"/>
        </w:rPr>
        <w:t>估价委托人《营业执照（副本）》复印件</w:t>
      </w:r>
    </w:p>
    <w:p w14:paraId="5F53158F">
      <w:pPr>
        <w:numPr>
          <w:ilvl w:val="0"/>
          <w:numId w:val="5"/>
        </w:numPr>
        <w:spacing w:line="360" w:lineRule="auto"/>
        <w:jc w:val="both"/>
        <w:rPr>
          <w:rFonts w:ascii="Arial" w:hAnsi="Arial" w:cs="Arial"/>
          <w:sz w:val="21"/>
          <w:szCs w:val="21"/>
        </w:rPr>
      </w:pPr>
      <w:r>
        <w:rPr>
          <w:rFonts w:ascii="Arial" w:hAnsi="Arial" w:cs="Arial"/>
          <w:color w:val="000000"/>
          <w:sz w:val="21"/>
          <w:szCs w:val="21"/>
        </w:rPr>
        <w:t>房地产估价机构《营业执照（副本）》</w:t>
      </w:r>
      <w:r>
        <w:rPr>
          <w:rFonts w:ascii="Arial" w:hAnsi="Arial" w:cs="Arial"/>
          <w:sz w:val="21"/>
          <w:szCs w:val="21"/>
        </w:rPr>
        <w:t>复印件</w:t>
      </w:r>
    </w:p>
    <w:p w14:paraId="116EF7C7">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69244530">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p w14:paraId="2F7F2F9C">
      <w:pPr>
        <w:spacing w:line="240" w:lineRule="auto"/>
        <w:jc w:val="both"/>
        <w:outlineLvl w:val="0"/>
        <w:rPr>
          <w:rFonts w:ascii="Arial" w:hAnsi="Arial" w:eastAsia="楷体_GB2312" w:cs="Arial"/>
          <w:i/>
          <w:color w:val="548DD4"/>
          <w:kern w:val="2"/>
          <w:sz w:val="28"/>
          <w:szCs w:val="28"/>
        </w:rPr>
        <w:sectPr>
          <w:headerReference r:id="rId12" w:type="default"/>
          <w:pgSz w:w="11907" w:h="16840"/>
          <w:pgMar w:top="1843" w:right="1134" w:bottom="1134" w:left="1134" w:header="1134" w:footer="907" w:gutter="340"/>
          <w:cols w:space="720" w:num="1"/>
          <w:docGrid w:linePitch="326" w:charSpace="0"/>
        </w:sectPr>
      </w:pPr>
    </w:p>
    <w:p w14:paraId="3D524019">
      <w:pPr>
        <w:pStyle w:val="2"/>
        <w:spacing w:line="480" w:lineRule="auto"/>
        <w:jc w:val="center"/>
        <w:rPr>
          <w:rFonts w:hint="eastAsia" w:eastAsia="方正黑体简体"/>
          <w:b w:val="0"/>
          <w:kern w:val="2"/>
          <w:sz w:val="32"/>
          <w:szCs w:val="32"/>
        </w:rPr>
      </w:pPr>
      <w:bookmarkStart w:id="5" w:name="_Toc20279"/>
      <w:bookmarkStart w:id="6" w:name="_Toc379795041"/>
      <w:r>
        <w:rPr>
          <w:rFonts w:hint="eastAsia" w:eastAsia="方正黑体简体"/>
          <w:b w:val="0"/>
          <w:kern w:val="2"/>
          <w:sz w:val="32"/>
          <w:szCs w:val="32"/>
        </w:rPr>
        <w:t>估价师声明</w:t>
      </w:r>
      <w:bookmarkEnd w:id="5"/>
      <w:bookmarkEnd w:id="6"/>
    </w:p>
    <w:p w14:paraId="1771E36A">
      <w:pPr>
        <w:spacing w:line="480" w:lineRule="auto"/>
        <w:jc w:val="both"/>
        <w:outlineLvl w:val="0"/>
        <w:rPr>
          <w:rFonts w:hint="eastAsia" w:ascii="Arial" w:hAnsi="Arial" w:cs="Arial"/>
          <w:kern w:val="2"/>
          <w:sz w:val="21"/>
          <w:szCs w:val="21"/>
        </w:rPr>
      </w:pPr>
      <w:r>
        <w:rPr>
          <w:rFonts w:ascii="Arial" w:hAnsi="Arial" w:cs="Arial"/>
          <w:kern w:val="2"/>
          <w:sz w:val="21"/>
          <w:szCs w:val="21"/>
        </w:rPr>
        <w:t>注册房地产估价师郑重声明：</w:t>
      </w:r>
    </w:p>
    <w:p w14:paraId="072E154E">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0DF402DE">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651EB498">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注册房地产估价师已于2025年10月13日对估价对象进行了实地查勘。我们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6032307">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50899-2013]以及相关房地产估价专项标准</w:t>
      </w:r>
      <w:r>
        <w:rPr>
          <w:rFonts w:hint="eastAsia" w:ascii="Arial" w:hAnsi="Arial" w:cs="Arial"/>
          <w:kern w:val="2"/>
          <w:sz w:val="21"/>
          <w:szCs w:val="21"/>
        </w:rPr>
        <w:t>，并参照</w:t>
      </w:r>
      <w:r>
        <w:rPr>
          <w:rFonts w:hint="eastAsia" w:ascii="Arial" w:hAnsi="Arial"/>
          <w:bCs/>
          <w:sz w:val="21"/>
        </w:rPr>
        <w:t>《</w:t>
      </w:r>
      <w:r>
        <w:rPr>
          <w:rFonts w:hint="eastAsia" w:ascii="Arial" w:hAnsi="Arial" w:cs="Arial"/>
          <w:kern w:val="2"/>
          <w:sz w:val="21"/>
          <w:szCs w:val="21"/>
        </w:rPr>
        <w:t>北京市公共租赁住房项目市场租金评估技术指引</w:t>
      </w:r>
      <w:r>
        <w:rPr>
          <w:rFonts w:hint="eastAsia" w:ascii="Arial" w:hAnsi="Arial"/>
          <w:bCs/>
          <w:sz w:val="21"/>
        </w:rPr>
        <w:t>》</w:t>
      </w:r>
      <w:r>
        <w:rPr>
          <w:rFonts w:ascii="Arial" w:hAnsi="Arial" w:cs="Arial"/>
          <w:kern w:val="2"/>
          <w:sz w:val="21"/>
          <w:szCs w:val="21"/>
        </w:rPr>
        <w:t>进行估价工作，撰写本估价报告。</w:t>
      </w:r>
    </w:p>
    <w:p w14:paraId="2163AE65">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8260CEC">
      <w:pPr>
        <w:spacing w:line="480" w:lineRule="auto"/>
        <w:jc w:val="both"/>
        <w:outlineLvl w:val="0"/>
        <w:rPr>
          <w:rFonts w:ascii="Arial" w:hAnsi="Arial" w:eastAsia="楷体_GB2312" w:cs="Arial"/>
          <w:kern w:val="2"/>
          <w:sz w:val="28"/>
        </w:rPr>
      </w:pPr>
      <w:r>
        <w:rPr>
          <w:rFonts w:ascii="Arial" w:hAnsi="Arial" w:cs="Arial"/>
          <w:kern w:val="2"/>
          <w:sz w:val="21"/>
          <w:szCs w:val="21"/>
        </w:rPr>
        <w:t>（</w:t>
      </w:r>
      <w:r>
        <w:rPr>
          <w:rFonts w:hint="eastAsia" w:ascii="Arial" w:hAnsi="Arial" w:cs="Arial"/>
          <w:kern w:val="2"/>
          <w:sz w:val="21"/>
          <w:szCs w:val="21"/>
        </w:rPr>
        <w:t>六</w:t>
      </w:r>
      <w:r>
        <w:rPr>
          <w:rFonts w:ascii="Arial" w:hAnsi="Arial" w:cs="Arial"/>
          <w:kern w:val="2"/>
          <w:sz w:val="21"/>
          <w:szCs w:val="21"/>
        </w:rPr>
        <w:t>）本估价报告由北京康正宏基房地产评估有限公司负责解释。</w:t>
      </w:r>
    </w:p>
    <w:p w14:paraId="36CA5E00">
      <w:pPr>
        <w:rPr>
          <w:rFonts w:ascii="Arial" w:hAnsi="Arial" w:eastAsia="楷体_GB2312" w:cs="Arial"/>
          <w:kern w:val="2"/>
          <w:sz w:val="28"/>
        </w:rPr>
        <w:sectPr>
          <w:headerReference r:id="rId14" w:type="first"/>
          <w:footerReference r:id="rId15" w:type="first"/>
          <w:headerReference r:id="rId13" w:type="default"/>
          <w:pgSz w:w="11907" w:h="16840"/>
          <w:pgMar w:top="1843" w:right="1134" w:bottom="1134" w:left="1134" w:header="1134" w:footer="907" w:gutter="340"/>
          <w:cols w:space="720" w:num="1"/>
          <w:docGrid w:linePitch="326" w:charSpace="0"/>
        </w:sectPr>
      </w:pPr>
    </w:p>
    <w:p w14:paraId="0C84FC8C">
      <w:pPr>
        <w:pStyle w:val="2"/>
        <w:spacing w:line="480" w:lineRule="auto"/>
        <w:jc w:val="center"/>
        <w:rPr>
          <w:rFonts w:hint="eastAsia" w:eastAsia="方正黑体简体"/>
          <w:b w:val="0"/>
          <w:kern w:val="2"/>
          <w:sz w:val="32"/>
          <w:szCs w:val="32"/>
        </w:rPr>
      </w:pPr>
      <w:bookmarkStart w:id="8" w:name="_Toc379795042"/>
      <w:bookmarkStart w:id="9" w:name="_Toc19765"/>
      <w:r>
        <w:rPr>
          <w:rFonts w:hint="eastAsia" w:eastAsia="方正黑体简体"/>
          <w:b w:val="0"/>
          <w:kern w:val="2"/>
          <w:sz w:val="32"/>
          <w:szCs w:val="32"/>
        </w:rPr>
        <w:t>估价假设和限制条件</w:t>
      </w:r>
      <w:bookmarkEnd w:id="8"/>
      <w:bookmarkEnd w:id="9"/>
    </w:p>
    <w:p w14:paraId="64D93277">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7B71F47D">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5DBD69E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2.以估价对象符合规划设计条件，能够按规划公共租赁住房用途持续使用，对外出租为假设前提。</w:t>
      </w:r>
    </w:p>
    <w:p w14:paraId="4693A9F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29ED332A">
      <w:pPr>
        <w:spacing w:line="480" w:lineRule="auto"/>
        <w:ind w:firstLine="420" w:firstLineChars="200"/>
        <w:jc w:val="both"/>
        <w:rPr>
          <w:rFonts w:hint="eastAsia" w:ascii="Arial" w:hAnsi="Arial" w:cs="Arial"/>
          <w:kern w:val="2"/>
          <w:sz w:val="21"/>
          <w:szCs w:val="21"/>
        </w:rPr>
      </w:pPr>
      <w:r>
        <w:rPr>
          <w:rFonts w:hint="eastAsia" w:ascii="Arial" w:hAnsi="Arial" w:cs="Arial"/>
          <w:kern w:val="2"/>
          <w:sz w:val="21"/>
          <w:szCs w:val="21"/>
        </w:rPr>
        <w:t>4.本次估价结果是在满足全部假设与限制条件下，于价值时点2025年10月1日前一年内（2024年10月1日至2025年9月30日）估价对象所在区域同类型商品住房的市场平均租金价格水平，估价结果</w:t>
      </w:r>
      <w:r>
        <w:rPr>
          <w:rFonts w:hint="eastAsia"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Pr>
          <w:rFonts w:hint="eastAsia" w:ascii="Arial" w:hAnsi="Arial" w:cs="Arial"/>
          <w:kern w:val="2"/>
          <w:sz w:val="21"/>
          <w:szCs w:val="21"/>
        </w:rPr>
        <w:t>。</w:t>
      </w:r>
    </w:p>
    <w:p w14:paraId="0BD0AD7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估价对象</w:t>
      </w:r>
      <w:r>
        <w:rPr>
          <w:rFonts w:hint="eastAsia" w:ascii="Arial" w:hAnsi="Arial" w:cs="Arial"/>
          <w:kern w:val="2"/>
          <w:sz w:val="21"/>
          <w:szCs w:val="21"/>
        </w:rPr>
        <w:t>户型、建筑面积、套数等情况均以估价委托人提供的《估价委托书》、</w:t>
      </w: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》、《房屋收购协议》[编号：2020-新元-综合-17]</w:t>
      </w:r>
      <w:r>
        <w:rPr>
          <w:rFonts w:hint="eastAsia" w:ascii="Arial" w:hAnsi="Arial" w:cs="Arial"/>
          <w:kern w:val="2"/>
          <w:sz w:val="21"/>
          <w:szCs w:val="21"/>
        </w:rPr>
        <w:t xml:space="preserve"> 及《房屋交接书》</w:t>
      </w:r>
      <w:r>
        <w:rPr>
          <w:rFonts w:ascii="Arial" w:hAnsi="Arial" w:cs="Arial"/>
          <w:kern w:val="2"/>
          <w:sz w:val="21"/>
          <w:szCs w:val="21"/>
        </w:rPr>
        <w:t>为</w:t>
      </w:r>
      <w:r>
        <w:rPr>
          <w:rFonts w:ascii="Arial" w:hAnsi="Arial" w:cs="Arial"/>
          <w:sz w:val="21"/>
          <w:szCs w:val="21"/>
        </w:rPr>
        <w:t>依据。</w:t>
      </w:r>
    </w:p>
    <w:p w14:paraId="5F9ACA6D">
      <w:pPr>
        <w:spacing w:line="480" w:lineRule="auto"/>
        <w:ind w:firstLine="420" w:firstLineChars="200"/>
        <w:jc w:val="both"/>
        <w:rPr>
          <w:rFonts w:ascii="Arial" w:hAnsi="Arial" w:cs="Arial"/>
          <w:color w:val="000000"/>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由于部分房屋已出租，评估专业人员未能进入全部房屋内部进行勘察，仅</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054938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57ACC3B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14:paraId="19DE02C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hint="eastAsia" w:ascii="Arial" w:hAnsi="Arial" w:cs="Arial"/>
          <w:kern w:val="2"/>
          <w:sz w:val="21"/>
          <w:szCs w:val="21"/>
        </w:rPr>
        <w:t>租赁价格水平</w:t>
      </w:r>
      <w:r>
        <w:rPr>
          <w:rFonts w:ascii="Arial" w:hAnsi="Arial" w:cs="Arial"/>
          <w:kern w:val="2"/>
          <w:sz w:val="21"/>
          <w:szCs w:val="21"/>
        </w:rPr>
        <w:t>的影响。</w:t>
      </w:r>
    </w:p>
    <w:p w14:paraId="751C5876">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10.注册房地产估价师于</w:t>
      </w:r>
      <w:r>
        <w:rPr>
          <w:rFonts w:ascii="Arial" w:hAnsi="Arial" w:cs="Arial"/>
          <w:sz w:val="21"/>
          <w:szCs w:val="21"/>
        </w:rPr>
        <w:t>2025年</w:t>
      </w:r>
      <w:r>
        <w:rPr>
          <w:rFonts w:hint="eastAsia" w:ascii="Arial" w:hAnsi="Arial" w:cs="Arial"/>
          <w:sz w:val="21"/>
          <w:szCs w:val="21"/>
        </w:rPr>
        <w:t>10</w:t>
      </w:r>
      <w:r>
        <w:rPr>
          <w:rFonts w:ascii="Arial" w:hAnsi="Arial" w:cs="Arial"/>
          <w:sz w:val="21"/>
          <w:szCs w:val="21"/>
        </w:rPr>
        <w:t>月1</w:t>
      </w:r>
      <w:r>
        <w:rPr>
          <w:rFonts w:hint="eastAsia" w:ascii="Arial" w:hAnsi="Arial" w:cs="Arial"/>
          <w:sz w:val="21"/>
          <w:szCs w:val="21"/>
        </w:rPr>
        <w:t>3</w:t>
      </w:r>
      <w:r>
        <w:rPr>
          <w:rFonts w:ascii="Arial" w:hAnsi="Arial" w:cs="Arial"/>
          <w:sz w:val="21"/>
          <w:szCs w:val="21"/>
        </w:rPr>
        <w:t>日</w:t>
      </w:r>
      <w:r>
        <w:rPr>
          <w:rFonts w:hint="eastAsia" w:ascii="Arial" w:hAnsi="Arial" w:cs="Arial"/>
          <w:kern w:val="2"/>
          <w:sz w:val="21"/>
          <w:szCs w:val="21"/>
        </w:rPr>
        <w:t>对估价对象现状利用状况进行了实地查勘。</w:t>
      </w:r>
    </w:p>
    <w:p w14:paraId="5B7AA977">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11.根据估价目的，本次估价未考虑抵押、租赁、地役、查封等他项权利影响，故设定估价对象于价值时点不存在抵押、租赁、地役、查封等他项权利限制。</w:t>
      </w:r>
    </w:p>
    <w:p w14:paraId="0BC42B27">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7FB82060">
      <w:pPr>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t>无未定事项假设。</w:t>
      </w:r>
    </w:p>
    <w:p w14:paraId="55BEFF54">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本次估价的背离事实假设</w:t>
      </w:r>
    </w:p>
    <w:p w14:paraId="1B562E7B">
      <w:pPr>
        <w:spacing w:line="480" w:lineRule="auto"/>
        <w:ind w:firstLine="420" w:firstLineChars="200"/>
        <w:jc w:val="both"/>
        <w:rPr>
          <w:rFonts w:hint="eastAsia" w:ascii="Arial" w:hAnsi="Arial" w:cs="Arial"/>
          <w:kern w:val="2"/>
          <w:sz w:val="21"/>
          <w:szCs w:val="21"/>
        </w:rPr>
      </w:pPr>
      <w:r>
        <w:rPr>
          <w:rFonts w:hint="eastAsia" w:ascii="Arial" w:hAnsi="Arial" w:cs="Arial"/>
          <w:kern w:val="2"/>
          <w:sz w:val="21"/>
          <w:szCs w:val="21"/>
        </w:rPr>
        <w:t>根据估价委托人的介绍及评估专业人员实地查勘，于价值时点，估价对象部分已出租，结合本次估价目的，本次估价未考虑租约对估价结果的影响。</w:t>
      </w:r>
    </w:p>
    <w:p w14:paraId="5441ECEA">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本次估价的不相一致假设</w:t>
      </w:r>
    </w:p>
    <w:p w14:paraId="002AAABF">
      <w:pPr>
        <w:spacing w:line="480" w:lineRule="auto"/>
        <w:ind w:firstLine="420" w:firstLineChars="200"/>
        <w:jc w:val="both"/>
        <w:rPr>
          <w:rFonts w:hint="eastAsia" w:ascii="Arial" w:hAnsi="Arial" w:cs="Arial"/>
          <w:kern w:val="2"/>
          <w:sz w:val="21"/>
          <w:szCs w:val="21"/>
        </w:rPr>
      </w:pPr>
      <w:r>
        <w:rPr>
          <w:rFonts w:hint="eastAsia" w:ascii="Arial" w:hAnsi="Arial" w:cs="Arial"/>
          <w:kern w:val="2"/>
          <w:sz w:val="21"/>
          <w:szCs w:val="21"/>
        </w:rPr>
        <w:t>本次评估</w:t>
      </w:r>
      <w:r>
        <w:rPr>
          <w:rFonts w:hint="eastAsia" w:ascii="Arial" w:hAnsi="Arial" w:cs="Arial"/>
          <w:sz w:val="21"/>
          <w:szCs w:val="21"/>
        </w:rPr>
        <w:t>注册房地产估价师</w:t>
      </w:r>
      <w:r>
        <w:rPr>
          <w:rFonts w:hint="eastAsia" w:ascii="Arial" w:hAnsi="Arial" w:cs="Arial"/>
          <w:kern w:val="2"/>
          <w:sz w:val="21"/>
          <w:szCs w:val="21"/>
        </w:rPr>
        <w:t>实地查勘日为202</w:t>
      </w:r>
      <w:r>
        <w:rPr>
          <w:rFonts w:ascii="Arial" w:hAnsi="Arial" w:cs="Arial"/>
          <w:kern w:val="2"/>
          <w:sz w:val="21"/>
          <w:szCs w:val="21"/>
        </w:rPr>
        <w:t>5</w:t>
      </w:r>
      <w:r>
        <w:rPr>
          <w:rFonts w:hint="eastAsia" w:ascii="Arial" w:hAnsi="Arial" w:cs="Arial"/>
          <w:kern w:val="2"/>
          <w:sz w:val="21"/>
          <w:szCs w:val="21"/>
        </w:rPr>
        <w:t>年10月</w:t>
      </w:r>
      <w:r>
        <w:rPr>
          <w:rFonts w:ascii="Arial" w:hAnsi="Arial" w:cs="Arial"/>
          <w:kern w:val="2"/>
          <w:sz w:val="21"/>
          <w:szCs w:val="21"/>
        </w:rPr>
        <w:t>1</w:t>
      </w:r>
      <w:r>
        <w:rPr>
          <w:rFonts w:hint="eastAsia" w:ascii="Arial" w:hAnsi="Arial" w:cs="Arial"/>
          <w:kern w:val="2"/>
          <w:sz w:val="21"/>
          <w:szCs w:val="21"/>
        </w:rPr>
        <w:t>3日，与价值时点202</w:t>
      </w:r>
      <w:r>
        <w:rPr>
          <w:rFonts w:ascii="Arial" w:hAnsi="Arial" w:cs="Arial"/>
          <w:kern w:val="2"/>
          <w:sz w:val="21"/>
          <w:szCs w:val="21"/>
        </w:rPr>
        <w:t>5</w:t>
      </w:r>
      <w:r>
        <w:rPr>
          <w:rFonts w:hint="eastAsia" w:ascii="Arial" w:hAnsi="Arial" w:cs="Arial"/>
          <w:kern w:val="2"/>
          <w:sz w:val="21"/>
          <w:szCs w:val="21"/>
        </w:rPr>
        <w:t>年10月1日不一致，本次评估假设估价对象于价值时点的实物状况与实地查勘之日一致。在此提请报告使用者注意。</w:t>
      </w:r>
    </w:p>
    <w:p w14:paraId="7FE51DC6">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13B44492">
      <w:pPr>
        <w:spacing w:line="480" w:lineRule="auto"/>
        <w:ind w:firstLine="420" w:firstLineChars="200"/>
        <w:jc w:val="both"/>
        <w:rPr>
          <w:rFonts w:hint="eastAsia" w:ascii="Arial" w:hAnsi="Arial" w:cs="Arial"/>
          <w:kern w:val="2"/>
          <w:sz w:val="21"/>
          <w:szCs w:val="21"/>
        </w:rPr>
      </w:pP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自2020年1月1日起施行，有效期为三年，截至价值时点，评估技术指引已过有效期。考虑到新版技术指引尚未发布，且目前北京市公共租赁住房市场租金评估相关标准仍按技术指引执行，故本次评估参照</w:t>
      </w: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进行评估，在此提请报告使用者注意。</w:t>
      </w:r>
    </w:p>
    <w:p w14:paraId="05B75ED9">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66BE5B1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2FB933E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6F0A229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72DE526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560CE967">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4862EB1C">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15E2711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2B18F94A">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8204A5F">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.本估价报告在估价机构盖章和注册房地产估价师签字的条件下有效。</w:t>
      </w:r>
    </w:p>
    <w:p w14:paraId="09D20B16">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5A00061C">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4DF74613">
      <w:pPr>
        <w:spacing w:line="480" w:lineRule="auto"/>
        <w:ind w:firstLine="420" w:firstLineChars="200"/>
        <w:jc w:val="both"/>
        <w:rPr>
          <w:rFonts w:ascii="Arial" w:hAnsi="Arial" w:cs="Arial"/>
          <w:sz w:val="21"/>
          <w:szCs w:val="21"/>
        </w:rPr>
      </w:pPr>
      <w:r>
        <w:rPr>
          <w:rFonts w:hint="eastAsia" w:ascii="Arial" w:hAnsi="Arial" w:cs="Arial"/>
          <w:sz w:val="21"/>
          <w:szCs w:val="21"/>
        </w:rPr>
        <w:t>12.</w:t>
      </w:r>
      <w:r>
        <w:rPr>
          <w:rFonts w:ascii="Arial" w:hAnsi="Arial" w:cs="Arial"/>
          <w:sz w:val="21"/>
          <w:szCs w:val="21"/>
        </w:rPr>
        <w:t>根据</w:t>
      </w:r>
      <w:r>
        <w:rPr>
          <w:rFonts w:hint="eastAsia" w:ascii="Arial" w:hAnsi="Arial" w:cs="Arial"/>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224821F1">
      <w:pPr>
        <w:spacing w:line="480" w:lineRule="auto"/>
        <w:ind w:firstLine="420" w:firstLineChars="200"/>
        <w:jc w:val="both"/>
        <w:rPr>
          <w:rFonts w:ascii="Arial" w:hAnsi="Arial" w:cs="Arial"/>
          <w:color w:val="0070C0"/>
          <w:sz w:val="21"/>
          <w:szCs w:val="21"/>
        </w:r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2025年</w:t>
      </w:r>
      <w:r>
        <w:rPr>
          <w:rFonts w:hint="eastAsia" w:ascii="Arial" w:hAnsi="Arial" w:cs="Arial"/>
          <w:kern w:val="2"/>
          <w:sz w:val="21"/>
          <w:szCs w:val="21"/>
        </w:rPr>
        <w:t>11</w:t>
      </w:r>
      <w:r>
        <w:rPr>
          <w:rFonts w:ascii="Arial" w:hAnsi="Arial" w:cs="Arial"/>
          <w:kern w:val="2"/>
          <w:sz w:val="21"/>
          <w:szCs w:val="21"/>
        </w:rPr>
        <w:t>月</w:t>
      </w:r>
      <w:r>
        <w:rPr>
          <w:rFonts w:hint="eastAsia" w:ascii="Arial" w:hAnsi="Arial" w:cs="Arial"/>
          <w:kern w:val="2"/>
          <w:sz w:val="21"/>
          <w:szCs w:val="21"/>
        </w:rPr>
        <w:t>1</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10</w:t>
      </w:r>
      <w:r>
        <w:rPr>
          <w:rFonts w:ascii="Arial" w:hAnsi="Arial" w:cs="Arial"/>
          <w:kern w:val="2"/>
          <w:sz w:val="21"/>
          <w:szCs w:val="21"/>
        </w:rPr>
        <w:t>月</w:t>
      </w:r>
      <w:r>
        <w:rPr>
          <w:rFonts w:hint="eastAsia" w:ascii="Arial" w:hAnsi="Arial" w:cs="Arial"/>
          <w:kern w:val="2"/>
          <w:sz w:val="21"/>
          <w:szCs w:val="21"/>
        </w:rPr>
        <w:t>31</w:t>
      </w:r>
      <w:r>
        <w:rPr>
          <w:rFonts w:ascii="Arial" w:hAnsi="Arial" w:cs="Arial"/>
          <w:kern w:val="2"/>
          <w:sz w:val="21"/>
          <w:szCs w:val="21"/>
        </w:rPr>
        <w:t>日</w:t>
      </w:r>
      <w:r>
        <w:rPr>
          <w:rFonts w:hint="eastAsia" w:ascii="Arial" w:hAnsi="Arial" w:cs="Arial"/>
          <w:kern w:val="2"/>
          <w:sz w:val="21"/>
          <w:szCs w:val="21"/>
        </w:rPr>
        <w:t>有效</w:t>
      </w:r>
      <w:r>
        <w:rPr>
          <w:rFonts w:ascii="Arial" w:hAnsi="Arial" w:cs="Arial"/>
          <w:kern w:val="2"/>
          <w:sz w:val="21"/>
          <w:szCs w:val="21"/>
        </w:rPr>
        <w:t>。</w:t>
      </w:r>
    </w:p>
    <w:bookmarkEnd w:id="7"/>
    <w:p w14:paraId="444AE8A0">
      <w:pPr>
        <w:spacing w:line="480" w:lineRule="auto"/>
        <w:ind w:firstLine="560"/>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08CB264F">
      <w:pPr>
        <w:pStyle w:val="2"/>
        <w:spacing w:line="360" w:lineRule="auto"/>
        <w:jc w:val="center"/>
        <w:rPr>
          <w:rFonts w:hint="eastAsia" w:eastAsia="方正黑体简体"/>
          <w:b w:val="0"/>
          <w:kern w:val="2"/>
          <w:sz w:val="32"/>
          <w:szCs w:val="32"/>
        </w:rPr>
      </w:pPr>
      <w:bookmarkStart w:id="10" w:name="_Toc168225812"/>
      <w:bookmarkStart w:id="11" w:name="_Toc16935"/>
      <w:r>
        <w:rPr>
          <w:rFonts w:hint="eastAsia" w:eastAsia="方正黑体简体"/>
          <w:b w:val="0"/>
          <w:kern w:val="2"/>
          <w:sz w:val="32"/>
          <w:szCs w:val="32"/>
        </w:rPr>
        <w:t>估价结果报告</w:t>
      </w:r>
      <w:bookmarkEnd w:id="10"/>
      <w:bookmarkEnd w:id="11"/>
    </w:p>
    <w:p w14:paraId="7489528D">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2" w:name="_Toc216083223"/>
      <w:bookmarkStart w:id="13" w:name="_Toc21377"/>
      <w:r>
        <w:rPr>
          <w:rFonts w:eastAsia="宋体"/>
          <w:kern w:val="2"/>
          <w:sz w:val="21"/>
          <w:szCs w:val="21"/>
        </w:rPr>
        <w:t>一</w:t>
      </w:r>
      <w:bookmarkEnd w:id="12"/>
      <w:r>
        <w:rPr>
          <w:rFonts w:eastAsia="宋体"/>
          <w:kern w:val="2"/>
          <w:sz w:val="21"/>
          <w:szCs w:val="21"/>
        </w:rPr>
        <w:t>、估价委托人</w:t>
      </w:r>
      <w:bookmarkEnd w:id="13"/>
    </w:p>
    <w:p w14:paraId="5330F1B8">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17B5FB7C">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3B7D7D25">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hAnsi="Arial" w:eastAsia="Arial" w:cs="Arial"/>
          <w:sz w:val="21"/>
          <w:szCs w:val="21"/>
        </w:rPr>
        <w:t xml:space="preserve">    </w:t>
      </w:r>
      <w:r>
        <w:rPr>
          <w:rFonts w:ascii="Arial" w:hAnsi="Arial" w:cs="Arial"/>
          <w:sz w:val="21"/>
          <w:szCs w:val="21"/>
        </w:rPr>
        <w:t>址：</w:t>
      </w:r>
      <w:r>
        <w:rPr>
          <w:rFonts w:hint="eastAsia" w:ascii="Arial" w:hAnsi="Arial" w:cs="Arial"/>
          <w:sz w:val="21"/>
          <w:szCs w:val="21"/>
        </w:rPr>
        <w:t>北京市北京经济技术开发区荣华南路13号院7号楼7层701室</w:t>
      </w:r>
    </w:p>
    <w:p w14:paraId="5836B7A7">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人：陈莉萍</w:t>
      </w:r>
    </w:p>
    <w:p w14:paraId="463058E2">
      <w:pPr>
        <w:wordWrap w:val="0"/>
        <w:overflowPunct w:val="0"/>
        <w:spacing w:line="480" w:lineRule="auto"/>
        <w:ind w:firstLine="420" w:firstLineChars="200"/>
        <w:jc w:val="both"/>
        <w:textAlignment w:val="auto"/>
        <w:rPr>
          <w:rFonts w:ascii="Arial" w:hAnsi="Arial" w:cs="Arial"/>
          <w:sz w:val="21"/>
          <w:szCs w:val="21"/>
        </w:rPr>
      </w:pPr>
    </w:p>
    <w:p w14:paraId="47CEC06D">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4" w:name="_Toc22547"/>
      <w:bookmarkStart w:id="15" w:name="_Toc168225814"/>
      <w:r>
        <w:rPr>
          <w:rFonts w:eastAsia="宋体"/>
          <w:kern w:val="2"/>
          <w:sz w:val="21"/>
          <w:szCs w:val="21"/>
        </w:rPr>
        <w:t>二、房地产估价机构</w:t>
      </w:r>
      <w:bookmarkEnd w:id="14"/>
      <w:bookmarkEnd w:id="15"/>
    </w:p>
    <w:p w14:paraId="61B8E5C5">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0D539E0C">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资质级别：壹级</w:t>
      </w:r>
    </w:p>
    <w:p w14:paraId="5BE2DFEA">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资格证书号：建房估备字[2013]081号</w:t>
      </w:r>
    </w:p>
    <w:p w14:paraId="29B4FEA2">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有效期限：</w:t>
      </w:r>
      <w:r>
        <w:rPr>
          <w:rFonts w:ascii="Arial" w:hAnsi="Arial"/>
          <w:sz w:val="21"/>
          <w:szCs w:val="21"/>
        </w:rPr>
        <w:t>20</w:t>
      </w:r>
      <w:r>
        <w:rPr>
          <w:rFonts w:hint="eastAsia" w:ascii="Arial" w:hAnsi="Arial"/>
          <w:sz w:val="21"/>
          <w:szCs w:val="21"/>
        </w:rPr>
        <w:t>2</w:t>
      </w:r>
      <w:r>
        <w:rPr>
          <w:rFonts w:ascii="Arial" w:hAnsi="Arial"/>
          <w:sz w:val="21"/>
          <w:szCs w:val="21"/>
        </w:rPr>
        <w:t>5</w:t>
      </w:r>
      <w:r>
        <w:rPr>
          <w:rFonts w:hint="eastAsia" w:ascii="Arial" w:hAnsi="Arial"/>
          <w:sz w:val="21"/>
          <w:szCs w:val="21"/>
        </w:rPr>
        <w:t>年0</w:t>
      </w:r>
      <w:r>
        <w:rPr>
          <w:rFonts w:ascii="Arial" w:hAnsi="Arial"/>
          <w:sz w:val="21"/>
          <w:szCs w:val="21"/>
        </w:rPr>
        <w:t>7</w:t>
      </w:r>
      <w:r>
        <w:rPr>
          <w:rFonts w:hint="eastAsia" w:ascii="Arial" w:hAnsi="Arial"/>
          <w:sz w:val="21"/>
          <w:szCs w:val="21"/>
        </w:rPr>
        <w:t>月</w:t>
      </w:r>
      <w:r>
        <w:rPr>
          <w:rFonts w:ascii="Arial" w:hAnsi="Arial"/>
          <w:sz w:val="21"/>
          <w:szCs w:val="21"/>
        </w:rPr>
        <w:t>01</w:t>
      </w:r>
      <w:r>
        <w:rPr>
          <w:rFonts w:hint="eastAsia" w:ascii="Arial" w:hAnsi="Arial"/>
          <w:sz w:val="21"/>
          <w:szCs w:val="21"/>
        </w:rPr>
        <w:t>日至</w:t>
      </w:r>
      <w:r>
        <w:rPr>
          <w:rFonts w:ascii="Arial" w:hAnsi="Arial"/>
          <w:sz w:val="21"/>
          <w:szCs w:val="21"/>
        </w:rPr>
        <w:t>2028</w:t>
      </w:r>
      <w:r>
        <w:rPr>
          <w:rFonts w:hint="eastAsia" w:ascii="Arial" w:hAnsi="Arial"/>
          <w:sz w:val="21"/>
          <w:szCs w:val="21"/>
        </w:rPr>
        <w:t>年0</w:t>
      </w:r>
      <w:r>
        <w:rPr>
          <w:rFonts w:ascii="Arial" w:hAnsi="Arial"/>
          <w:sz w:val="21"/>
          <w:szCs w:val="21"/>
        </w:rPr>
        <w:t>6</w:t>
      </w:r>
      <w:r>
        <w:rPr>
          <w:rFonts w:hint="eastAsia" w:ascii="Arial" w:hAnsi="Arial"/>
          <w:sz w:val="21"/>
          <w:szCs w:val="21"/>
        </w:rPr>
        <w:t>月</w:t>
      </w:r>
      <w:r>
        <w:rPr>
          <w:rFonts w:ascii="Arial" w:hAnsi="Arial"/>
          <w:sz w:val="21"/>
          <w:szCs w:val="21"/>
        </w:rPr>
        <w:t>30</w:t>
      </w:r>
      <w:r>
        <w:rPr>
          <w:rFonts w:hint="eastAsia" w:ascii="Arial" w:hAnsi="Arial"/>
          <w:sz w:val="21"/>
          <w:szCs w:val="21"/>
        </w:rPr>
        <w:t>日</w:t>
      </w:r>
    </w:p>
    <w:p w14:paraId="1F99528A">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地    址：北京市朝阳区裕民路12号中国国际科技会展中心B座1003</w:t>
      </w:r>
    </w:p>
    <w:p w14:paraId="580028C3">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法定代表人：齐宏</w:t>
      </w:r>
    </w:p>
    <w:p w14:paraId="1928964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常畅</w:t>
      </w:r>
    </w:p>
    <w:p w14:paraId="45193E83">
      <w:pPr>
        <w:wordWrap w:val="0"/>
        <w:overflowPunct w:val="0"/>
        <w:spacing w:line="480" w:lineRule="auto"/>
        <w:ind w:firstLine="420" w:firstLineChars="200"/>
        <w:jc w:val="both"/>
        <w:textAlignment w:val="auto"/>
        <w:rPr>
          <w:rFonts w:hint="eastAsia" w:ascii="Arial" w:hAnsi="Arial" w:cs="Arial"/>
          <w:sz w:val="21"/>
          <w:szCs w:val="21"/>
        </w:rPr>
      </w:pPr>
      <w:r>
        <w:rPr>
          <w:rFonts w:ascii="Arial" w:hAnsi="Arial" w:cs="Arial"/>
          <w:sz w:val="21"/>
          <w:szCs w:val="21"/>
        </w:rPr>
        <w:t>联系电话：010-82253558</w:t>
      </w:r>
    </w:p>
    <w:p w14:paraId="74800DF0">
      <w:pPr>
        <w:wordWrap w:val="0"/>
        <w:overflowPunct w:val="0"/>
        <w:spacing w:line="480" w:lineRule="auto"/>
        <w:ind w:firstLine="420" w:firstLineChars="200"/>
        <w:jc w:val="both"/>
        <w:textAlignment w:val="auto"/>
        <w:rPr>
          <w:rFonts w:ascii="Arial" w:hAnsi="Arial" w:cs="Arial"/>
          <w:kern w:val="2"/>
          <w:sz w:val="21"/>
          <w:szCs w:val="21"/>
        </w:rPr>
      </w:pPr>
    </w:p>
    <w:p w14:paraId="6FA3B508">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6" w:name="_Toc168225815"/>
      <w:bookmarkStart w:id="17" w:name="_Toc17650"/>
      <w:r>
        <w:rPr>
          <w:rFonts w:eastAsia="宋体"/>
          <w:kern w:val="2"/>
          <w:sz w:val="21"/>
          <w:szCs w:val="21"/>
        </w:rPr>
        <w:t>三、估价目的</w:t>
      </w:r>
      <w:bookmarkEnd w:id="16"/>
      <w:bookmarkEnd w:id="17"/>
    </w:p>
    <w:p w14:paraId="7664F60E">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为估价委托人确定公共租赁住房项目市场租金提供价格参考依据</w:t>
      </w:r>
      <w:r>
        <w:rPr>
          <w:rFonts w:hint="eastAsia" w:ascii="Arial" w:hAnsi="Arial" w:cs="Arial"/>
          <w:kern w:val="2"/>
          <w:sz w:val="21"/>
          <w:szCs w:val="21"/>
        </w:rPr>
        <w:t>。</w:t>
      </w:r>
      <w:r>
        <w:rPr>
          <w:rFonts w:ascii="Arial" w:hAnsi="Arial" w:cs="Arial"/>
          <w:kern w:val="2"/>
          <w:sz w:val="21"/>
          <w:szCs w:val="21"/>
        </w:rPr>
        <w:t xml:space="preserve"> </w:t>
      </w:r>
    </w:p>
    <w:p w14:paraId="1A40648F">
      <w:pPr>
        <w:wordWrap w:val="0"/>
        <w:overflowPunct w:val="0"/>
        <w:spacing w:line="480" w:lineRule="auto"/>
        <w:ind w:firstLine="420" w:firstLineChars="200"/>
        <w:jc w:val="both"/>
        <w:textAlignment w:val="auto"/>
        <w:rPr>
          <w:rFonts w:ascii="Arial" w:hAnsi="Arial" w:cs="Arial"/>
          <w:sz w:val="21"/>
          <w:szCs w:val="21"/>
        </w:rPr>
      </w:pPr>
    </w:p>
    <w:p w14:paraId="335E83F6">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8" w:name="_Toc168225816"/>
      <w:bookmarkStart w:id="19" w:name="_Toc24901"/>
      <w:r>
        <w:rPr>
          <w:rFonts w:eastAsia="宋体"/>
          <w:kern w:val="2"/>
          <w:sz w:val="21"/>
          <w:szCs w:val="21"/>
        </w:rPr>
        <w:t>四、估价对象</w:t>
      </w:r>
      <w:bookmarkEnd w:id="18"/>
      <w:bookmarkEnd w:id="19"/>
    </w:p>
    <w:p w14:paraId="4BF94F2E">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65F773F">
      <w:pPr>
        <w:overflowPunct w:val="0"/>
        <w:spacing w:line="480" w:lineRule="auto"/>
        <w:ind w:firstLine="420" w:firstLineChars="200"/>
        <w:jc w:val="both"/>
        <w:textAlignment w:val="auto"/>
        <w:rPr>
          <w:rFonts w:hint="eastAsia" w:ascii="Arial" w:hAnsi="Arial" w:cs="Arial"/>
          <w:kern w:val="2"/>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平方米。详见下表：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745"/>
        <w:gridCol w:w="3703"/>
        <w:gridCol w:w="1108"/>
        <w:gridCol w:w="2168"/>
      </w:tblGrid>
      <w:tr w14:paraId="6BD1B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16" w:type="pct"/>
            <w:vAlign w:val="center"/>
          </w:tcPr>
          <w:p w14:paraId="076E7612">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序号</w:t>
            </w:r>
          </w:p>
        </w:tc>
        <w:tc>
          <w:tcPr>
            <w:tcW w:w="917" w:type="pct"/>
            <w:vAlign w:val="center"/>
          </w:tcPr>
          <w:p w14:paraId="33B43D46">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项目名称</w:t>
            </w:r>
          </w:p>
        </w:tc>
        <w:tc>
          <w:tcPr>
            <w:tcW w:w="1946" w:type="pct"/>
            <w:vAlign w:val="center"/>
          </w:tcPr>
          <w:p w14:paraId="249F6AC4">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坐落</w:t>
            </w:r>
          </w:p>
        </w:tc>
        <w:tc>
          <w:tcPr>
            <w:tcW w:w="582" w:type="pct"/>
            <w:vAlign w:val="center"/>
          </w:tcPr>
          <w:p w14:paraId="12CFADDC">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套数（套）</w:t>
            </w:r>
          </w:p>
        </w:tc>
        <w:tc>
          <w:tcPr>
            <w:tcW w:w="1139" w:type="pct"/>
            <w:vAlign w:val="center"/>
          </w:tcPr>
          <w:p w14:paraId="444D7D6E">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建筑面积（平方米）</w:t>
            </w:r>
          </w:p>
        </w:tc>
      </w:tr>
      <w:tr w14:paraId="01056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16" w:type="pct"/>
            <w:vAlign w:val="center"/>
          </w:tcPr>
          <w:p w14:paraId="67F65720">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p>
        </w:tc>
        <w:tc>
          <w:tcPr>
            <w:tcW w:w="917" w:type="pct"/>
            <w:vAlign w:val="center"/>
          </w:tcPr>
          <w:p w14:paraId="70795EBB">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X13海棠苑</w:t>
            </w:r>
          </w:p>
        </w:tc>
        <w:tc>
          <w:tcPr>
            <w:tcW w:w="1946" w:type="pct"/>
            <w:vAlign w:val="center"/>
          </w:tcPr>
          <w:p w14:paraId="7B3432A7">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博兴九路19号院一区1号楼等5幢</w:t>
            </w:r>
          </w:p>
        </w:tc>
        <w:tc>
          <w:tcPr>
            <w:tcW w:w="582" w:type="pct"/>
            <w:vAlign w:val="center"/>
          </w:tcPr>
          <w:p w14:paraId="1C88214A">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1487</w:t>
            </w:r>
          </w:p>
        </w:tc>
        <w:tc>
          <w:tcPr>
            <w:tcW w:w="1139" w:type="pct"/>
            <w:vAlign w:val="center"/>
          </w:tcPr>
          <w:p w14:paraId="2D71C7A9">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80734.26</w:t>
            </w:r>
          </w:p>
        </w:tc>
      </w:tr>
      <w:tr w14:paraId="3FA5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16" w:type="pct"/>
            <w:vAlign w:val="center"/>
          </w:tcPr>
          <w:p w14:paraId="4716A7AC">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w:t>
            </w:r>
          </w:p>
        </w:tc>
        <w:tc>
          <w:tcPr>
            <w:tcW w:w="917" w:type="pct"/>
            <w:vAlign w:val="center"/>
          </w:tcPr>
          <w:p w14:paraId="4B2B4135">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X38鹿海园五里</w:t>
            </w:r>
          </w:p>
        </w:tc>
        <w:tc>
          <w:tcPr>
            <w:tcW w:w="1946" w:type="pct"/>
            <w:vAlign w:val="center"/>
          </w:tcPr>
          <w:p w14:paraId="55717DBF">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鹿海园五里1号楼等13幢</w:t>
            </w:r>
          </w:p>
        </w:tc>
        <w:tc>
          <w:tcPr>
            <w:tcW w:w="582" w:type="pct"/>
            <w:vAlign w:val="center"/>
          </w:tcPr>
          <w:p w14:paraId="7DF1ED03">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231</w:t>
            </w:r>
          </w:p>
        </w:tc>
        <w:tc>
          <w:tcPr>
            <w:tcW w:w="1139" w:type="pct"/>
            <w:vAlign w:val="center"/>
          </w:tcPr>
          <w:p w14:paraId="451E8A1F">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121829.32</w:t>
            </w:r>
          </w:p>
        </w:tc>
      </w:tr>
      <w:tr w14:paraId="09510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279" w:type="pct"/>
            <w:gridSpan w:val="3"/>
            <w:vAlign w:val="center"/>
          </w:tcPr>
          <w:p w14:paraId="4D64D3AC">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582" w:type="pct"/>
            <w:vAlign w:val="center"/>
          </w:tcPr>
          <w:p w14:paraId="30194EF8">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2718</w:t>
            </w:r>
          </w:p>
        </w:tc>
        <w:tc>
          <w:tcPr>
            <w:tcW w:w="1139" w:type="pct"/>
            <w:vAlign w:val="center"/>
          </w:tcPr>
          <w:p w14:paraId="55F73FA2">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202563.58</w:t>
            </w:r>
          </w:p>
        </w:tc>
      </w:tr>
    </w:tbl>
    <w:p w14:paraId="04356CE8">
      <w:pPr>
        <w:overflowPunct w:val="0"/>
        <w:spacing w:before="240" w:beforeLines="100" w:line="480" w:lineRule="auto"/>
        <w:ind w:firstLine="420" w:firstLineChars="200"/>
        <w:jc w:val="both"/>
        <w:textAlignment w:val="auto"/>
        <w:rPr>
          <w:rFonts w:hint="eastAsia" w:ascii="Arial" w:hAnsi="Arial" w:cs="Arial"/>
          <w:kern w:val="2"/>
          <w:sz w:val="21"/>
          <w:szCs w:val="21"/>
        </w:rPr>
      </w:pPr>
      <w:r>
        <w:rPr>
          <w:rFonts w:hint="eastAsia" w:ascii="Arial" w:hAnsi="Arial" w:cs="Arial"/>
          <w:kern w:val="2"/>
          <w:sz w:val="21"/>
          <w:szCs w:val="21"/>
        </w:rPr>
        <w:t>本次评估的2</w:t>
      </w:r>
      <w:r>
        <w:rPr>
          <w:rFonts w:ascii="Arial" w:hAnsi="Arial" w:cs="Arial"/>
          <w:kern w:val="2"/>
          <w:sz w:val="21"/>
          <w:szCs w:val="21"/>
        </w:rPr>
        <w:t>718</w:t>
      </w:r>
      <w:r>
        <w:rPr>
          <w:rFonts w:hint="eastAsia" w:ascii="Arial" w:hAnsi="Arial" w:cs="Arial"/>
          <w:kern w:val="2"/>
          <w:sz w:val="21"/>
          <w:szCs w:val="21"/>
        </w:rPr>
        <w:t>套公共租赁住房房源是由估价委托人收购、代持经营，现拟作为公共租赁住房使用。</w:t>
      </w:r>
    </w:p>
    <w:p w14:paraId="109FBE1A">
      <w:pPr>
        <w:overflowPunct w:val="0"/>
        <w:spacing w:line="480" w:lineRule="auto"/>
        <w:ind w:firstLine="420" w:firstLineChars="200"/>
        <w:jc w:val="both"/>
        <w:textAlignment w:val="auto"/>
        <w:rPr>
          <w:rFonts w:hint="eastAsia" w:ascii="Arial" w:hAnsi="Arial" w:cs="Arial"/>
          <w:color w:val="FF0000"/>
          <w:kern w:val="2"/>
          <w:sz w:val="21"/>
          <w:szCs w:val="21"/>
        </w:rPr>
      </w:pPr>
      <w:r>
        <w:rPr>
          <w:rFonts w:hint="eastAsia" w:ascii="Arial" w:hAnsi="Arial" w:cs="Arial"/>
          <w:kern w:val="2"/>
          <w:sz w:val="21"/>
          <w:szCs w:val="21"/>
        </w:rPr>
        <w:t>于价值时点，估价对象均已完工，室内装修情况均为普通装修。</w:t>
      </w:r>
    </w:p>
    <w:p w14:paraId="5B4C994D">
      <w:pPr>
        <w:overflowPunct w:val="0"/>
        <w:spacing w:line="480" w:lineRule="auto"/>
        <w:jc w:val="center"/>
        <w:textAlignment w:val="auto"/>
        <w:rPr>
          <w:rFonts w:hint="eastAsia" w:ascii="Arial" w:hAnsi="Arial" w:cs="Arial"/>
          <w:kern w:val="2"/>
          <w:sz w:val="21"/>
          <w:szCs w:val="21"/>
        </w:rPr>
      </w:pPr>
      <w:r>
        <w:rPr>
          <w:rFonts w:hint="eastAsia" w:ascii="Arial" w:hAnsi="Arial" w:cs="Arial"/>
          <w:kern w:val="2"/>
          <w:sz w:val="21"/>
          <w:szCs w:val="21"/>
        </w:rPr>
        <w:t>估价对象位置示意图</w:t>
      </w:r>
    </w:p>
    <w:p w14:paraId="24A1FF1C">
      <w:pPr>
        <w:overflowPunct w:val="0"/>
        <w:spacing w:line="480" w:lineRule="auto"/>
        <w:jc w:val="center"/>
        <w:textAlignment w:val="auto"/>
        <w:rPr>
          <w:rFonts w:hint="eastAsia"/>
          <w:lang w:val="en-US" w:eastAsia="zh-CN"/>
        </w:rPr>
      </w:pPr>
      <w:r>
        <w:rPr>
          <w:lang w:val="en-US" w:eastAsia="zh-CN"/>
        </w:rPr>
        <w:drawing>
          <wp:inline distT="0" distB="0" distL="0" distR="0">
            <wp:extent cx="4489450" cy="30988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89450" cy="3098800"/>
                    </a:xfrm>
                    <a:prstGeom prst="rect">
                      <a:avLst/>
                    </a:prstGeom>
                    <a:noFill/>
                    <a:ln>
                      <a:noFill/>
                    </a:ln>
                  </pic:spPr>
                </pic:pic>
              </a:graphicData>
            </a:graphic>
          </wp:inline>
        </w:drawing>
      </w:r>
    </w:p>
    <w:p w14:paraId="75C48A5E">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0FFD3701">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sz w:val="21"/>
          <w:szCs w:val="21"/>
        </w:rPr>
        <w:t>1.</w:t>
      </w:r>
      <w:r>
        <w:rPr>
          <w:rFonts w:hint="eastAsia" w:ascii="Arial" w:hAnsi="Arial" w:cs="Arial"/>
          <w:color w:val="000000"/>
          <w:sz w:val="21"/>
          <w:szCs w:val="21"/>
        </w:rPr>
        <w:t>截至价值时点，估价委托人未提供</w:t>
      </w:r>
      <w:r>
        <w:rPr>
          <w:rFonts w:hint="eastAsia" w:ascii="Arial" w:hAnsi="Arial" w:cs="Arial"/>
          <w:kern w:val="2"/>
          <w:sz w:val="21"/>
          <w:szCs w:val="21"/>
        </w:rPr>
        <w:t>《不动产权证书》</w:t>
      </w:r>
      <w:r>
        <w:rPr>
          <w:rFonts w:hint="eastAsia" w:ascii="Arial" w:hAnsi="Arial" w:cs="Arial"/>
          <w:sz w:val="21"/>
          <w:szCs w:val="21"/>
        </w:rPr>
        <w:t>等权属证明文件</w:t>
      </w:r>
      <w:r>
        <w:rPr>
          <w:rFonts w:hint="eastAsia" w:ascii="Arial" w:hAnsi="Arial" w:cs="Arial"/>
          <w:kern w:val="2"/>
          <w:sz w:val="21"/>
          <w:szCs w:val="21"/>
        </w:rPr>
        <w:t>。根据估价委托人提供的《房屋收购协议》[编号：2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及</w:t>
      </w:r>
      <w:r>
        <w:rPr>
          <w:rFonts w:hint="eastAsia" w:ascii="Arial" w:hAnsi="Arial" w:cs="Arial"/>
          <w:sz w:val="21"/>
          <w:szCs w:val="21"/>
        </w:rPr>
        <w:t>介绍，</w:t>
      </w:r>
      <w:r>
        <w:rPr>
          <w:rFonts w:hint="eastAsia" w:ascii="Arial" w:hAnsi="Arial" w:cs="Arial"/>
          <w:kern w:val="2"/>
          <w:sz w:val="21"/>
          <w:szCs w:val="21"/>
        </w:rPr>
        <w:t>北京市北京经济技术开发区博兴九路19号院一区1号楼等5幢（X13海棠苑）公共租赁住房项目所属宗地权利类型为国有建设用地使用权，</w:t>
      </w:r>
      <w:r>
        <w:rPr>
          <w:rFonts w:hint="eastAsia" w:ascii="Arial" w:hAnsi="Arial" w:cs="Arial"/>
          <w:sz w:val="21"/>
          <w:szCs w:val="21"/>
        </w:rPr>
        <w:t>用途为住宅，</w:t>
      </w:r>
      <w:r>
        <w:rPr>
          <w:rFonts w:hint="eastAsia" w:ascii="Arial" w:hAnsi="Arial" w:cs="Arial"/>
          <w:kern w:val="2"/>
          <w:sz w:val="21"/>
          <w:szCs w:val="21"/>
        </w:rPr>
        <w:t>由北京首开住总房地产开发有限公司以招拍挂方式取得。</w:t>
      </w:r>
      <w:r>
        <w:rPr>
          <w:rFonts w:ascii="Arial" w:hAnsi="Arial" w:cs="Arial"/>
          <w:sz w:val="21"/>
          <w:szCs w:val="21"/>
        </w:rPr>
        <w:t xml:space="preserve"> </w:t>
      </w:r>
    </w:p>
    <w:p w14:paraId="0033E8C6">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根据</w:t>
      </w:r>
      <w:r>
        <w:rPr>
          <w:rFonts w:hint="eastAsia" w:ascii="Arial" w:hAnsi="Arial" w:cs="Arial"/>
          <w:kern w:val="2"/>
          <w:sz w:val="21"/>
          <w:szCs w:val="21"/>
        </w:rPr>
        <w:t>估价委托人</w:t>
      </w:r>
      <w:r>
        <w:rPr>
          <w:rFonts w:hint="eastAsia" w:ascii="Arial" w:hAnsi="Arial" w:cs="Arial"/>
          <w:sz w:val="21"/>
          <w:szCs w:val="21"/>
        </w:rPr>
        <w:t>介绍，北京市</w:t>
      </w:r>
      <w:r>
        <w:rPr>
          <w:rFonts w:hint="eastAsia" w:ascii="Arial" w:hAnsi="Arial" w:cs="Arial"/>
          <w:kern w:val="2"/>
          <w:sz w:val="21"/>
          <w:szCs w:val="21"/>
        </w:rPr>
        <w:t>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所属宗地权利类型为国有建设用地使用权，权利性质为划拨</w:t>
      </w:r>
      <w:r>
        <w:rPr>
          <w:rFonts w:hint="eastAsia" w:ascii="Arial" w:hAnsi="Arial" w:cs="Arial"/>
          <w:sz w:val="21"/>
          <w:szCs w:val="21"/>
        </w:rPr>
        <w:t>。</w:t>
      </w:r>
    </w:p>
    <w:p w14:paraId="6275AB6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w:t>
      </w:r>
      <w:r>
        <w:rPr>
          <w:rFonts w:hint="eastAsia" w:ascii="Arial" w:hAnsi="Arial" w:cs="Arial"/>
          <w:sz w:val="21"/>
          <w:szCs w:val="21"/>
        </w:rPr>
        <w:t>现状</w:t>
      </w:r>
      <w:r>
        <w:rPr>
          <w:rFonts w:ascii="Arial" w:hAnsi="Arial" w:cs="Arial"/>
          <w:sz w:val="21"/>
          <w:szCs w:val="21"/>
        </w:rPr>
        <w:t>四至：</w:t>
      </w:r>
    </w:p>
    <w:p w14:paraId="573C6B99">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北京市北京经济技术开发区博兴九路19号院一区1号楼等5幢（X13海棠苑）公共租赁住房项目，现状四至为东至博兴九路，西至博兴十路，南至泰河路，北至凉水河二街。</w:t>
      </w:r>
    </w:p>
    <w:p w14:paraId="43F8C01F">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kern w:val="2"/>
          <w:sz w:val="21"/>
          <w:szCs w:val="21"/>
        </w:rPr>
        <w:t>北京市北京经济技术开发区鹿海园五里1号楼等13幢（X38鹿海园五里）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项目现状四至为东至博兴七路，西至博兴八路，南至泰河三街，北至泰河二街</w:t>
      </w:r>
      <w:r>
        <w:rPr>
          <w:rFonts w:hint="eastAsia" w:ascii="Arial" w:hAnsi="Arial" w:cs="Arial"/>
          <w:sz w:val="21"/>
          <w:szCs w:val="21"/>
        </w:rPr>
        <w:t>。</w:t>
      </w:r>
    </w:p>
    <w:p w14:paraId="38EF428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.估价对象所属项目用地</w:t>
      </w:r>
      <w:r>
        <w:rPr>
          <w:rFonts w:hint="eastAsia" w:ascii="Arial" w:hAnsi="Arial" w:cs="Arial"/>
          <w:sz w:val="21"/>
          <w:szCs w:val="21"/>
        </w:rPr>
        <w:t>均</w:t>
      </w:r>
      <w:r>
        <w:rPr>
          <w:rFonts w:ascii="Arial" w:hAnsi="Arial" w:cs="Arial"/>
          <w:sz w:val="21"/>
          <w:szCs w:val="21"/>
        </w:rPr>
        <w:t>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估价对象现状均已完成开发建设，土地利用程度高。</w:t>
      </w:r>
    </w:p>
    <w:p w14:paraId="4DD8D42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12505143">
      <w:pPr>
        <w:wordWrap w:val="0"/>
        <w:overflowPunct w:val="0"/>
        <w:spacing w:line="480" w:lineRule="auto"/>
        <w:ind w:firstLine="420" w:firstLineChars="200"/>
        <w:jc w:val="both"/>
        <w:textAlignment w:val="auto"/>
        <w:rPr>
          <w:rFonts w:hint="eastAsia"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2E4A3070">
      <w:pPr>
        <w:wordWrap w:val="0"/>
        <w:overflowPunct w:val="0"/>
        <w:spacing w:line="480" w:lineRule="auto"/>
        <w:ind w:firstLine="420" w:firstLineChars="200"/>
        <w:jc w:val="both"/>
        <w:textAlignment w:val="auto"/>
        <w:rPr>
          <w:rFonts w:hint="eastAsia" w:ascii="Arial" w:hAnsi="Arial" w:cs="Arial"/>
          <w:color w:val="E36C0A"/>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6F30FBE5">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453C7DC5">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1．建设规模：</w:t>
      </w: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w:t>
      </w:r>
    </w:p>
    <w:p w14:paraId="3CB1D8E4">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w:t>
      </w:r>
      <w:r>
        <w:rPr>
          <w:rFonts w:ascii="Arial" w:hAnsi="Arial" w:cs="Arial"/>
          <w:kern w:val="2"/>
          <w:sz w:val="21"/>
          <w:szCs w:val="21"/>
        </w:rPr>
        <w:t>-5</w:t>
      </w:r>
      <w:r>
        <w:rPr>
          <w:rFonts w:hint="eastAsia" w:ascii="Arial" w:hAnsi="Arial" w:cs="Arial"/>
          <w:kern w:val="2"/>
          <w:sz w:val="21"/>
          <w:szCs w:val="21"/>
        </w:rPr>
        <w:t>号楼，建筑类型均为板塔结合，楼宇主体建筑结构为装配式剪力墙（钢混），建筑层数均为地上1</w:t>
      </w:r>
      <w:r>
        <w:rPr>
          <w:rFonts w:ascii="Arial" w:hAnsi="Arial" w:cs="Arial"/>
          <w:kern w:val="2"/>
          <w:sz w:val="21"/>
          <w:szCs w:val="21"/>
        </w:rPr>
        <w:t>6</w:t>
      </w:r>
      <w:r>
        <w:rPr>
          <w:rFonts w:hint="eastAsia" w:ascii="Arial" w:hAnsi="Arial" w:cs="Arial"/>
          <w:kern w:val="2"/>
          <w:sz w:val="21"/>
          <w:szCs w:val="21"/>
        </w:rPr>
        <w:t>层、地下1层，层高</w:t>
      </w:r>
      <w:r>
        <w:rPr>
          <w:rFonts w:ascii="Arial" w:hAnsi="Arial" w:cs="Arial"/>
          <w:kern w:val="2"/>
          <w:sz w:val="21"/>
          <w:szCs w:val="21"/>
        </w:rPr>
        <w:t>2.7</w:t>
      </w:r>
      <w:r>
        <w:rPr>
          <w:rFonts w:hint="eastAsia" w:ascii="Arial" w:hAnsi="Arial" w:cs="Arial"/>
          <w:kern w:val="2"/>
          <w:sz w:val="21"/>
          <w:szCs w:val="21"/>
        </w:rPr>
        <w:t>米。根据估价委托人提供的《估价委托书》及《房屋收购协议》[编号：2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，确定本次估价范围建筑面积</w:t>
      </w:r>
      <w:r>
        <w:rPr>
          <w:rFonts w:ascii="Arial" w:hAnsi="Arial" w:cs="Arial"/>
          <w:kern w:val="2"/>
          <w:sz w:val="21"/>
          <w:szCs w:val="21"/>
        </w:rPr>
        <w:t>80734.26</w:t>
      </w:r>
      <w:r>
        <w:rPr>
          <w:rFonts w:hint="eastAsia" w:ascii="Arial" w:hAnsi="Arial" w:cs="Arial"/>
          <w:kern w:val="2"/>
          <w:sz w:val="21"/>
          <w:szCs w:val="21"/>
        </w:rPr>
        <w:t>平方米，可对外配租房屋共计</w:t>
      </w:r>
      <w:r>
        <w:rPr>
          <w:rFonts w:ascii="Arial" w:hAnsi="Arial" w:cs="Arial"/>
          <w:kern w:val="2"/>
          <w:sz w:val="21"/>
          <w:szCs w:val="21"/>
        </w:rPr>
        <w:t>1487</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4FE1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Align w:val="center"/>
          </w:tcPr>
          <w:p w14:paraId="0DDA7301">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107AAE7B">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4D84523D">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6853D8C8">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73B05CB3">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5D2A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0ED65119">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开间</w:t>
            </w:r>
          </w:p>
        </w:tc>
        <w:tc>
          <w:tcPr>
            <w:tcW w:w="1462" w:type="pct"/>
            <w:vAlign w:val="center"/>
          </w:tcPr>
          <w:p w14:paraId="4EF1E939">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25.44-50.91</w:t>
            </w:r>
          </w:p>
        </w:tc>
        <w:tc>
          <w:tcPr>
            <w:tcW w:w="681" w:type="pct"/>
            <w:vAlign w:val="center"/>
          </w:tcPr>
          <w:p w14:paraId="318D11F0">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201</w:t>
            </w:r>
          </w:p>
        </w:tc>
        <w:tc>
          <w:tcPr>
            <w:tcW w:w="1559" w:type="pct"/>
            <w:vAlign w:val="center"/>
          </w:tcPr>
          <w:p w14:paraId="0BF6030D">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9227.08</w:t>
            </w:r>
          </w:p>
        </w:tc>
        <w:tc>
          <w:tcPr>
            <w:tcW w:w="713" w:type="pct"/>
            <w:vAlign w:val="center"/>
          </w:tcPr>
          <w:p w14:paraId="77DFBB8C">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0BD4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512EA75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05D5E12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50.91-62.94</w:t>
            </w:r>
          </w:p>
        </w:tc>
        <w:tc>
          <w:tcPr>
            <w:tcW w:w="681" w:type="pct"/>
            <w:vAlign w:val="center"/>
          </w:tcPr>
          <w:p w14:paraId="792AC83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427</w:t>
            </w:r>
          </w:p>
        </w:tc>
        <w:tc>
          <w:tcPr>
            <w:tcW w:w="1559" w:type="pct"/>
            <w:vAlign w:val="center"/>
          </w:tcPr>
          <w:p w14:paraId="794FD14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24126.11</w:t>
            </w:r>
          </w:p>
        </w:tc>
        <w:tc>
          <w:tcPr>
            <w:tcW w:w="713" w:type="pct"/>
            <w:vAlign w:val="center"/>
          </w:tcPr>
          <w:p w14:paraId="061C6ED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4BFB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525E9D0">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4A87D60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38.46-51.96</w:t>
            </w:r>
          </w:p>
        </w:tc>
        <w:tc>
          <w:tcPr>
            <w:tcW w:w="681" w:type="pct"/>
            <w:vAlign w:val="center"/>
          </w:tcPr>
          <w:p w14:paraId="5829F7E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231</w:t>
            </w:r>
          </w:p>
        </w:tc>
        <w:tc>
          <w:tcPr>
            <w:tcW w:w="1559" w:type="pct"/>
            <w:vAlign w:val="center"/>
          </w:tcPr>
          <w:p w14:paraId="5D17FEF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11061.45</w:t>
            </w:r>
          </w:p>
        </w:tc>
        <w:tc>
          <w:tcPr>
            <w:tcW w:w="713" w:type="pct"/>
            <w:vAlign w:val="center"/>
          </w:tcPr>
          <w:p w14:paraId="7C9DC78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5694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6374D6E">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62A238D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51.05-60.85</w:t>
            </w:r>
          </w:p>
        </w:tc>
        <w:tc>
          <w:tcPr>
            <w:tcW w:w="681" w:type="pct"/>
            <w:vAlign w:val="center"/>
          </w:tcPr>
          <w:p w14:paraId="046BA60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442</w:t>
            </w:r>
          </w:p>
        </w:tc>
        <w:tc>
          <w:tcPr>
            <w:tcW w:w="1559" w:type="pct"/>
            <w:vAlign w:val="center"/>
          </w:tcPr>
          <w:p w14:paraId="30CD92D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24982.07</w:t>
            </w:r>
          </w:p>
        </w:tc>
        <w:tc>
          <w:tcPr>
            <w:tcW w:w="713" w:type="pct"/>
            <w:vAlign w:val="center"/>
          </w:tcPr>
          <w:p w14:paraId="5988223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4D26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EC8E13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1B745D0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100</w:t>
            </w:r>
          </w:p>
        </w:tc>
        <w:tc>
          <w:tcPr>
            <w:tcW w:w="1559" w:type="pct"/>
            <w:vAlign w:val="center"/>
          </w:tcPr>
          <w:p w14:paraId="5A20FCC0">
            <w:pPr>
              <w:spacing w:line="240" w:lineRule="auto"/>
              <w:jc w:val="center"/>
              <w:rPr>
                <w:rFonts w:hint="eastAsia" w:ascii="华文细黑" w:hAnsi="华文细黑" w:eastAsia="华文细黑" w:cs="Arial"/>
                <w:kern w:val="2"/>
                <w:sz w:val="18"/>
                <w:szCs w:val="18"/>
              </w:rPr>
            </w:pPr>
            <w:r>
              <w:rPr>
                <w:rFonts w:ascii="华文细黑" w:hAnsi="华文细黑" w:eastAsia="华文细黑" w:cs="Arial"/>
                <w:kern w:val="2"/>
                <w:sz w:val="18"/>
                <w:szCs w:val="18"/>
              </w:rPr>
              <w:t>60169.63</w:t>
            </w:r>
          </w:p>
        </w:tc>
        <w:tc>
          <w:tcPr>
            <w:tcW w:w="713" w:type="pct"/>
            <w:vAlign w:val="center"/>
          </w:tcPr>
          <w:p w14:paraId="3E8D489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7F2A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58F5551E">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56CF4C0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69A439C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92</w:t>
            </w:r>
          </w:p>
        </w:tc>
        <w:tc>
          <w:tcPr>
            <w:tcW w:w="1559" w:type="pct"/>
            <w:vAlign w:val="center"/>
          </w:tcPr>
          <w:p w14:paraId="5C49589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5608.43</w:t>
            </w:r>
          </w:p>
        </w:tc>
        <w:tc>
          <w:tcPr>
            <w:tcW w:w="713" w:type="pct"/>
            <w:vAlign w:val="center"/>
          </w:tcPr>
          <w:p w14:paraId="04D875C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5567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688FA27">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6FF1618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1A37CDE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94</w:t>
            </w:r>
          </w:p>
        </w:tc>
        <w:tc>
          <w:tcPr>
            <w:tcW w:w="1559" w:type="pct"/>
            <w:vAlign w:val="center"/>
          </w:tcPr>
          <w:p w14:paraId="69E266E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5729.12</w:t>
            </w:r>
          </w:p>
        </w:tc>
        <w:tc>
          <w:tcPr>
            <w:tcW w:w="713" w:type="pct"/>
            <w:vAlign w:val="center"/>
          </w:tcPr>
          <w:p w14:paraId="2D92021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042E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07190A4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66ACF42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86</w:t>
            </w:r>
          </w:p>
        </w:tc>
        <w:tc>
          <w:tcPr>
            <w:tcW w:w="1559" w:type="pct"/>
            <w:vAlign w:val="center"/>
          </w:tcPr>
          <w:p w14:paraId="141E6CC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1337.55</w:t>
            </w:r>
          </w:p>
        </w:tc>
        <w:tc>
          <w:tcPr>
            <w:tcW w:w="713" w:type="pct"/>
            <w:vAlign w:val="center"/>
          </w:tcPr>
          <w:p w14:paraId="6E3F0EF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3D6F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6A6326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00E968A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487</w:t>
            </w:r>
          </w:p>
        </w:tc>
        <w:tc>
          <w:tcPr>
            <w:tcW w:w="1559" w:type="pct"/>
            <w:vAlign w:val="center"/>
          </w:tcPr>
          <w:p w14:paraId="1560751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w:t>
            </w:r>
            <w:r>
              <w:rPr>
                <w:rFonts w:ascii="华文细黑" w:hAnsi="华文细黑" w:eastAsia="华文细黑" w:cs="Arial"/>
                <w:kern w:val="2"/>
                <w:sz w:val="18"/>
                <w:szCs w:val="18"/>
              </w:rPr>
              <w:t>0734.26</w:t>
            </w:r>
          </w:p>
        </w:tc>
        <w:tc>
          <w:tcPr>
            <w:tcW w:w="713" w:type="pct"/>
            <w:vAlign w:val="center"/>
          </w:tcPr>
          <w:p w14:paraId="30796D9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6B166730">
      <w:pPr>
        <w:wordWrap w:val="0"/>
        <w:overflowPunct w:val="0"/>
        <w:spacing w:before="240" w:beforeLines="10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北京经济技术开发区鹿海园五里1</w:t>
      </w:r>
      <w:r>
        <w:rPr>
          <w:rFonts w:ascii="Arial" w:hAnsi="Arial" w:cs="Arial"/>
          <w:kern w:val="2"/>
          <w:sz w:val="21"/>
          <w:szCs w:val="21"/>
        </w:rPr>
        <w:t>-13</w:t>
      </w:r>
      <w:r>
        <w:rPr>
          <w:rFonts w:hint="eastAsia" w:ascii="Arial" w:hAnsi="Arial" w:cs="Arial"/>
          <w:kern w:val="2"/>
          <w:sz w:val="21"/>
          <w:szCs w:val="21"/>
        </w:rPr>
        <w:t>号楼，建筑类型均为高层板楼，楼宇主体建筑结构为装配式剪力墙（钢混），建筑层数为地上</w:t>
      </w:r>
      <w:r>
        <w:rPr>
          <w:rFonts w:ascii="Arial" w:hAnsi="Arial" w:cs="Arial"/>
          <w:kern w:val="2"/>
          <w:sz w:val="21"/>
          <w:szCs w:val="21"/>
        </w:rPr>
        <w:t>20</w:t>
      </w:r>
      <w:r>
        <w:rPr>
          <w:rFonts w:hint="eastAsia" w:ascii="Arial" w:hAnsi="Arial" w:cs="Arial"/>
          <w:kern w:val="2"/>
          <w:sz w:val="21"/>
          <w:szCs w:val="21"/>
        </w:rPr>
        <w:t>层。根据估价委托人提供的《估价委托书》及《房屋交接书》，确定本次估价范围建筑面积</w:t>
      </w:r>
      <w:r>
        <w:rPr>
          <w:rFonts w:ascii="Arial" w:hAnsi="Arial" w:cs="Arial"/>
          <w:kern w:val="2"/>
          <w:sz w:val="21"/>
          <w:szCs w:val="21"/>
        </w:rPr>
        <w:t>121829.32</w:t>
      </w:r>
      <w:r>
        <w:rPr>
          <w:rFonts w:hint="eastAsia" w:ascii="Arial" w:hAnsi="Arial" w:cs="Arial"/>
          <w:kern w:val="2"/>
          <w:sz w:val="21"/>
          <w:szCs w:val="21"/>
        </w:rPr>
        <w:t>平方米，可对外配租房屋共计</w:t>
      </w:r>
      <w:r>
        <w:rPr>
          <w:rFonts w:ascii="Arial" w:hAnsi="Arial" w:cs="Arial"/>
          <w:kern w:val="2"/>
          <w:sz w:val="21"/>
          <w:szCs w:val="21"/>
        </w:rPr>
        <w:t>1231</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276A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5" w:type="pct"/>
            <w:vAlign w:val="center"/>
          </w:tcPr>
          <w:p w14:paraId="55818DE1">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662CCAE0">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5F6FE0EB">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621486A3">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487E114D">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79FA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3FC93BA5">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26021152">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51.15-71.3</w:t>
            </w:r>
          </w:p>
        </w:tc>
        <w:tc>
          <w:tcPr>
            <w:tcW w:w="681" w:type="pct"/>
            <w:vAlign w:val="center"/>
          </w:tcPr>
          <w:p w14:paraId="385F2B3D">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360AA2B2">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7338.79</w:t>
            </w:r>
          </w:p>
        </w:tc>
        <w:tc>
          <w:tcPr>
            <w:tcW w:w="713" w:type="pct"/>
          </w:tcPr>
          <w:p w14:paraId="511050D8">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2FC3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0B21C03">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1BE96BB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70-71.05</w:t>
            </w:r>
          </w:p>
        </w:tc>
        <w:tc>
          <w:tcPr>
            <w:tcW w:w="681" w:type="pct"/>
            <w:vAlign w:val="center"/>
          </w:tcPr>
          <w:p w14:paraId="64D72AE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114</w:t>
            </w:r>
          </w:p>
        </w:tc>
        <w:tc>
          <w:tcPr>
            <w:tcW w:w="1559" w:type="pct"/>
            <w:vAlign w:val="center"/>
          </w:tcPr>
          <w:p w14:paraId="2D9568F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8063.76</w:t>
            </w:r>
          </w:p>
        </w:tc>
        <w:tc>
          <w:tcPr>
            <w:tcW w:w="713" w:type="pct"/>
          </w:tcPr>
          <w:p w14:paraId="57E96490">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15EA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02C5B1D0">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75431C4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51.14-71.3</w:t>
            </w:r>
          </w:p>
        </w:tc>
        <w:tc>
          <w:tcPr>
            <w:tcW w:w="681" w:type="pct"/>
            <w:vAlign w:val="center"/>
          </w:tcPr>
          <w:p w14:paraId="2AA1A87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16C8BCC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7307.39</w:t>
            </w:r>
          </w:p>
        </w:tc>
        <w:tc>
          <w:tcPr>
            <w:tcW w:w="713" w:type="pct"/>
          </w:tcPr>
          <w:p w14:paraId="2DFE7562">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5C8D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4D9CAE5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0ED9F27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w:t>
            </w:r>
            <w:r>
              <w:rPr>
                <w:rFonts w:ascii="华文细黑" w:hAnsi="华文细黑" w:eastAsia="华文细黑" w:cs="Arial"/>
                <w:kern w:val="2"/>
                <w:sz w:val="18"/>
                <w:szCs w:val="18"/>
              </w:rPr>
              <w:t>34</w:t>
            </w:r>
          </w:p>
        </w:tc>
        <w:tc>
          <w:tcPr>
            <w:tcW w:w="1559" w:type="pct"/>
            <w:vAlign w:val="center"/>
          </w:tcPr>
          <w:p w14:paraId="5A36858F">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w:t>
            </w:r>
            <w:r>
              <w:rPr>
                <w:rFonts w:ascii="华文细黑" w:hAnsi="华文细黑" w:eastAsia="华文细黑" w:cs="Arial"/>
                <w:kern w:val="2"/>
                <w:sz w:val="18"/>
                <w:szCs w:val="18"/>
              </w:rPr>
              <w:t>2709.94</w:t>
            </w:r>
          </w:p>
        </w:tc>
        <w:tc>
          <w:tcPr>
            <w:tcW w:w="713" w:type="pct"/>
          </w:tcPr>
          <w:p w14:paraId="78AE94BD">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0B1A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2B934F6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4D591C9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98.27-98.36</w:t>
            </w:r>
          </w:p>
        </w:tc>
        <w:tc>
          <w:tcPr>
            <w:tcW w:w="681" w:type="pct"/>
            <w:vAlign w:val="center"/>
          </w:tcPr>
          <w:p w14:paraId="6EAAE3AF">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80</w:t>
            </w:r>
          </w:p>
        </w:tc>
        <w:tc>
          <w:tcPr>
            <w:tcW w:w="1559" w:type="pct"/>
            <w:vAlign w:val="center"/>
          </w:tcPr>
          <w:p w14:paraId="2CEDA31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7867.72</w:t>
            </w:r>
          </w:p>
        </w:tc>
        <w:tc>
          <w:tcPr>
            <w:tcW w:w="713" w:type="pct"/>
          </w:tcPr>
          <w:p w14:paraId="33958BA2">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北</w:t>
            </w:r>
          </w:p>
        </w:tc>
      </w:tr>
      <w:tr w14:paraId="607B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564D262">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57E7BDA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94.39-110.57</w:t>
            </w:r>
          </w:p>
        </w:tc>
        <w:tc>
          <w:tcPr>
            <w:tcW w:w="681" w:type="pct"/>
            <w:vAlign w:val="center"/>
          </w:tcPr>
          <w:p w14:paraId="7062ED5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501</w:t>
            </w:r>
          </w:p>
        </w:tc>
        <w:tc>
          <w:tcPr>
            <w:tcW w:w="1559" w:type="pct"/>
            <w:vAlign w:val="center"/>
          </w:tcPr>
          <w:p w14:paraId="1E389F6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52828.51</w:t>
            </w:r>
          </w:p>
        </w:tc>
        <w:tc>
          <w:tcPr>
            <w:tcW w:w="713" w:type="pct"/>
          </w:tcPr>
          <w:p w14:paraId="7D4879F3">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68AB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65E76C6">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20FF717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91.83-92.52</w:t>
            </w:r>
          </w:p>
        </w:tc>
        <w:tc>
          <w:tcPr>
            <w:tcW w:w="681" w:type="pct"/>
            <w:vAlign w:val="center"/>
          </w:tcPr>
          <w:p w14:paraId="02B156B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75</w:t>
            </w:r>
          </w:p>
        </w:tc>
        <w:tc>
          <w:tcPr>
            <w:tcW w:w="1559" w:type="pct"/>
            <w:vAlign w:val="center"/>
          </w:tcPr>
          <w:p w14:paraId="6858C54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6922.55</w:t>
            </w:r>
          </w:p>
        </w:tc>
        <w:tc>
          <w:tcPr>
            <w:tcW w:w="713" w:type="pct"/>
          </w:tcPr>
          <w:p w14:paraId="30953F57">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0DC1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DC3F94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023FB50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56</w:t>
            </w:r>
          </w:p>
        </w:tc>
        <w:tc>
          <w:tcPr>
            <w:tcW w:w="1559" w:type="pct"/>
            <w:vAlign w:val="center"/>
          </w:tcPr>
          <w:p w14:paraId="610F730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7618.78</w:t>
            </w:r>
          </w:p>
        </w:tc>
        <w:tc>
          <w:tcPr>
            <w:tcW w:w="713" w:type="pct"/>
          </w:tcPr>
          <w:p w14:paraId="28BDA074">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1271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4BD0566D">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三</w:t>
            </w:r>
            <w:r>
              <w:rPr>
                <w:rFonts w:ascii="华文细黑" w:hAnsi="华文细黑" w:eastAsia="华文细黑" w:cs="Arial"/>
                <w:kern w:val="2"/>
                <w:sz w:val="18"/>
                <w:szCs w:val="18"/>
              </w:rPr>
              <w:t>居</w:t>
            </w:r>
          </w:p>
        </w:tc>
        <w:tc>
          <w:tcPr>
            <w:tcW w:w="1462" w:type="pct"/>
            <w:vAlign w:val="center"/>
          </w:tcPr>
          <w:p w14:paraId="12907CB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123.14-131.57</w:t>
            </w:r>
          </w:p>
        </w:tc>
        <w:tc>
          <w:tcPr>
            <w:tcW w:w="681" w:type="pct"/>
            <w:vAlign w:val="center"/>
          </w:tcPr>
          <w:p w14:paraId="4C0D98F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241</w:t>
            </w:r>
          </w:p>
        </w:tc>
        <w:tc>
          <w:tcPr>
            <w:tcW w:w="1559" w:type="pct"/>
            <w:vAlign w:val="center"/>
          </w:tcPr>
          <w:p w14:paraId="40B28B8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31500.6</w:t>
            </w:r>
          </w:p>
        </w:tc>
        <w:tc>
          <w:tcPr>
            <w:tcW w:w="713" w:type="pct"/>
          </w:tcPr>
          <w:p w14:paraId="1C9EC828">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4A95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210CD69C">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0491D7B2">
            <w:pPr>
              <w:overflowPunct w:val="0"/>
              <w:spacing w:line="240"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1231</w:t>
            </w:r>
          </w:p>
        </w:tc>
        <w:tc>
          <w:tcPr>
            <w:tcW w:w="1559" w:type="pct"/>
            <w:vAlign w:val="center"/>
          </w:tcPr>
          <w:p w14:paraId="6A0C83E7">
            <w:pPr>
              <w:overflowPunct w:val="0"/>
              <w:spacing w:line="240"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121829.32</w:t>
            </w:r>
          </w:p>
        </w:tc>
        <w:tc>
          <w:tcPr>
            <w:tcW w:w="713" w:type="pct"/>
            <w:vAlign w:val="center"/>
          </w:tcPr>
          <w:p w14:paraId="7D2D369E">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592C6B2D">
      <w:pPr>
        <w:wordWrap w:val="0"/>
        <w:overflowPunct w:val="0"/>
        <w:spacing w:before="240" w:beforeLines="100"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2.建筑结构：估价对象所属楼宇建筑结构均为</w:t>
      </w:r>
      <w:r>
        <w:rPr>
          <w:rFonts w:hint="eastAsia" w:ascii="Arial" w:hAnsi="Arial" w:cs="Arial"/>
          <w:kern w:val="2"/>
          <w:sz w:val="21"/>
          <w:szCs w:val="21"/>
        </w:rPr>
        <w:t>装配式剪力墙（钢混）</w:t>
      </w:r>
      <w:r>
        <w:rPr>
          <w:rFonts w:hint="eastAsia" w:ascii="Arial" w:hAnsi="Arial" w:cs="Arial"/>
          <w:sz w:val="21"/>
          <w:szCs w:val="21"/>
        </w:rPr>
        <w:t>结构。</w:t>
      </w:r>
      <w:bookmarkStart w:id="20" w:name="OLE_LINK3"/>
      <w:bookmarkStart w:id="21" w:name="OLE_LINK2"/>
    </w:p>
    <w:p w14:paraId="18188101">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X13海棠苑楼型</w:t>
      </w:r>
      <w:r>
        <w:rPr>
          <w:rFonts w:hint="eastAsia" w:ascii="Arial" w:hAnsi="Arial" w:cs="Arial"/>
          <w:sz w:val="21"/>
          <w:szCs w:val="21"/>
        </w:rPr>
        <w:t>为板塔结合，</w:t>
      </w:r>
      <w:r>
        <w:rPr>
          <w:rFonts w:hint="eastAsia" w:ascii="Arial" w:hAnsi="Arial" w:cs="Arial"/>
          <w:kern w:val="2"/>
          <w:sz w:val="21"/>
          <w:szCs w:val="21"/>
        </w:rPr>
        <w:t>X38鹿海园五里楼型</w:t>
      </w:r>
      <w:r>
        <w:rPr>
          <w:rFonts w:hint="eastAsia" w:ascii="Arial" w:hAnsi="Arial" w:cs="Arial"/>
          <w:sz w:val="21"/>
          <w:szCs w:val="21"/>
        </w:rPr>
        <w:t>为高层板楼。</w:t>
      </w:r>
    </w:p>
    <w:p w14:paraId="7F19CD2A">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4.设施设备：估价对象所在项目均配套设施完备，给排水、电力、电讯、暖通等齐全；防火栓、安防系统等设备齐全。部分户型配备家具家电。</w:t>
      </w:r>
    </w:p>
    <w:p w14:paraId="1BE0C13E">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5.装饰装修：根据估价委托人介绍及估价人员实地查勘，估价对象均为普通装修，外立面喷涂料，公共部分首层地面贴砖，顶棚、墙面刷涂料。室内地面铺设木地板，墙面刷涂料，顶棚刷涂料；厨房地面铺设地砖，墙面为墙砖或PVC，顶棚为铝扣板；卫生间地面铺设地砖，墙面为墙砖或PVC，顶棚为铝扣板。</w:t>
      </w:r>
    </w:p>
    <w:p w14:paraId="18621A1A">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6.新旧程度：截至价值时点，估价对象观察成新度较高，建成年代较近，综合成新度较高。</w:t>
      </w:r>
    </w:p>
    <w:p w14:paraId="0690223A">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7.户型设计：X13海棠苑共</w:t>
      </w:r>
      <w:r>
        <w:rPr>
          <w:rFonts w:ascii="Arial" w:hAnsi="Arial" w:cs="Arial"/>
          <w:sz w:val="21"/>
          <w:szCs w:val="21"/>
        </w:rPr>
        <w:t>1487</w:t>
      </w:r>
      <w:r>
        <w:rPr>
          <w:rFonts w:hint="eastAsia" w:ascii="Arial" w:hAnsi="Arial" w:cs="Arial"/>
          <w:sz w:val="21"/>
          <w:szCs w:val="21"/>
        </w:rPr>
        <w:t>套，有三种户型，分别为开间、一居室、二居室。其中，开间共201套，面积控制在25.44-50.91平方米；一居室共1100套，面积控制38.46-62.94平方米；二居室共186套，面积约控制为60.42-61.34平方米。</w:t>
      </w:r>
    </w:p>
    <w:p w14:paraId="627DC92F">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X38鹿海园五里共1231套，有三种户型，分别为一居室、二居室、三居室。其中，一居室共334套，面积约控制在51.14-71.30平方米；二居室共656套，面积控制在91.83-110.57平方米；三居室共</w:t>
      </w:r>
      <w:r>
        <w:rPr>
          <w:rFonts w:ascii="Arial" w:hAnsi="Arial" w:cs="Arial"/>
          <w:sz w:val="21"/>
          <w:szCs w:val="21"/>
        </w:rPr>
        <w:t>241</w:t>
      </w:r>
      <w:r>
        <w:rPr>
          <w:rFonts w:hint="eastAsia" w:ascii="Arial" w:hAnsi="Arial" w:cs="Arial"/>
          <w:sz w:val="21"/>
          <w:szCs w:val="21"/>
        </w:rPr>
        <w:t>套，面积为</w:t>
      </w:r>
      <w:r>
        <w:rPr>
          <w:rFonts w:ascii="Arial" w:hAnsi="Arial" w:cs="Arial"/>
          <w:sz w:val="21"/>
          <w:szCs w:val="21"/>
        </w:rPr>
        <w:t>123.14-131.57</w:t>
      </w:r>
      <w:r>
        <w:rPr>
          <w:rFonts w:hint="eastAsia" w:ascii="Arial" w:hAnsi="Arial" w:cs="Arial"/>
          <w:sz w:val="21"/>
          <w:szCs w:val="21"/>
        </w:rPr>
        <w:t>平方米。</w:t>
      </w:r>
    </w:p>
    <w:p w14:paraId="0E9C002C">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8.朝向：X13海棠苑朝向为西、东、南，以朝西为主。</w:t>
      </w:r>
    </w:p>
    <w:p w14:paraId="11BF4146">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X38鹿海园五里朝向为南北、南、西、东、北，以朝南北为主。</w:t>
      </w:r>
    </w:p>
    <w:bookmarkEnd w:id="20"/>
    <w:bookmarkEnd w:id="21"/>
    <w:p w14:paraId="7137D120">
      <w:pPr>
        <w:spacing w:line="560" w:lineRule="exact"/>
        <w:rPr>
          <w:rFonts w:hint="eastAsia" w:ascii="Arial" w:hAnsi="Arial" w:cs="Arial"/>
          <w:b/>
          <w:kern w:val="2"/>
          <w:sz w:val="21"/>
          <w:szCs w:val="21"/>
        </w:rPr>
      </w:pPr>
      <w:r>
        <w:rPr>
          <w:rFonts w:hint="eastAsia" w:ascii="Arial" w:hAnsi="Arial" w:cs="Arial"/>
          <w:b/>
          <w:kern w:val="2"/>
          <w:sz w:val="21"/>
          <w:szCs w:val="21"/>
        </w:rPr>
        <w:t>（四）对价格影响的分析</w:t>
      </w:r>
    </w:p>
    <w:p w14:paraId="055EA965">
      <w:pPr>
        <w:spacing w:line="560" w:lineRule="exact"/>
        <w:ind w:firstLine="420" w:firstLineChars="200"/>
        <w:rPr>
          <w:rFonts w:hint="eastAsia" w:ascii="Arial" w:hAnsi="Arial" w:cs="Arial"/>
          <w:sz w:val="21"/>
          <w:szCs w:val="21"/>
        </w:rPr>
      </w:pPr>
      <w:r>
        <w:rPr>
          <w:rFonts w:ascii="Arial" w:hAnsi="Arial" w:cs="Arial"/>
          <w:sz w:val="21"/>
          <w:szCs w:val="21"/>
        </w:rPr>
        <w:t>估价对象作为住宅使用，通用性相对较好，能完全满足大部分求租者的需求，因此将会在一定程度上影响其租金价格水平。</w:t>
      </w:r>
    </w:p>
    <w:p w14:paraId="1B954968">
      <w:pPr>
        <w:spacing w:line="560" w:lineRule="exact"/>
        <w:rPr>
          <w:rFonts w:hint="eastAsia" w:ascii="Arial" w:hAnsi="Arial" w:cs="Arial"/>
          <w:kern w:val="2"/>
          <w:sz w:val="21"/>
          <w:szCs w:val="21"/>
        </w:rPr>
      </w:pPr>
      <w:r>
        <w:rPr>
          <w:rFonts w:hint="eastAsia" w:ascii="Arial" w:hAnsi="Arial" w:cs="Arial"/>
          <w:b/>
          <w:kern w:val="2"/>
          <w:sz w:val="21"/>
          <w:szCs w:val="21"/>
        </w:rPr>
        <w:t>（五）他项权利状况</w:t>
      </w:r>
    </w:p>
    <w:p w14:paraId="492DD9B9">
      <w:pPr>
        <w:spacing w:line="560" w:lineRule="exact"/>
        <w:ind w:firstLine="420" w:firstLineChars="200"/>
        <w:rPr>
          <w:rFonts w:hint="eastAsia" w:ascii="Arial" w:hAnsi="Arial" w:cs="Arial"/>
          <w:kern w:val="2"/>
          <w:sz w:val="21"/>
          <w:szCs w:val="21"/>
        </w:rPr>
      </w:pPr>
      <w:r>
        <w:rPr>
          <w:rFonts w:hint="eastAsia" w:ascii="Arial" w:hAnsi="Arial" w:cs="Arial"/>
          <w:kern w:val="2"/>
          <w:sz w:val="21"/>
          <w:szCs w:val="21"/>
        </w:rPr>
        <w:t>1.根据注册房地产估价师实地查勘及领勘人介绍，于价值时点，估价对象部分已公开配租，结合本次估价目的，未考虑现有租约对估价结果的影响。</w:t>
      </w:r>
    </w:p>
    <w:p w14:paraId="7F0657DC">
      <w:pPr>
        <w:spacing w:line="560" w:lineRule="exact"/>
        <w:ind w:firstLine="420" w:firstLineChars="200"/>
        <w:rPr>
          <w:rFonts w:hint="eastAsia" w:ascii="Arial" w:hAnsi="Arial" w:cs="Arial"/>
          <w:kern w:val="2"/>
          <w:sz w:val="21"/>
          <w:szCs w:val="21"/>
        </w:rPr>
      </w:pPr>
      <w:r>
        <w:rPr>
          <w:rFonts w:hint="eastAsia" w:ascii="Arial" w:hAnsi="Arial" w:cs="Arial"/>
          <w:kern w:val="2"/>
          <w:sz w:val="21"/>
          <w:szCs w:val="21"/>
        </w:rPr>
        <w:t>2.经建设单位介绍，估价对象于价值时点不存在抵押权、地役权、查封等他项权利，根据估价目的，本次评估设定估价对象于价值时点不存在抵押权、地役权、查封等他项权利。</w:t>
      </w:r>
    </w:p>
    <w:p w14:paraId="316581F8">
      <w:pPr>
        <w:wordWrap w:val="0"/>
        <w:overflowPunct w:val="0"/>
        <w:spacing w:line="480" w:lineRule="auto"/>
        <w:ind w:firstLine="420" w:firstLineChars="200"/>
        <w:jc w:val="both"/>
        <w:textAlignment w:val="auto"/>
        <w:rPr>
          <w:rFonts w:ascii="Arial" w:hAnsi="Arial" w:cs="Arial"/>
          <w:color w:val="E36C0A"/>
          <w:sz w:val="21"/>
          <w:szCs w:val="21"/>
        </w:rPr>
      </w:pPr>
    </w:p>
    <w:p w14:paraId="1E37C211">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2" w:name="_Toc168225817"/>
      <w:bookmarkStart w:id="23" w:name="_Toc11111"/>
      <w:r>
        <w:rPr>
          <w:rFonts w:eastAsia="宋体"/>
          <w:kern w:val="2"/>
          <w:sz w:val="21"/>
          <w:szCs w:val="21"/>
        </w:rPr>
        <w:t>五</w:t>
      </w:r>
      <w:bookmarkEnd w:id="22"/>
      <w:r>
        <w:rPr>
          <w:rFonts w:eastAsia="宋体"/>
          <w:kern w:val="2"/>
          <w:sz w:val="21"/>
          <w:szCs w:val="21"/>
        </w:rPr>
        <w:t>、价值时点</w:t>
      </w:r>
      <w:bookmarkEnd w:id="23"/>
    </w:p>
    <w:p w14:paraId="5C1CB7C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2025年10月1日</w:t>
      </w:r>
      <w:r>
        <w:rPr>
          <w:rFonts w:ascii="Arial" w:hAnsi="Arial" w:cs="Arial"/>
          <w:sz w:val="21"/>
          <w:szCs w:val="21"/>
        </w:rPr>
        <w:t>（根据《估价委托书》确定）</w:t>
      </w:r>
    </w:p>
    <w:p w14:paraId="54C33092">
      <w:pPr>
        <w:wordWrap w:val="0"/>
        <w:overflowPunct w:val="0"/>
        <w:spacing w:line="480" w:lineRule="auto"/>
        <w:ind w:firstLine="420" w:firstLineChars="200"/>
        <w:jc w:val="both"/>
        <w:textAlignment w:val="auto"/>
        <w:rPr>
          <w:rFonts w:ascii="Arial" w:hAnsi="Arial" w:cs="Arial"/>
          <w:sz w:val="21"/>
          <w:szCs w:val="21"/>
        </w:rPr>
      </w:pPr>
    </w:p>
    <w:p w14:paraId="5F2B44BA">
      <w:pPr>
        <w:pStyle w:val="3"/>
        <w:numPr>
          <w:ilvl w:val="0"/>
          <w:numId w:val="0"/>
        </w:numPr>
        <w:overflowPunct w:val="0"/>
        <w:adjustRightInd/>
        <w:spacing w:line="480" w:lineRule="auto"/>
        <w:ind w:left="357" w:hanging="357"/>
        <w:jc w:val="both"/>
        <w:textAlignment w:val="auto"/>
        <w:rPr>
          <w:rFonts w:eastAsia="宋体;SimSun"/>
          <w:kern w:val="2"/>
          <w:sz w:val="21"/>
          <w:szCs w:val="21"/>
        </w:rPr>
      </w:pPr>
      <w:bookmarkStart w:id="24" w:name="_Toc168225818"/>
      <w:bookmarkStart w:id="25" w:name="_Toc22494"/>
      <w:r>
        <w:rPr>
          <w:rFonts w:eastAsia="宋体;SimSun"/>
          <w:kern w:val="2"/>
          <w:sz w:val="21"/>
          <w:szCs w:val="21"/>
        </w:rPr>
        <w:t>六</w:t>
      </w:r>
      <w:bookmarkEnd w:id="24"/>
      <w:r>
        <w:rPr>
          <w:rFonts w:eastAsia="宋体;SimSun"/>
          <w:kern w:val="2"/>
          <w:sz w:val="21"/>
          <w:szCs w:val="21"/>
        </w:rPr>
        <w:t>、价值类型</w:t>
      </w:r>
      <w:bookmarkEnd w:id="25"/>
    </w:p>
    <w:p w14:paraId="19F87ECC">
      <w:pPr>
        <w:pStyle w:val="3"/>
        <w:numPr>
          <w:ilvl w:val="0"/>
          <w:numId w:val="0"/>
        </w:numPr>
        <w:overflowPunct w:val="0"/>
        <w:adjustRightInd/>
        <w:spacing w:line="480" w:lineRule="auto"/>
        <w:ind w:left="357" w:hanging="357"/>
        <w:jc w:val="both"/>
        <w:textAlignment w:val="auto"/>
        <w:rPr>
          <w:rFonts w:hint="eastAsia" w:eastAsia="宋体;SimSun"/>
          <w:kern w:val="2"/>
          <w:sz w:val="21"/>
          <w:szCs w:val="21"/>
        </w:rPr>
      </w:pPr>
      <w:bookmarkStart w:id="26" w:name="_Toc14680"/>
      <w:r>
        <w:rPr>
          <w:rFonts w:hint="eastAsia" w:eastAsia="宋体;SimSun"/>
          <w:kern w:val="2"/>
          <w:sz w:val="21"/>
          <w:szCs w:val="21"/>
        </w:rPr>
        <w:t>（一）价值类型</w:t>
      </w:r>
      <w:bookmarkEnd w:id="26"/>
    </w:p>
    <w:p w14:paraId="6D2508CF">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房地产评估的技术规程和本次估价目的，本次估价采用的是市场价值标准。估价结果中的房地产租金价格是指估价对象在估价时段（2024年10月1日至2025年9月30日）规划利用条件及下述设定条件下的市场平均租金价格：</w:t>
      </w:r>
      <w:r>
        <w:rPr>
          <w:rFonts w:ascii="Arial" w:hAnsi="Arial" w:cs="Arial"/>
          <w:sz w:val="21"/>
          <w:szCs w:val="21"/>
        </w:rPr>
        <w:t xml:space="preserve"> </w:t>
      </w:r>
    </w:p>
    <w:p w14:paraId="40CFEFF3">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 xml:space="preserve"> </w:t>
      </w:r>
    </w:p>
    <w:p w14:paraId="043515C6">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0390EDE7">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6A036765">
      <w:pPr>
        <w:adjustRightInd/>
        <w:spacing w:line="480" w:lineRule="auto"/>
        <w:ind w:firstLine="420"/>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1FA27B8A">
      <w:pPr>
        <w:spacing w:line="560" w:lineRule="exact"/>
        <w:rPr>
          <w:rFonts w:hint="eastAsia" w:ascii="Arial" w:hAnsi="Arial" w:cs="Arial"/>
          <w:b/>
          <w:kern w:val="2"/>
          <w:sz w:val="21"/>
          <w:szCs w:val="21"/>
        </w:rPr>
      </w:pPr>
      <w:r>
        <w:rPr>
          <w:rFonts w:hint="eastAsia" w:ascii="Arial" w:hAnsi="Arial" w:cs="Arial"/>
          <w:b/>
          <w:kern w:val="2"/>
          <w:sz w:val="21"/>
          <w:szCs w:val="21"/>
        </w:rPr>
        <w:t>（二）设定条件</w:t>
      </w:r>
    </w:p>
    <w:p w14:paraId="376A1B8D">
      <w:pPr>
        <w:spacing w:line="560" w:lineRule="exact"/>
        <w:ind w:firstLine="420" w:firstLineChars="200"/>
        <w:rPr>
          <w:rFonts w:hint="eastAsia"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房地产于价值时点2025年10月1日前一年内（2024年10月1日至2025年9月30日）的估价时段内，</w:t>
      </w:r>
      <w:r>
        <w:rPr>
          <w:rFonts w:ascii="Arial" w:hAnsi="Arial" w:cs="Arial"/>
          <w:sz w:val="21"/>
          <w:szCs w:val="21"/>
        </w:rPr>
        <w:t>估价对象在规划利用条件及下述设定条件下的市场平均租金价格：</w:t>
      </w:r>
    </w:p>
    <w:p w14:paraId="7CAFAF75">
      <w:pPr>
        <w:spacing w:line="560" w:lineRule="exact"/>
        <w:ind w:firstLine="420" w:firstLineChars="200"/>
        <w:rPr>
          <w:rFonts w:hint="eastAsia" w:ascii="Arial" w:hAnsi="Arial" w:cs="Arial"/>
          <w:sz w:val="21"/>
          <w:szCs w:val="21"/>
        </w:rPr>
      </w:pPr>
      <w:r>
        <w:rPr>
          <w:rFonts w:hint="eastAsia" w:ascii="Arial" w:hAnsi="Arial" w:cs="Arial"/>
          <w:sz w:val="21"/>
          <w:szCs w:val="21"/>
        </w:rPr>
        <w:t>1. 估价结果为项目同地段、同类型普通住宅前12个月（2024年10月1日至2025年9月30日）的市场平均月租金价格；</w:t>
      </w:r>
    </w:p>
    <w:p w14:paraId="7AEB2764">
      <w:pPr>
        <w:spacing w:line="560" w:lineRule="exact"/>
        <w:ind w:firstLine="420" w:firstLineChars="200"/>
        <w:rPr>
          <w:rFonts w:hint="eastAsia" w:ascii="Arial" w:hAnsi="Arial" w:cs="Arial"/>
          <w:sz w:val="21"/>
          <w:szCs w:val="21"/>
        </w:rPr>
      </w:pPr>
      <w:r>
        <w:rPr>
          <w:rFonts w:hint="eastAsia" w:ascii="Arial" w:hAnsi="Arial" w:cs="Arial"/>
          <w:sz w:val="21"/>
          <w:szCs w:val="21"/>
        </w:rPr>
        <w:t>2.估价对象所在区域是指与估价对象地理位置比较接近或者一致，基础设施、环境条件、规划条件、配套服务设施等情况基本相同的区域；</w:t>
      </w:r>
    </w:p>
    <w:p w14:paraId="2A532C54">
      <w:pPr>
        <w:spacing w:line="560" w:lineRule="exact"/>
        <w:ind w:firstLine="420" w:firstLineChars="200"/>
        <w:rPr>
          <w:rFonts w:hint="eastAsia" w:ascii="Arial" w:hAnsi="Arial" w:cs="Arial"/>
          <w:sz w:val="21"/>
          <w:szCs w:val="21"/>
        </w:rPr>
      </w:pPr>
      <w:r>
        <w:rPr>
          <w:rFonts w:hint="eastAsia" w:ascii="Arial" w:hAnsi="Arial" w:cs="Arial"/>
          <w:sz w:val="21"/>
          <w:szCs w:val="21"/>
        </w:rPr>
        <w:t>3.同地段、同类型住房是指普通住宅，含普通商品住宅、限价商品住房等；</w:t>
      </w:r>
    </w:p>
    <w:p w14:paraId="53D855E0">
      <w:pPr>
        <w:spacing w:line="560" w:lineRule="exact"/>
        <w:ind w:firstLine="420" w:firstLineChars="200"/>
        <w:rPr>
          <w:rFonts w:ascii="Arial" w:hAnsi="Arial" w:cs="Arial"/>
          <w:sz w:val="21"/>
          <w:szCs w:val="21"/>
        </w:rPr>
      </w:pPr>
      <w:r>
        <w:rPr>
          <w:rFonts w:hint="eastAsia" w:ascii="Arial" w:hAnsi="Arial" w:cs="Arial"/>
          <w:sz w:val="21"/>
          <w:szCs w:val="21"/>
        </w:rPr>
        <w:t>4.本次估价采取标准房进行评估设定，标准房是指参照被评估公共租赁住房项目的户型、面积、朝向、楼层、装修及设备等因素按照众数原则设定的房屋状况。</w:t>
      </w:r>
      <w:r>
        <w:rPr>
          <w:rFonts w:hint="eastAsia" w:ascii="Arial" w:hAnsi="Arial" w:cs="Arial"/>
          <w:kern w:val="2"/>
          <w:sz w:val="21"/>
          <w:szCs w:val="21"/>
        </w:rPr>
        <w:t>X13海棠苑项目以户型为一居室，面积为</w:t>
      </w:r>
      <w:r>
        <w:rPr>
          <w:rFonts w:ascii="Arial" w:hAnsi="Arial" w:cs="Arial"/>
          <w:kern w:val="2"/>
          <w:sz w:val="21"/>
          <w:szCs w:val="21"/>
        </w:rPr>
        <w:t>59.64</w:t>
      </w:r>
      <w:r>
        <w:rPr>
          <w:rFonts w:hint="eastAsia" w:ascii="Arial" w:hAnsi="Arial" w:cs="Arial"/>
          <w:kern w:val="2"/>
          <w:sz w:val="21"/>
          <w:szCs w:val="21"/>
        </w:rPr>
        <w:t>平方米，朝向为西，装修情况为普通装修的普通商品住宅房地产为标准房；X38鹿海园五里项目以户型为二居室，面积为</w:t>
      </w:r>
      <w:r>
        <w:rPr>
          <w:rFonts w:ascii="Arial" w:hAnsi="Arial" w:cs="Arial"/>
          <w:kern w:val="2"/>
          <w:sz w:val="21"/>
          <w:szCs w:val="21"/>
        </w:rPr>
        <w:t>109.19</w:t>
      </w:r>
      <w:r>
        <w:rPr>
          <w:rFonts w:hint="eastAsia" w:ascii="Arial" w:hAnsi="Arial" w:cs="Arial"/>
          <w:kern w:val="2"/>
          <w:sz w:val="21"/>
          <w:szCs w:val="21"/>
        </w:rPr>
        <w:t>平方米，朝向为南北，装修情况为普通装修的普通商品住宅房地产为标准房。</w:t>
      </w:r>
    </w:p>
    <w:p w14:paraId="2D635788">
      <w:pPr>
        <w:spacing w:line="560" w:lineRule="exact"/>
        <w:ind w:firstLine="420" w:firstLineChars="200"/>
        <w:rPr>
          <w:rFonts w:ascii="Arial" w:hAnsi="Arial" w:cs="Arial"/>
          <w:sz w:val="21"/>
          <w:szCs w:val="21"/>
        </w:rPr>
      </w:pPr>
      <w:r>
        <w:rPr>
          <w:rFonts w:ascii="Arial" w:hAnsi="Arial" w:cs="Arial"/>
          <w:sz w:val="21"/>
          <w:szCs w:val="21"/>
        </w:rPr>
        <w:t>5.租金估价结果</w:t>
      </w:r>
      <w:r>
        <w:rPr>
          <w:rFonts w:hint="eastAsia"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w:t>
      </w:r>
    </w:p>
    <w:p w14:paraId="5721B81F">
      <w:pPr>
        <w:wordWrap w:val="0"/>
        <w:overflowPunct w:val="0"/>
        <w:spacing w:line="480" w:lineRule="auto"/>
        <w:ind w:firstLine="420" w:firstLineChars="200"/>
        <w:jc w:val="both"/>
        <w:textAlignment w:val="auto"/>
        <w:rPr>
          <w:rFonts w:ascii="Arial" w:hAnsi="Arial" w:cs="Arial"/>
          <w:sz w:val="21"/>
          <w:szCs w:val="21"/>
        </w:rPr>
      </w:pPr>
    </w:p>
    <w:p w14:paraId="43A1748C">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9"/>
      <w:bookmarkStart w:id="28" w:name="_Toc2558"/>
      <w:r>
        <w:rPr>
          <w:rFonts w:eastAsia="宋体"/>
          <w:kern w:val="2"/>
          <w:sz w:val="21"/>
          <w:szCs w:val="21"/>
        </w:rPr>
        <w:t>七、估价原则</w:t>
      </w:r>
      <w:bookmarkEnd w:id="27"/>
      <w:bookmarkEnd w:id="28"/>
    </w:p>
    <w:p w14:paraId="2400FF4B">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554EB15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6F55ECC">
      <w:pPr>
        <w:wordWrap w:val="0"/>
        <w:overflowPunct w:val="0"/>
        <w:spacing w:line="480" w:lineRule="auto"/>
        <w:ind w:firstLine="420" w:firstLineChars="200"/>
        <w:jc w:val="both"/>
        <w:textAlignment w:val="auto"/>
        <w:rPr>
          <w:rFonts w:hint="eastAsia" w:ascii="Arial" w:hAnsi="Arial" w:cs="Arial"/>
          <w:sz w:val="21"/>
          <w:szCs w:val="21"/>
        </w:rPr>
      </w:pPr>
      <w:r>
        <w:rPr>
          <w:rFonts w:ascii="Arial" w:hAnsi="Arial" w:cs="Arial"/>
          <w:sz w:val="21"/>
          <w:szCs w:val="21"/>
        </w:rPr>
        <w:t>独立、客观、公正原则要求</w:t>
      </w:r>
      <w:r>
        <w:rPr>
          <w:rFonts w:hint="eastAsia" w:ascii="Arial" w:hAnsi="Arial" w:cs="Arial"/>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4E4280F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6859664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48B6A67C">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221DCF5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6CA7425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本次估价对象位于北京市大兴</w:t>
      </w:r>
      <w:r>
        <w:rPr>
          <w:rFonts w:hint="eastAsia" w:ascii="Arial" w:hAnsi="Arial" w:cs="Arial"/>
          <w:kern w:val="2"/>
          <w:sz w:val="21"/>
          <w:szCs w:val="21"/>
        </w:rPr>
        <w:t>区</w:t>
      </w:r>
      <w:r>
        <w:rPr>
          <w:rFonts w:ascii="Arial" w:hAnsi="Arial" w:cs="Arial"/>
          <w:sz w:val="21"/>
          <w:szCs w:val="21"/>
        </w:rPr>
        <w:t>，估价对象</w:t>
      </w:r>
      <w:r>
        <w:rPr>
          <w:rFonts w:hint="eastAsia" w:ascii="Arial" w:hAnsi="Arial" w:cs="Arial"/>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hint="eastAsia" w:ascii="Arial" w:hAnsi="Arial" w:cs="Arial"/>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hint="eastAsia" w:ascii="Arial" w:hAnsi="Arial" w:cs="Arial"/>
          <w:sz w:val="21"/>
          <w:szCs w:val="21"/>
        </w:rPr>
        <w:t>各类人才对</w:t>
      </w:r>
      <w:r>
        <w:rPr>
          <w:rFonts w:ascii="Arial" w:hAnsi="Arial" w:cs="Arial"/>
          <w:sz w:val="21"/>
          <w:szCs w:val="21"/>
        </w:rPr>
        <w:t>住房</w:t>
      </w:r>
      <w:r>
        <w:rPr>
          <w:rFonts w:hint="eastAsia" w:ascii="Arial" w:hAnsi="Arial" w:cs="Arial"/>
          <w:sz w:val="21"/>
          <w:szCs w:val="21"/>
        </w:rPr>
        <w:t>的实际</w:t>
      </w:r>
      <w:r>
        <w:rPr>
          <w:rFonts w:ascii="Arial" w:hAnsi="Arial" w:cs="Arial"/>
          <w:sz w:val="21"/>
          <w:szCs w:val="21"/>
        </w:rPr>
        <w:t>需求，因此，建设</w:t>
      </w:r>
      <w:r>
        <w:rPr>
          <w:rFonts w:hint="eastAsia" w:ascii="Arial" w:hAnsi="Arial" w:cs="Arial"/>
          <w:sz w:val="21"/>
          <w:szCs w:val="21"/>
        </w:rPr>
        <w:t>公共租赁</w:t>
      </w:r>
      <w:r>
        <w:rPr>
          <w:rFonts w:ascii="Arial" w:hAnsi="Arial" w:cs="Arial"/>
          <w:sz w:val="21"/>
          <w:szCs w:val="21"/>
        </w:rPr>
        <w:t>住房具有很大的社会效益。故估价对象符合最高最佳利用原则。</w:t>
      </w:r>
    </w:p>
    <w:p w14:paraId="67A83335">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3AC155F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60CADA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4F6F3C08">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795EE09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7DBBB7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3B42C6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w:t>
      </w:r>
      <w:r>
        <w:rPr>
          <w:rFonts w:hint="eastAsia" w:ascii="Arial" w:hAnsi="Arial" w:cs="Arial"/>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hint="eastAsia" w:ascii="Arial" w:hAnsi="Arial" w:cs="Arial"/>
          <w:sz w:val="21"/>
          <w:szCs w:val="21"/>
        </w:rPr>
        <w:t>。</w:t>
      </w:r>
    </w:p>
    <w:p w14:paraId="4219747E">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六</w:t>
      </w:r>
      <w:r>
        <w:rPr>
          <w:rFonts w:ascii="Arial" w:hAnsi="Arial" w:cs="Arial"/>
          <w:b/>
          <w:sz w:val="21"/>
          <w:szCs w:val="21"/>
        </w:rPr>
        <w:t>）</w:t>
      </w:r>
      <w:r>
        <w:rPr>
          <w:rFonts w:hint="eastAsia" w:ascii="Arial" w:hAnsi="Arial" w:cs="Arial"/>
          <w:b/>
          <w:sz w:val="21"/>
          <w:szCs w:val="21"/>
        </w:rPr>
        <w:t>固定用途使用原则</w:t>
      </w:r>
    </w:p>
    <w:p w14:paraId="6596DB44">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6766A335">
      <w:pPr>
        <w:wordWrap w:val="0"/>
        <w:overflowPunct w:val="0"/>
        <w:spacing w:line="480" w:lineRule="auto"/>
        <w:ind w:firstLine="420" w:firstLineChars="200"/>
        <w:jc w:val="both"/>
        <w:textAlignment w:val="auto"/>
        <w:rPr>
          <w:rFonts w:ascii="Arial" w:hAnsi="Arial" w:cs="Arial"/>
          <w:sz w:val="21"/>
          <w:szCs w:val="21"/>
        </w:rPr>
      </w:pPr>
    </w:p>
    <w:p w14:paraId="67900A7C">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9" w:name="_Toc168225820"/>
      <w:bookmarkStart w:id="30" w:name="_Toc31679"/>
      <w:r>
        <w:rPr>
          <w:rFonts w:eastAsia="宋体"/>
          <w:kern w:val="2"/>
          <w:sz w:val="21"/>
          <w:szCs w:val="21"/>
        </w:rPr>
        <w:t>八、估价</w:t>
      </w:r>
      <w:bookmarkEnd w:id="29"/>
      <w:r>
        <w:rPr>
          <w:rFonts w:eastAsia="宋体"/>
          <w:kern w:val="2"/>
          <w:sz w:val="21"/>
          <w:szCs w:val="21"/>
        </w:rPr>
        <w:t>依据</w:t>
      </w:r>
      <w:bookmarkEnd w:id="30"/>
    </w:p>
    <w:p w14:paraId="1BEF15E9">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3E283D7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28CB1CC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131BE59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3.《中华人民共和国城镇国有土地使用权出让和转让暂行条例》（一九九０年五月十九日中华人民共和国国务院令第五十五号发布　自发布之日起施行）</w:t>
      </w:r>
    </w:p>
    <w:p w14:paraId="3044CAB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5A22CDE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044168C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6.《关于运用政府和社会资本合作模式推进公共租赁住房投资建设和运营管理的通知》[财综[2015]15号]</w:t>
      </w:r>
    </w:p>
    <w:p w14:paraId="5C5CDEE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7.《公共租赁住房管理办法》[住房和城乡建设部令第11号]</w:t>
      </w:r>
    </w:p>
    <w:p w14:paraId="71DF0FA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8.《关于加快发展公共租赁住房的指导意见》[建保[2010]87号]</w:t>
      </w:r>
    </w:p>
    <w:p w14:paraId="1567DF5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9.《住房城乡建设部财政部国家发展改革委关于公共租赁住房和廉租住房并轨运行的通知》[建保[2013]178号]</w:t>
      </w:r>
    </w:p>
    <w:p w14:paraId="4CF0FC6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10.《北京市人民政府关于加强本市公共租赁住房建设和管理的通知》[京政发〔2011〕61号]</w:t>
      </w:r>
    </w:p>
    <w:p w14:paraId="5410D54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11.《北京市住房和城乡建设委员会关于印发&lt;北京市公共租赁住房申请、审核及配租管理办法&gt;的通知》[京建法[2011]25号]</w:t>
      </w:r>
    </w:p>
    <w:p w14:paraId="24D33CB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12.《关于贯彻落实公共租赁住房税收优惠政策有关问题的通知》[京建发[2011]227号]</w:t>
      </w:r>
    </w:p>
    <w:p w14:paraId="56CE1C1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13.《关于印发&lt;北京市公共租赁住房管理办法（试行）&gt;的通知》[京建住[2009]525号]</w:t>
      </w:r>
    </w:p>
    <w:p w14:paraId="3C187AB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14.《北京市公共租赁住房建设技术导则（试行）》[京建发（2010）413号]</w:t>
      </w:r>
    </w:p>
    <w:p w14:paraId="1229A37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15.《北京市公共租赁住房后期管理暂行办法》（京建法〔2013〕15号）</w:t>
      </w:r>
    </w:p>
    <w:p w14:paraId="626FE66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16.《关于公共租赁住房税收优惠政策的公告》（财政部 税务总局公告2019年第61号）</w:t>
      </w:r>
    </w:p>
    <w:p w14:paraId="79E74B7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17.《关于加强公共租赁住房资格复核及分配管理的通知》[京建法〔2021〕8号]</w:t>
      </w:r>
    </w:p>
    <w:p w14:paraId="3947281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18.《关于进一步加强公共租赁住房转租转借行为监督管理工作的通知》[京建法〔2018〕23号]</w:t>
      </w:r>
    </w:p>
    <w:p w14:paraId="79D8D62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19.《关于加强本市公共租赁住房社会管理和服务的意见》[京建法〔2013〕19号]</w:t>
      </w:r>
    </w:p>
    <w:p w14:paraId="0E9DCA4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20.《关于进一步加强公共租赁住房分配管理的通知》[京建法〔2014〕21号]</w:t>
      </w:r>
    </w:p>
    <w:p w14:paraId="5664D8C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21.《关于公共租赁住房租金补贴对象及租金补贴标准有关问题的通知》[京建法〔2012〕11号]</w:t>
      </w:r>
    </w:p>
    <w:p w14:paraId="75DD6132">
      <w:pPr>
        <w:pStyle w:val="54"/>
        <w:numPr>
          <w:ilvl w:val="0"/>
          <w:numId w:val="6"/>
        </w:numPr>
        <w:wordWrap w:val="0"/>
        <w:overflowPunct w:val="0"/>
        <w:spacing w:line="480" w:lineRule="auto"/>
        <w:ind w:firstLineChars="0"/>
        <w:jc w:val="both"/>
        <w:textAlignment w:val="auto"/>
        <w:rPr>
          <w:rFonts w:ascii="Arial" w:hAnsi="Arial" w:cs="Arial"/>
          <w:sz w:val="21"/>
          <w:szCs w:val="21"/>
        </w:rPr>
      </w:pPr>
      <w:r>
        <w:rPr>
          <w:rFonts w:hint="eastAsia" w:ascii="Arial" w:hAnsi="Arial" w:cs="Arial"/>
          <w:b/>
          <w:sz w:val="21"/>
          <w:szCs w:val="21"/>
        </w:rPr>
        <w:t>技术标准</w:t>
      </w:r>
    </w:p>
    <w:p w14:paraId="48E6B49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55AC228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47B5B564">
      <w:pPr>
        <w:wordWrap w:val="0"/>
        <w:overflowPunct w:val="0"/>
        <w:spacing w:line="480" w:lineRule="auto"/>
        <w:jc w:val="both"/>
        <w:textAlignment w:val="auto"/>
        <w:rPr>
          <w:rFonts w:ascii="Arial" w:hAnsi="Arial" w:cs="Arial"/>
          <w:bCs/>
          <w:spacing w:val="10"/>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关于发布&lt;北京市公共租赁住房项目市场租金评估技术指引&gt;的通知》[北估秘[2019]020号]（自2020年1月1日起施行，有效期为三年，至价值时点，已过有效期。考虑到新版技术指引尚未发布，且目前北京市公共租赁住房市场租金评估相关标准仍按技术指引执行，故本次评估仅参照）</w:t>
      </w:r>
    </w:p>
    <w:p w14:paraId="20FC8C14">
      <w:pPr>
        <w:wordWrap w:val="0"/>
        <w:overflowPunct w:val="0"/>
        <w:spacing w:line="480" w:lineRule="auto"/>
        <w:jc w:val="both"/>
        <w:textAlignment w:val="auto"/>
        <w:rPr>
          <w:rFonts w:hint="eastAsia"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1396B170">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1721C4D2">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》复印件</w:t>
      </w:r>
    </w:p>
    <w:p w14:paraId="0588696F">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》复印件</w:t>
      </w:r>
    </w:p>
    <w:p w14:paraId="5D418331">
      <w:pPr>
        <w:numPr>
          <w:ilvl w:val="0"/>
          <w:numId w:val="7"/>
        </w:numPr>
        <w:wordWrap w:val="0"/>
        <w:overflowPunct w:val="0"/>
        <w:spacing w:line="480" w:lineRule="auto"/>
        <w:ind w:left="0" w:firstLine="0"/>
        <w:jc w:val="both"/>
        <w:textAlignment w:val="auto"/>
        <w:rPr>
          <w:rFonts w:hint="eastAsia" w:ascii="Arial" w:hAnsi="Arial" w:cs="Arial"/>
          <w:sz w:val="21"/>
          <w:szCs w:val="21"/>
        </w:rPr>
      </w:pPr>
      <w:r>
        <w:rPr>
          <w:rFonts w:hint="eastAsia" w:ascii="Arial" w:hAnsi="Arial" w:cs="Arial"/>
          <w:sz w:val="21"/>
          <w:szCs w:val="21"/>
        </w:rPr>
        <w:t>《房屋收购协议》[编号：2020-新元-综合-17]复印件</w:t>
      </w:r>
    </w:p>
    <w:p w14:paraId="3552CDA9">
      <w:pPr>
        <w:numPr>
          <w:ilvl w:val="0"/>
          <w:numId w:val="7"/>
        </w:numPr>
        <w:wordWrap w:val="0"/>
        <w:overflowPunct w:val="0"/>
        <w:spacing w:line="480" w:lineRule="auto"/>
        <w:ind w:left="0" w:firstLine="0"/>
        <w:jc w:val="both"/>
        <w:textAlignment w:val="auto"/>
        <w:rPr>
          <w:rFonts w:hint="eastAsia" w:ascii="Arial" w:hAnsi="Arial" w:cs="Arial"/>
          <w:sz w:val="21"/>
          <w:szCs w:val="21"/>
        </w:rPr>
      </w:pPr>
      <w:r>
        <w:rPr>
          <w:rFonts w:hint="eastAsia" w:ascii="Arial" w:hAnsi="Arial" w:cs="Arial"/>
          <w:kern w:val="2"/>
          <w:sz w:val="21"/>
          <w:szCs w:val="21"/>
        </w:rPr>
        <w:t>《房屋交接书》</w:t>
      </w:r>
      <w:r>
        <w:rPr>
          <w:rFonts w:hint="eastAsia" w:ascii="Arial" w:hAnsi="Arial" w:cs="Arial"/>
          <w:sz w:val="21"/>
          <w:szCs w:val="21"/>
        </w:rPr>
        <w:t>复印件</w:t>
      </w:r>
    </w:p>
    <w:p w14:paraId="44A8A496">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14BEE051">
      <w:pPr>
        <w:wordWrap w:val="0"/>
        <w:overflowPunct w:val="0"/>
        <w:spacing w:line="480" w:lineRule="auto"/>
        <w:jc w:val="both"/>
        <w:textAlignment w:val="auto"/>
        <w:rPr>
          <w:rFonts w:ascii="Arial" w:hAnsi="Arial" w:cs="Arial"/>
          <w:b/>
          <w:color w:val="000000"/>
          <w:sz w:val="21"/>
          <w:szCs w:val="21"/>
        </w:rPr>
      </w:pPr>
      <w:r>
        <w:rPr>
          <w:rFonts w:ascii="Arial" w:hAnsi="Arial" w:cs="Arial"/>
          <w:b/>
          <w:color w:val="000000"/>
          <w:sz w:val="21"/>
          <w:szCs w:val="21"/>
        </w:rPr>
        <w:t>（五）</w:t>
      </w:r>
      <w:r>
        <w:rPr>
          <w:rFonts w:hint="eastAsia" w:ascii="Arial" w:hAnsi="Arial" w:cs="Arial"/>
          <w:b/>
          <w:color w:val="000000"/>
          <w:sz w:val="21"/>
          <w:szCs w:val="21"/>
        </w:rPr>
        <w:t>房地产</w:t>
      </w:r>
      <w:r>
        <w:rPr>
          <w:rFonts w:ascii="Arial" w:hAnsi="Arial" w:cs="Arial"/>
          <w:b/>
          <w:color w:val="000000"/>
          <w:sz w:val="21"/>
          <w:szCs w:val="21"/>
        </w:rPr>
        <w:t>估价机构资质证书</w:t>
      </w:r>
    </w:p>
    <w:p w14:paraId="79B04463">
      <w:pPr>
        <w:wordWrap w:val="0"/>
        <w:overflowPunct w:val="0"/>
        <w:spacing w:line="480" w:lineRule="auto"/>
        <w:jc w:val="both"/>
        <w:textAlignment w:val="auto"/>
        <w:rPr>
          <w:rFonts w:ascii="Arial" w:hAnsi="Arial" w:cs="Arial"/>
          <w:b/>
          <w:color w:val="000000"/>
          <w:sz w:val="21"/>
          <w:szCs w:val="21"/>
        </w:rPr>
      </w:pPr>
    </w:p>
    <w:p w14:paraId="7A3C764F">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1" w:name="_Toc29328"/>
      <w:bookmarkStart w:id="32" w:name="_Toc168225821"/>
      <w:r>
        <w:rPr>
          <w:rFonts w:eastAsia="宋体"/>
          <w:kern w:val="2"/>
          <w:sz w:val="21"/>
          <w:szCs w:val="21"/>
        </w:rPr>
        <w:t>估价方法</w:t>
      </w:r>
      <w:bookmarkEnd w:id="31"/>
      <w:bookmarkEnd w:id="32"/>
    </w:p>
    <w:p w14:paraId="7C93A7B6">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市场平均租金价格水平。</w:t>
      </w:r>
    </w:p>
    <w:p w14:paraId="4795EA6D">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color w:val="000000"/>
          <w:sz w:val="21"/>
          <w:szCs w:val="21"/>
        </w:rPr>
        <w:t>（一）估价思路</w:t>
      </w:r>
      <w:r>
        <w:rPr>
          <w:rFonts w:ascii="Arial" w:hAnsi="Arial" w:cs="Arial"/>
          <w:b/>
          <w:color w:val="000000"/>
          <w:sz w:val="21"/>
          <w:szCs w:val="21"/>
        </w:rPr>
        <w:t xml:space="preserve"> </w:t>
      </w:r>
    </w:p>
    <w:p w14:paraId="5D4F346F">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14:paraId="429B6230">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1.首先</w:t>
      </w:r>
      <w:r>
        <w:rPr>
          <w:rFonts w:hint="eastAsia" w:ascii="Arial" w:hAnsi="Arial" w:cs="Arial"/>
          <w:color w:val="000000"/>
          <w:sz w:val="21"/>
          <w:szCs w:val="21"/>
        </w:rPr>
        <w:t>确认</w:t>
      </w:r>
      <w:r>
        <w:rPr>
          <w:rFonts w:ascii="Arial" w:hAnsi="Arial" w:cs="Arial"/>
          <w:color w:val="000000"/>
          <w:sz w:val="21"/>
          <w:szCs w:val="21"/>
        </w:rPr>
        <w:t>估价对象</w:t>
      </w:r>
      <w:r>
        <w:rPr>
          <w:rFonts w:hint="eastAsia" w:ascii="Arial" w:hAnsi="Arial" w:cs="Arial"/>
          <w:color w:val="000000"/>
          <w:sz w:val="21"/>
          <w:szCs w:val="21"/>
        </w:rPr>
        <w:t>标准小区，然后设定标准小区的</w:t>
      </w:r>
      <w:r>
        <w:rPr>
          <w:rFonts w:ascii="Arial" w:hAnsi="Arial" w:cs="Arial"/>
          <w:color w:val="000000"/>
          <w:sz w:val="21"/>
          <w:szCs w:val="21"/>
        </w:rPr>
        <w:t>标准房</w:t>
      </w:r>
      <w:r>
        <w:rPr>
          <w:rFonts w:hint="eastAsia" w:ascii="Arial" w:hAnsi="Arial" w:cs="Arial"/>
          <w:color w:val="000000"/>
          <w:sz w:val="21"/>
          <w:szCs w:val="21"/>
        </w:rPr>
        <w:t>。标准小区及标准房设定如下：</w:t>
      </w:r>
    </w:p>
    <w:p w14:paraId="5E129970">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套公共租赁住房。其中，</w:t>
      </w:r>
      <w:r>
        <w:rPr>
          <w:rFonts w:hint="eastAsia" w:ascii="Arial" w:hAnsi="Arial" w:cs="Arial"/>
          <w:color w:val="000000"/>
          <w:sz w:val="21"/>
          <w:szCs w:val="21"/>
        </w:rPr>
        <w:t>X13海棠苑共1487套，有三种户型，分别为开间、一居室、二居室。其中，开间共201套，面积控制在25.44-50.91平方米；一居室共1100套，面积控制38.46-62.94平方米；二居室共186套，面积约控制为60.42-61.34平方米。X38鹿海园五里共1231套，有三种户型，分别为一居室、二居室、三居室。其中，一居室共334套，面积约控制在51.14-71.30平方米；二居室共656套，面积控制在91.83-110.57平方米；三居室共241套，面积为123.14-131.57平方米。</w:t>
      </w:r>
    </w:p>
    <w:p w14:paraId="0A953AE7">
      <w:pPr>
        <w:pStyle w:val="60"/>
        <w:wordWrap w:val="0"/>
        <w:overflowPunct w:val="0"/>
        <w:autoSpaceDE w:val="0"/>
        <w:autoSpaceDN w:val="0"/>
        <w:spacing w:line="480" w:lineRule="auto"/>
        <w:ind w:right="140" w:firstLine="420" w:firstLineChars="200"/>
        <w:jc w:val="both"/>
        <w:textAlignment w:val="auto"/>
        <w:rPr>
          <w:rFonts w:hint="eastAsia" w:ascii="Arial" w:hAnsi="Arial" w:cs="Arial"/>
          <w:kern w:val="2"/>
          <w:sz w:val="21"/>
          <w:szCs w:val="21"/>
        </w:rPr>
      </w:pPr>
      <w:r>
        <w:rPr>
          <w:rFonts w:hint="eastAsia" w:ascii="Arial" w:hAnsi="Arial" w:cs="Arial"/>
          <w:sz w:val="21"/>
          <w:szCs w:val="21"/>
        </w:rPr>
        <w:t>参照被评估公共租赁住房项目的户型、面积、朝向、楼层、装修及设备等因素，依据众数原则，</w:t>
      </w:r>
      <w:r>
        <w:rPr>
          <w:rFonts w:ascii="Arial" w:hAnsi="Arial" w:cs="Arial"/>
          <w:color w:val="000000"/>
          <w:sz w:val="21"/>
          <w:szCs w:val="21"/>
        </w:rPr>
        <w:t>选取</w:t>
      </w:r>
      <w:r>
        <w:rPr>
          <w:rFonts w:hint="eastAsia" w:ascii="Arial" w:hAnsi="Arial" w:cs="Arial"/>
          <w:color w:val="000000"/>
          <w:sz w:val="21"/>
          <w:szCs w:val="21"/>
        </w:rPr>
        <w:t>X13海棠苑项目</w:t>
      </w:r>
      <w:r>
        <w:rPr>
          <w:rFonts w:ascii="Arial" w:hAnsi="Arial" w:cs="Arial"/>
          <w:color w:val="000000"/>
          <w:sz w:val="21"/>
          <w:szCs w:val="21"/>
        </w:rPr>
        <w:t>为标准小区</w:t>
      </w:r>
      <w:r>
        <w:rPr>
          <w:rFonts w:hint="eastAsia" w:ascii="Arial" w:hAnsi="Arial" w:cs="Arial"/>
          <w:color w:val="000000"/>
          <w:sz w:val="21"/>
          <w:szCs w:val="21"/>
        </w:rPr>
        <w:t>，</w:t>
      </w:r>
      <w:r>
        <w:rPr>
          <w:rFonts w:hint="eastAsia" w:ascii="Arial" w:hAnsi="Arial" w:cs="Arial"/>
          <w:kern w:val="2"/>
          <w:sz w:val="21"/>
          <w:szCs w:val="21"/>
        </w:rPr>
        <w:t>X13海棠苑项目设定的标准房户型为一居室，面积为</w:t>
      </w:r>
      <w:r>
        <w:rPr>
          <w:rFonts w:ascii="Arial" w:hAnsi="Arial" w:cs="Arial"/>
          <w:kern w:val="2"/>
          <w:sz w:val="21"/>
          <w:szCs w:val="21"/>
        </w:rPr>
        <w:t>59.64</w:t>
      </w:r>
      <w:r>
        <w:rPr>
          <w:rFonts w:hint="eastAsia" w:ascii="Arial" w:hAnsi="Arial" w:cs="Arial"/>
          <w:kern w:val="2"/>
          <w:sz w:val="21"/>
          <w:szCs w:val="21"/>
        </w:rPr>
        <w:t>平方米，朝向为西，装修为普通装修。X38鹿海园五里项目设定的标准房户型为二居室，面积为</w:t>
      </w:r>
      <w:r>
        <w:rPr>
          <w:rFonts w:ascii="Arial" w:hAnsi="Arial" w:cs="Arial"/>
          <w:kern w:val="2"/>
          <w:sz w:val="21"/>
          <w:szCs w:val="21"/>
        </w:rPr>
        <w:t>109.19</w:t>
      </w:r>
      <w:r>
        <w:rPr>
          <w:rFonts w:hint="eastAsia" w:ascii="Arial" w:hAnsi="Arial" w:cs="Arial"/>
          <w:kern w:val="2"/>
          <w:sz w:val="21"/>
          <w:szCs w:val="21"/>
        </w:rPr>
        <w:t>平方米，朝向为南北，装修为普通装修。</w:t>
      </w:r>
    </w:p>
    <w:p w14:paraId="1A0161E6">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42156DF3">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标准房租金水平。</w:t>
      </w:r>
    </w:p>
    <w:p w14:paraId="4B27E25C">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ascii="Arial" w:hAnsi="Arial" w:cs="Arial"/>
          <w:color w:val="000000"/>
          <w:sz w:val="21"/>
          <w:szCs w:val="21"/>
        </w:rPr>
        <w:t>4.将估价对象</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与</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标准房进行比较，得到</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租金</w:t>
      </w:r>
      <w:r>
        <w:rPr>
          <w:rFonts w:hint="eastAsia" w:ascii="Arial" w:hAnsi="Arial" w:cs="Arial"/>
          <w:color w:val="000000"/>
          <w:sz w:val="21"/>
          <w:szCs w:val="21"/>
        </w:rPr>
        <w:t>水平。</w:t>
      </w:r>
    </w:p>
    <w:p w14:paraId="5423D084">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color w:val="000000"/>
          <w:sz w:val="21"/>
          <w:szCs w:val="21"/>
        </w:rPr>
        <w:t>（二）估价方法</w:t>
      </w:r>
      <w:r>
        <w:rPr>
          <w:rFonts w:ascii="Arial" w:hAnsi="Arial" w:cs="Arial"/>
          <w:b/>
          <w:color w:val="000000"/>
          <w:sz w:val="21"/>
          <w:szCs w:val="21"/>
        </w:rPr>
        <w:t xml:space="preserve"> </w:t>
      </w:r>
    </w:p>
    <w:p w14:paraId="7D0343C6">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14BEB62">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1.</w:t>
      </w:r>
      <w:r>
        <w:rPr>
          <w:rFonts w:ascii="Arial" w:hAnsi="Arial" w:cs="Arial"/>
          <w:color w:val="000000"/>
          <w:sz w:val="21"/>
          <w:szCs w:val="21"/>
        </w:rPr>
        <w:t>采用</w:t>
      </w:r>
      <w:r>
        <w:rPr>
          <w:rFonts w:hint="eastAsia" w:ascii="Arial" w:hAnsi="Arial" w:cs="Arial"/>
          <w:color w:val="000000"/>
          <w:sz w:val="21"/>
          <w:szCs w:val="21"/>
        </w:rPr>
        <w:t>比较法</w:t>
      </w:r>
      <w:r>
        <w:rPr>
          <w:rFonts w:ascii="Arial" w:hAnsi="Arial" w:cs="Arial"/>
          <w:color w:val="000000"/>
          <w:sz w:val="21"/>
          <w:szCs w:val="21"/>
        </w:rPr>
        <w:t>的理由</w:t>
      </w:r>
      <w:r>
        <w:rPr>
          <w:rFonts w:hint="eastAsia" w:ascii="Arial" w:hAnsi="Arial" w:cs="Arial"/>
          <w:color w:val="000000"/>
          <w:sz w:val="21"/>
          <w:szCs w:val="21"/>
        </w:rPr>
        <w:t>：</w:t>
      </w:r>
    </w:p>
    <w:p w14:paraId="5891CA2B">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p>
    <w:p w14:paraId="6C05BCF8">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不采用成本法、假设开发法、收益法的理由</w:t>
      </w:r>
      <w:r>
        <w:rPr>
          <w:rFonts w:hint="eastAsia" w:ascii="Arial" w:hAnsi="Arial" w:cs="Arial"/>
          <w:color w:val="000000"/>
          <w:sz w:val="21"/>
          <w:szCs w:val="21"/>
        </w:rPr>
        <w:t>：</w:t>
      </w:r>
    </w:p>
    <w:p w14:paraId="332F6A3C">
      <w:pPr>
        <w:pStyle w:val="65"/>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3D0B4841">
      <w:pPr>
        <w:pStyle w:val="65"/>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74DFB1E3">
      <w:pPr>
        <w:pStyle w:val="60"/>
        <w:wordWrap w:val="0"/>
        <w:overflowPunct w:val="0"/>
        <w:autoSpaceDE w:val="0"/>
        <w:autoSpaceDN w:val="0"/>
        <w:spacing w:line="480" w:lineRule="auto"/>
        <w:ind w:right="140" w:firstLine="420" w:firstLineChars="200"/>
        <w:jc w:val="both"/>
        <w:textAlignment w:val="auto"/>
        <w:rPr>
          <w:rFonts w:ascii="Arial" w:hAnsi="Arial" w:cs="Arial"/>
          <w:b/>
          <w:kern w:val="2"/>
          <w:sz w:val="21"/>
          <w:szCs w:val="21"/>
        </w:rPr>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hAnsi="Arial" w:eastAsia="Arial" w:cs="Arial"/>
          <w:sz w:val="21"/>
          <w:szCs w:val="21"/>
        </w:rPr>
        <w:t xml:space="preserve"> </w:t>
      </w:r>
    </w:p>
    <w:p w14:paraId="44B84E38">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2"/>
    </w:p>
    <w:p w14:paraId="6D9DA4D0">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4" w:name="_Toc1105"/>
      <w:r>
        <w:rPr>
          <w:rFonts w:eastAsia="宋体"/>
          <w:kern w:val="2"/>
          <w:sz w:val="21"/>
          <w:szCs w:val="21"/>
        </w:rPr>
        <w:t>十、估价结果</w:t>
      </w:r>
      <w:bookmarkEnd w:id="33"/>
      <w:bookmarkEnd w:id="34"/>
    </w:p>
    <w:p w14:paraId="53C8C409">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 xml:space="preserve">同地块、同类型普通住宅房地产于价值时点2025年10月1日前一年内（2024年10月1日至2025年9月30日）平均市场租金水平为： </w:t>
      </w:r>
    </w:p>
    <w:p w14:paraId="58156C81">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X13海棠苑：54.53元/平方米·月（货币种类：人民币）</w:t>
      </w:r>
    </w:p>
    <w:p w14:paraId="48F06588">
      <w:pPr>
        <w:overflowPunct w:val="0"/>
        <w:spacing w:line="480" w:lineRule="auto"/>
        <w:ind w:firstLine="2003" w:firstLineChars="950"/>
        <w:textAlignment w:val="auto"/>
        <w:rPr>
          <w:rFonts w:hint="eastAsia" w:ascii="Arial" w:hAnsi="Arial" w:cs="Arial"/>
          <w:b/>
          <w:bCs/>
          <w:sz w:val="21"/>
          <w:szCs w:val="21"/>
        </w:rPr>
      </w:pPr>
      <w:r>
        <w:rPr>
          <w:rFonts w:hint="eastAsia" w:ascii="Arial" w:hAnsi="Arial" w:cs="Arial"/>
          <w:b/>
          <w:bCs/>
          <w:sz w:val="21"/>
          <w:szCs w:val="21"/>
        </w:rPr>
        <w:t>X</w:t>
      </w:r>
      <w:r>
        <w:rPr>
          <w:rFonts w:ascii="Arial" w:hAnsi="Arial" w:cs="Arial"/>
          <w:b/>
          <w:bCs/>
          <w:sz w:val="21"/>
          <w:szCs w:val="21"/>
        </w:rPr>
        <w:t>38</w:t>
      </w:r>
      <w:r>
        <w:rPr>
          <w:rFonts w:hint="eastAsia" w:ascii="Arial" w:hAnsi="Arial" w:cs="Arial"/>
          <w:b/>
          <w:bCs/>
          <w:sz w:val="21"/>
          <w:szCs w:val="21"/>
        </w:rPr>
        <w:t>鹿海园五里：55.18元/平方米·月（货币种类：人民币）</w:t>
      </w:r>
    </w:p>
    <w:p w14:paraId="4973F5FC">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00B0ADC0">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15065321">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p>
    <w:p w14:paraId="2EAFCB31">
      <w:pPr>
        <w:overflowPunct w:val="0"/>
        <w:spacing w:line="480" w:lineRule="auto"/>
        <w:ind w:left="720" w:leftChars="150" w:hanging="360" w:hangingChars="200"/>
        <w:jc w:val="both"/>
        <w:textAlignment w:val="auto"/>
        <w:rPr>
          <w:rFonts w:hint="eastAsia" w:ascii="Arial" w:hAnsi="Arial" w:cs="Arial"/>
          <w:sz w:val="18"/>
          <w:szCs w:val="18"/>
        </w:rPr>
      </w:pPr>
      <w:r>
        <w:rPr>
          <w:rFonts w:ascii="Arial" w:hAnsi="Arial" w:cs="Arial"/>
          <w:sz w:val="18"/>
          <w:szCs w:val="18"/>
        </w:rPr>
        <w:t xml:space="preserve">    4、估价结果</w:t>
      </w:r>
      <w:r>
        <w:rPr>
          <w:rFonts w:hint="eastAsia" w:ascii="Arial" w:hAnsi="Arial" w:cs="Arial"/>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2912F09B">
      <w:pPr>
        <w:pStyle w:val="3"/>
        <w:numPr>
          <w:ilvl w:val="0"/>
          <w:numId w:val="0"/>
        </w:numPr>
        <w:overflowPunct w:val="0"/>
        <w:spacing w:line="480" w:lineRule="auto"/>
        <w:jc w:val="both"/>
        <w:textAlignment w:val="auto"/>
        <w:rPr>
          <w:rFonts w:eastAsia="宋体"/>
          <w:kern w:val="2"/>
          <w:sz w:val="21"/>
          <w:szCs w:val="21"/>
        </w:rPr>
      </w:pPr>
      <w:bookmarkStart w:id="35" w:name="_Toc168225824"/>
      <w:r>
        <w:rPr>
          <w:rFonts w:eastAsia="宋体"/>
          <w:kern w:val="2"/>
          <w:sz w:val="21"/>
          <w:szCs w:val="21"/>
        </w:rPr>
        <w:br w:type="page"/>
      </w:r>
      <w:bookmarkStart w:id="36" w:name="_Toc7458"/>
      <w:r>
        <w:rPr>
          <w:rFonts w:eastAsia="宋体"/>
          <w:kern w:val="2"/>
          <w:sz w:val="21"/>
          <w:szCs w:val="21"/>
        </w:rPr>
        <w:t>十</w:t>
      </w:r>
      <w:bookmarkEnd w:id="35"/>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36"/>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18955CB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56A52550">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14:paraId="44891C1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3511E6B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hint="eastAsia" w:ascii="Arial" w:hAnsi="Arial" w:cs="Arial"/>
                <w:color w:val="000000"/>
                <w:sz w:val="21"/>
                <w:szCs w:val="21"/>
              </w:rPr>
              <w:t xml:space="preserve">  </w:t>
            </w:r>
            <w:r>
              <w:rPr>
                <w:rFonts w:ascii="Arial" w:hAnsi="Arial" w:cs="Arial"/>
                <w:color w:val="000000"/>
                <w:sz w:val="21"/>
                <w:szCs w:val="21"/>
              </w:rPr>
              <w:t>名</w:t>
            </w:r>
          </w:p>
        </w:tc>
        <w:tc>
          <w:tcPr>
            <w:tcW w:w="2197" w:type="dxa"/>
            <w:vAlign w:val="center"/>
          </w:tcPr>
          <w:p w14:paraId="0ACDC4D8">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13054054">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4B819049">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475CEF0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5B072A1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hAnsi="Arial" w:eastAsia="Arial" w:cs="Arial"/>
                <w:color w:val="000000"/>
                <w:sz w:val="21"/>
                <w:szCs w:val="21"/>
              </w:rPr>
              <w:t xml:space="preserve">  </w:t>
            </w:r>
            <w:r>
              <w:rPr>
                <w:rFonts w:ascii="Arial" w:hAnsi="Arial" w:cs="Arial"/>
                <w:color w:val="000000"/>
                <w:sz w:val="21"/>
                <w:szCs w:val="21"/>
              </w:rPr>
              <w:t>鹏</w:t>
            </w:r>
          </w:p>
        </w:tc>
        <w:tc>
          <w:tcPr>
            <w:tcW w:w="2197" w:type="dxa"/>
            <w:vAlign w:val="center"/>
          </w:tcPr>
          <w:p w14:paraId="3CE7AE98">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vAlign w:val="center"/>
          </w:tcPr>
          <w:p w14:paraId="1F21D410">
            <w:pPr>
              <w:tabs>
                <w:tab w:val="left" w:pos="5160"/>
              </w:tabs>
              <w:overflowPunct w:val="0"/>
              <w:spacing w:line="240" w:lineRule="auto"/>
              <w:rPr>
                <w:rFonts w:ascii="Arial" w:hAnsi="Arial" w:cs="Arial"/>
                <w:color w:val="000000"/>
                <w:sz w:val="21"/>
                <w:szCs w:val="21"/>
              </w:rPr>
            </w:pPr>
          </w:p>
        </w:tc>
        <w:tc>
          <w:tcPr>
            <w:tcW w:w="2582" w:type="dxa"/>
            <w:vAlign w:val="center"/>
          </w:tcPr>
          <w:p w14:paraId="6FD1314B">
            <w:pPr>
              <w:tabs>
                <w:tab w:val="left" w:pos="5160"/>
              </w:tabs>
              <w:wordWrap w:val="0"/>
              <w:overflowPunct w:val="0"/>
              <w:spacing w:line="240" w:lineRule="auto"/>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13C524F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534A9EDB">
            <w:pPr>
              <w:tabs>
                <w:tab w:val="left" w:pos="5160"/>
              </w:tabs>
              <w:overflowPunct w:val="0"/>
              <w:spacing w:line="240" w:lineRule="auto"/>
              <w:rPr>
                <w:rFonts w:hint="eastAsia" w:ascii="Arial" w:hAnsi="Arial" w:cs="Arial"/>
                <w:color w:val="000000"/>
                <w:sz w:val="21"/>
                <w:szCs w:val="21"/>
              </w:rPr>
            </w:pPr>
            <w:r>
              <w:rPr>
                <w:rFonts w:ascii="Arial" w:hAnsi="Arial" w:cs="Arial"/>
                <w:color w:val="000000"/>
                <w:sz w:val="21"/>
                <w:szCs w:val="21"/>
              </w:rPr>
              <w:t>许皓源</w:t>
            </w:r>
          </w:p>
        </w:tc>
        <w:tc>
          <w:tcPr>
            <w:tcW w:w="2197" w:type="dxa"/>
            <w:vAlign w:val="center"/>
          </w:tcPr>
          <w:p w14:paraId="70BD240D">
            <w:pPr>
              <w:tabs>
                <w:tab w:val="left" w:pos="5160"/>
              </w:tabs>
              <w:overflowPunct w:val="0"/>
              <w:spacing w:line="240" w:lineRule="auto"/>
              <w:rPr>
                <w:rFonts w:ascii="Arial" w:hAnsi="Arial" w:cs="Arial"/>
                <w:color w:val="000000"/>
                <w:sz w:val="21"/>
                <w:szCs w:val="21"/>
              </w:rPr>
            </w:pPr>
            <w:r>
              <w:rPr>
                <w:rFonts w:ascii="Arial" w:hAnsi="Arial" w:eastAsia="方正黑体简体" w:cs="Arial"/>
                <w:sz w:val="21"/>
                <w:szCs w:val="21"/>
              </w:rPr>
              <w:t>1119980019</w:t>
            </w:r>
          </w:p>
        </w:tc>
        <w:tc>
          <w:tcPr>
            <w:tcW w:w="2774" w:type="dxa"/>
            <w:vAlign w:val="center"/>
          </w:tcPr>
          <w:p w14:paraId="231D0787">
            <w:pPr>
              <w:tabs>
                <w:tab w:val="left" w:pos="5160"/>
              </w:tabs>
              <w:overflowPunct w:val="0"/>
              <w:spacing w:line="240" w:lineRule="auto"/>
              <w:rPr>
                <w:rFonts w:ascii="Arial" w:hAnsi="Arial" w:cs="Arial"/>
                <w:color w:val="000000"/>
                <w:sz w:val="21"/>
                <w:szCs w:val="21"/>
              </w:rPr>
            </w:pPr>
          </w:p>
        </w:tc>
        <w:tc>
          <w:tcPr>
            <w:tcW w:w="2582" w:type="dxa"/>
            <w:vAlign w:val="center"/>
          </w:tcPr>
          <w:p w14:paraId="2BB682D0">
            <w:pPr>
              <w:tabs>
                <w:tab w:val="left" w:pos="5160"/>
              </w:tabs>
              <w:wordWrap w:val="0"/>
              <w:overflowPunct w:val="0"/>
              <w:spacing w:line="240" w:lineRule="auto"/>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3D435C5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0D2771BF">
            <w:pPr>
              <w:tabs>
                <w:tab w:val="left" w:pos="5160"/>
              </w:tabs>
              <w:overflowPunct w:val="0"/>
              <w:spacing w:line="240" w:lineRule="auto"/>
              <w:rPr>
                <w:rFonts w:ascii="Arial" w:hAnsi="Arial" w:cs="Arial"/>
                <w:b/>
                <w:color w:val="000000"/>
                <w:kern w:val="2"/>
                <w:sz w:val="21"/>
                <w:szCs w:val="21"/>
              </w:rPr>
            </w:pPr>
            <w:r>
              <w:rPr>
                <w:rFonts w:hint="eastAsia" w:ascii="Arial" w:hAnsi="Arial" w:cs="Arial"/>
                <w:b/>
                <w:color w:val="000000"/>
                <w:kern w:val="2"/>
                <w:sz w:val="21"/>
                <w:szCs w:val="21"/>
              </w:rPr>
              <w:t>其他评估专业</w:t>
            </w:r>
            <w:r>
              <w:rPr>
                <w:rFonts w:ascii="Arial" w:hAnsi="Arial" w:cs="Arial"/>
                <w:b/>
                <w:color w:val="000000"/>
                <w:kern w:val="2"/>
                <w:sz w:val="21"/>
                <w:szCs w:val="21"/>
              </w:rPr>
              <w:t>人员</w:t>
            </w:r>
            <w:r>
              <w:rPr>
                <w:rFonts w:hint="eastAsia" w:ascii="Arial" w:hAnsi="Arial" w:cs="Arial"/>
                <w:b/>
                <w:color w:val="000000"/>
                <w:kern w:val="2"/>
                <w:sz w:val="21"/>
                <w:szCs w:val="21"/>
              </w:rPr>
              <w:t xml:space="preserve"> </w:t>
            </w:r>
          </w:p>
        </w:tc>
      </w:tr>
      <w:tr w14:paraId="0991B80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5C3A5909">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hint="eastAsia" w:ascii="Arial" w:hAnsi="Arial" w:cs="Arial"/>
                <w:color w:val="000000"/>
                <w:sz w:val="21"/>
                <w:szCs w:val="21"/>
              </w:rPr>
              <w:t xml:space="preserve">  </w:t>
            </w:r>
            <w:r>
              <w:rPr>
                <w:rFonts w:ascii="Arial" w:hAnsi="Arial" w:cs="Arial"/>
                <w:color w:val="000000"/>
                <w:sz w:val="21"/>
                <w:szCs w:val="21"/>
              </w:rPr>
              <w:t>名</w:t>
            </w:r>
          </w:p>
        </w:tc>
        <w:tc>
          <w:tcPr>
            <w:tcW w:w="2197" w:type="dxa"/>
            <w:vAlign w:val="center"/>
          </w:tcPr>
          <w:p w14:paraId="45768988">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14:paraId="6F870962">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2A7FF2C8">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250F0C4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364CAD92">
            <w:pPr>
              <w:tabs>
                <w:tab w:val="left" w:pos="5160"/>
              </w:tabs>
              <w:overflowPunct w:val="0"/>
              <w:spacing w:line="240" w:lineRule="auto"/>
              <w:rPr>
                <w:rFonts w:hint="eastAsia" w:ascii="Arial" w:hAnsi="Arial" w:cs="Arial"/>
                <w:color w:val="000000"/>
                <w:sz w:val="21"/>
                <w:szCs w:val="21"/>
              </w:rPr>
            </w:pPr>
            <w:r>
              <w:rPr>
                <w:rFonts w:hint="eastAsia" w:ascii="Arial" w:hAnsi="Arial" w:cs="Arial"/>
                <w:color w:val="000000"/>
                <w:sz w:val="21"/>
                <w:szCs w:val="21"/>
              </w:rPr>
              <w:t>李诗霖</w:t>
            </w:r>
          </w:p>
        </w:tc>
        <w:tc>
          <w:tcPr>
            <w:tcW w:w="2197" w:type="dxa"/>
            <w:vAlign w:val="center"/>
          </w:tcPr>
          <w:p w14:paraId="36AB7E26">
            <w:pPr>
              <w:tabs>
                <w:tab w:val="left" w:pos="5160"/>
              </w:tabs>
              <w:overflowPunct w:val="0"/>
              <w:spacing w:line="240" w:lineRule="auto"/>
              <w:rPr>
                <w:rFonts w:hint="eastAsia" w:ascii="Arial" w:hAnsi="Arial" w:cs="Arial"/>
                <w:color w:val="000000"/>
                <w:sz w:val="21"/>
                <w:szCs w:val="21"/>
              </w:rPr>
            </w:pPr>
            <w:r>
              <w:rPr>
                <w:rFonts w:hint="eastAsia" w:ascii="Arial" w:hAnsi="Arial" w:cs="Arial"/>
                <w:color w:val="000000"/>
                <w:sz w:val="21"/>
                <w:szCs w:val="21"/>
              </w:rPr>
              <w:t>——</w:t>
            </w:r>
          </w:p>
        </w:tc>
        <w:tc>
          <w:tcPr>
            <w:tcW w:w="2774" w:type="dxa"/>
            <w:vAlign w:val="center"/>
          </w:tcPr>
          <w:p w14:paraId="6C1355EA">
            <w:pPr>
              <w:tabs>
                <w:tab w:val="left" w:pos="5160"/>
              </w:tabs>
              <w:overflowPunct w:val="0"/>
              <w:spacing w:line="240" w:lineRule="auto"/>
              <w:rPr>
                <w:rFonts w:hint="eastAsia" w:ascii="Arial" w:hAnsi="Arial" w:cs="Arial"/>
                <w:color w:val="000000"/>
                <w:sz w:val="21"/>
                <w:szCs w:val="21"/>
              </w:rPr>
            </w:pPr>
          </w:p>
        </w:tc>
        <w:tc>
          <w:tcPr>
            <w:tcW w:w="2582" w:type="dxa"/>
            <w:vAlign w:val="center"/>
          </w:tcPr>
          <w:p w14:paraId="3CD3D13E">
            <w:pPr>
              <w:tabs>
                <w:tab w:val="left" w:pos="5160"/>
              </w:tabs>
              <w:wordWrap w:val="0"/>
              <w:overflowPunct w:val="0"/>
              <w:spacing w:line="240" w:lineRule="auto"/>
              <w:ind w:firstLine="420" w:firstLineChars="200"/>
              <w:jc w:val="right"/>
              <w:rPr>
                <w:rFonts w:hint="eastAsia"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bl>
    <w:p w14:paraId="4D567740">
      <w:pPr>
        <w:overflowPunct w:val="0"/>
        <w:spacing w:line="480" w:lineRule="auto"/>
        <w:jc w:val="both"/>
        <w:textAlignment w:val="auto"/>
        <w:rPr>
          <w:rFonts w:ascii="Arial" w:hAnsi="Arial" w:cs="Arial"/>
          <w:kern w:val="2"/>
          <w:sz w:val="21"/>
          <w:szCs w:val="21"/>
        </w:rPr>
      </w:pPr>
    </w:p>
    <w:p w14:paraId="0929B755">
      <w:pPr>
        <w:pStyle w:val="3"/>
        <w:numPr>
          <w:ilvl w:val="0"/>
          <w:numId w:val="0"/>
        </w:numPr>
        <w:overflowPunct w:val="0"/>
        <w:spacing w:line="480" w:lineRule="auto"/>
        <w:jc w:val="both"/>
        <w:textAlignment w:val="auto"/>
        <w:rPr>
          <w:rFonts w:eastAsia="宋体"/>
          <w:kern w:val="2"/>
          <w:sz w:val="21"/>
          <w:szCs w:val="21"/>
        </w:rPr>
      </w:pPr>
      <w:bookmarkStart w:id="37" w:name="_Toc5734"/>
      <w:r>
        <w:rPr>
          <w:rFonts w:eastAsia="宋体"/>
          <w:kern w:val="2"/>
          <w:sz w:val="21"/>
          <w:szCs w:val="21"/>
        </w:rPr>
        <w:t>十二、实地查勘期</w:t>
      </w:r>
      <w:bookmarkEnd w:id="37"/>
    </w:p>
    <w:p w14:paraId="206AECA1">
      <w:pPr>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2025年10月13日</w:t>
      </w:r>
    </w:p>
    <w:p w14:paraId="4104B188">
      <w:pPr>
        <w:overflowPunct w:val="0"/>
        <w:spacing w:line="480" w:lineRule="auto"/>
        <w:jc w:val="both"/>
        <w:textAlignment w:val="auto"/>
        <w:rPr>
          <w:rFonts w:ascii="Arial" w:hAnsi="Arial" w:cs="Arial"/>
          <w:kern w:val="2"/>
          <w:sz w:val="21"/>
          <w:szCs w:val="21"/>
        </w:rPr>
      </w:pPr>
    </w:p>
    <w:p w14:paraId="6C1B8E76">
      <w:pPr>
        <w:pStyle w:val="3"/>
        <w:numPr>
          <w:ilvl w:val="0"/>
          <w:numId w:val="0"/>
        </w:numPr>
        <w:overflowPunct w:val="0"/>
        <w:spacing w:line="480" w:lineRule="auto"/>
        <w:jc w:val="both"/>
        <w:textAlignment w:val="auto"/>
        <w:rPr>
          <w:rFonts w:eastAsia="宋体"/>
          <w:kern w:val="2"/>
          <w:sz w:val="21"/>
          <w:szCs w:val="21"/>
        </w:rPr>
      </w:pPr>
      <w:bookmarkStart w:id="38" w:name="_Toc168225825"/>
      <w:bookmarkStart w:id="39" w:name="_Toc5537"/>
      <w:r>
        <w:rPr>
          <w:rFonts w:eastAsia="宋体"/>
          <w:kern w:val="2"/>
          <w:sz w:val="21"/>
          <w:szCs w:val="21"/>
        </w:rPr>
        <w:t>十三、估价作业期</w:t>
      </w:r>
      <w:bookmarkEnd w:id="38"/>
      <w:bookmarkEnd w:id="39"/>
      <w:r>
        <w:rPr>
          <w:rFonts w:hint="eastAsia" w:eastAsia="宋体"/>
          <w:kern w:val="2"/>
          <w:sz w:val="21"/>
          <w:szCs w:val="21"/>
        </w:rPr>
        <w:t xml:space="preserve">  </w:t>
      </w:r>
    </w:p>
    <w:p w14:paraId="78353FD2">
      <w:pPr>
        <w:overflowPunct w:val="0"/>
        <w:spacing w:line="480" w:lineRule="auto"/>
        <w:ind w:firstLine="420" w:firstLineChars="200"/>
        <w:jc w:val="both"/>
        <w:textAlignment w:val="auto"/>
        <w:rPr>
          <w:rFonts w:ascii="Arial" w:hAnsi="Arial" w:cs="Arial"/>
          <w:color w:val="E36C0A"/>
          <w:sz w:val="21"/>
          <w:szCs w:val="21"/>
        </w:rPr>
      </w:pPr>
      <w:r>
        <w:rPr>
          <w:rFonts w:hint="eastAsia" w:ascii="Arial" w:hAnsi="Arial" w:cs="Arial"/>
          <w:sz w:val="21"/>
          <w:szCs w:val="21"/>
        </w:rPr>
        <w:t>2025年10月1日</w:t>
      </w:r>
      <w:r>
        <w:rPr>
          <w:rFonts w:ascii="Arial" w:hAnsi="Arial" w:cs="Arial"/>
          <w:sz w:val="21"/>
          <w:szCs w:val="21"/>
        </w:rPr>
        <w:t>至202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11</w:t>
      </w:r>
      <w:r>
        <w:rPr>
          <w:rFonts w:ascii="Arial" w:hAnsi="Arial" w:cs="Arial"/>
          <w:sz w:val="21"/>
          <w:szCs w:val="21"/>
        </w:rPr>
        <w:t>月1日</w:t>
      </w:r>
    </w:p>
    <w:p w14:paraId="2DDE5E57">
      <w:pPr>
        <w:overflowPunct w:val="0"/>
        <w:spacing w:line="480" w:lineRule="auto"/>
        <w:jc w:val="both"/>
        <w:textAlignment w:val="auto"/>
        <w:outlineLvl w:val="0"/>
        <w:rPr>
          <w:rFonts w:ascii="Arial" w:hAnsi="Arial" w:cs="Arial"/>
          <w:b/>
          <w:kern w:val="2"/>
          <w:sz w:val="21"/>
          <w:szCs w:val="21"/>
        </w:rPr>
        <w:sectPr>
          <w:headerReference r:id="rId16" w:type="default"/>
          <w:footerReference r:id="rId17" w:type="default"/>
          <w:footerReference r:id="rId18" w:type="even"/>
          <w:pgSz w:w="11907" w:h="16840"/>
          <w:pgMar w:top="1843" w:right="1134" w:bottom="1134" w:left="1134" w:header="1134" w:footer="907" w:gutter="340"/>
          <w:cols w:space="720" w:num="1"/>
          <w:docGrid w:linePitch="326" w:charSpace="0"/>
        </w:sectPr>
      </w:pPr>
    </w:p>
    <w:p w14:paraId="46D5FD9B">
      <w:pPr>
        <w:pStyle w:val="2"/>
        <w:spacing w:line="480" w:lineRule="auto"/>
        <w:jc w:val="center"/>
        <w:rPr>
          <w:rFonts w:hint="eastAsia" w:eastAsia="方正黑体简体"/>
          <w:b w:val="0"/>
          <w:kern w:val="2"/>
          <w:sz w:val="32"/>
          <w:szCs w:val="32"/>
        </w:rPr>
      </w:pPr>
      <w:bookmarkStart w:id="40" w:name="_Toc29767"/>
      <w:r>
        <w:rPr>
          <w:rFonts w:hint="eastAsia" w:eastAsia="方正黑体简体"/>
          <w:b w:val="0"/>
          <w:kern w:val="2"/>
          <w:sz w:val="32"/>
          <w:szCs w:val="32"/>
        </w:rPr>
        <w:t>估价技术报告</w:t>
      </w:r>
      <w:bookmarkEnd w:id="40"/>
    </w:p>
    <w:p w14:paraId="1A6F0086">
      <w:pPr>
        <w:pStyle w:val="3"/>
        <w:numPr>
          <w:ilvl w:val="0"/>
          <w:numId w:val="0"/>
        </w:numPr>
        <w:spacing w:line="480" w:lineRule="auto"/>
        <w:ind w:left="358" w:hanging="358" w:hangingChars="170"/>
        <w:jc w:val="both"/>
        <w:rPr>
          <w:rFonts w:eastAsia="宋体"/>
          <w:kern w:val="2"/>
          <w:sz w:val="21"/>
          <w:szCs w:val="21"/>
        </w:rPr>
      </w:pPr>
      <w:bookmarkStart w:id="41" w:name="_Toc11012"/>
      <w:r>
        <w:rPr>
          <w:rFonts w:eastAsia="宋体"/>
          <w:kern w:val="2"/>
          <w:sz w:val="21"/>
          <w:szCs w:val="21"/>
        </w:rPr>
        <w:t>一、估价对象描述与分析</w:t>
      </w:r>
      <w:bookmarkEnd w:id="41"/>
    </w:p>
    <w:p w14:paraId="2F73C6A8">
      <w:pPr>
        <w:pStyle w:val="3"/>
        <w:numPr>
          <w:ilvl w:val="0"/>
          <w:numId w:val="0"/>
        </w:numPr>
        <w:spacing w:line="480" w:lineRule="auto"/>
        <w:ind w:left="360" w:hanging="361" w:hangingChars="171"/>
        <w:jc w:val="both"/>
        <w:rPr>
          <w:rFonts w:eastAsia="宋体"/>
          <w:kern w:val="2"/>
          <w:sz w:val="21"/>
          <w:szCs w:val="21"/>
        </w:rPr>
      </w:pPr>
      <w:bookmarkStart w:id="42" w:name="_Toc6068"/>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2"/>
    </w:p>
    <w:p w14:paraId="0798FACB">
      <w:pPr>
        <w:spacing w:line="480" w:lineRule="auto"/>
        <w:ind w:firstLine="420" w:firstLineChars="200"/>
        <w:jc w:val="both"/>
        <w:rPr>
          <w:rFonts w:hint="eastAsia"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12D9F678">
      <w:pPr>
        <w:spacing w:line="480" w:lineRule="auto"/>
        <w:ind w:firstLine="420" w:firstLineChars="200"/>
        <w:jc w:val="both"/>
        <w:rPr>
          <w:rFonts w:ascii="Arial" w:hAnsi="Arial" w:cs="Arial"/>
          <w:kern w:val="2"/>
          <w:sz w:val="21"/>
          <w:szCs w:val="21"/>
        </w:rPr>
      </w:pPr>
      <w:r>
        <w:rPr>
          <w:rFonts w:ascii="Arial" w:hAnsi="Arial" w:cs="Arial"/>
          <w:kern w:val="2"/>
          <w:sz w:val="21"/>
          <w:szCs w:val="21"/>
        </w:rPr>
        <w:t>（1）</w:t>
      </w:r>
      <w:r>
        <w:rPr>
          <w:rFonts w:hint="eastAsia" w:ascii="Arial" w:hAnsi="Arial" w:cs="Arial"/>
          <w:kern w:val="2"/>
          <w:sz w:val="21"/>
          <w:szCs w:val="21"/>
        </w:rPr>
        <w:t>X13海棠苑项目</w:t>
      </w:r>
      <w:r>
        <w:rPr>
          <w:rFonts w:ascii="Arial" w:hAnsi="Arial" w:cs="Arial"/>
          <w:kern w:val="2"/>
          <w:sz w:val="21"/>
          <w:szCs w:val="21"/>
        </w:rPr>
        <w:t>位于</w:t>
      </w:r>
      <w:r>
        <w:rPr>
          <w:rFonts w:hint="eastAsia" w:ascii="Arial" w:hAnsi="Arial" w:cs="Arial"/>
          <w:kern w:val="2"/>
          <w:sz w:val="21"/>
          <w:szCs w:val="21"/>
        </w:rPr>
        <w:t>北京市北京经济技术开发区博兴九路19号院</w:t>
      </w:r>
      <w:r>
        <w:rPr>
          <w:rFonts w:ascii="Arial" w:hAnsi="Arial" w:cs="Arial"/>
          <w:kern w:val="2"/>
          <w:sz w:val="21"/>
          <w:szCs w:val="21"/>
        </w:rPr>
        <w:t>，其所属项目</w:t>
      </w:r>
      <w:r>
        <w:rPr>
          <w:rFonts w:hint="eastAsia" w:ascii="Arial" w:hAnsi="Arial" w:cs="Arial"/>
          <w:kern w:val="2"/>
          <w:sz w:val="21"/>
          <w:szCs w:val="21"/>
        </w:rPr>
        <w:t>北</w:t>
      </w:r>
      <w:r>
        <w:rPr>
          <w:rFonts w:ascii="Arial" w:hAnsi="Arial" w:cs="Arial"/>
          <w:kern w:val="2"/>
          <w:sz w:val="21"/>
          <w:szCs w:val="21"/>
        </w:rPr>
        <w:t>侧紧邻</w:t>
      </w:r>
      <w:r>
        <w:rPr>
          <w:rFonts w:hint="eastAsia" w:ascii="Arial" w:hAnsi="Arial" w:cs="Arial"/>
          <w:kern w:val="2"/>
          <w:sz w:val="21"/>
          <w:szCs w:val="21"/>
        </w:rPr>
        <w:t>凉水河二街</w:t>
      </w:r>
      <w:r>
        <w:rPr>
          <w:rFonts w:ascii="Arial" w:hAnsi="Arial" w:cs="Arial"/>
          <w:kern w:val="2"/>
          <w:sz w:val="21"/>
          <w:szCs w:val="21"/>
        </w:rPr>
        <w:t>，土地级别属于北京市基准地价居住类</w:t>
      </w:r>
      <w:r>
        <w:rPr>
          <w:rFonts w:hint="eastAsia" w:ascii="Arial" w:hAnsi="Arial" w:cs="Arial"/>
          <w:kern w:val="2"/>
          <w:sz w:val="21"/>
          <w:szCs w:val="21"/>
        </w:rPr>
        <w:t>七</w:t>
      </w:r>
      <w:r>
        <w:rPr>
          <w:rFonts w:ascii="Arial" w:hAnsi="Arial" w:cs="Arial"/>
          <w:kern w:val="2"/>
          <w:sz w:val="21"/>
          <w:szCs w:val="21"/>
        </w:rPr>
        <w:t>级，</w:t>
      </w:r>
      <w:r>
        <w:rPr>
          <w:rFonts w:hint="eastAsia" w:ascii="微软雅黑" w:hAnsi="微软雅黑" w:eastAsia="微软雅黑" w:cs="微软雅黑"/>
          <w:kern w:val="2"/>
          <w:sz w:val="21"/>
          <w:szCs w:val="21"/>
        </w:rPr>
        <w:t>V</w:t>
      </w:r>
      <w:r>
        <w:rPr>
          <w:rFonts w:ascii="微软雅黑" w:hAnsi="微软雅黑" w:eastAsia="微软雅黑" w:cs="微软雅黑"/>
          <w:kern w:val="2"/>
          <w:sz w:val="21"/>
          <w:szCs w:val="21"/>
        </w:rPr>
        <w:t>II-</w:t>
      </w:r>
      <w:r>
        <w:rPr>
          <w:rFonts w:hint="eastAsia" w:ascii="微软雅黑" w:hAnsi="微软雅黑" w:eastAsia="微软雅黑" w:cs="微软雅黑"/>
          <w:kern w:val="2"/>
          <w:sz w:val="21"/>
          <w:szCs w:val="21"/>
        </w:rPr>
        <w:t>亦1</w:t>
      </w:r>
      <w:r>
        <w:rPr>
          <w:rFonts w:ascii="Arial" w:hAnsi="Arial" w:cs="Arial"/>
          <w:kern w:val="2"/>
          <w:sz w:val="21"/>
          <w:szCs w:val="21"/>
        </w:rPr>
        <w:t>区片，地理位置状况较好。</w:t>
      </w:r>
    </w:p>
    <w:p w14:paraId="4ED12053">
      <w:pPr>
        <w:spacing w:line="480" w:lineRule="auto"/>
        <w:ind w:firstLine="420" w:firstLineChars="200"/>
        <w:jc w:val="both"/>
        <w:rPr>
          <w:rFonts w:ascii="Arial" w:hAnsi="Arial" w:cs="Arial"/>
          <w:kern w:val="2"/>
          <w:sz w:val="21"/>
          <w:szCs w:val="21"/>
        </w:rPr>
      </w:pPr>
      <w:r>
        <w:rPr>
          <w:rFonts w:ascii="Arial" w:hAnsi="Arial" w:cs="Arial"/>
          <w:kern w:val="2"/>
          <w:sz w:val="21"/>
          <w:szCs w:val="21"/>
        </w:rPr>
        <w:t>（2）</w:t>
      </w:r>
      <w:r>
        <w:rPr>
          <w:rFonts w:hint="eastAsia" w:ascii="Arial" w:hAnsi="Arial" w:cs="Arial"/>
          <w:kern w:val="2"/>
          <w:sz w:val="21"/>
          <w:szCs w:val="21"/>
        </w:rPr>
        <w:t>X38鹿海园五里项目</w:t>
      </w:r>
      <w:r>
        <w:rPr>
          <w:rFonts w:ascii="Arial" w:hAnsi="Arial" w:cs="Arial"/>
          <w:kern w:val="2"/>
          <w:sz w:val="21"/>
          <w:szCs w:val="21"/>
        </w:rPr>
        <w:t>位于</w:t>
      </w:r>
      <w:r>
        <w:rPr>
          <w:rFonts w:hint="eastAsia" w:ascii="Arial" w:hAnsi="Arial" w:cs="Arial"/>
          <w:kern w:val="2"/>
          <w:sz w:val="21"/>
          <w:szCs w:val="21"/>
        </w:rPr>
        <w:t>北京市北京经济技术开发区博兴八路鹿海园五里</w:t>
      </w:r>
      <w:r>
        <w:rPr>
          <w:rFonts w:ascii="Arial" w:hAnsi="Arial" w:cs="Arial"/>
          <w:kern w:val="2"/>
          <w:sz w:val="21"/>
          <w:szCs w:val="21"/>
        </w:rPr>
        <w:t>，其所属项目</w:t>
      </w:r>
      <w:r>
        <w:rPr>
          <w:rFonts w:hint="eastAsia" w:ascii="Arial" w:hAnsi="Arial" w:cs="Arial"/>
          <w:kern w:val="2"/>
          <w:sz w:val="21"/>
          <w:szCs w:val="21"/>
        </w:rPr>
        <w:t>西</w:t>
      </w:r>
      <w:r>
        <w:rPr>
          <w:rFonts w:ascii="Arial" w:hAnsi="Arial" w:cs="Arial"/>
          <w:kern w:val="2"/>
          <w:sz w:val="21"/>
          <w:szCs w:val="21"/>
        </w:rPr>
        <w:t>侧紧邻</w:t>
      </w:r>
      <w:r>
        <w:rPr>
          <w:rFonts w:hint="eastAsia" w:ascii="Arial" w:hAnsi="Arial" w:cs="Arial"/>
          <w:kern w:val="2"/>
          <w:sz w:val="21"/>
          <w:szCs w:val="21"/>
        </w:rPr>
        <w:t>博兴八路</w:t>
      </w:r>
      <w:r>
        <w:rPr>
          <w:rFonts w:ascii="Arial" w:hAnsi="Arial" w:cs="Arial"/>
          <w:kern w:val="2"/>
          <w:sz w:val="21"/>
          <w:szCs w:val="21"/>
        </w:rPr>
        <w:t>，土地级别属于北京市基准地价居住类</w:t>
      </w:r>
      <w:r>
        <w:rPr>
          <w:rFonts w:hint="eastAsia" w:ascii="Arial" w:hAnsi="Arial" w:cs="Arial"/>
          <w:kern w:val="2"/>
          <w:sz w:val="21"/>
          <w:szCs w:val="21"/>
        </w:rPr>
        <w:t>七</w:t>
      </w:r>
      <w:r>
        <w:rPr>
          <w:rFonts w:ascii="Arial" w:hAnsi="Arial" w:cs="Arial"/>
          <w:kern w:val="2"/>
          <w:sz w:val="21"/>
          <w:szCs w:val="21"/>
        </w:rPr>
        <w:t>级，</w:t>
      </w:r>
      <w:r>
        <w:rPr>
          <w:rFonts w:hint="eastAsia" w:ascii="微软雅黑" w:hAnsi="微软雅黑" w:eastAsia="微软雅黑" w:cs="微软雅黑"/>
          <w:kern w:val="2"/>
          <w:sz w:val="21"/>
          <w:szCs w:val="21"/>
        </w:rPr>
        <w:t>V</w:t>
      </w:r>
      <w:r>
        <w:rPr>
          <w:rFonts w:ascii="微软雅黑" w:hAnsi="微软雅黑" w:eastAsia="微软雅黑" w:cs="微软雅黑"/>
          <w:kern w:val="2"/>
          <w:sz w:val="21"/>
          <w:szCs w:val="21"/>
        </w:rPr>
        <w:t>II-</w:t>
      </w:r>
      <w:r>
        <w:rPr>
          <w:rFonts w:hint="eastAsia" w:ascii="微软雅黑" w:hAnsi="微软雅黑" w:eastAsia="微软雅黑" w:cs="微软雅黑"/>
          <w:kern w:val="2"/>
          <w:sz w:val="21"/>
          <w:szCs w:val="21"/>
        </w:rPr>
        <w:t>亦1</w:t>
      </w:r>
      <w:r>
        <w:rPr>
          <w:rFonts w:ascii="Arial" w:hAnsi="Arial" w:cs="Arial"/>
          <w:kern w:val="2"/>
          <w:sz w:val="21"/>
          <w:szCs w:val="21"/>
        </w:rPr>
        <w:t>区片，地理位置状况较好。</w:t>
      </w:r>
    </w:p>
    <w:p w14:paraId="47D1FBF9">
      <w:pPr>
        <w:spacing w:line="480" w:lineRule="auto"/>
        <w:ind w:firstLine="420" w:firstLineChars="20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5DBC67E8">
      <w:pPr>
        <w:spacing w:line="480" w:lineRule="auto"/>
        <w:ind w:firstLine="420" w:firstLineChars="200"/>
        <w:jc w:val="both"/>
        <w:rPr>
          <w:rFonts w:hint="eastAsia" w:ascii="Arial" w:hAnsi="Arial" w:cs="Arial"/>
          <w:sz w:val="21"/>
          <w:szCs w:val="21"/>
        </w:rPr>
      </w:pPr>
      <w:r>
        <w:rPr>
          <w:rFonts w:hint="eastAsia" w:ascii="Arial" w:hAnsi="Arial" w:cs="Arial"/>
          <w:kern w:val="2"/>
          <w:sz w:val="21"/>
          <w:szCs w:val="21"/>
        </w:rPr>
        <w:t>（1）X13海棠苑项目</w:t>
      </w:r>
      <w:r>
        <w:rPr>
          <w:rFonts w:hint="eastAsia" w:ascii="Arial" w:hAnsi="Arial" w:cs="Arial"/>
          <w:sz w:val="21"/>
          <w:szCs w:val="21"/>
        </w:rPr>
        <w:t>周边有观海苑、泰河园小区、中芯花园、悦廷、鹿海园、南海家园、博客雅苑等居住小区，居住小区规模较大，入住率较高，综合评价居住区成熟度较好</w:t>
      </w:r>
      <w:r>
        <w:rPr>
          <w:rFonts w:ascii="Arial" w:hAnsi="Arial" w:cs="Arial"/>
          <w:sz w:val="21"/>
          <w:szCs w:val="21"/>
        </w:rPr>
        <w:t>。</w:t>
      </w:r>
    </w:p>
    <w:p w14:paraId="1FEB1111">
      <w:pPr>
        <w:spacing w:line="480" w:lineRule="auto"/>
        <w:ind w:firstLine="420" w:firstLineChars="200"/>
        <w:jc w:val="both"/>
        <w:rPr>
          <w:rFonts w:hint="eastAsia" w:ascii="Arial" w:hAnsi="Arial" w:cs="Arial"/>
          <w:kern w:val="2"/>
          <w:sz w:val="21"/>
          <w:szCs w:val="21"/>
        </w:rPr>
      </w:pPr>
      <w:r>
        <w:rPr>
          <w:rFonts w:hint="eastAsia" w:ascii="Arial" w:hAnsi="Arial" w:cs="Arial"/>
          <w:sz w:val="21"/>
          <w:szCs w:val="21"/>
        </w:rPr>
        <w:t>（2）</w:t>
      </w:r>
      <w:r>
        <w:rPr>
          <w:rFonts w:hint="eastAsia" w:ascii="Arial" w:hAnsi="Arial" w:cs="Arial"/>
          <w:kern w:val="2"/>
          <w:sz w:val="21"/>
          <w:szCs w:val="21"/>
        </w:rPr>
        <w:t>X38鹿海园五里项目</w:t>
      </w:r>
      <w:r>
        <w:rPr>
          <w:rFonts w:hint="eastAsia" w:ascii="Arial" w:hAnsi="Arial" w:cs="Arial"/>
          <w:sz w:val="21"/>
          <w:szCs w:val="21"/>
        </w:rPr>
        <w:t>周边有南海家园、亦庄金茂悦、北京城建海梓府、亦城亦景家园、博客雅苑等居住小区，居住小区规模较大，入住率较高，综合评价居住区成熟度较好</w:t>
      </w:r>
      <w:r>
        <w:rPr>
          <w:rFonts w:ascii="Arial" w:hAnsi="Arial" w:cs="Arial"/>
          <w:sz w:val="21"/>
          <w:szCs w:val="21"/>
        </w:rPr>
        <w:t>。</w:t>
      </w:r>
    </w:p>
    <w:p w14:paraId="17FA6E3A">
      <w:pPr>
        <w:spacing w:line="480" w:lineRule="auto"/>
        <w:ind w:firstLine="420" w:firstLineChars="200"/>
        <w:jc w:val="both"/>
        <w:rPr>
          <w:rFonts w:hint="eastAsia"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7D63719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（1）X13海棠苑项目紧邻城市支路——凉水河二街，距南六环路约</w:t>
      </w:r>
      <w:r>
        <w:rPr>
          <w:rFonts w:ascii="Arial" w:hAnsi="Arial" w:cs="Arial"/>
          <w:kern w:val="2"/>
          <w:sz w:val="21"/>
          <w:szCs w:val="21"/>
        </w:rPr>
        <w:t>3.4</w:t>
      </w:r>
      <w:r>
        <w:rPr>
          <w:rFonts w:hint="eastAsia" w:ascii="Arial" w:hAnsi="Arial" w:cs="Arial"/>
          <w:kern w:val="2"/>
          <w:sz w:val="21"/>
          <w:szCs w:val="21"/>
        </w:rPr>
        <w:t>公里，路网密集度较好；</w:t>
      </w:r>
      <w:r>
        <w:rPr>
          <w:rFonts w:hint="eastAsia" w:ascii="Arial" w:hAnsi="Arial" w:cs="Arial"/>
          <w:sz w:val="21"/>
          <w:szCs w:val="21"/>
        </w:rPr>
        <w:t>周边有公交车站（鹿海园），停靠线路有57</w:t>
      </w:r>
      <w:r>
        <w:rPr>
          <w:rFonts w:ascii="Arial" w:hAnsi="Arial" w:cs="Arial"/>
          <w:sz w:val="21"/>
          <w:szCs w:val="21"/>
        </w:rPr>
        <w:t>3</w:t>
      </w:r>
      <w:r>
        <w:rPr>
          <w:rFonts w:hint="eastAsia" w:ascii="Arial" w:hAnsi="Arial" w:cs="Arial"/>
          <w:sz w:val="21"/>
          <w:szCs w:val="21"/>
        </w:rPr>
        <w:t>路、5</w:t>
      </w:r>
      <w:r>
        <w:rPr>
          <w:rFonts w:ascii="Arial" w:hAnsi="Arial" w:cs="Arial"/>
          <w:sz w:val="21"/>
          <w:szCs w:val="21"/>
        </w:rPr>
        <w:t>80</w:t>
      </w:r>
      <w:r>
        <w:rPr>
          <w:rFonts w:hint="eastAsia" w:ascii="Arial" w:hAnsi="Arial" w:cs="Arial"/>
          <w:sz w:val="21"/>
          <w:szCs w:val="21"/>
        </w:rPr>
        <w:t>路、</w:t>
      </w:r>
      <w:r>
        <w:rPr>
          <w:rFonts w:ascii="Arial" w:hAnsi="Arial" w:cs="Arial"/>
          <w:sz w:val="21"/>
          <w:szCs w:val="21"/>
        </w:rPr>
        <w:t>599</w:t>
      </w:r>
      <w:r>
        <w:rPr>
          <w:rFonts w:hint="eastAsia" w:ascii="Arial" w:hAnsi="Arial" w:cs="Arial"/>
          <w:sz w:val="21"/>
          <w:szCs w:val="21"/>
        </w:rPr>
        <w:t>路、</w:t>
      </w:r>
      <w:r>
        <w:rPr>
          <w:rFonts w:ascii="Arial" w:hAnsi="Arial" w:cs="Arial"/>
          <w:sz w:val="21"/>
          <w:szCs w:val="21"/>
        </w:rPr>
        <w:t>665</w:t>
      </w:r>
      <w:r>
        <w:rPr>
          <w:rFonts w:hint="eastAsia" w:ascii="Arial" w:hAnsi="Arial" w:cs="Arial"/>
          <w:sz w:val="21"/>
          <w:szCs w:val="21"/>
        </w:rPr>
        <w:t>路、兴7</w:t>
      </w:r>
      <w:r>
        <w:rPr>
          <w:rFonts w:ascii="Arial" w:hAnsi="Arial" w:cs="Arial"/>
          <w:sz w:val="21"/>
          <w:szCs w:val="21"/>
        </w:rPr>
        <w:t>8</w:t>
      </w:r>
      <w:r>
        <w:rPr>
          <w:rFonts w:hint="eastAsia" w:ascii="Arial" w:hAnsi="Arial" w:cs="Arial"/>
          <w:sz w:val="21"/>
          <w:szCs w:val="21"/>
        </w:rPr>
        <w:t>路等十余条公交线路，距离地铁亦庄T1线（鹿圈东站）约</w:t>
      </w:r>
      <w:r>
        <w:rPr>
          <w:rFonts w:ascii="Arial" w:hAnsi="Arial" w:cs="Arial"/>
          <w:sz w:val="21"/>
          <w:szCs w:val="21"/>
        </w:rPr>
        <w:t>1500</w:t>
      </w:r>
      <w:r>
        <w:rPr>
          <w:rFonts w:hint="eastAsia" w:ascii="Arial" w:hAnsi="Arial" w:cs="Arial"/>
          <w:sz w:val="21"/>
          <w:szCs w:val="21"/>
        </w:rPr>
        <w:t>米，</w:t>
      </w:r>
      <w:r>
        <w:rPr>
          <w:rFonts w:hint="eastAsia" w:ascii="Arial" w:hAnsi="Arial" w:cs="Arial"/>
          <w:kern w:val="2"/>
          <w:sz w:val="21"/>
          <w:szCs w:val="21"/>
        </w:rPr>
        <w:t>道路通达度较好，</w:t>
      </w:r>
      <w:r>
        <w:rPr>
          <w:rFonts w:hint="eastAsia" w:ascii="Arial" w:hAnsi="Arial" w:cs="Arial"/>
          <w:sz w:val="21"/>
          <w:szCs w:val="21"/>
        </w:rPr>
        <w:t>综合评价交通便捷度较好</w:t>
      </w:r>
      <w:r>
        <w:rPr>
          <w:rFonts w:hint="eastAsia" w:ascii="Arial" w:hAnsi="Arial" w:cs="Arial"/>
          <w:kern w:val="2"/>
          <w:sz w:val="21"/>
          <w:szCs w:val="21"/>
        </w:rPr>
        <w:t>。</w:t>
      </w:r>
    </w:p>
    <w:p w14:paraId="6B0AD6B2">
      <w:pPr>
        <w:spacing w:line="480" w:lineRule="auto"/>
        <w:ind w:firstLine="420" w:firstLineChars="200"/>
        <w:jc w:val="both"/>
        <w:rPr>
          <w:rFonts w:ascii="Arial" w:hAnsi="Arial" w:cs="Arial"/>
          <w:kern w:val="2"/>
          <w:sz w:val="21"/>
          <w:szCs w:val="21"/>
        </w:rPr>
      </w:pPr>
      <w:r>
        <w:rPr>
          <w:rFonts w:hint="eastAsia" w:ascii="Arial" w:hAnsi="Arial" w:cs="Arial"/>
          <w:sz w:val="21"/>
          <w:szCs w:val="21"/>
        </w:rPr>
        <w:t>（2）</w:t>
      </w:r>
      <w:r>
        <w:rPr>
          <w:rFonts w:hint="eastAsia" w:ascii="Arial" w:hAnsi="Arial" w:cs="Arial"/>
          <w:kern w:val="2"/>
          <w:sz w:val="21"/>
          <w:szCs w:val="21"/>
        </w:rPr>
        <w:t>X38鹿海园五里项目紧邻城市次干道——博兴八路，距南六环路约</w:t>
      </w:r>
      <w:r>
        <w:rPr>
          <w:rFonts w:ascii="Arial" w:hAnsi="Arial" w:cs="Arial"/>
          <w:kern w:val="2"/>
          <w:sz w:val="21"/>
          <w:szCs w:val="21"/>
        </w:rPr>
        <w:t>2.1</w:t>
      </w:r>
      <w:r>
        <w:rPr>
          <w:rFonts w:hint="eastAsia" w:ascii="Arial" w:hAnsi="Arial" w:cs="Arial"/>
          <w:kern w:val="2"/>
          <w:sz w:val="21"/>
          <w:szCs w:val="21"/>
        </w:rPr>
        <w:t>公里，路网密集度较好；</w:t>
      </w:r>
      <w:r>
        <w:rPr>
          <w:rFonts w:hint="eastAsia" w:ascii="Arial" w:hAnsi="Arial" w:cs="Arial"/>
          <w:sz w:val="21"/>
          <w:szCs w:val="21"/>
        </w:rPr>
        <w:t>周边有公交车站（鹿海园五里东门），停靠线路有</w:t>
      </w:r>
      <w:r>
        <w:rPr>
          <w:rFonts w:ascii="Arial" w:hAnsi="Arial" w:cs="Arial"/>
          <w:sz w:val="21"/>
          <w:szCs w:val="21"/>
        </w:rPr>
        <w:t>578</w:t>
      </w:r>
      <w:r>
        <w:rPr>
          <w:rFonts w:hint="eastAsia" w:ascii="Arial" w:hAnsi="Arial" w:cs="Arial"/>
          <w:sz w:val="21"/>
          <w:szCs w:val="21"/>
        </w:rPr>
        <w:t>路、5</w:t>
      </w:r>
      <w:r>
        <w:rPr>
          <w:rFonts w:ascii="Arial" w:hAnsi="Arial" w:cs="Arial"/>
          <w:sz w:val="21"/>
          <w:szCs w:val="21"/>
        </w:rPr>
        <w:t>80</w:t>
      </w:r>
      <w:r>
        <w:rPr>
          <w:rFonts w:hint="eastAsia" w:ascii="Arial" w:hAnsi="Arial" w:cs="Arial"/>
          <w:sz w:val="21"/>
          <w:szCs w:val="21"/>
        </w:rPr>
        <w:t>路、兴4</w:t>
      </w:r>
      <w:r>
        <w:rPr>
          <w:rFonts w:ascii="Arial" w:hAnsi="Arial" w:cs="Arial"/>
          <w:sz w:val="21"/>
          <w:szCs w:val="21"/>
        </w:rPr>
        <w:t>8</w:t>
      </w:r>
      <w:r>
        <w:rPr>
          <w:rFonts w:hint="eastAsia" w:ascii="Arial" w:hAnsi="Arial" w:cs="Arial"/>
          <w:sz w:val="21"/>
          <w:szCs w:val="21"/>
        </w:rPr>
        <w:t>路、兴4</w:t>
      </w:r>
      <w:r>
        <w:rPr>
          <w:rFonts w:ascii="Arial" w:hAnsi="Arial" w:cs="Arial"/>
          <w:sz w:val="21"/>
          <w:szCs w:val="21"/>
        </w:rPr>
        <w:t>9</w:t>
      </w:r>
      <w:r>
        <w:rPr>
          <w:rFonts w:hint="eastAsia" w:ascii="Arial" w:hAnsi="Arial" w:cs="Arial"/>
          <w:sz w:val="21"/>
          <w:szCs w:val="21"/>
        </w:rPr>
        <w:t>路、兴5</w:t>
      </w:r>
      <w:r>
        <w:rPr>
          <w:rFonts w:ascii="Arial" w:hAnsi="Arial" w:cs="Arial"/>
          <w:sz w:val="21"/>
          <w:szCs w:val="21"/>
        </w:rPr>
        <w:t>9</w:t>
      </w:r>
      <w:r>
        <w:rPr>
          <w:rFonts w:hint="eastAsia" w:ascii="Arial" w:hAnsi="Arial" w:cs="Arial"/>
          <w:sz w:val="21"/>
          <w:szCs w:val="21"/>
        </w:rPr>
        <w:t>路、专1</w:t>
      </w:r>
      <w:r>
        <w:rPr>
          <w:rFonts w:ascii="Arial" w:hAnsi="Arial" w:cs="Arial"/>
          <w:sz w:val="21"/>
          <w:szCs w:val="21"/>
        </w:rPr>
        <w:t>83</w:t>
      </w:r>
      <w:r>
        <w:rPr>
          <w:rFonts w:hint="eastAsia" w:ascii="Arial" w:hAnsi="Arial" w:cs="Arial"/>
          <w:sz w:val="21"/>
          <w:szCs w:val="21"/>
        </w:rPr>
        <w:t>路、专1</w:t>
      </w:r>
      <w:r>
        <w:rPr>
          <w:rFonts w:ascii="Arial" w:hAnsi="Arial" w:cs="Arial"/>
          <w:sz w:val="21"/>
          <w:szCs w:val="21"/>
        </w:rPr>
        <w:t>87</w:t>
      </w:r>
      <w:r>
        <w:rPr>
          <w:rFonts w:hint="eastAsia" w:ascii="Arial" w:hAnsi="Arial" w:cs="Arial"/>
          <w:sz w:val="21"/>
          <w:szCs w:val="21"/>
        </w:rPr>
        <w:t>路等十余条公交线路，距离地铁亦庄T1线（九号村站）约</w:t>
      </w:r>
      <w:r>
        <w:rPr>
          <w:rFonts w:ascii="Arial" w:hAnsi="Arial" w:cs="Arial"/>
          <w:sz w:val="21"/>
          <w:szCs w:val="21"/>
        </w:rPr>
        <w:t>700</w:t>
      </w:r>
      <w:r>
        <w:rPr>
          <w:rFonts w:hint="eastAsia" w:ascii="Arial" w:hAnsi="Arial" w:cs="Arial"/>
          <w:sz w:val="21"/>
          <w:szCs w:val="21"/>
        </w:rPr>
        <w:t>米，</w:t>
      </w:r>
      <w:r>
        <w:rPr>
          <w:rFonts w:hint="eastAsia" w:ascii="Arial" w:hAnsi="Arial" w:cs="Arial"/>
          <w:kern w:val="2"/>
          <w:sz w:val="21"/>
          <w:szCs w:val="21"/>
        </w:rPr>
        <w:t>道路通达度较好，</w:t>
      </w:r>
      <w:r>
        <w:rPr>
          <w:rFonts w:hint="eastAsia" w:ascii="Arial" w:hAnsi="Arial" w:cs="Arial"/>
          <w:sz w:val="21"/>
          <w:szCs w:val="21"/>
        </w:rPr>
        <w:t>综合评价交通便捷度较好</w:t>
      </w:r>
      <w:r>
        <w:rPr>
          <w:rFonts w:hint="eastAsia" w:ascii="Arial" w:hAnsi="Arial" w:cs="Arial"/>
          <w:kern w:val="2"/>
          <w:sz w:val="21"/>
          <w:szCs w:val="21"/>
        </w:rPr>
        <w:t>。</w:t>
      </w:r>
    </w:p>
    <w:p w14:paraId="19DB6746">
      <w:pPr>
        <w:spacing w:line="480" w:lineRule="auto"/>
        <w:ind w:firstLine="420" w:firstLineChars="200"/>
        <w:jc w:val="both"/>
        <w:rPr>
          <w:rFonts w:hint="eastAsia" w:ascii="Arial" w:hAnsi="Arial" w:cs="Arial"/>
          <w:sz w:val="21"/>
          <w:szCs w:val="21"/>
        </w:rPr>
      </w:pPr>
      <w:r>
        <w:rPr>
          <w:rFonts w:ascii="Arial" w:hAnsi="Arial" w:cs="Arial"/>
          <w:sz w:val="21"/>
          <w:szCs w:val="21"/>
        </w:rPr>
        <w:t>4.</w:t>
      </w:r>
      <w:r>
        <w:rPr>
          <w:rFonts w:hint="eastAsia" w:ascii="Arial" w:hAnsi="Arial" w:cs="Arial"/>
          <w:sz w:val="21"/>
          <w:szCs w:val="21"/>
        </w:rPr>
        <w:t>商业设施</w:t>
      </w:r>
    </w:p>
    <w:p w14:paraId="11159E9B">
      <w:pPr>
        <w:spacing w:line="480" w:lineRule="auto"/>
        <w:ind w:firstLine="420" w:firstLineChars="200"/>
        <w:jc w:val="both"/>
        <w:rPr>
          <w:rFonts w:hint="eastAsia" w:ascii="Arial" w:hAnsi="Arial" w:cs="Arial"/>
          <w:sz w:val="21"/>
          <w:szCs w:val="21"/>
        </w:rPr>
      </w:pPr>
      <w:r>
        <w:rPr>
          <w:rFonts w:hint="eastAsia" w:ascii="Arial" w:hAnsi="Arial" w:cs="Arial"/>
          <w:sz w:val="21"/>
          <w:szCs w:val="21"/>
        </w:rPr>
        <w:t>（1）</w:t>
      </w:r>
      <w:r>
        <w:rPr>
          <w:rFonts w:hint="eastAsia" w:ascii="Arial" w:hAnsi="Arial" w:cs="Arial"/>
          <w:kern w:val="2"/>
          <w:sz w:val="21"/>
          <w:szCs w:val="21"/>
        </w:rPr>
        <w:t>X13海棠苑项目位于北京经济技术开发区，周边有临街商铺等，商业设施</w:t>
      </w:r>
      <w:r>
        <w:rPr>
          <w:rFonts w:hint="eastAsia" w:ascii="Arial" w:hAnsi="Arial" w:cs="Arial"/>
          <w:sz w:val="21"/>
          <w:szCs w:val="21"/>
        </w:rPr>
        <w:t>以小区配套为主，且数量一般，综合评价商业设施</w:t>
      </w:r>
      <w:r>
        <w:rPr>
          <w:rFonts w:hint="eastAsia" w:ascii="Arial" w:hAnsi="Arial" w:cs="Arial"/>
          <w:kern w:val="2"/>
          <w:sz w:val="21"/>
          <w:szCs w:val="21"/>
        </w:rPr>
        <w:t>一般。</w:t>
      </w:r>
    </w:p>
    <w:p w14:paraId="0572604D">
      <w:pPr>
        <w:spacing w:line="480" w:lineRule="auto"/>
        <w:ind w:firstLine="420" w:firstLineChars="200"/>
        <w:jc w:val="both"/>
        <w:rPr>
          <w:rFonts w:hint="eastAsia" w:ascii="Arial" w:hAnsi="Arial" w:cs="Arial"/>
          <w:sz w:val="21"/>
          <w:szCs w:val="21"/>
        </w:rPr>
      </w:pPr>
      <w:r>
        <w:rPr>
          <w:rFonts w:hint="eastAsia" w:ascii="Arial" w:hAnsi="Arial" w:cs="Arial"/>
          <w:sz w:val="21"/>
          <w:szCs w:val="21"/>
        </w:rPr>
        <w:t>（2）</w:t>
      </w:r>
      <w:r>
        <w:rPr>
          <w:rFonts w:hint="eastAsia" w:ascii="Arial" w:hAnsi="Arial" w:cs="Arial"/>
          <w:kern w:val="2"/>
          <w:sz w:val="21"/>
          <w:szCs w:val="21"/>
        </w:rPr>
        <w:t>X38鹿海园五里项目位于北京经济技术开发区，周边有临街商铺等，商业设施</w:t>
      </w:r>
      <w:r>
        <w:rPr>
          <w:rFonts w:hint="eastAsia" w:ascii="Arial" w:hAnsi="Arial" w:cs="Arial"/>
          <w:sz w:val="21"/>
          <w:szCs w:val="21"/>
        </w:rPr>
        <w:t>以小区配套为主，且数量一般，综合评价商业设施</w:t>
      </w:r>
      <w:r>
        <w:rPr>
          <w:rFonts w:hint="eastAsia" w:ascii="Arial" w:hAnsi="Arial" w:cs="Arial"/>
          <w:kern w:val="2"/>
          <w:sz w:val="21"/>
          <w:szCs w:val="21"/>
        </w:rPr>
        <w:t>一般。</w:t>
      </w:r>
    </w:p>
    <w:p w14:paraId="0FE52219">
      <w:pPr>
        <w:spacing w:line="480" w:lineRule="auto"/>
        <w:ind w:firstLine="420" w:firstLineChars="200"/>
        <w:jc w:val="both"/>
        <w:rPr>
          <w:rFonts w:hint="eastAsia" w:ascii="Arial" w:hAnsi="Arial" w:cs="Arial"/>
          <w:color w:val="000000"/>
          <w:sz w:val="21"/>
          <w:szCs w:val="21"/>
        </w:rPr>
      </w:pPr>
      <w:r>
        <w:rPr>
          <w:rFonts w:hint="eastAsia" w:ascii="Arial" w:hAnsi="Arial" w:cs="Arial"/>
          <w:sz w:val="21"/>
          <w:szCs w:val="21"/>
        </w:rPr>
        <w:t>5.</w:t>
      </w:r>
      <w:r>
        <w:rPr>
          <w:rFonts w:ascii="Arial" w:hAnsi="Arial" w:cs="Arial"/>
          <w:color w:val="000000"/>
          <w:sz w:val="21"/>
          <w:szCs w:val="21"/>
        </w:rPr>
        <w:t>环境状况</w:t>
      </w:r>
    </w:p>
    <w:p w14:paraId="6459CE6E">
      <w:pPr>
        <w:spacing w:line="480" w:lineRule="auto"/>
        <w:ind w:firstLine="420" w:firstLineChars="200"/>
        <w:jc w:val="both"/>
        <w:rPr>
          <w:rFonts w:hint="eastAsia" w:ascii="Arial" w:hAnsi="Arial" w:cs="Arial"/>
          <w:sz w:val="21"/>
          <w:szCs w:val="21"/>
        </w:rPr>
      </w:pPr>
      <w:r>
        <w:rPr>
          <w:rFonts w:hint="eastAsia" w:ascii="Arial" w:hAnsi="Arial" w:cs="Arial"/>
          <w:kern w:val="2"/>
          <w:sz w:val="21"/>
          <w:szCs w:val="21"/>
        </w:rPr>
        <w:t>（1）X13海棠苑项目周边有</w:t>
      </w:r>
      <w:r>
        <w:rPr>
          <w:rFonts w:hint="eastAsia" w:ascii="Arial" w:hAnsi="Arial" w:cs="Arial"/>
          <w:sz w:val="21"/>
          <w:szCs w:val="21"/>
        </w:rPr>
        <w:t>南海子公园、亦庄新城滨河公园、凉水河、体育公园等，周边无高等教育学校或博物馆等人文景观，综合评价环境状况一般。</w:t>
      </w:r>
    </w:p>
    <w:p w14:paraId="64513863">
      <w:pPr>
        <w:spacing w:line="480" w:lineRule="auto"/>
        <w:ind w:firstLine="420" w:firstLineChars="200"/>
        <w:jc w:val="both"/>
        <w:rPr>
          <w:rFonts w:hint="eastAsia" w:ascii="Arial" w:hAnsi="Arial" w:cs="Arial"/>
          <w:kern w:val="2"/>
          <w:sz w:val="21"/>
          <w:szCs w:val="21"/>
        </w:rPr>
      </w:pPr>
      <w:r>
        <w:rPr>
          <w:rFonts w:hint="eastAsia" w:ascii="Arial" w:hAnsi="Arial" w:cs="Arial"/>
          <w:sz w:val="21"/>
          <w:szCs w:val="21"/>
        </w:rPr>
        <w:t>（2）</w:t>
      </w:r>
      <w:r>
        <w:rPr>
          <w:rFonts w:hint="eastAsia" w:ascii="Arial" w:hAnsi="Arial" w:cs="Arial"/>
          <w:kern w:val="2"/>
          <w:sz w:val="21"/>
          <w:szCs w:val="21"/>
        </w:rPr>
        <w:t>X38鹿海园五里项目周边有</w:t>
      </w:r>
      <w:r>
        <w:rPr>
          <w:rFonts w:hint="eastAsia" w:ascii="Arial" w:hAnsi="Arial" w:cs="Arial"/>
          <w:sz w:val="21"/>
          <w:szCs w:val="21"/>
        </w:rPr>
        <w:t>南海子公园、亦庄新城滨河公园、凉水河、体育公园等，周边无高等教育学校或博物馆等人文景观，综合评价环境状况一般。</w:t>
      </w:r>
    </w:p>
    <w:p w14:paraId="1AED136C">
      <w:pPr>
        <w:spacing w:line="480" w:lineRule="auto"/>
        <w:ind w:firstLine="420" w:firstLineChars="200"/>
        <w:jc w:val="both"/>
        <w:rPr>
          <w:rFonts w:ascii="Arial" w:hAnsi="Arial" w:cs="Arial"/>
          <w:i/>
          <w:color w:val="548DD4"/>
          <w:sz w:val="21"/>
          <w:szCs w:val="21"/>
        </w:rPr>
      </w:pPr>
      <w:r>
        <w:rPr>
          <w:rFonts w:hint="eastAsia" w:ascii="Arial" w:hAnsi="Arial" w:cs="Arial"/>
          <w:sz w:val="21"/>
          <w:szCs w:val="21"/>
        </w:rPr>
        <w:t>6.</w:t>
      </w:r>
      <w:r>
        <w:rPr>
          <w:rFonts w:ascii="Arial" w:hAnsi="Arial" w:cs="Arial"/>
          <w:sz w:val="21"/>
          <w:szCs w:val="21"/>
        </w:rPr>
        <w:t>外部配套设施状况</w:t>
      </w:r>
    </w:p>
    <w:p w14:paraId="140EC777">
      <w:pPr>
        <w:spacing w:line="480" w:lineRule="auto"/>
        <w:ind w:firstLine="420" w:firstLineChars="200"/>
        <w:jc w:val="both"/>
        <w:rPr>
          <w:rFonts w:ascii="Arial" w:hAnsi="Arial" w:cs="Arial"/>
          <w:sz w:val="21"/>
          <w:szCs w:val="21"/>
        </w:rPr>
      </w:pPr>
      <w:r>
        <w:rPr>
          <w:rFonts w:hint="eastAsia" w:ascii="Arial" w:hAnsi="Arial" w:cs="Arial"/>
          <w:kern w:val="2"/>
          <w:sz w:val="21"/>
          <w:szCs w:val="21"/>
        </w:rPr>
        <w:t>（1）X13海棠苑项目</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1606E0AC">
      <w:pPr>
        <w:spacing w:line="480" w:lineRule="auto"/>
        <w:ind w:firstLine="420" w:firstLineChars="200"/>
        <w:jc w:val="both"/>
        <w:rPr>
          <w:rFonts w:hint="eastAsia" w:ascii="Arial" w:hAnsi="Arial" w:cs="Arial"/>
          <w:sz w:val="21"/>
          <w:szCs w:val="21"/>
        </w:rPr>
      </w:pPr>
      <w:bookmarkStart w:id="43" w:name="_Toc525655434"/>
      <w:r>
        <w:rPr>
          <w:rFonts w:hint="eastAsia" w:ascii="Arial" w:hAnsi="Arial" w:cs="Arial"/>
          <w:kern w:val="2"/>
          <w:sz w:val="21"/>
          <w:szCs w:val="21"/>
        </w:rPr>
        <w:t>X13海棠苑项目</w:t>
      </w:r>
      <w:r>
        <w:rPr>
          <w:rFonts w:hint="eastAsia" w:ascii="Arial" w:hAnsi="Arial" w:cs="Arial"/>
          <w:sz w:val="21"/>
          <w:szCs w:val="21"/>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p w14:paraId="20E5E20E">
      <w:pPr>
        <w:spacing w:line="480" w:lineRule="auto"/>
        <w:ind w:firstLine="420" w:firstLineChars="200"/>
        <w:jc w:val="both"/>
        <w:rPr>
          <w:rFonts w:hint="eastAsia" w:ascii="Arial" w:hAnsi="Arial" w:cs="Arial"/>
          <w:sz w:val="21"/>
          <w:szCs w:val="21"/>
        </w:rPr>
      </w:pPr>
      <w:r>
        <w:rPr>
          <w:rFonts w:hint="eastAsia" w:ascii="Arial" w:hAnsi="Arial" w:cs="Arial"/>
          <w:sz w:val="21"/>
          <w:szCs w:val="21"/>
        </w:rPr>
        <w:t>（2）</w:t>
      </w:r>
      <w:r>
        <w:rPr>
          <w:rFonts w:hint="eastAsia" w:ascii="Arial" w:hAnsi="Arial" w:cs="Arial"/>
          <w:kern w:val="2"/>
          <w:sz w:val="21"/>
          <w:szCs w:val="21"/>
        </w:rPr>
        <w:t>X38鹿海园五里项目</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2E1DF613">
      <w:pPr>
        <w:spacing w:line="480" w:lineRule="auto"/>
        <w:ind w:firstLine="420" w:firstLineChars="200"/>
        <w:jc w:val="both"/>
        <w:rPr>
          <w:rFonts w:hint="eastAsia" w:ascii="Arial" w:hAnsi="Arial" w:cs="Arial"/>
          <w:kern w:val="2"/>
          <w:sz w:val="21"/>
          <w:szCs w:val="21"/>
        </w:rPr>
      </w:pPr>
      <w:r>
        <w:rPr>
          <w:rFonts w:hint="eastAsia" w:ascii="Arial" w:hAnsi="Arial" w:cs="Arial"/>
          <w:kern w:val="2"/>
          <w:sz w:val="21"/>
          <w:szCs w:val="21"/>
        </w:rPr>
        <w:t>X38鹿海园五里项目</w:t>
      </w:r>
      <w:r>
        <w:rPr>
          <w:rFonts w:hint="eastAsia" w:ascii="Arial" w:hAnsi="Arial" w:cs="Arial"/>
          <w:sz w:val="21"/>
          <w:szCs w:val="21"/>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p w14:paraId="4E75F937">
      <w:pPr>
        <w:spacing w:line="480" w:lineRule="auto"/>
        <w:ind w:firstLine="420" w:firstLineChars="200"/>
        <w:jc w:val="both"/>
        <w:rPr>
          <w:rFonts w:hint="eastAsia" w:ascii="Arial" w:hAnsi="Arial" w:cs="Arial"/>
          <w:sz w:val="21"/>
          <w:szCs w:val="21"/>
        </w:rPr>
      </w:pPr>
      <w:r>
        <w:rPr>
          <w:rFonts w:hint="eastAsia" w:ascii="Arial" w:hAnsi="Arial" w:cs="Arial"/>
          <w:sz w:val="21"/>
          <w:szCs w:val="21"/>
        </w:rPr>
        <w:t>6.总体评价</w:t>
      </w:r>
    </w:p>
    <w:p w14:paraId="1EE6834E">
      <w:pPr>
        <w:spacing w:line="480" w:lineRule="auto"/>
        <w:ind w:firstLine="420" w:firstLineChars="200"/>
        <w:jc w:val="both"/>
        <w:rPr>
          <w:rFonts w:hint="eastAsia" w:ascii="Arial" w:hAnsi="Arial" w:cs="Arial"/>
          <w:sz w:val="21"/>
          <w:szCs w:val="21"/>
        </w:rPr>
      </w:pPr>
      <w:r>
        <w:rPr>
          <w:rFonts w:hint="eastAsia" w:ascii="Arial" w:hAnsi="Arial" w:cs="Arial"/>
          <w:sz w:val="21"/>
          <w:szCs w:val="21"/>
        </w:rPr>
        <w:t>（1）</w:t>
      </w:r>
      <w:r>
        <w:rPr>
          <w:rFonts w:ascii="Arial" w:hAnsi="Arial" w:cs="Arial"/>
          <w:sz w:val="21"/>
          <w:szCs w:val="21"/>
        </w:rPr>
        <w:t>综上，</w:t>
      </w:r>
      <w:r>
        <w:rPr>
          <w:rFonts w:hint="eastAsia" w:ascii="Arial" w:hAnsi="Arial" w:cs="Arial"/>
          <w:kern w:val="2"/>
          <w:sz w:val="21"/>
          <w:szCs w:val="21"/>
        </w:rPr>
        <w:t>X13海棠苑项目</w:t>
      </w:r>
      <w:r>
        <w:rPr>
          <w:rFonts w:hint="eastAsia" w:ascii="Arial" w:hAnsi="Arial" w:cs="Arial"/>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”，公共配套设施状况较齐全。</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w:t>
      </w:r>
      <w:bookmarkEnd w:id="43"/>
      <w:r>
        <w:rPr>
          <w:rFonts w:ascii="Arial" w:hAnsi="Arial" w:cs="Arial"/>
          <w:sz w:val="21"/>
          <w:szCs w:val="21"/>
        </w:rPr>
        <w:t>总体评价影响估价对象的</w:t>
      </w:r>
      <w:r>
        <w:rPr>
          <w:rFonts w:hint="eastAsia" w:ascii="Arial" w:hAnsi="Arial" w:cs="Arial"/>
          <w:sz w:val="21"/>
          <w:szCs w:val="21"/>
        </w:rPr>
        <w:t>区位条件较好</w:t>
      </w:r>
      <w:r>
        <w:rPr>
          <w:rFonts w:ascii="Arial" w:hAnsi="Arial" w:cs="Arial"/>
          <w:sz w:val="21"/>
          <w:szCs w:val="21"/>
        </w:rPr>
        <w:t>。</w:t>
      </w:r>
    </w:p>
    <w:p w14:paraId="0C481664">
      <w:pPr>
        <w:spacing w:line="480" w:lineRule="auto"/>
        <w:ind w:firstLine="420" w:firstLineChars="200"/>
        <w:jc w:val="both"/>
        <w:rPr>
          <w:rFonts w:hint="eastAsia" w:ascii="Arial" w:hAnsi="Arial" w:cs="Arial"/>
          <w:kern w:val="2"/>
          <w:sz w:val="21"/>
          <w:szCs w:val="21"/>
        </w:rPr>
      </w:pPr>
      <w:r>
        <w:rPr>
          <w:rFonts w:hint="eastAsia" w:ascii="Arial" w:hAnsi="Arial" w:cs="Arial"/>
          <w:sz w:val="21"/>
          <w:szCs w:val="21"/>
        </w:rPr>
        <w:t>（2）</w:t>
      </w:r>
      <w:r>
        <w:rPr>
          <w:rFonts w:ascii="Arial" w:hAnsi="Arial" w:cs="Arial"/>
          <w:sz w:val="21"/>
          <w:szCs w:val="21"/>
        </w:rPr>
        <w:t>综上，</w:t>
      </w:r>
      <w:r>
        <w:rPr>
          <w:rFonts w:hint="eastAsia" w:ascii="Arial" w:hAnsi="Arial" w:cs="Arial"/>
          <w:kern w:val="2"/>
          <w:sz w:val="21"/>
          <w:szCs w:val="21"/>
        </w:rPr>
        <w:t>X38鹿海园五里项目</w:t>
      </w:r>
      <w:r>
        <w:rPr>
          <w:rFonts w:hint="eastAsia" w:ascii="Arial" w:hAnsi="Arial" w:cs="Arial"/>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”，公共配套设施状况较齐全。</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。总体评价影响估价对象的</w:t>
      </w:r>
      <w:r>
        <w:rPr>
          <w:rFonts w:hint="eastAsia" w:ascii="Arial" w:hAnsi="Arial" w:cs="Arial"/>
          <w:sz w:val="21"/>
          <w:szCs w:val="21"/>
        </w:rPr>
        <w:t>区位条件较好</w:t>
      </w:r>
      <w:r>
        <w:rPr>
          <w:rFonts w:ascii="Arial" w:hAnsi="Arial" w:cs="Arial"/>
          <w:sz w:val="21"/>
          <w:szCs w:val="21"/>
        </w:rPr>
        <w:t>。</w:t>
      </w:r>
    </w:p>
    <w:p w14:paraId="448F9FA4">
      <w:pPr>
        <w:pStyle w:val="3"/>
        <w:numPr>
          <w:ilvl w:val="0"/>
          <w:numId w:val="0"/>
        </w:numPr>
        <w:spacing w:line="480" w:lineRule="auto"/>
        <w:ind w:left="360" w:hanging="361" w:hangingChars="171"/>
        <w:jc w:val="both"/>
        <w:rPr>
          <w:rFonts w:eastAsia="宋体"/>
          <w:kern w:val="2"/>
          <w:sz w:val="21"/>
          <w:szCs w:val="21"/>
        </w:rPr>
      </w:pPr>
      <w:bookmarkStart w:id="44" w:name="_Toc17437"/>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44"/>
    </w:p>
    <w:p w14:paraId="54EC41F3">
      <w:pPr>
        <w:overflowPunct w:val="0"/>
        <w:spacing w:line="480" w:lineRule="auto"/>
        <w:ind w:firstLine="420" w:firstLineChars="200"/>
        <w:jc w:val="both"/>
        <w:textAlignment w:val="auto"/>
        <w:rPr>
          <w:rFonts w:hint="eastAsia" w:ascii="Arial" w:hAnsi="Arial" w:cs="Arial"/>
          <w:kern w:val="2"/>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平方米。详见下表：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745"/>
        <w:gridCol w:w="3703"/>
        <w:gridCol w:w="1108"/>
        <w:gridCol w:w="2168"/>
      </w:tblGrid>
      <w:tr w14:paraId="4ACC3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6" w:type="pct"/>
            <w:vAlign w:val="center"/>
          </w:tcPr>
          <w:p w14:paraId="06AAEC49">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序号</w:t>
            </w:r>
          </w:p>
        </w:tc>
        <w:tc>
          <w:tcPr>
            <w:tcW w:w="917" w:type="pct"/>
            <w:vAlign w:val="center"/>
          </w:tcPr>
          <w:p w14:paraId="66375A4C">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项目名称</w:t>
            </w:r>
          </w:p>
        </w:tc>
        <w:tc>
          <w:tcPr>
            <w:tcW w:w="1946" w:type="pct"/>
            <w:vAlign w:val="center"/>
          </w:tcPr>
          <w:p w14:paraId="74901522">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坐落</w:t>
            </w:r>
          </w:p>
        </w:tc>
        <w:tc>
          <w:tcPr>
            <w:tcW w:w="582" w:type="pct"/>
            <w:vAlign w:val="center"/>
          </w:tcPr>
          <w:p w14:paraId="5687BF66">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套数（套）</w:t>
            </w:r>
          </w:p>
        </w:tc>
        <w:tc>
          <w:tcPr>
            <w:tcW w:w="1139" w:type="pct"/>
            <w:vAlign w:val="center"/>
          </w:tcPr>
          <w:p w14:paraId="30C6843F">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建筑面积（平方米）</w:t>
            </w:r>
          </w:p>
        </w:tc>
      </w:tr>
      <w:tr w14:paraId="49B1F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6" w:type="pct"/>
            <w:vAlign w:val="center"/>
          </w:tcPr>
          <w:p w14:paraId="175BA515">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p>
        </w:tc>
        <w:tc>
          <w:tcPr>
            <w:tcW w:w="917" w:type="pct"/>
            <w:vAlign w:val="center"/>
          </w:tcPr>
          <w:p w14:paraId="31D8DC9D">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X13海棠苑</w:t>
            </w:r>
          </w:p>
        </w:tc>
        <w:tc>
          <w:tcPr>
            <w:tcW w:w="1946" w:type="pct"/>
            <w:vAlign w:val="center"/>
          </w:tcPr>
          <w:p w14:paraId="67943F89">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博兴九路19号院一区1号楼等5幢</w:t>
            </w:r>
          </w:p>
        </w:tc>
        <w:tc>
          <w:tcPr>
            <w:tcW w:w="582" w:type="pct"/>
            <w:vAlign w:val="center"/>
          </w:tcPr>
          <w:p w14:paraId="3D565611">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1487</w:t>
            </w:r>
          </w:p>
        </w:tc>
        <w:tc>
          <w:tcPr>
            <w:tcW w:w="1139" w:type="pct"/>
            <w:vAlign w:val="center"/>
          </w:tcPr>
          <w:p w14:paraId="3430A836">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80734.26</w:t>
            </w:r>
          </w:p>
        </w:tc>
      </w:tr>
      <w:tr w14:paraId="243F1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6" w:type="pct"/>
            <w:vAlign w:val="center"/>
          </w:tcPr>
          <w:p w14:paraId="4B7F71E4">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w:t>
            </w:r>
          </w:p>
        </w:tc>
        <w:tc>
          <w:tcPr>
            <w:tcW w:w="917" w:type="pct"/>
            <w:vAlign w:val="center"/>
          </w:tcPr>
          <w:p w14:paraId="73411B08">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X38鹿海园五里</w:t>
            </w:r>
          </w:p>
        </w:tc>
        <w:tc>
          <w:tcPr>
            <w:tcW w:w="1946" w:type="pct"/>
            <w:vAlign w:val="center"/>
          </w:tcPr>
          <w:p w14:paraId="23B6EEA1">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鹿海园五里1号楼等13幢</w:t>
            </w:r>
          </w:p>
        </w:tc>
        <w:tc>
          <w:tcPr>
            <w:tcW w:w="582" w:type="pct"/>
            <w:vAlign w:val="center"/>
          </w:tcPr>
          <w:p w14:paraId="3BED5F8B">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231</w:t>
            </w:r>
          </w:p>
        </w:tc>
        <w:tc>
          <w:tcPr>
            <w:tcW w:w="1139" w:type="pct"/>
            <w:vAlign w:val="center"/>
          </w:tcPr>
          <w:p w14:paraId="1C773529">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121829.32</w:t>
            </w:r>
          </w:p>
        </w:tc>
      </w:tr>
      <w:tr w14:paraId="0AC31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279" w:type="pct"/>
            <w:gridSpan w:val="3"/>
            <w:vAlign w:val="center"/>
          </w:tcPr>
          <w:p w14:paraId="2407DFD3">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582" w:type="pct"/>
            <w:vAlign w:val="center"/>
          </w:tcPr>
          <w:p w14:paraId="5D225C9F">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2718</w:t>
            </w:r>
          </w:p>
        </w:tc>
        <w:tc>
          <w:tcPr>
            <w:tcW w:w="1139" w:type="pct"/>
            <w:vAlign w:val="center"/>
          </w:tcPr>
          <w:p w14:paraId="0A4817BB">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202563.58</w:t>
            </w:r>
          </w:p>
        </w:tc>
      </w:tr>
    </w:tbl>
    <w:p w14:paraId="7A5D0185">
      <w:pPr>
        <w:overflowPunct w:val="0"/>
        <w:spacing w:before="240" w:beforeLines="100" w:line="480" w:lineRule="auto"/>
        <w:ind w:firstLine="420" w:firstLineChars="200"/>
        <w:jc w:val="both"/>
        <w:textAlignment w:val="auto"/>
        <w:rPr>
          <w:rFonts w:hint="eastAsia" w:ascii="Arial" w:hAnsi="Arial" w:cs="Arial"/>
          <w:kern w:val="2"/>
          <w:sz w:val="21"/>
          <w:szCs w:val="21"/>
        </w:rPr>
      </w:pPr>
      <w:r>
        <w:rPr>
          <w:rFonts w:hint="eastAsia" w:ascii="Arial" w:hAnsi="Arial" w:cs="Arial"/>
          <w:kern w:val="2"/>
          <w:sz w:val="21"/>
          <w:szCs w:val="21"/>
        </w:rPr>
        <w:t>本次评估的2</w:t>
      </w:r>
      <w:r>
        <w:rPr>
          <w:rFonts w:ascii="Arial" w:hAnsi="Arial" w:cs="Arial"/>
          <w:kern w:val="2"/>
          <w:sz w:val="21"/>
          <w:szCs w:val="21"/>
        </w:rPr>
        <w:t>718</w:t>
      </w:r>
      <w:r>
        <w:rPr>
          <w:rFonts w:hint="eastAsia" w:ascii="Arial" w:hAnsi="Arial" w:cs="Arial"/>
          <w:kern w:val="2"/>
          <w:sz w:val="21"/>
          <w:szCs w:val="21"/>
        </w:rPr>
        <w:t>套公共租赁住房房源是由估价委托人收购、代持经营，现拟作为公共租赁住房使用。</w:t>
      </w:r>
    </w:p>
    <w:p w14:paraId="5D10368A">
      <w:pPr>
        <w:overflowPunct w:val="0"/>
        <w:spacing w:line="480" w:lineRule="auto"/>
        <w:ind w:firstLine="420" w:firstLineChars="200"/>
        <w:jc w:val="both"/>
        <w:textAlignment w:val="auto"/>
        <w:rPr>
          <w:rFonts w:hint="eastAsia" w:ascii="Arial" w:hAnsi="Arial" w:cs="Arial"/>
          <w:color w:val="FF0000"/>
          <w:kern w:val="2"/>
          <w:sz w:val="21"/>
          <w:szCs w:val="21"/>
        </w:rPr>
      </w:pPr>
      <w:r>
        <w:rPr>
          <w:rFonts w:hint="eastAsia" w:ascii="Arial" w:hAnsi="Arial" w:cs="Arial"/>
          <w:kern w:val="2"/>
          <w:sz w:val="21"/>
          <w:szCs w:val="21"/>
        </w:rPr>
        <w:t>于价值时点，估价对象均已完工，室内装修情况均为普通装修。</w:t>
      </w:r>
    </w:p>
    <w:p w14:paraId="52092346">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439B17C9">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w:t>
      </w:r>
      <w:r>
        <w:rPr>
          <w:rFonts w:hint="eastAsia" w:ascii="Arial" w:hAnsi="Arial" w:cs="Arial"/>
          <w:color w:val="000000"/>
          <w:sz w:val="21"/>
          <w:szCs w:val="21"/>
        </w:rPr>
        <w:t>截至价值时点，估价委托人未提供</w:t>
      </w:r>
      <w:r>
        <w:rPr>
          <w:rFonts w:hint="eastAsia" w:ascii="Arial" w:hAnsi="Arial" w:cs="Arial"/>
          <w:kern w:val="2"/>
          <w:sz w:val="21"/>
          <w:szCs w:val="21"/>
        </w:rPr>
        <w:t>《不动产权证书》</w:t>
      </w:r>
      <w:r>
        <w:rPr>
          <w:rFonts w:hint="eastAsia" w:ascii="Arial" w:hAnsi="Arial" w:cs="Arial"/>
          <w:sz w:val="21"/>
          <w:szCs w:val="21"/>
        </w:rPr>
        <w:t>等权属证明文件</w:t>
      </w:r>
      <w:r>
        <w:rPr>
          <w:rFonts w:hint="eastAsia" w:ascii="Arial" w:hAnsi="Arial" w:cs="Arial"/>
          <w:kern w:val="2"/>
          <w:sz w:val="21"/>
          <w:szCs w:val="21"/>
        </w:rPr>
        <w:t>。根据估价委托人提供的《房屋收购协议》[编号：2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及</w:t>
      </w:r>
      <w:r>
        <w:rPr>
          <w:rFonts w:hint="eastAsia" w:ascii="Arial" w:hAnsi="Arial" w:cs="Arial"/>
          <w:sz w:val="21"/>
          <w:szCs w:val="21"/>
        </w:rPr>
        <w:t>介绍，</w:t>
      </w:r>
      <w:r>
        <w:rPr>
          <w:rFonts w:hint="eastAsia" w:ascii="Arial" w:hAnsi="Arial" w:cs="Arial"/>
          <w:kern w:val="2"/>
          <w:sz w:val="21"/>
          <w:szCs w:val="21"/>
        </w:rPr>
        <w:t>北京市北京经济技术开发区博兴九路19号院一区1号楼等5幢（X13海棠苑）公共租赁住房项目所属宗地权利类型为国有建设用地使用权，</w:t>
      </w:r>
      <w:r>
        <w:rPr>
          <w:rFonts w:hint="eastAsia" w:ascii="Arial" w:hAnsi="Arial" w:cs="Arial"/>
          <w:sz w:val="21"/>
          <w:szCs w:val="21"/>
        </w:rPr>
        <w:t>用途为住宅，</w:t>
      </w:r>
      <w:r>
        <w:rPr>
          <w:rFonts w:hint="eastAsia" w:ascii="Arial" w:hAnsi="Arial" w:cs="Arial"/>
          <w:kern w:val="2"/>
          <w:sz w:val="21"/>
          <w:szCs w:val="21"/>
        </w:rPr>
        <w:t>由北京首开住总房地产开发有限公司以招拍挂方式取得。</w:t>
      </w:r>
      <w:r>
        <w:rPr>
          <w:rFonts w:ascii="Arial" w:hAnsi="Arial" w:cs="Arial"/>
          <w:sz w:val="21"/>
          <w:szCs w:val="21"/>
        </w:rPr>
        <w:t xml:space="preserve"> </w:t>
      </w:r>
    </w:p>
    <w:p w14:paraId="2FEC4E51">
      <w:pPr>
        <w:wordWrap w:val="0"/>
        <w:overflowPunct w:val="0"/>
        <w:spacing w:line="480" w:lineRule="auto"/>
        <w:ind w:firstLine="420" w:firstLineChars="200"/>
        <w:jc w:val="both"/>
        <w:textAlignment w:val="auto"/>
        <w:rPr>
          <w:rFonts w:hint="eastAsia" w:ascii="Arial" w:hAnsi="Arial" w:cs="Arial"/>
          <w:kern w:val="2"/>
          <w:sz w:val="21"/>
          <w:szCs w:val="21"/>
        </w:rPr>
      </w:pPr>
      <w:r>
        <w:rPr>
          <w:rFonts w:hint="eastAsia" w:ascii="Arial" w:hAnsi="Arial" w:cs="Arial"/>
          <w:sz w:val="21"/>
          <w:szCs w:val="21"/>
        </w:rPr>
        <w:t>根据</w:t>
      </w:r>
      <w:r>
        <w:rPr>
          <w:rFonts w:hint="eastAsia" w:ascii="Arial" w:hAnsi="Arial" w:cs="Arial"/>
          <w:kern w:val="2"/>
          <w:sz w:val="21"/>
          <w:szCs w:val="21"/>
        </w:rPr>
        <w:t>估价委托人</w:t>
      </w:r>
      <w:r>
        <w:rPr>
          <w:rFonts w:hint="eastAsia" w:ascii="Arial" w:hAnsi="Arial" w:cs="Arial"/>
          <w:sz w:val="21"/>
          <w:szCs w:val="21"/>
        </w:rPr>
        <w:t>介绍，北京市</w:t>
      </w:r>
      <w:r>
        <w:rPr>
          <w:rFonts w:hint="eastAsia" w:ascii="Arial" w:hAnsi="Arial" w:cs="Arial"/>
          <w:kern w:val="2"/>
          <w:sz w:val="21"/>
          <w:szCs w:val="21"/>
        </w:rPr>
        <w:t>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所属宗地权利类型为国有建设用地使用权，权利性质为划拨</w:t>
      </w:r>
      <w:r>
        <w:rPr>
          <w:rFonts w:hint="eastAsia" w:ascii="Arial" w:hAnsi="Arial" w:cs="Arial"/>
          <w:sz w:val="21"/>
          <w:szCs w:val="21"/>
        </w:rPr>
        <w:t>。</w:t>
      </w:r>
    </w:p>
    <w:p w14:paraId="17853A2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估价对象所属项目用地四至：</w:t>
      </w:r>
    </w:p>
    <w:p w14:paraId="6D1534B2">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北京市北京经济技术开发区博兴九路19号院一区1号楼等5幢（X13海棠苑）公共租赁住房项目，现状四至为东至博兴九路，西至博兴十路，南至泰河路，北至凉水河二街。</w:t>
      </w:r>
    </w:p>
    <w:p w14:paraId="61938FE4">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kern w:val="2"/>
          <w:sz w:val="21"/>
          <w:szCs w:val="21"/>
        </w:rPr>
        <w:t>北京市北京经济技术开发区鹿海园五里1号楼等13幢（X38鹿海园五里）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项目现状四至为东至博兴七路，西至博兴八路，南至泰河三街，北至泰河二街</w:t>
      </w:r>
      <w:r>
        <w:rPr>
          <w:rFonts w:hint="eastAsia" w:ascii="Arial" w:hAnsi="Arial" w:cs="Arial"/>
          <w:sz w:val="21"/>
          <w:szCs w:val="21"/>
        </w:rPr>
        <w:t>。</w:t>
      </w:r>
    </w:p>
    <w:p w14:paraId="7504082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估价对象所属项目用地</w:t>
      </w:r>
      <w:r>
        <w:rPr>
          <w:rFonts w:hint="eastAsia" w:ascii="Arial" w:hAnsi="Arial" w:cs="Arial"/>
          <w:sz w:val="21"/>
          <w:szCs w:val="21"/>
        </w:rPr>
        <w:t>均</w:t>
      </w:r>
      <w:r>
        <w:rPr>
          <w:rFonts w:ascii="Arial" w:hAnsi="Arial" w:cs="Arial"/>
          <w:sz w:val="21"/>
          <w:szCs w:val="21"/>
        </w:rPr>
        <w:t>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估价对象现状均已完成开发建设，土地利用程度高。</w:t>
      </w:r>
    </w:p>
    <w:p w14:paraId="36B9905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（4）开发程度</w:t>
      </w:r>
      <w:r>
        <w:rPr>
          <w:rFonts w:ascii="Arial" w:hAnsi="Arial" w:cs="Arial"/>
          <w:sz w:val="21"/>
          <w:szCs w:val="21"/>
        </w:rPr>
        <w:t>：</w:t>
      </w:r>
    </w:p>
    <w:p w14:paraId="07E3413C">
      <w:pPr>
        <w:wordWrap w:val="0"/>
        <w:overflowPunct w:val="0"/>
        <w:spacing w:line="480" w:lineRule="auto"/>
        <w:ind w:firstLine="420" w:firstLineChars="200"/>
        <w:jc w:val="both"/>
        <w:textAlignment w:val="auto"/>
        <w:rPr>
          <w:rFonts w:hint="eastAsia"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344A564A">
      <w:pPr>
        <w:wordWrap w:val="0"/>
        <w:overflowPunct w:val="0"/>
        <w:spacing w:line="480" w:lineRule="auto"/>
        <w:ind w:firstLine="420" w:firstLineChars="200"/>
        <w:jc w:val="both"/>
        <w:textAlignment w:val="auto"/>
        <w:rPr>
          <w:rFonts w:hint="eastAsia" w:ascii="Arial" w:hAnsi="Arial" w:cs="Arial"/>
          <w:color w:val="E36C0A"/>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22DD3744">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1B9DF223">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（1）建设规模：</w:t>
      </w: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w:t>
      </w:r>
    </w:p>
    <w:p w14:paraId="155EF8AB">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w:t>
      </w:r>
      <w:r>
        <w:rPr>
          <w:rFonts w:ascii="Arial" w:hAnsi="Arial" w:cs="Arial"/>
          <w:kern w:val="2"/>
          <w:sz w:val="21"/>
          <w:szCs w:val="21"/>
        </w:rPr>
        <w:t>-5</w:t>
      </w:r>
      <w:r>
        <w:rPr>
          <w:rFonts w:hint="eastAsia" w:ascii="Arial" w:hAnsi="Arial" w:cs="Arial"/>
          <w:kern w:val="2"/>
          <w:sz w:val="21"/>
          <w:szCs w:val="21"/>
        </w:rPr>
        <w:t>号楼，建筑类型均为板塔结合，楼宇主体建筑结构为装配式剪力墙（钢混），建筑层数均为地上1</w:t>
      </w:r>
      <w:r>
        <w:rPr>
          <w:rFonts w:ascii="Arial" w:hAnsi="Arial" w:cs="Arial"/>
          <w:kern w:val="2"/>
          <w:sz w:val="21"/>
          <w:szCs w:val="21"/>
        </w:rPr>
        <w:t>6</w:t>
      </w:r>
      <w:r>
        <w:rPr>
          <w:rFonts w:hint="eastAsia" w:ascii="Arial" w:hAnsi="Arial" w:cs="Arial"/>
          <w:kern w:val="2"/>
          <w:sz w:val="21"/>
          <w:szCs w:val="21"/>
        </w:rPr>
        <w:t>层、地下1层，层高</w:t>
      </w:r>
      <w:r>
        <w:rPr>
          <w:rFonts w:ascii="Arial" w:hAnsi="Arial" w:cs="Arial"/>
          <w:kern w:val="2"/>
          <w:sz w:val="21"/>
          <w:szCs w:val="21"/>
        </w:rPr>
        <w:t>2.7</w:t>
      </w:r>
      <w:r>
        <w:rPr>
          <w:rFonts w:hint="eastAsia" w:ascii="Arial" w:hAnsi="Arial" w:cs="Arial"/>
          <w:kern w:val="2"/>
          <w:sz w:val="21"/>
          <w:szCs w:val="21"/>
        </w:rPr>
        <w:t>米。根据估价委托人提供的《估价委托书》及《房屋收购协议》[编号：2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，确定本次估价范围建筑面积</w:t>
      </w:r>
      <w:r>
        <w:rPr>
          <w:rFonts w:ascii="Arial" w:hAnsi="Arial" w:cs="Arial"/>
          <w:kern w:val="2"/>
          <w:sz w:val="21"/>
          <w:szCs w:val="21"/>
        </w:rPr>
        <w:t>80734.26</w:t>
      </w:r>
      <w:r>
        <w:rPr>
          <w:rFonts w:hint="eastAsia" w:ascii="Arial" w:hAnsi="Arial" w:cs="Arial"/>
          <w:kern w:val="2"/>
          <w:sz w:val="21"/>
          <w:szCs w:val="21"/>
        </w:rPr>
        <w:t>平方米，可对外配租房屋共计</w:t>
      </w:r>
      <w:r>
        <w:rPr>
          <w:rFonts w:ascii="Arial" w:hAnsi="Arial" w:cs="Arial"/>
          <w:kern w:val="2"/>
          <w:sz w:val="21"/>
          <w:szCs w:val="21"/>
        </w:rPr>
        <w:t>1487</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7C8C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77766453">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13F3CACD">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0AB7DDB0">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4AC059CA">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504184B5">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67C5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4410E293">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开间</w:t>
            </w:r>
          </w:p>
        </w:tc>
        <w:tc>
          <w:tcPr>
            <w:tcW w:w="1462" w:type="pct"/>
            <w:vAlign w:val="center"/>
          </w:tcPr>
          <w:p w14:paraId="56D0F565">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25.44-50.91</w:t>
            </w:r>
          </w:p>
        </w:tc>
        <w:tc>
          <w:tcPr>
            <w:tcW w:w="681" w:type="pct"/>
            <w:vAlign w:val="center"/>
          </w:tcPr>
          <w:p w14:paraId="29631549">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201</w:t>
            </w:r>
          </w:p>
        </w:tc>
        <w:tc>
          <w:tcPr>
            <w:tcW w:w="1559" w:type="pct"/>
            <w:vAlign w:val="center"/>
          </w:tcPr>
          <w:p w14:paraId="59345315">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9227.08</w:t>
            </w:r>
          </w:p>
        </w:tc>
        <w:tc>
          <w:tcPr>
            <w:tcW w:w="713" w:type="pct"/>
            <w:vAlign w:val="center"/>
          </w:tcPr>
          <w:p w14:paraId="476423FF">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6401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2851B2B4">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6141654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50.91-62.94</w:t>
            </w:r>
          </w:p>
        </w:tc>
        <w:tc>
          <w:tcPr>
            <w:tcW w:w="681" w:type="pct"/>
            <w:vAlign w:val="center"/>
          </w:tcPr>
          <w:p w14:paraId="24D63B7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427</w:t>
            </w:r>
          </w:p>
        </w:tc>
        <w:tc>
          <w:tcPr>
            <w:tcW w:w="1559" w:type="pct"/>
            <w:vAlign w:val="center"/>
          </w:tcPr>
          <w:p w14:paraId="49B5123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24126.11</w:t>
            </w:r>
          </w:p>
        </w:tc>
        <w:tc>
          <w:tcPr>
            <w:tcW w:w="713" w:type="pct"/>
            <w:vAlign w:val="center"/>
          </w:tcPr>
          <w:p w14:paraId="428784D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7237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83A9691">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AAF019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38.46-51.96</w:t>
            </w:r>
          </w:p>
        </w:tc>
        <w:tc>
          <w:tcPr>
            <w:tcW w:w="681" w:type="pct"/>
            <w:vAlign w:val="center"/>
          </w:tcPr>
          <w:p w14:paraId="46DC80D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231</w:t>
            </w:r>
          </w:p>
        </w:tc>
        <w:tc>
          <w:tcPr>
            <w:tcW w:w="1559" w:type="pct"/>
            <w:vAlign w:val="center"/>
          </w:tcPr>
          <w:p w14:paraId="14480F3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11061.45</w:t>
            </w:r>
          </w:p>
        </w:tc>
        <w:tc>
          <w:tcPr>
            <w:tcW w:w="713" w:type="pct"/>
            <w:vAlign w:val="center"/>
          </w:tcPr>
          <w:p w14:paraId="2B7CEA5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3C10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5279F85A">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2C39743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51.05-60.85</w:t>
            </w:r>
          </w:p>
        </w:tc>
        <w:tc>
          <w:tcPr>
            <w:tcW w:w="681" w:type="pct"/>
            <w:vAlign w:val="center"/>
          </w:tcPr>
          <w:p w14:paraId="332CC59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442</w:t>
            </w:r>
          </w:p>
        </w:tc>
        <w:tc>
          <w:tcPr>
            <w:tcW w:w="1559" w:type="pct"/>
            <w:vAlign w:val="center"/>
          </w:tcPr>
          <w:p w14:paraId="57A5EB2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24982.07</w:t>
            </w:r>
          </w:p>
        </w:tc>
        <w:tc>
          <w:tcPr>
            <w:tcW w:w="713" w:type="pct"/>
            <w:vAlign w:val="center"/>
          </w:tcPr>
          <w:p w14:paraId="133A3BB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2CAE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642DC2B9">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4A942F5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100</w:t>
            </w:r>
          </w:p>
        </w:tc>
        <w:tc>
          <w:tcPr>
            <w:tcW w:w="1559" w:type="pct"/>
            <w:vAlign w:val="center"/>
          </w:tcPr>
          <w:p w14:paraId="31E9DBCD">
            <w:pPr>
              <w:spacing w:line="240" w:lineRule="auto"/>
              <w:jc w:val="center"/>
              <w:rPr>
                <w:rFonts w:hint="eastAsia" w:ascii="华文细黑" w:hAnsi="华文细黑" w:eastAsia="华文细黑" w:cs="Arial"/>
                <w:kern w:val="2"/>
                <w:sz w:val="18"/>
                <w:szCs w:val="18"/>
              </w:rPr>
            </w:pPr>
            <w:r>
              <w:rPr>
                <w:rFonts w:ascii="华文细黑" w:hAnsi="华文细黑" w:eastAsia="华文细黑" w:cs="Arial"/>
                <w:kern w:val="2"/>
                <w:sz w:val="18"/>
                <w:szCs w:val="18"/>
              </w:rPr>
              <w:t>60169.63</w:t>
            </w:r>
          </w:p>
        </w:tc>
        <w:tc>
          <w:tcPr>
            <w:tcW w:w="713" w:type="pct"/>
            <w:vAlign w:val="center"/>
          </w:tcPr>
          <w:p w14:paraId="73A2193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3CB4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37B418A5">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13224C0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25CAA8F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92</w:t>
            </w:r>
          </w:p>
        </w:tc>
        <w:tc>
          <w:tcPr>
            <w:tcW w:w="1559" w:type="pct"/>
            <w:vAlign w:val="center"/>
          </w:tcPr>
          <w:p w14:paraId="6ABFF29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5608.43</w:t>
            </w:r>
          </w:p>
        </w:tc>
        <w:tc>
          <w:tcPr>
            <w:tcW w:w="713" w:type="pct"/>
            <w:vAlign w:val="center"/>
          </w:tcPr>
          <w:p w14:paraId="60C9E71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2FFD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66E5C5E1">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7E52F3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4E52239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94</w:t>
            </w:r>
          </w:p>
        </w:tc>
        <w:tc>
          <w:tcPr>
            <w:tcW w:w="1559" w:type="pct"/>
            <w:vAlign w:val="center"/>
          </w:tcPr>
          <w:p w14:paraId="402BDE99">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5729.12</w:t>
            </w:r>
          </w:p>
        </w:tc>
        <w:tc>
          <w:tcPr>
            <w:tcW w:w="713" w:type="pct"/>
            <w:vAlign w:val="center"/>
          </w:tcPr>
          <w:p w14:paraId="6E077AC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70FE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21FBD33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54E282C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86</w:t>
            </w:r>
          </w:p>
        </w:tc>
        <w:tc>
          <w:tcPr>
            <w:tcW w:w="1559" w:type="pct"/>
            <w:vAlign w:val="center"/>
          </w:tcPr>
          <w:p w14:paraId="10C0D78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1337.55</w:t>
            </w:r>
          </w:p>
        </w:tc>
        <w:tc>
          <w:tcPr>
            <w:tcW w:w="713" w:type="pct"/>
            <w:vAlign w:val="center"/>
          </w:tcPr>
          <w:p w14:paraId="511A175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329B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5E36B79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742D7D8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487</w:t>
            </w:r>
          </w:p>
        </w:tc>
        <w:tc>
          <w:tcPr>
            <w:tcW w:w="1559" w:type="pct"/>
            <w:vAlign w:val="center"/>
          </w:tcPr>
          <w:p w14:paraId="1034CEC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w:t>
            </w:r>
            <w:r>
              <w:rPr>
                <w:rFonts w:ascii="华文细黑" w:hAnsi="华文细黑" w:eastAsia="华文细黑" w:cs="Arial"/>
                <w:kern w:val="2"/>
                <w:sz w:val="18"/>
                <w:szCs w:val="18"/>
              </w:rPr>
              <w:t>0734.26</w:t>
            </w:r>
          </w:p>
        </w:tc>
        <w:tc>
          <w:tcPr>
            <w:tcW w:w="713" w:type="pct"/>
            <w:vAlign w:val="center"/>
          </w:tcPr>
          <w:p w14:paraId="54ED672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0BBBEAEF">
      <w:pPr>
        <w:wordWrap w:val="0"/>
        <w:overflowPunct w:val="0"/>
        <w:spacing w:before="240" w:beforeLines="10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北京经济技术开发区鹿海园五里1</w:t>
      </w:r>
      <w:r>
        <w:rPr>
          <w:rFonts w:ascii="Arial" w:hAnsi="Arial" w:cs="Arial"/>
          <w:kern w:val="2"/>
          <w:sz w:val="21"/>
          <w:szCs w:val="21"/>
        </w:rPr>
        <w:t>-13</w:t>
      </w:r>
      <w:r>
        <w:rPr>
          <w:rFonts w:hint="eastAsia" w:ascii="Arial" w:hAnsi="Arial" w:cs="Arial"/>
          <w:kern w:val="2"/>
          <w:sz w:val="21"/>
          <w:szCs w:val="21"/>
        </w:rPr>
        <w:t>号楼，建筑类型均为高层板楼，楼宇主体建筑结构为装配式剪力墙（钢混），建筑层数多为地上</w:t>
      </w:r>
      <w:r>
        <w:rPr>
          <w:rFonts w:ascii="Arial" w:hAnsi="Arial" w:cs="Arial"/>
          <w:kern w:val="2"/>
          <w:sz w:val="21"/>
          <w:szCs w:val="21"/>
        </w:rPr>
        <w:t>20</w:t>
      </w:r>
      <w:r>
        <w:rPr>
          <w:rFonts w:hint="eastAsia" w:ascii="Arial" w:hAnsi="Arial" w:cs="Arial"/>
          <w:kern w:val="2"/>
          <w:sz w:val="21"/>
          <w:szCs w:val="21"/>
        </w:rPr>
        <w:t>层。根据估价委托人提供的《估价委托书》及《房屋交接书》，确定本次估价范围建筑面积</w:t>
      </w:r>
      <w:r>
        <w:rPr>
          <w:rFonts w:ascii="Arial" w:hAnsi="Arial" w:cs="Arial"/>
          <w:kern w:val="2"/>
          <w:sz w:val="21"/>
          <w:szCs w:val="21"/>
        </w:rPr>
        <w:t>121829.32</w:t>
      </w:r>
      <w:r>
        <w:rPr>
          <w:rFonts w:hint="eastAsia" w:ascii="Arial" w:hAnsi="Arial" w:cs="Arial"/>
          <w:kern w:val="2"/>
          <w:sz w:val="21"/>
          <w:szCs w:val="21"/>
        </w:rPr>
        <w:t>平方米，可对外配租房屋共计</w:t>
      </w:r>
      <w:r>
        <w:rPr>
          <w:rFonts w:ascii="Arial" w:hAnsi="Arial" w:cs="Arial"/>
          <w:kern w:val="2"/>
          <w:sz w:val="21"/>
          <w:szCs w:val="21"/>
        </w:rPr>
        <w:t>1231</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5665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5" w:type="pct"/>
            <w:vAlign w:val="center"/>
          </w:tcPr>
          <w:p w14:paraId="43308D45">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38A85D9E">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2E1C502A">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0F3C25F7">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11892BE1">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3255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01398422">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168EC693">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51.15-71.3</w:t>
            </w:r>
          </w:p>
        </w:tc>
        <w:tc>
          <w:tcPr>
            <w:tcW w:w="681" w:type="pct"/>
            <w:vAlign w:val="center"/>
          </w:tcPr>
          <w:p w14:paraId="7E64AE0C">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7775F3FC">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7338.79</w:t>
            </w:r>
          </w:p>
        </w:tc>
        <w:tc>
          <w:tcPr>
            <w:tcW w:w="713" w:type="pct"/>
          </w:tcPr>
          <w:p w14:paraId="031E0941">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117B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E1D57B0">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66B9AE3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70-71.05</w:t>
            </w:r>
          </w:p>
        </w:tc>
        <w:tc>
          <w:tcPr>
            <w:tcW w:w="681" w:type="pct"/>
            <w:vAlign w:val="center"/>
          </w:tcPr>
          <w:p w14:paraId="7C5C4A9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114</w:t>
            </w:r>
          </w:p>
        </w:tc>
        <w:tc>
          <w:tcPr>
            <w:tcW w:w="1559" w:type="pct"/>
            <w:vAlign w:val="center"/>
          </w:tcPr>
          <w:p w14:paraId="7BA5826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8063.76</w:t>
            </w:r>
          </w:p>
        </w:tc>
        <w:tc>
          <w:tcPr>
            <w:tcW w:w="713" w:type="pct"/>
          </w:tcPr>
          <w:p w14:paraId="17898337">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2FE7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4CC13012">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2A5DFA6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51.14-71.3</w:t>
            </w:r>
          </w:p>
        </w:tc>
        <w:tc>
          <w:tcPr>
            <w:tcW w:w="681" w:type="pct"/>
            <w:vAlign w:val="center"/>
          </w:tcPr>
          <w:p w14:paraId="725D2A4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7B2B90E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7307.39</w:t>
            </w:r>
          </w:p>
        </w:tc>
        <w:tc>
          <w:tcPr>
            <w:tcW w:w="713" w:type="pct"/>
          </w:tcPr>
          <w:p w14:paraId="5161CC4C">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04EF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5A8A54FF">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07EBB3C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w:t>
            </w:r>
            <w:r>
              <w:rPr>
                <w:rFonts w:ascii="华文细黑" w:hAnsi="华文细黑" w:eastAsia="华文细黑" w:cs="Arial"/>
                <w:kern w:val="2"/>
                <w:sz w:val="18"/>
                <w:szCs w:val="18"/>
              </w:rPr>
              <w:t>34</w:t>
            </w:r>
          </w:p>
        </w:tc>
        <w:tc>
          <w:tcPr>
            <w:tcW w:w="1559" w:type="pct"/>
            <w:vAlign w:val="center"/>
          </w:tcPr>
          <w:p w14:paraId="785D67E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w:t>
            </w:r>
            <w:r>
              <w:rPr>
                <w:rFonts w:ascii="华文细黑" w:hAnsi="华文细黑" w:eastAsia="华文细黑" w:cs="Arial"/>
                <w:kern w:val="2"/>
                <w:sz w:val="18"/>
                <w:szCs w:val="18"/>
              </w:rPr>
              <w:t>2709.94</w:t>
            </w:r>
          </w:p>
        </w:tc>
        <w:tc>
          <w:tcPr>
            <w:tcW w:w="713" w:type="pct"/>
          </w:tcPr>
          <w:p w14:paraId="326918F6">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5E51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6F482468">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3DA9AAB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98.27-98.36</w:t>
            </w:r>
          </w:p>
        </w:tc>
        <w:tc>
          <w:tcPr>
            <w:tcW w:w="681" w:type="pct"/>
            <w:vAlign w:val="center"/>
          </w:tcPr>
          <w:p w14:paraId="3107B90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80</w:t>
            </w:r>
          </w:p>
        </w:tc>
        <w:tc>
          <w:tcPr>
            <w:tcW w:w="1559" w:type="pct"/>
            <w:vAlign w:val="center"/>
          </w:tcPr>
          <w:p w14:paraId="1051128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7867.72</w:t>
            </w:r>
          </w:p>
        </w:tc>
        <w:tc>
          <w:tcPr>
            <w:tcW w:w="713" w:type="pct"/>
          </w:tcPr>
          <w:p w14:paraId="113FF972">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北</w:t>
            </w:r>
          </w:p>
        </w:tc>
      </w:tr>
      <w:tr w14:paraId="7111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6C2AD7BC">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42A3264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94.39-110.57</w:t>
            </w:r>
          </w:p>
        </w:tc>
        <w:tc>
          <w:tcPr>
            <w:tcW w:w="681" w:type="pct"/>
            <w:vAlign w:val="center"/>
          </w:tcPr>
          <w:p w14:paraId="0801647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501</w:t>
            </w:r>
          </w:p>
        </w:tc>
        <w:tc>
          <w:tcPr>
            <w:tcW w:w="1559" w:type="pct"/>
            <w:vAlign w:val="center"/>
          </w:tcPr>
          <w:p w14:paraId="3877F2D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52828.51</w:t>
            </w:r>
          </w:p>
        </w:tc>
        <w:tc>
          <w:tcPr>
            <w:tcW w:w="713" w:type="pct"/>
          </w:tcPr>
          <w:p w14:paraId="6CAAD746">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54F9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47115EF4">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00747F6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91.83-92.52</w:t>
            </w:r>
          </w:p>
        </w:tc>
        <w:tc>
          <w:tcPr>
            <w:tcW w:w="681" w:type="pct"/>
            <w:vAlign w:val="center"/>
          </w:tcPr>
          <w:p w14:paraId="10482DD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75</w:t>
            </w:r>
          </w:p>
        </w:tc>
        <w:tc>
          <w:tcPr>
            <w:tcW w:w="1559" w:type="pct"/>
            <w:vAlign w:val="center"/>
          </w:tcPr>
          <w:p w14:paraId="3C137D6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6922.55</w:t>
            </w:r>
          </w:p>
        </w:tc>
        <w:tc>
          <w:tcPr>
            <w:tcW w:w="713" w:type="pct"/>
          </w:tcPr>
          <w:p w14:paraId="52BDC346">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4A56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761D827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6523D33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56</w:t>
            </w:r>
          </w:p>
        </w:tc>
        <w:tc>
          <w:tcPr>
            <w:tcW w:w="1559" w:type="pct"/>
            <w:vAlign w:val="center"/>
          </w:tcPr>
          <w:p w14:paraId="2A6AF51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7618.78</w:t>
            </w:r>
          </w:p>
        </w:tc>
        <w:tc>
          <w:tcPr>
            <w:tcW w:w="713" w:type="pct"/>
          </w:tcPr>
          <w:p w14:paraId="64487254">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165A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023FD88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三</w:t>
            </w:r>
            <w:r>
              <w:rPr>
                <w:rFonts w:ascii="华文细黑" w:hAnsi="华文细黑" w:eastAsia="华文细黑" w:cs="Arial"/>
                <w:kern w:val="2"/>
                <w:sz w:val="18"/>
                <w:szCs w:val="18"/>
              </w:rPr>
              <w:t>居</w:t>
            </w:r>
          </w:p>
        </w:tc>
        <w:tc>
          <w:tcPr>
            <w:tcW w:w="1462" w:type="pct"/>
            <w:vAlign w:val="center"/>
          </w:tcPr>
          <w:p w14:paraId="6661AD4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123.14-131.57</w:t>
            </w:r>
          </w:p>
        </w:tc>
        <w:tc>
          <w:tcPr>
            <w:tcW w:w="681" w:type="pct"/>
            <w:vAlign w:val="center"/>
          </w:tcPr>
          <w:p w14:paraId="4C420DAF">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241</w:t>
            </w:r>
          </w:p>
        </w:tc>
        <w:tc>
          <w:tcPr>
            <w:tcW w:w="1559" w:type="pct"/>
            <w:vAlign w:val="center"/>
          </w:tcPr>
          <w:p w14:paraId="1D13D19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31500.6</w:t>
            </w:r>
          </w:p>
        </w:tc>
        <w:tc>
          <w:tcPr>
            <w:tcW w:w="713" w:type="pct"/>
          </w:tcPr>
          <w:p w14:paraId="1C5C274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42DE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3632A7AA">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5056E3B2">
            <w:pPr>
              <w:overflowPunct w:val="0"/>
              <w:spacing w:line="240"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1231</w:t>
            </w:r>
          </w:p>
        </w:tc>
        <w:tc>
          <w:tcPr>
            <w:tcW w:w="1559" w:type="pct"/>
            <w:vAlign w:val="center"/>
          </w:tcPr>
          <w:p w14:paraId="306A13AF">
            <w:pPr>
              <w:overflowPunct w:val="0"/>
              <w:spacing w:line="240"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121829.32</w:t>
            </w:r>
          </w:p>
        </w:tc>
        <w:tc>
          <w:tcPr>
            <w:tcW w:w="713" w:type="pct"/>
            <w:vAlign w:val="center"/>
          </w:tcPr>
          <w:p w14:paraId="7081E941">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63DBB336">
      <w:pPr>
        <w:wordWrap w:val="0"/>
        <w:overflowPunct w:val="0"/>
        <w:spacing w:before="240" w:beforeLines="100"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（2）建筑结构：估价对象所属楼宇建筑结构均为</w:t>
      </w:r>
      <w:r>
        <w:rPr>
          <w:rFonts w:hint="eastAsia" w:ascii="Arial" w:hAnsi="Arial" w:cs="Arial"/>
          <w:kern w:val="2"/>
          <w:sz w:val="21"/>
          <w:szCs w:val="21"/>
        </w:rPr>
        <w:t>装配式剪力墙（钢混）</w:t>
      </w:r>
      <w:r>
        <w:rPr>
          <w:rFonts w:hint="eastAsia" w:ascii="Arial" w:hAnsi="Arial" w:cs="Arial"/>
          <w:sz w:val="21"/>
          <w:szCs w:val="21"/>
        </w:rPr>
        <w:t>结构。</w:t>
      </w:r>
    </w:p>
    <w:p w14:paraId="7E77111B">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X13海棠苑楼型</w:t>
      </w:r>
      <w:r>
        <w:rPr>
          <w:rFonts w:hint="eastAsia" w:ascii="Arial" w:hAnsi="Arial" w:cs="Arial"/>
          <w:sz w:val="21"/>
          <w:szCs w:val="21"/>
        </w:rPr>
        <w:t>为板塔结合，</w:t>
      </w:r>
      <w:r>
        <w:rPr>
          <w:rFonts w:hint="eastAsia" w:ascii="Arial" w:hAnsi="Arial" w:cs="Arial"/>
          <w:kern w:val="2"/>
          <w:sz w:val="21"/>
          <w:szCs w:val="21"/>
        </w:rPr>
        <w:t>X38鹿海园五里楼型</w:t>
      </w:r>
      <w:r>
        <w:rPr>
          <w:rFonts w:hint="eastAsia" w:ascii="Arial" w:hAnsi="Arial" w:cs="Arial"/>
          <w:sz w:val="21"/>
          <w:szCs w:val="21"/>
        </w:rPr>
        <w:t>为高层板楼。</w:t>
      </w:r>
    </w:p>
    <w:p w14:paraId="38D827A1">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（4）设施设备：估价对象所在项目均配套设施完备，给排水、电力、电讯、暖通等齐全；防火栓、安防系统等设备齐全。部分户型配备家具家电。</w:t>
      </w:r>
    </w:p>
    <w:p w14:paraId="577517D7">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5）装饰装修：根据估价委托人介绍及估价人员实地查勘，估价对象均为普通装修，外立面喷涂料，公共部分首层地面贴砖，顶棚、墙面刷涂料。室内地面铺设木地板，墙面刷涂料，顶棚刷涂料；厨房地面铺设地砖，墙面为墙砖或PVC，顶棚为铝扣板；卫生间地面铺设地砖，墙面为墙砖或PVC，顶棚为铝扣板。</w:t>
      </w:r>
    </w:p>
    <w:p w14:paraId="42207077">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（6）新旧程度：截至价值时点，估价对象观察成新度较高，建成年代较近，综合成新度较高。</w:t>
      </w:r>
    </w:p>
    <w:p w14:paraId="71876B81">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（7）户型设计：</w:t>
      </w:r>
    </w:p>
    <w:p w14:paraId="733431BD">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X13海棠苑共1487套，有三种户型，分别为开间、一居室、二居室。其中，开间共201套，面积控制在25.44-50.91平方米；一居室共1100套，面积控制38.46-62.94平方米；二居室共186套，面积约控制为60.42-61.34平方米。</w:t>
      </w:r>
    </w:p>
    <w:p w14:paraId="346525DC">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38鹿海园五里共1231套，有三种户型，分别为一居室、二居室、三居室。其中，一居室共334套，面积约控制在51.14-71.30平方米；二居室共656套，面积控制在91.83-110.57平方米；三居室共241套，面积为123.14-131.57平方米。</w:t>
      </w:r>
    </w:p>
    <w:p w14:paraId="276A28B0">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（8）朝向：</w:t>
      </w:r>
    </w:p>
    <w:p w14:paraId="2EA7B185">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X13海棠苑朝向为西、东、南，以朝西为主。</w:t>
      </w:r>
    </w:p>
    <w:p w14:paraId="7251FD07">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X38鹿海园五里朝向为南北、南、西、东、北，以朝南北为主。</w:t>
      </w:r>
    </w:p>
    <w:p w14:paraId="4E64DAD8">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3.对价格影响的分析</w:t>
      </w:r>
    </w:p>
    <w:p w14:paraId="0E2C807D">
      <w:pPr>
        <w:spacing w:line="560" w:lineRule="exact"/>
        <w:ind w:firstLine="420" w:firstLineChars="200"/>
        <w:rPr>
          <w:rFonts w:ascii="Arial" w:hAnsi="Arial" w:cs="Arial"/>
          <w:sz w:val="21"/>
          <w:szCs w:val="21"/>
        </w:rPr>
      </w:pPr>
      <w:r>
        <w:rPr>
          <w:rFonts w:ascii="Arial" w:hAnsi="Arial" w:cs="Arial"/>
          <w:sz w:val="21"/>
          <w:szCs w:val="21"/>
        </w:rPr>
        <w:t>估价对象作为住宅使用，通用性相对较好，能完全满足大部分求租者的需求，因此将会在一定程度上影响其租金价格水平。</w:t>
      </w:r>
    </w:p>
    <w:p w14:paraId="5C4A0417">
      <w:pPr>
        <w:pStyle w:val="3"/>
        <w:numPr>
          <w:ilvl w:val="0"/>
          <w:numId w:val="0"/>
        </w:numPr>
        <w:spacing w:before="240" w:beforeLines="100" w:line="480" w:lineRule="auto"/>
        <w:ind w:left="360" w:hanging="361" w:hangingChars="171"/>
        <w:jc w:val="both"/>
        <w:rPr>
          <w:rFonts w:eastAsia="宋体"/>
          <w:kern w:val="2"/>
          <w:sz w:val="21"/>
          <w:szCs w:val="21"/>
        </w:rPr>
      </w:pPr>
      <w:bookmarkStart w:id="45" w:name="_Toc14311"/>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45"/>
    </w:p>
    <w:p w14:paraId="1E8BC78A">
      <w:pPr>
        <w:spacing w:line="480" w:lineRule="auto"/>
        <w:ind w:firstLine="420" w:firstLineChars="20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7372C329">
      <w:pPr>
        <w:spacing w:line="480" w:lineRule="auto"/>
        <w:ind w:firstLine="420" w:firstLineChars="200"/>
        <w:jc w:val="both"/>
        <w:rPr>
          <w:rFonts w:ascii="Arial" w:hAnsi="Arial" w:cs="Arial"/>
          <w:sz w:val="21"/>
          <w:szCs w:val="21"/>
        </w:rPr>
      </w:pPr>
      <w:r>
        <w:rPr>
          <w:rFonts w:hint="eastAsia" w:ascii="Arial" w:hAnsi="Arial" w:cs="Arial"/>
          <w:sz w:val="21"/>
          <w:szCs w:val="21"/>
        </w:rPr>
        <w:t>2.经估价委托人介绍，估价对象于价值时点不存在抵押权、地役权、查封等他项权利，根据估价目的，本次评估设定估价对象于价值时点不存在抵押权、地役权、查封等他项权利。</w:t>
      </w:r>
    </w:p>
    <w:p w14:paraId="217BC086">
      <w:pPr>
        <w:spacing w:line="480" w:lineRule="auto"/>
        <w:jc w:val="both"/>
        <w:rPr>
          <w:rFonts w:ascii="Arial" w:hAnsi="Arial" w:cs="Arial"/>
          <w:b/>
          <w:bCs/>
          <w:sz w:val="21"/>
          <w:szCs w:val="21"/>
        </w:rPr>
      </w:pPr>
    </w:p>
    <w:p w14:paraId="2395A78D">
      <w:pPr>
        <w:pStyle w:val="3"/>
        <w:numPr>
          <w:ilvl w:val="0"/>
          <w:numId w:val="0"/>
        </w:numPr>
        <w:spacing w:line="480" w:lineRule="auto"/>
        <w:jc w:val="both"/>
        <w:rPr>
          <w:rFonts w:eastAsia="宋体"/>
          <w:kern w:val="2"/>
          <w:sz w:val="21"/>
          <w:szCs w:val="21"/>
        </w:rPr>
      </w:pPr>
      <w:bookmarkStart w:id="46" w:name="_Toc16429"/>
      <w:r>
        <w:rPr>
          <w:rFonts w:eastAsia="宋体"/>
          <w:kern w:val="2"/>
          <w:sz w:val="21"/>
          <w:szCs w:val="21"/>
        </w:rPr>
        <w:t>二、市场背景描述与分析</w:t>
      </w:r>
      <w:bookmarkEnd w:id="46"/>
    </w:p>
    <w:p w14:paraId="75C1001D">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779A014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4B1902AE">
      <w:pPr>
        <w:widowControl/>
        <w:adjustRightInd/>
        <w:spacing w:line="480" w:lineRule="auto"/>
        <w:ind w:firstLine="525" w:firstLineChars="250"/>
        <w:jc w:val="both"/>
        <w:textAlignment w:val="auto"/>
        <w:rPr>
          <w:rFonts w:hint="eastAsia" w:ascii="Arial" w:hAnsi="Arial"/>
          <w:color w:val="000000"/>
          <w:sz w:val="21"/>
          <w:szCs w:val="21"/>
        </w:rPr>
      </w:pPr>
      <w:bookmarkStart w:id="47" w:name="OLE_LINK33"/>
      <w:bookmarkStart w:id="48" w:name="OLE_LINK34"/>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2495E91D">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03270BDE">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4A0085E8">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47"/>
    <w:bookmarkEnd w:id="48"/>
    <w:p w14:paraId="7A874F87">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352A8458">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626CE62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5A61DC7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03FA12E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5923D64A">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006641E">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5E856106">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7B7727DD">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2A83FD6A">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4533265" cy="2438400"/>
                    </a:xfrm>
                    <a:prstGeom prst="rect">
                      <a:avLst/>
                    </a:prstGeom>
                    <a:noFill/>
                    <a:ln>
                      <a:noFill/>
                    </a:ln>
                  </pic:spPr>
                </pic:pic>
              </a:graphicData>
            </a:graphic>
          </wp:inline>
        </w:drawing>
      </w:r>
    </w:p>
    <w:p w14:paraId="2ED38030">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510ED24A">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74E71C20">
      <w:pPr>
        <w:overflowPunct w:val="0"/>
        <w:spacing w:line="360" w:lineRule="auto"/>
        <w:jc w:val="center"/>
        <w:textAlignment w:val="auto"/>
        <w:rPr>
          <w:rFonts w:hint="eastAsia" w:ascii="Arial" w:hAnsi="Arial" w:eastAsia="仿宋_GB2312"/>
          <w:bCs/>
          <w:color w:val="000000"/>
          <w:sz w:val="28"/>
          <w:szCs w:val="28"/>
        </w:rPr>
      </w:pPr>
      <w:r>
        <w:drawing>
          <wp:inline distT="0" distB="0" distL="114300" distR="114300">
            <wp:extent cx="5906135" cy="2948940"/>
            <wp:effectExtent l="0" t="0" r="6985" b="762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5"/>
                    <a:stretch>
                      <a:fillRect/>
                    </a:stretch>
                  </pic:blipFill>
                  <pic:spPr>
                    <a:xfrm>
                      <a:off x="0" y="0"/>
                      <a:ext cx="5906135" cy="2948940"/>
                    </a:xfrm>
                    <a:prstGeom prst="rect">
                      <a:avLst/>
                    </a:prstGeom>
                    <a:noFill/>
                    <a:ln>
                      <a:noFill/>
                    </a:ln>
                  </pic:spPr>
                </pic:pic>
              </a:graphicData>
            </a:graphic>
          </wp:inline>
        </w:drawing>
      </w:r>
    </w:p>
    <w:p w14:paraId="1A8B39BB">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4F2D1A89">
      <w:pPr>
        <w:widowControl/>
        <w:overflowPunct w:val="0"/>
        <w:adjustRightInd/>
        <w:spacing w:line="480" w:lineRule="auto"/>
        <w:jc w:val="center"/>
        <w:textAlignment w:val="auto"/>
        <w:rPr>
          <w:rFonts w:hint="eastAsia"/>
        </w:rPr>
      </w:pPr>
      <w:r>
        <w:drawing>
          <wp:inline distT="0" distB="0" distL="114300" distR="114300">
            <wp:extent cx="4266565" cy="3685540"/>
            <wp:effectExtent l="0" t="0" r="635"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6"/>
                    <a:stretch>
                      <a:fillRect/>
                    </a:stretch>
                  </pic:blipFill>
                  <pic:spPr>
                    <a:xfrm>
                      <a:off x="0" y="0"/>
                      <a:ext cx="4266565" cy="3685540"/>
                    </a:xfrm>
                    <a:prstGeom prst="rect">
                      <a:avLst/>
                    </a:prstGeom>
                    <a:noFill/>
                    <a:ln>
                      <a:noFill/>
                    </a:ln>
                  </pic:spPr>
                </pic:pic>
              </a:graphicData>
            </a:graphic>
          </wp:inline>
        </w:drawing>
      </w:r>
    </w:p>
    <w:p w14:paraId="72C41F7D">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78316F9A">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48367718">
      <w:pPr>
        <w:spacing w:line="480" w:lineRule="auto"/>
        <w:jc w:val="center"/>
        <w:rPr>
          <w:rFonts w:ascii="Arial" w:hAnsi="Arial" w:cs="Arial"/>
          <w:sz w:val="21"/>
          <w:szCs w:val="21"/>
        </w:rPr>
      </w:pPr>
      <w:r>
        <w:drawing>
          <wp:inline distT="0" distB="0" distL="114300" distR="114300">
            <wp:extent cx="5907405" cy="3313430"/>
            <wp:effectExtent l="0" t="0" r="5715"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7"/>
                    <a:stretch>
                      <a:fillRect/>
                    </a:stretch>
                  </pic:blipFill>
                  <pic:spPr>
                    <a:xfrm>
                      <a:off x="0" y="0"/>
                      <a:ext cx="5907405" cy="3313430"/>
                    </a:xfrm>
                    <a:prstGeom prst="rect">
                      <a:avLst/>
                    </a:prstGeom>
                    <a:noFill/>
                    <a:ln>
                      <a:noFill/>
                    </a:ln>
                  </pic:spPr>
                </pic:pic>
              </a:graphicData>
            </a:graphic>
          </wp:inline>
        </w:drawing>
      </w:r>
    </w:p>
    <w:p w14:paraId="0880C37C">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55FC1ED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3026FB09">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2CA60B25">
      <w:pPr>
        <w:overflowPunct w:val="0"/>
        <w:spacing w:line="480" w:lineRule="auto"/>
        <w:jc w:val="both"/>
        <w:textAlignment w:val="auto"/>
        <w:rPr>
          <w:rFonts w:hint="eastAsia" w:ascii="Arial" w:hAnsi="Arial"/>
          <w:sz w:val="21"/>
          <w:szCs w:val="28"/>
        </w:rPr>
      </w:pPr>
      <w:r>
        <w:drawing>
          <wp:inline distT="0" distB="0" distL="114300" distR="114300">
            <wp:extent cx="5800090" cy="3390265"/>
            <wp:effectExtent l="0" t="0" r="6350"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8"/>
                    <a:stretch>
                      <a:fillRect/>
                    </a:stretch>
                  </pic:blipFill>
                  <pic:spPr>
                    <a:xfrm>
                      <a:off x="0" y="0"/>
                      <a:ext cx="5800090" cy="3390265"/>
                    </a:xfrm>
                    <a:prstGeom prst="rect">
                      <a:avLst/>
                    </a:prstGeom>
                    <a:noFill/>
                    <a:ln>
                      <a:noFill/>
                    </a:ln>
                  </pic:spPr>
                </pic:pic>
              </a:graphicData>
            </a:graphic>
          </wp:inline>
        </w:drawing>
      </w:r>
    </w:p>
    <w:p w14:paraId="62663A8E">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466362DF">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9"/>
                    <a:stretch>
                      <a:fillRect/>
                    </a:stretch>
                  </pic:blipFill>
                  <pic:spPr>
                    <a:xfrm>
                      <a:off x="0" y="0"/>
                      <a:ext cx="5904865" cy="1840865"/>
                    </a:xfrm>
                    <a:prstGeom prst="rect">
                      <a:avLst/>
                    </a:prstGeom>
                    <a:noFill/>
                    <a:ln>
                      <a:noFill/>
                    </a:ln>
                  </pic:spPr>
                </pic:pic>
              </a:graphicData>
            </a:graphic>
          </wp:inline>
        </w:drawing>
      </w:r>
    </w:p>
    <w:p w14:paraId="358C3C78">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36C6241C">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1C82CA3D">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2B040A8F">
      <w:pPr>
        <w:overflowPunct w:val="0"/>
        <w:spacing w:line="480" w:lineRule="auto"/>
        <w:jc w:val="both"/>
        <w:textAlignment w:val="auto"/>
        <w:rPr>
          <w:rFonts w:hint="eastAsia" w:ascii="Arial" w:hAnsi="Arial"/>
          <w:sz w:val="21"/>
        </w:rPr>
      </w:pPr>
      <w:r>
        <w:drawing>
          <wp:inline distT="0" distB="0" distL="114300" distR="114300">
            <wp:extent cx="5904865" cy="1668145"/>
            <wp:effectExtent l="0" t="0" r="8255"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0"/>
                    <a:stretch>
                      <a:fillRect/>
                    </a:stretch>
                  </pic:blipFill>
                  <pic:spPr>
                    <a:xfrm>
                      <a:off x="0" y="0"/>
                      <a:ext cx="5904865" cy="1668145"/>
                    </a:xfrm>
                    <a:prstGeom prst="rect">
                      <a:avLst/>
                    </a:prstGeom>
                    <a:noFill/>
                    <a:ln>
                      <a:noFill/>
                    </a:ln>
                  </pic:spPr>
                </pic:pic>
              </a:graphicData>
            </a:graphic>
          </wp:inline>
        </w:drawing>
      </w:r>
    </w:p>
    <w:p w14:paraId="6E0B9E39">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7822D73F">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019CABA5">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0E69AB12">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1"/>
                    <a:stretch>
                      <a:fillRect/>
                    </a:stretch>
                  </pic:blipFill>
                  <pic:spPr>
                    <a:xfrm>
                      <a:off x="0" y="0"/>
                      <a:ext cx="5904865" cy="1835785"/>
                    </a:xfrm>
                    <a:prstGeom prst="rect">
                      <a:avLst/>
                    </a:prstGeom>
                    <a:noFill/>
                    <a:ln>
                      <a:noFill/>
                    </a:ln>
                  </pic:spPr>
                </pic:pic>
              </a:graphicData>
            </a:graphic>
          </wp:inline>
        </w:drawing>
      </w:r>
    </w:p>
    <w:p w14:paraId="28CBDE19">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1C8096E2">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49" w:name="OLE_LINK10"/>
      <w:r>
        <w:rPr>
          <w:rFonts w:hint="eastAsia" w:ascii="Arial" w:hAnsi="Arial"/>
          <w:sz w:val="21"/>
          <w:szCs w:val="28"/>
        </w:rPr>
        <w:t>元</w:t>
      </w:r>
      <w:bookmarkEnd w:id="49"/>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277EE410">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11186F5E">
      <w:pPr>
        <w:overflowPunct w:val="0"/>
        <w:spacing w:line="480" w:lineRule="auto"/>
        <w:jc w:val="center"/>
        <w:textAlignment w:val="auto"/>
        <w:rPr>
          <w:rFonts w:hint="eastAsia"/>
        </w:rPr>
      </w:pPr>
      <w:r>
        <w:drawing>
          <wp:inline distT="0" distB="0" distL="114300" distR="114300">
            <wp:extent cx="5899785" cy="1706880"/>
            <wp:effectExtent l="0" t="0" r="13335"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2"/>
                    <a:stretch>
                      <a:fillRect/>
                    </a:stretch>
                  </pic:blipFill>
                  <pic:spPr>
                    <a:xfrm>
                      <a:off x="0" y="0"/>
                      <a:ext cx="5899785" cy="1706880"/>
                    </a:xfrm>
                    <a:prstGeom prst="rect">
                      <a:avLst/>
                    </a:prstGeom>
                    <a:noFill/>
                    <a:ln>
                      <a:noFill/>
                    </a:ln>
                  </pic:spPr>
                </pic:pic>
              </a:graphicData>
            </a:graphic>
          </wp:inline>
        </w:drawing>
      </w:r>
    </w:p>
    <w:p w14:paraId="3CBC1AB9">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26650A12">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3DB1929">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1BC91AC5">
      <w:pPr>
        <w:tabs>
          <w:tab w:val="left" w:pos="0"/>
        </w:tabs>
        <w:overflowPunct w:val="0"/>
        <w:spacing w:line="480" w:lineRule="auto"/>
        <w:jc w:val="center"/>
        <w:textAlignment w:val="auto"/>
      </w:pPr>
      <w:r>
        <w:drawing>
          <wp:inline distT="0" distB="0" distL="114300" distR="114300">
            <wp:extent cx="5908040" cy="1941830"/>
            <wp:effectExtent l="0" t="0" r="5080" b="889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33"/>
                    <a:stretch>
                      <a:fillRect/>
                    </a:stretch>
                  </pic:blipFill>
                  <pic:spPr>
                    <a:xfrm>
                      <a:off x="0" y="0"/>
                      <a:ext cx="5908040" cy="1941830"/>
                    </a:xfrm>
                    <a:prstGeom prst="rect">
                      <a:avLst/>
                    </a:prstGeom>
                    <a:noFill/>
                    <a:ln>
                      <a:noFill/>
                    </a:ln>
                  </pic:spPr>
                </pic:pic>
              </a:graphicData>
            </a:graphic>
          </wp:inline>
        </w:drawing>
      </w:r>
    </w:p>
    <w:p w14:paraId="2E5F3703">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3BCD3F22">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2EC8123D">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2325" cy="1985010"/>
            <wp:effectExtent l="0" t="0" r="10795" b="1143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4"/>
                    <a:stretch>
                      <a:fillRect/>
                    </a:stretch>
                  </pic:blipFill>
                  <pic:spPr>
                    <a:xfrm>
                      <a:off x="0" y="0"/>
                      <a:ext cx="5902325" cy="1985010"/>
                    </a:xfrm>
                    <a:prstGeom prst="rect">
                      <a:avLst/>
                    </a:prstGeom>
                    <a:noFill/>
                    <a:ln>
                      <a:noFill/>
                    </a:ln>
                  </pic:spPr>
                </pic:pic>
              </a:graphicData>
            </a:graphic>
          </wp:inline>
        </w:drawing>
      </w:r>
    </w:p>
    <w:p w14:paraId="2CF798EE">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12AEF868">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6B180764">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w:t>
      </w:r>
      <w:bookmarkStart w:id="50" w:name="OLE_LINK11"/>
      <w:r>
        <w:rPr>
          <w:rFonts w:hint="eastAsia" w:ascii="Arial" w:hAnsi="Arial"/>
          <w:sz w:val="21"/>
          <w:szCs w:val="28"/>
        </w:rPr>
        <w:t>存量</w:t>
      </w:r>
      <w:bookmarkEnd w:id="50"/>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11A77EBB">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451C2B08">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5"/>
                    <a:stretch>
                      <a:fillRect/>
                    </a:stretch>
                  </pic:blipFill>
                  <pic:spPr>
                    <a:xfrm>
                      <a:off x="0" y="0"/>
                      <a:ext cx="5904230" cy="1635125"/>
                    </a:xfrm>
                    <a:prstGeom prst="rect">
                      <a:avLst/>
                    </a:prstGeom>
                    <a:noFill/>
                    <a:ln>
                      <a:noFill/>
                    </a:ln>
                  </pic:spPr>
                </pic:pic>
              </a:graphicData>
            </a:graphic>
          </wp:inline>
        </w:drawing>
      </w:r>
    </w:p>
    <w:p w14:paraId="73346000">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06F8BA99">
      <w:pPr>
        <w:overflowPunct w:val="0"/>
        <w:spacing w:line="480" w:lineRule="auto"/>
        <w:ind w:firstLine="420"/>
        <w:jc w:val="both"/>
        <w:textAlignment w:val="auto"/>
        <w:rPr>
          <w:rFonts w:ascii="Arial" w:hAnsi="Arial"/>
          <w:color w:val="000000"/>
          <w:sz w:val="21"/>
        </w:rPr>
      </w:pPr>
      <w:bookmarkStart w:id="51" w:name="OLE_LINK8"/>
      <w:bookmarkStart w:id="52" w:name="OLE_LINK9"/>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56CC91B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113E6878">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8675" cy="2083435"/>
            <wp:effectExtent l="0" t="0" r="4445" b="444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6"/>
                    <a:stretch>
                      <a:fillRect/>
                    </a:stretch>
                  </pic:blipFill>
                  <pic:spPr>
                    <a:xfrm>
                      <a:off x="0" y="0"/>
                      <a:ext cx="5908675" cy="2083435"/>
                    </a:xfrm>
                    <a:prstGeom prst="rect">
                      <a:avLst/>
                    </a:prstGeom>
                    <a:noFill/>
                    <a:ln>
                      <a:noFill/>
                    </a:ln>
                  </pic:spPr>
                </pic:pic>
              </a:graphicData>
            </a:graphic>
          </wp:inline>
        </w:drawing>
      </w:r>
    </w:p>
    <w:p w14:paraId="0631AE61">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57453D16">
      <w:pPr>
        <w:overflowPunct w:val="0"/>
        <w:spacing w:line="480" w:lineRule="auto"/>
        <w:jc w:val="both"/>
        <w:textAlignment w:val="auto"/>
        <w:rPr>
          <w:rFonts w:hint="eastAsia" w:ascii="Arial" w:hAnsi="Arial"/>
          <w:color w:val="000000"/>
          <w:sz w:val="21"/>
        </w:rPr>
      </w:pPr>
      <w:r>
        <w:drawing>
          <wp:inline distT="0" distB="0" distL="114300" distR="114300">
            <wp:extent cx="5910580" cy="1723390"/>
            <wp:effectExtent l="0" t="0" r="2540" b="1397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7"/>
                    <a:stretch>
                      <a:fillRect/>
                    </a:stretch>
                  </pic:blipFill>
                  <pic:spPr>
                    <a:xfrm>
                      <a:off x="0" y="0"/>
                      <a:ext cx="5910580" cy="1723390"/>
                    </a:xfrm>
                    <a:prstGeom prst="rect">
                      <a:avLst/>
                    </a:prstGeom>
                    <a:noFill/>
                    <a:ln>
                      <a:noFill/>
                    </a:ln>
                  </pic:spPr>
                </pic:pic>
              </a:graphicData>
            </a:graphic>
          </wp:inline>
        </w:drawing>
      </w:r>
    </w:p>
    <w:bookmarkEnd w:id="51"/>
    <w:bookmarkEnd w:id="52"/>
    <w:p w14:paraId="60CFD80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3E1A81D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2EC6FCC0">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276CD289">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3213930E">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114300" distR="114300">
            <wp:extent cx="5903595" cy="2172970"/>
            <wp:effectExtent l="4445" t="4445" r="50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9F78C9">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76221DD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34C93DE5">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1BB36E30">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22696BF5">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36E550B3">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E6A6423">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41874D5C">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7358684E">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4A710862">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4"/>
                    <a:stretch>
                      <a:fillRect/>
                    </a:stretch>
                  </pic:blipFill>
                  <pic:spPr>
                    <a:xfrm>
                      <a:off x="0" y="0"/>
                      <a:ext cx="4533265" cy="2438400"/>
                    </a:xfrm>
                    <a:prstGeom prst="rect">
                      <a:avLst/>
                    </a:prstGeom>
                    <a:noFill/>
                    <a:ln>
                      <a:noFill/>
                    </a:ln>
                  </pic:spPr>
                </pic:pic>
              </a:graphicData>
            </a:graphic>
          </wp:inline>
        </w:drawing>
      </w:r>
    </w:p>
    <w:p w14:paraId="3CE4ACC8">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4EBE5207">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69864A7F">
      <w:pPr>
        <w:overflowPunct w:val="0"/>
        <w:spacing w:line="360" w:lineRule="auto"/>
        <w:jc w:val="center"/>
        <w:textAlignment w:val="auto"/>
        <w:rPr>
          <w:rFonts w:hint="eastAsia" w:ascii="Arial" w:hAnsi="Arial" w:eastAsia="仿宋_GB2312"/>
          <w:bCs/>
          <w:color w:val="000000"/>
          <w:sz w:val="28"/>
          <w:szCs w:val="28"/>
        </w:rPr>
      </w:pPr>
      <w:r>
        <w:drawing>
          <wp:inline distT="0" distB="0" distL="114300" distR="114300">
            <wp:extent cx="5906135" cy="2945130"/>
            <wp:effectExtent l="0" t="0" r="6985" b="1143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5"/>
                    <a:stretch>
                      <a:fillRect/>
                    </a:stretch>
                  </pic:blipFill>
                  <pic:spPr>
                    <a:xfrm>
                      <a:off x="0" y="0"/>
                      <a:ext cx="5906135" cy="2945130"/>
                    </a:xfrm>
                    <a:prstGeom prst="rect">
                      <a:avLst/>
                    </a:prstGeom>
                    <a:noFill/>
                    <a:ln>
                      <a:noFill/>
                    </a:ln>
                  </pic:spPr>
                </pic:pic>
              </a:graphicData>
            </a:graphic>
          </wp:inline>
        </w:drawing>
      </w:r>
    </w:p>
    <w:p w14:paraId="62162FF5">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33E274B0">
      <w:pPr>
        <w:widowControl/>
        <w:overflowPunct w:val="0"/>
        <w:adjustRightInd/>
        <w:spacing w:line="480" w:lineRule="auto"/>
        <w:jc w:val="center"/>
        <w:textAlignment w:val="auto"/>
        <w:rPr>
          <w:rFonts w:hint="eastAsia"/>
        </w:rPr>
      </w:pPr>
      <w:r>
        <w:drawing>
          <wp:inline distT="0" distB="0" distL="114300" distR="114300">
            <wp:extent cx="4266565" cy="3681730"/>
            <wp:effectExtent l="0" t="0" r="635" b="635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6"/>
                    <a:stretch>
                      <a:fillRect/>
                    </a:stretch>
                  </pic:blipFill>
                  <pic:spPr>
                    <a:xfrm>
                      <a:off x="0" y="0"/>
                      <a:ext cx="4266565" cy="3681730"/>
                    </a:xfrm>
                    <a:prstGeom prst="rect">
                      <a:avLst/>
                    </a:prstGeom>
                    <a:noFill/>
                    <a:ln>
                      <a:noFill/>
                    </a:ln>
                  </pic:spPr>
                </pic:pic>
              </a:graphicData>
            </a:graphic>
          </wp:inline>
        </w:drawing>
      </w:r>
    </w:p>
    <w:p w14:paraId="25761892">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16FCD177">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06F79503">
      <w:pPr>
        <w:spacing w:line="480" w:lineRule="auto"/>
        <w:jc w:val="center"/>
        <w:rPr>
          <w:rFonts w:ascii="Arial" w:hAnsi="Arial" w:cs="Arial"/>
          <w:sz w:val="21"/>
          <w:szCs w:val="21"/>
        </w:rPr>
      </w:pPr>
      <w:r>
        <w:drawing>
          <wp:inline distT="0" distB="0" distL="114300" distR="114300">
            <wp:extent cx="5907405" cy="3313430"/>
            <wp:effectExtent l="0" t="0" r="5715" b="889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27"/>
                    <a:stretch>
                      <a:fillRect/>
                    </a:stretch>
                  </pic:blipFill>
                  <pic:spPr>
                    <a:xfrm>
                      <a:off x="0" y="0"/>
                      <a:ext cx="5907405" cy="3313430"/>
                    </a:xfrm>
                    <a:prstGeom prst="rect">
                      <a:avLst/>
                    </a:prstGeom>
                    <a:noFill/>
                    <a:ln>
                      <a:noFill/>
                    </a:ln>
                  </pic:spPr>
                </pic:pic>
              </a:graphicData>
            </a:graphic>
          </wp:inline>
        </w:drawing>
      </w:r>
    </w:p>
    <w:p w14:paraId="756C8F22">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08FBFCA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5733A2FC">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color w:val="000000"/>
          <w:sz w:val="21"/>
          <w:szCs w:val="21"/>
        </w:rPr>
        <w:t>。</w:t>
      </w:r>
    </w:p>
    <w:p w14:paraId="17E9C27C">
      <w:pPr>
        <w:overflowPunct w:val="0"/>
        <w:spacing w:line="480" w:lineRule="auto"/>
        <w:jc w:val="both"/>
        <w:textAlignment w:val="auto"/>
        <w:rPr>
          <w:rFonts w:hint="eastAsia" w:ascii="Arial" w:hAnsi="Arial"/>
          <w:sz w:val="21"/>
          <w:szCs w:val="28"/>
        </w:rPr>
      </w:pPr>
      <w:r>
        <w:drawing>
          <wp:inline distT="0" distB="0" distL="114300" distR="114300">
            <wp:extent cx="5800090" cy="3390265"/>
            <wp:effectExtent l="0" t="0" r="6350" b="825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28"/>
                    <a:stretch>
                      <a:fillRect/>
                    </a:stretch>
                  </pic:blipFill>
                  <pic:spPr>
                    <a:xfrm>
                      <a:off x="0" y="0"/>
                      <a:ext cx="5800090" cy="3390265"/>
                    </a:xfrm>
                    <a:prstGeom prst="rect">
                      <a:avLst/>
                    </a:prstGeom>
                    <a:noFill/>
                    <a:ln>
                      <a:noFill/>
                    </a:ln>
                  </pic:spPr>
                </pic:pic>
              </a:graphicData>
            </a:graphic>
          </wp:inline>
        </w:drawing>
      </w:r>
    </w:p>
    <w:p w14:paraId="1FA3D566">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044AC670">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9"/>
                    <a:stretch>
                      <a:fillRect/>
                    </a:stretch>
                  </pic:blipFill>
                  <pic:spPr>
                    <a:xfrm>
                      <a:off x="0" y="0"/>
                      <a:ext cx="5904865" cy="1840865"/>
                    </a:xfrm>
                    <a:prstGeom prst="rect">
                      <a:avLst/>
                    </a:prstGeom>
                    <a:noFill/>
                    <a:ln>
                      <a:noFill/>
                    </a:ln>
                  </pic:spPr>
                </pic:pic>
              </a:graphicData>
            </a:graphic>
          </wp:inline>
        </w:drawing>
      </w:r>
    </w:p>
    <w:p w14:paraId="424A4A21">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6D4D0E9A">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454B5EF9">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0CC1E784">
      <w:pPr>
        <w:overflowPunct w:val="0"/>
        <w:spacing w:line="480" w:lineRule="auto"/>
        <w:jc w:val="both"/>
        <w:textAlignment w:val="auto"/>
        <w:rPr>
          <w:rFonts w:hint="eastAsia" w:ascii="Arial" w:hAnsi="Arial"/>
          <w:sz w:val="21"/>
        </w:rPr>
      </w:pPr>
      <w:r>
        <w:drawing>
          <wp:inline distT="0" distB="0" distL="114300" distR="114300">
            <wp:extent cx="5904865" cy="1668145"/>
            <wp:effectExtent l="0" t="0" r="8255" b="8255"/>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30"/>
                    <a:stretch>
                      <a:fillRect/>
                    </a:stretch>
                  </pic:blipFill>
                  <pic:spPr>
                    <a:xfrm>
                      <a:off x="0" y="0"/>
                      <a:ext cx="5904865" cy="1668145"/>
                    </a:xfrm>
                    <a:prstGeom prst="rect">
                      <a:avLst/>
                    </a:prstGeom>
                    <a:noFill/>
                    <a:ln>
                      <a:noFill/>
                    </a:ln>
                  </pic:spPr>
                </pic:pic>
              </a:graphicData>
            </a:graphic>
          </wp:inline>
        </w:drawing>
      </w:r>
    </w:p>
    <w:p w14:paraId="14CA0563">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4FC61AD6">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4D220587">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24C0462F">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1"/>
                    <a:stretch>
                      <a:fillRect/>
                    </a:stretch>
                  </pic:blipFill>
                  <pic:spPr>
                    <a:xfrm>
                      <a:off x="0" y="0"/>
                      <a:ext cx="5904865" cy="1835785"/>
                    </a:xfrm>
                    <a:prstGeom prst="rect">
                      <a:avLst/>
                    </a:prstGeom>
                    <a:noFill/>
                    <a:ln>
                      <a:noFill/>
                    </a:ln>
                  </pic:spPr>
                </pic:pic>
              </a:graphicData>
            </a:graphic>
          </wp:inline>
        </w:drawing>
      </w:r>
    </w:p>
    <w:p w14:paraId="7ACCA930">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7F6C1547">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r>
        <w:rPr>
          <w:rFonts w:hint="eastAsia" w:ascii="Arial" w:hAnsi="Arial"/>
          <w:sz w:val="21"/>
          <w:szCs w:val="28"/>
        </w:rPr>
        <w:t>元</w:t>
      </w:r>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2CA91E3C">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2ADE3E09">
      <w:pPr>
        <w:overflowPunct w:val="0"/>
        <w:spacing w:line="480" w:lineRule="auto"/>
        <w:jc w:val="center"/>
        <w:textAlignment w:val="auto"/>
        <w:rPr>
          <w:rFonts w:hint="eastAsia"/>
        </w:rPr>
      </w:pPr>
      <w:r>
        <w:drawing>
          <wp:inline distT="0" distB="0" distL="114300" distR="114300">
            <wp:extent cx="5899785" cy="1706880"/>
            <wp:effectExtent l="0" t="0" r="1333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32"/>
                    <a:stretch>
                      <a:fillRect/>
                    </a:stretch>
                  </pic:blipFill>
                  <pic:spPr>
                    <a:xfrm>
                      <a:off x="0" y="0"/>
                      <a:ext cx="5899785" cy="1706880"/>
                    </a:xfrm>
                    <a:prstGeom prst="rect">
                      <a:avLst/>
                    </a:prstGeom>
                    <a:noFill/>
                    <a:ln>
                      <a:noFill/>
                    </a:ln>
                  </pic:spPr>
                </pic:pic>
              </a:graphicData>
            </a:graphic>
          </wp:inline>
        </w:drawing>
      </w:r>
    </w:p>
    <w:p w14:paraId="297DE57F">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3407E846">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A8ABB11">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311FBD5F">
      <w:pPr>
        <w:tabs>
          <w:tab w:val="left" w:pos="0"/>
        </w:tabs>
        <w:overflowPunct w:val="0"/>
        <w:spacing w:line="480" w:lineRule="auto"/>
        <w:jc w:val="center"/>
        <w:textAlignment w:val="auto"/>
      </w:pPr>
      <w:r>
        <w:drawing>
          <wp:inline distT="0" distB="0" distL="114300" distR="114300">
            <wp:extent cx="5908040" cy="1941830"/>
            <wp:effectExtent l="0" t="0" r="5080" b="889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3"/>
                    <a:stretch>
                      <a:fillRect/>
                    </a:stretch>
                  </pic:blipFill>
                  <pic:spPr>
                    <a:xfrm>
                      <a:off x="0" y="0"/>
                      <a:ext cx="5908040" cy="1941830"/>
                    </a:xfrm>
                    <a:prstGeom prst="rect">
                      <a:avLst/>
                    </a:prstGeom>
                    <a:noFill/>
                    <a:ln>
                      <a:noFill/>
                    </a:ln>
                  </pic:spPr>
                </pic:pic>
              </a:graphicData>
            </a:graphic>
          </wp:inline>
        </w:drawing>
      </w:r>
    </w:p>
    <w:p w14:paraId="3CF717CA">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24A8ABEB">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4DE9435B">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2325" cy="1988820"/>
            <wp:effectExtent l="0" t="0" r="10795" b="762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4"/>
                    <a:stretch>
                      <a:fillRect/>
                    </a:stretch>
                  </pic:blipFill>
                  <pic:spPr>
                    <a:xfrm>
                      <a:off x="0" y="0"/>
                      <a:ext cx="5902325" cy="1988820"/>
                    </a:xfrm>
                    <a:prstGeom prst="rect">
                      <a:avLst/>
                    </a:prstGeom>
                    <a:noFill/>
                    <a:ln>
                      <a:noFill/>
                    </a:ln>
                  </pic:spPr>
                </pic:pic>
              </a:graphicData>
            </a:graphic>
          </wp:inline>
        </w:drawing>
      </w:r>
    </w:p>
    <w:p w14:paraId="5CD0BCD3">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39B2763C">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2252C743">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存量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4B0F3BCC">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37756D46">
      <w:pPr>
        <w:tabs>
          <w:tab w:val="left" w:pos="0"/>
        </w:tabs>
        <w:overflowPunct w:val="0"/>
        <w:spacing w:line="480" w:lineRule="auto"/>
        <w:jc w:val="center"/>
        <w:textAlignment w:val="auto"/>
        <w:rPr>
          <w:rFonts w:ascii="Arial" w:hAnsi="Arial"/>
          <w:sz w:val="21"/>
        </w:rPr>
      </w:pPr>
      <w:r>
        <w:drawing>
          <wp:inline distT="0" distB="0" distL="114300" distR="114300">
            <wp:extent cx="5904230" cy="1638300"/>
            <wp:effectExtent l="0" t="0" r="8890" b="762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35"/>
                    <a:stretch>
                      <a:fillRect/>
                    </a:stretch>
                  </pic:blipFill>
                  <pic:spPr>
                    <a:xfrm>
                      <a:off x="0" y="0"/>
                      <a:ext cx="5904230" cy="1638300"/>
                    </a:xfrm>
                    <a:prstGeom prst="rect">
                      <a:avLst/>
                    </a:prstGeom>
                    <a:noFill/>
                    <a:ln>
                      <a:noFill/>
                    </a:ln>
                  </pic:spPr>
                </pic:pic>
              </a:graphicData>
            </a:graphic>
          </wp:inline>
        </w:drawing>
      </w:r>
    </w:p>
    <w:p w14:paraId="269A803E">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500F4433">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3751BA6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3C17CAB9">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8675" cy="2078990"/>
            <wp:effectExtent l="0" t="0" r="4445" b="8890"/>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36"/>
                    <a:stretch>
                      <a:fillRect/>
                    </a:stretch>
                  </pic:blipFill>
                  <pic:spPr>
                    <a:xfrm>
                      <a:off x="0" y="0"/>
                      <a:ext cx="5908675" cy="2078990"/>
                    </a:xfrm>
                    <a:prstGeom prst="rect">
                      <a:avLst/>
                    </a:prstGeom>
                    <a:noFill/>
                    <a:ln>
                      <a:noFill/>
                    </a:ln>
                  </pic:spPr>
                </pic:pic>
              </a:graphicData>
            </a:graphic>
          </wp:inline>
        </w:drawing>
      </w:r>
    </w:p>
    <w:p w14:paraId="31DDD673">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04E1C71A">
      <w:pPr>
        <w:overflowPunct w:val="0"/>
        <w:spacing w:line="480" w:lineRule="auto"/>
        <w:jc w:val="both"/>
        <w:textAlignment w:val="auto"/>
        <w:rPr>
          <w:rFonts w:hint="eastAsia" w:ascii="Arial" w:hAnsi="Arial"/>
          <w:color w:val="000000"/>
          <w:sz w:val="21"/>
        </w:rPr>
      </w:pPr>
      <w:r>
        <w:drawing>
          <wp:inline distT="0" distB="0" distL="114300" distR="114300">
            <wp:extent cx="5910580" cy="1720215"/>
            <wp:effectExtent l="0" t="0" r="2540" b="1905"/>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37"/>
                    <a:stretch>
                      <a:fillRect/>
                    </a:stretch>
                  </pic:blipFill>
                  <pic:spPr>
                    <a:xfrm>
                      <a:off x="0" y="0"/>
                      <a:ext cx="5910580" cy="1720215"/>
                    </a:xfrm>
                    <a:prstGeom prst="rect">
                      <a:avLst/>
                    </a:prstGeom>
                    <a:noFill/>
                    <a:ln>
                      <a:noFill/>
                    </a:ln>
                  </pic:spPr>
                </pic:pic>
              </a:graphicData>
            </a:graphic>
          </wp:inline>
        </w:drawing>
      </w:r>
    </w:p>
    <w:p w14:paraId="30607E30">
      <w:pPr>
        <w:spacing w:line="480" w:lineRule="auto"/>
        <w:ind w:firstLine="420" w:firstLineChars="200"/>
        <w:jc w:val="both"/>
        <w:textAlignment w:val="auto"/>
        <w:rPr>
          <w:rFonts w:ascii="Arial" w:hAnsi="Arial"/>
          <w:sz w:val="21"/>
          <w:szCs w:val="28"/>
        </w:rPr>
      </w:pPr>
      <w:r>
        <w:rPr>
          <w:rFonts w:hint="eastAsia" w:ascii="Arial" w:hAnsi="Arial"/>
          <w:sz w:val="21"/>
          <w:szCs w:val="28"/>
        </w:rPr>
        <w:t>3）住宅租赁市场</w:t>
      </w:r>
    </w:p>
    <w:p w14:paraId="464A007F">
      <w:pPr>
        <w:spacing w:line="480" w:lineRule="auto"/>
        <w:ind w:firstLine="420" w:firstLineChars="200"/>
        <w:jc w:val="both"/>
        <w:textAlignment w:val="auto"/>
        <w:rPr>
          <w:rFonts w:ascii="Arial" w:hAnsi="Arial"/>
          <w:sz w:val="21"/>
          <w:szCs w:val="28"/>
        </w:rPr>
      </w:pPr>
      <w:r>
        <w:rPr>
          <w:rFonts w:hint="eastAsia" w:ascii="Arial" w:hAnsi="Arial"/>
          <w:sz w:val="21"/>
          <w:szCs w:val="28"/>
        </w:rPr>
        <w:t>202</w:t>
      </w:r>
      <w:r>
        <w:rPr>
          <w:rFonts w:ascii="Arial" w:hAnsi="Arial"/>
          <w:sz w:val="21"/>
          <w:szCs w:val="28"/>
        </w:rPr>
        <w:t>5</w:t>
      </w:r>
      <w:r>
        <w:rPr>
          <w:rFonts w:hint="eastAsia" w:ascii="Arial" w:hAnsi="Arial"/>
          <w:sz w:val="21"/>
          <w:szCs w:val="28"/>
        </w:rPr>
        <w:t>年上半年，北京市住宅租赁市场整体表现较好，交易量创 2019 年以来同期次高，租金整体呈平稳微降态势，市场结构和需求也发生了一些变化。以下是具体分析：</w:t>
      </w:r>
    </w:p>
    <w:p w14:paraId="32E836FE">
      <w:pPr>
        <w:spacing w:line="480" w:lineRule="auto"/>
        <w:ind w:firstLine="420" w:firstLineChars="200"/>
        <w:jc w:val="both"/>
        <w:textAlignment w:val="auto"/>
        <w:rPr>
          <w:rFonts w:ascii="Arial" w:hAnsi="Arial"/>
          <w:sz w:val="21"/>
          <w:szCs w:val="28"/>
        </w:rPr>
      </w:pPr>
      <w:r>
        <w:rPr>
          <w:rFonts w:hint="eastAsia" w:ascii="Arial" w:hAnsi="Arial"/>
          <w:sz w:val="21"/>
          <w:szCs w:val="28"/>
        </w:rPr>
        <w:t>交易量方面，2025 年上半年，我爱我家北京区域住房租赁交易量不及 2024 年上半年，但好于 2019-2023 年各年度同期水平，创历史同期次高。从月度来看，1 月受春节假期影响，日均交易量较低；2 月春节假期后市场快速回升；3 月迎来租赁 “小阳春”，环比增幅较高，交易量达到上半年次高水平；4 月市场常规性回落；5-6 月市场持续回升，6 月交易量达到上半年月度高峰。</w:t>
      </w:r>
    </w:p>
    <w:p w14:paraId="2CCE5361">
      <w:pPr>
        <w:spacing w:line="480" w:lineRule="auto"/>
        <w:ind w:firstLine="420" w:firstLineChars="200"/>
        <w:jc w:val="both"/>
        <w:textAlignment w:val="auto"/>
        <w:rPr>
          <w:rFonts w:ascii="Arial" w:hAnsi="Arial"/>
          <w:sz w:val="21"/>
          <w:szCs w:val="28"/>
        </w:rPr>
      </w:pPr>
      <w:r>
        <w:rPr>
          <w:rFonts w:hint="eastAsia" w:ascii="Arial" w:hAnsi="Arial"/>
          <w:sz w:val="21"/>
          <w:szCs w:val="28"/>
        </w:rPr>
        <w:t>租金方面，2025 年上半年整租平均租金同环比均跌，1-6 月月度租金环比涨跌幅保持在 3% 以内，环比波动平稳。5月份每平方米平均租金环比微涨0.5%，每套平均租金微涨 0.1%，租金水平仍低于去年同期，但同比跌幅较上月持续明显收窄。</w:t>
      </w:r>
    </w:p>
    <w:p w14:paraId="4499CC72">
      <w:pPr>
        <w:spacing w:line="480" w:lineRule="auto"/>
        <w:ind w:firstLine="420" w:firstLineChars="200"/>
        <w:jc w:val="both"/>
        <w:textAlignment w:val="auto"/>
        <w:rPr>
          <w:rFonts w:ascii="Arial" w:hAnsi="Arial"/>
          <w:sz w:val="21"/>
          <w:szCs w:val="28"/>
        </w:rPr>
      </w:pPr>
      <w:r>
        <w:rPr>
          <w:rFonts w:hint="eastAsia" w:ascii="Arial" w:hAnsi="Arial"/>
          <w:sz w:val="21"/>
          <w:szCs w:val="28"/>
        </w:rPr>
        <w:t>供需关系方面，供应端持续增加，大量二手房因交易受阻 “由售转租”，同时 “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5E8C89C">
      <w:pPr>
        <w:spacing w:line="480" w:lineRule="auto"/>
        <w:ind w:firstLine="420" w:firstLineChars="200"/>
        <w:jc w:val="both"/>
        <w:textAlignment w:val="auto"/>
        <w:rPr>
          <w:rFonts w:ascii="Arial" w:hAnsi="Arial"/>
          <w:sz w:val="21"/>
          <w:szCs w:val="28"/>
        </w:rPr>
      </w:pPr>
      <w:r>
        <w:rPr>
          <w:rFonts w:hint="eastAsia" w:ascii="Arial" w:hAnsi="Arial"/>
          <w:sz w:val="21"/>
          <w:szCs w:val="28"/>
        </w:rPr>
        <w:t>2025 年上半年，北京市个人平均租金84.7元/㎡·月（同比下降5.4%），套均租金同比下降6.5%，就业市场疲软及保障房分流持续压制需求。</w:t>
      </w:r>
    </w:p>
    <w:p w14:paraId="472CFE6C">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901055" cy="1780540"/>
            <wp:effectExtent l="0" t="0" r="12065" b="254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39"/>
                    <a:stretch>
                      <a:fillRect/>
                    </a:stretch>
                  </pic:blipFill>
                  <pic:spPr>
                    <a:xfrm>
                      <a:off x="0" y="0"/>
                      <a:ext cx="5901055" cy="178054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25C2A142">
      <w:pPr>
        <w:spacing w:line="480" w:lineRule="auto"/>
        <w:jc w:val="both"/>
        <w:textAlignment w:val="auto"/>
        <w:rPr>
          <w:rFonts w:ascii="Arial" w:hAnsi="Arial"/>
          <w:sz w:val="21"/>
          <w:szCs w:val="28"/>
        </w:rPr>
      </w:pPr>
    </w:p>
    <w:p w14:paraId="57850E8C">
      <w:pPr>
        <w:spacing w:line="240" w:lineRule="auto"/>
        <w:jc w:val="both"/>
        <w:textAlignment w:val="auto"/>
        <w:rPr>
          <w:rFonts w:ascii="Arial" w:hAnsi="Arial"/>
          <w:sz w:val="21"/>
          <w:szCs w:val="28"/>
        </w:rPr>
      </w:pPr>
      <w:r>
        <w:drawing>
          <wp:inline distT="0" distB="0" distL="114300" distR="114300">
            <wp:extent cx="5905500" cy="2230120"/>
            <wp:effectExtent l="0" t="0" r="7620" b="10160"/>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40"/>
                    <a:stretch>
                      <a:fillRect/>
                    </a:stretch>
                  </pic:blipFill>
                  <pic:spPr>
                    <a:xfrm>
                      <a:off x="0" y="0"/>
                      <a:ext cx="5905500" cy="2230120"/>
                    </a:xfrm>
                    <a:prstGeom prst="rect">
                      <a:avLst/>
                    </a:prstGeom>
                    <a:noFill/>
                    <a:ln>
                      <a:noFill/>
                    </a:ln>
                  </pic:spPr>
                </pic:pic>
              </a:graphicData>
            </a:graphic>
          </wp:inline>
        </w:drawing>
      </w:r>
    </w:p>
    <w:p w14:paraId="714E5B02">
      <w:pPr>
        <w:spacing w:line="240" w:lineRule="auto"/>
        <w:ind w:firstLine="540" w:firstLineChars="300"/>
        <w:jc w:val="both"/>
        <w:textAlignment w:val="auto"/>
        <w:rPr>
          <w:rFonts w:ascii="Arial" w:hAnsi="Arial"/>
          <w:sz w:val="18"/>
          <w:szCs w:val="28"/>
          <w:highlight w:val="yellow"/>
        </w:rPr>
      </w:pPr>
      <w:r>
        <w:rPr>
          <w:rFonts w:hint="eastAsia" w:ascii="Arial" w:hAnsi="Arial"/>
          <w:sz w:val="18"/>
          <w:szCs w:val="28"/>
        </w:rPr>
        <w:t>数据来源：克而瑞北京《2024年北京住房租赁市场年报》</w:t>
      </w:r>
    </w:p>
    <w:p w14:paraId="1137BA8C">
      <w:pPr>
        <w:widowControl/>
        <w:shd w:val="clear" w:color="auto" w:fill="FFFFFF"/>
        <w:adjustRightInd/>
        <w:spacing w:before="100" w:beforeAutospacing="1" w:after="100" w:afterAutospacing="1" w:line="450" w:lineRule="atLeast"/>
        <w:ind w:firstLine="630" w:firstLineChars="300"/>
        <w:textAlignment w:val="auto"/>
        <w:rPr>
          <w:rFonts w:ascii="Arial" w:hAnsi="Arial"/>
          <w:color w:val="000000"/>
          <w:sz w:val="21"/>
          <w:szCs w:val="21"/>
        </w:rPr>
      </w:pPr>
      <w:r>
        <w:rPr>
          <w:rFonts w:ascii="Arial" w:hAnsi="Arial"/>
          <w:color w:val="000000"/>
          <w:sz w:val="21"/>
          <w:szCs w:val="21"/>
        </w:rPr>
        <w:t>从市场供需来看，北京个人房源挂牌量在年初和年中上涨显著，年度单月平均挂牌4.8万余间；受毕业季影响，成交量在7月达到最高点，年初和年未明显收缩。</w:t>
      </w:r>
    </w:p>
    <w:p w14:paraId="04F77A74">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821680" cy="2020570"/>
            <wp:effectExtent l="0" t="0" r="0" b="6350"/>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41"/>
                    <a:stretch>
                      <a:fillRect/>
                    </a:stretch>
                  </pic:blipFill>
                  <pic:spPr>
                    <a:xfrm>
                      <a:off x="0" y="0"/>
                      <a:ext cx="5821680" cy="202057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3A476A57">
      <w:pPr>
        <w:spacing w:before="326" w:beforeLines="100" w:line="480" w:lineRule="auto"/>
        <w:ind w:firstLine="420" w:firstLineChars="200"/>
        <w:jc w:val="both"/>
        <w:textAlignment w:val="auto"/>
        <w:rPr>
          <w:rFonts w:ascii="Arial" w:hAnsi="Arial"/>
          <w:sz w:val="21"/>
          <w:szCs w:val="28"/>
        </w:rPr>
      </w:pPr>
      <w:r>
        <w:rPr>
          <w:rFonts w:hint="eastAsia" w:ascii="Arial" w:hAnsi="Arial"/>
          <w:sz w:val="21"/>
          <w:szCs w:val="28"/>
        </w:rPr>
        <w:t>从集中式公寓平均租金看，全年整体平稳小幅波动，年初和年未有所回落；全市出租率水平在7月达到高点，之后回落显著年尾有所上扬，全年同比回升0.5个百分点。租金最高的区域为西城区，平均租金居337.8元/㎡/月，平谷区最低为27.9元/㎡/月。2024年北京是集中式公寓在营业项目数达379个，总房源数11.6万余间，相比去年末提升7.2%；其中超过36.1%的市集中式公寓房源位于朝阳区，门店数和总房源数均居首位，其次是丰台区，房源量占比全市的16.5%。</w:t>
      </w:r>
    </w:p>
    <w:p w14:paraId="7C64FEEA">
      <w:pPr>
        <w:spacing w:line="480" w:lineRule="auto"/>
        <w:ind w:firstLine="420" w:firstLineChars="200"/>
        <w:jc w:val="both"/>
        <w:textAlignment w:val="auto"/>
        <w:rPr>
          <w:rFonts w:ascii="Arial" w:hAnsi="Arial"/>
          <w:sz w:val="21"/>
          <w:szCs w:val="28"/>
        </w:rPr>
      </w:pPr>
      <w:r>
        <w:rPr>
          <w:rFonts w:hint="eastAsia" w:ascii="Arial" w:hAnsi="Arial"/>
          <w:sz w:val="21"/>
          <w:szCs w:val="28"/>
        </w:rPr>
        <w:t>2</w:t>
      </w:r>
      <w:r>
        <w:rPr>
          <w:rFonts w:ascii="Arial" w:hAnsi="Arial"/>
          <w:sz w:val="21"/>
          <w:szCs w:val="28"/>
        </w:rPr>
        <w:t>024年全年，</w:t>
      </w:r>
      <w:r>
        <w:rPr>
          <w:rFonts w:hint="eastAsia" w:ascii="Arial" w:hAnsi="Arial"/>
          <w:sz w:val="21"/>
          <w:szCs w:val="28"/>
        </w:rPr>
        <w:t>北京全市在运营公租房项目共190个，总体量10万余间。大兴区在运营项目最多，达33个；朝阳区公租房房源量位于首位，共19446间。公租房项目受政府管控，租金价格较为平稳，全市西城区平均租金最高，为51.0元/㎡/月；朝阳区次之，为41.2元/㎡/月；密云租金价格较低。</w:t>
      </w:r>
    </w:p>
    <w:p w14:paraId="4D8F06C5">
      <w:pPr>
        <w:spacing w:line="480" w:lineRule="auto"/>
        <w:ind w:firstLine="420" w:firstLineChars="200"/>
        <w:jc w:val="both"/>
        <w:textAlignment w:val="auto"/>
        <w:rPr>
          <w:rFonts w:ascii="Arial" w:hAnsi="Arial"/>
          <w:sz w:val="21"/>
          <w:szCs w:val="28"/>
        </w:rPr>
      </w:pPr>
      <w:r>
        <w:rPr>
          <w:rFonts w:hint="eastAsia" w:ascii="Arial" w:hAnsi="Arial"/>
          <w:sz w:val="21"/>
          <w:szCs w:val="28"/>
        </w:rPr>
        <w:t>2025年3月，北京住宅租赁交易量环比明显回升，受去年基数较高的影响，同比小幅回落，但整体表现优于2019-2023年同期水平。北京长租公寓整租交易中，每平方米平均租金环比微跌0.4%，每套平均租金环比微涨0.6%，平均租金基本与上月相差不大，但同比仍低于去年同期。</w:t>
      </w:r>
    </w:p>
    <w:p w14:paraId="58A70B45">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w:t>
      </w:r>
      <w:r>
        <w:rPr>
          <w:rFonts w:hint="eastAsia" w:ascii="Arial" w:hAnsi="Arial"/>
          <w:sz w:val="21"/>
          <w:szCs w:val="28"/>
        </w:rPr>
        <w:t>5月，市场交易活跃度提升，租赁需求结构也在发生变化，大户型和中等租金段的需求增长尤为明显。北京住房租赁整租交易中，两居室交易占比最高，达到52.2%，较上月下滑0.7个百分点；其次是一居室，交易占比38.8%，较上月上升0.7个百分点；一居室与两居室累计占比达到91.0%；三居室与四居室及以上交易占比基本与上月持平。北京住房租赁市场长租公寓整租交易中，每平方米平均租金环比微涨0.5%，每套平均租金微涨0.1%。套均租金基本与上月持平，但租金水平仍低于去年同期，且同比跌幅较上月持续明显收窄。</w:t>
      </w:r>
    </w:p>
    <w:p w14:paraId="11F63EB7">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0DA83806">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全国：</w:t>
      </w:r>
    </w:p>
    <w:p w14:paraId="4CD68AF1">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235B1C6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79B9486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0A656649">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3E0141C6">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393B3DF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EF1504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74B04A8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532BFEC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53" w:name="OLE_LINK7"/>
      <w:r>
        <w:rPr>
          <w:rFonts w:ascii="Arial" w:hAnsi="Arial"/>
          <w:color w:val="000000"/>
          <w:sz w:val="21"/>
        </w:rPr>
        <w:t>中央城市工作会议</w:t>
      </w:r>
      <w:bookmarkEnd w:id="53"/>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46A41A2C">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43A13DF9">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北京：</w:t>
      </w:r>
    </w:p>
    <w:p w14:paraId="44015537">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7EFC01E5">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73EDBE9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4B0F6B0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16C663D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825F32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70D5ED3F">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13E14D4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544E944C">
      <w:pPr>
        <w:overflowPunct w:val="0"/>
        <w:spacing w:line="480" w:lineRule="auto"/>
        <w:ind w:firstLine="420"/>
        <w:jc w:val="both"/>
        <w:textAlignment w:val="auto"/>
        <w:rPr>
          <w:rFonts w:ascii="Arial" w:hAnsi="Arial"/>
          <w:sz w:val="21"/>
          <w:szCs w:val="28"/>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3131EF4A">
      <w:pPr>
        <w:spacing w:line="480" w:lineRule="auto"/>
        <w:jc w:val="both"/>
        <w:rPr>
          <w:rFonts w:ascii="Arial" w:hAnsi="Arial" w:cs="Arial"/>
          <w:b/>
          <w:bCs/>
          <w:sz w:val="21"/>
          <w:szCs w:val="21"/>
        </w:rPr>
      </w:pPr>
      <w:r>
        <w:rPr>
          <w:rFonts w:ascii="Arial" w:hAnsi="Arial" w:cs="Arial"/>
          <w:b/>
          <w:bCs/>
          <w:sz w:val="21"/>
          <w:szCs w:val="21"/>
        </w:rPr>
        <w:t>（</w:t>
      </w:r>
      <w:r>
        <w:rPr>
          <w:rFonts w:hint="eastAsia" w:ascii="Arial" w:hAnsi="Arial" w:cs="Arial"/>
          <w:b/>
          <w:bCs/>
          <w:sz w:val="21"/>
          <w:szCs w:val="21"/>
        </w:rPr>
        <w:t>二</w:t>
      </w:r>
      <w:r>
        <w:rPr>
          <w:rFonts w:ascii="Arial" w:hAnsi="Arial" w:cs="Arial"/>
          <w:b/>
          <w:bCs/>
          <w:sz w:val="21"/>
          <w:szCs w:val="21"/>
        </w:rPr>
        <w:t>）</w:t>
      </w:r>
      <w:r>
        <w:rPr>
          <w:rFonts w:hint="eastAsia" w:ascii="Arial" w:hAnsi="Arial" w:cs="Arial"/>
          <w:b/>
          <w:bCs/>
          <w:sz w:val="21"/>
          <w:szCs w:val="21"/>
        </w:rPr>
        <w:t>估价对象区域周边公共租赁住房情况</w:t>
      </w:r>
    </w:p>
    <w:p w14:paraId="5DCDB0C6">
      <w:pPr>
        <w:spacing w:line="480" w:lineRule="auto"/>
        <w:ind w:firstLine="420" w:firstLineChars="200"/>
        <w:jc w:val="both"/>
        <w:rPr>
          <w:rFonts w:ascii="Arial" w:hAnsi="Arial"/>
          <w:sz w:val="21"/>
        </w:rPr>
      </w:pPr>
      <w:r>
        <w:rPr>
          <w:rFonts w:hint="eastAsia" w:ascii="Arial" w:hAnsi="Arial"/>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14:paraId="71DA6E3A">
      <w:pPr>
        <w:spacing w:line="480" w:lineRule="auto"/>
        <w:ind w:firstLine="420" w:firstLineChars="200"/>
        <w:jc w:val="both"/>
        <w:rPr>
          <w:rFonts w:ascii="Arial" w:hAnsi="Arial"/>
          <w:sz w:val="21"/>
        </w:rPr>
      </w:pPr>
      <w:r>
        <w:rPr>
          <w:rFonts w:hint="eastAsia" w:ascii="Arial" w:hAnsi="Arial"/>
          <w:sz w:val="21"/>
        </w:rPr>
        <w:t>根据《国务院办公厅关于保障性安居工程建设和管理的指导意见》 (国办发[2011]45号)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68E75BD5">
      <w:pPr>
        <w:spacing w:line="480" w:lineRule="auto"/>
        <w:ind w:firstLine="420" w:firstLineChars="200"/>
        <w:jc w:val="both"/>
        <w:rPr>
          <w:rFonts w:ascii="Arial" w:hAnsi="Arial"/>
          <w:sz w:val="21"/>
        </w:rPr>
      </w:pPr>
      <w:r>
        <w:rPr>
          <w:rFonts w:hint="eastAsia" w:ascii="Arial" w:hAnsi="Arial"/>
          <w:sz w:val="21"/>
        </w:rPr>
        <w:t>根据今年北京经济技术开发区网站公布的《关于北京经济技术开发区怡景名苑等12个公租房项目开展快速配租的公告》，目前配租共涉及12个公租房项目部分房源，房源共计525套。其中小套型89套，中套型247套，大套型189套。房源情况如下：</w:t>
      </w:r>
    </w:p>
    <w:p w14:paraId="49615CFC">
      <w:pPr>
        <w:spacing w:line="480" w:lineRule="auto"/>
        <w:ind w:firstLine="420" w:firstLineChars="200"/>
        <w:jc w:val="both"/>
        <w:rPr>
          <w:rFonts w:ascii="Arial" w:hAnsi="Arial"/>
          <w:sz w:val="21"/>
        </w:rPr>
      </w:pPr>
      <w:r>
        <w:rPr>
          <w:rFonts w:hint="eastAsia" w:ascii="Arial" w:hAnsi="Arial"/>
          <w:sz w:val="21"/>
        </w:rPr>
        <w:t>怡景名苑公租房项目：该项目位于经开区亦庄镇鹿华路8号院。本次可配租房源共计41套，小套型37套，建筑面积约41.00-41.94平方米；大套型4套，建筑面积约56.31-59.93平方米。租金标准为37元/建筑平方米•月。</w:t>
      </w:r>
    </w:p>
    <w:p w14:paraId="748A289A">
      <w:pPr>
        <w:spacing w:line="480" w:lineRule="auto"/>
        <w:ind w:firstLine="420" w:firstLineChars="200"/>
        <w:jc w:val="both"/>
        <w:rPr>
          <w:rFonts w:ascii="Arial" w:hAnsi="Arial"/>
          <w:sz w:val="21"/>
        </w:rPr>
      </w:pPr>
      <w:r>
        <w:rPr>
          <w:rFonts w:hint="eastAsia" w:ascii="Arial" w:hAnsi="Arial"/>
          <w:sz w:val="21"/>
        </w:rPr>
        <w:t>亦庄新城公租房项目：该项目位于经开区亦庄镇鹿华路5号院。本次可配租房源共计27套，小套型22套，建筑面积约42.33-42.65平方米；中套型2套，建筑面积约53.23平方米；大套型3套，建筑面积约60.23-60.41平方米。租金标准为35元/建筑平方米•月。</w:t>
      </w:r>
    </w:p>
    <w:p w14:paraId="051CDA2A">
      <w:pPr>
        <w:spacing w:line="480" w:lineRule="auto"/>
        <w:ind w:firstLine="420" w:firstLineChars="200"/>
        <w:jc w:val="both"/>
        <w:rPr>
          <w:rFonts w:ascii="Arial" w:hAnsi="Arial"/>
          <w:sz w:val="21"/>
        </w:rPr>
      </w:pPr>
      <w:r>
        <w:rPr>
          <w:rFonts w:hint="eastAsia" w:ascii="Arial" w:hAnsi="Arial"/>
          <w:sz w:val="21"/>
        </w:rPr>
        <w:t>熙悦诚郡公租房项目：该项目位于经开区旧宫镇德贤东路3号院。本次可配租房源共计12套，中套型5套，建筑面积约52.17-52.46平方米；大套型7套，建筑面积约56.75-59.25平方米。租金标准为42元/建筑平方米•月。</w:t>
      </w:r>
    </w:p>
    <w:p w14:paraId="222101CC">
      <w:pPr>
        <w:spacing w:line="480" w:lineRule="auto"/>
        <w:ind w:firstLine="420" w:firstLineChars="200"/>
        <w:jc w:val="both"/>
        <w:rPr>
          <w:rFonts w:ascii="Arial" w:hAnsi="Arial"/>
          <w:sz w:val="21"/>
        </w:rPr>
      </w:pPr>
      <w:r>
        <w:rPr>
          <w:rFonts w:hint="eastAsia" w:ascii="Arial" w:hAnsi="Arial"/>
          <w:sz w:val="21"/>
        </w:rPr>
        <w:t>紫南华苑公租房项目：该项目位于经开区旧宫镇德贤东路6号院。本次可配租房源共计6套，小套型4套，建筑面积约43.72-44.79平方米；大套型2套，建筑面积约59.22平方米。租金标准为44元/建筑平方米•月。</w:t>
      </w:r>
    </w:p>
    <w:p w14:paraId="3323FC0A">
      <w:pPr>
        <w:spacing w:line="480" w:lineRule="auto"/>
        <w:ind w:firstLine="420" w:firstLineChars="200"/>
        <w:jc w:val="both"/>
        <w:rPr>
          <w:rFonts w:ascii="Arial" w:hAnsi="Arial"/>
          <w:sz w:val="21"/>
        </w:rPr>
      </w:pPr>
      <w:r>
        <w:rPr>
          <w:rFonts w:hint="eastAsia" w:ascii="Arial" w:hAnsi="Arial"/>
          <w:sz w:val="21"/>
        </w:rPr>
        <w:t>盛悦家园公租房项目：该项目位于经开区旧宫镇旧忠路10号院。本次可配租房源共计32套，小套型8套，建筑面积约41.12-43.15平方米；中套型24套，建筑面积约49.34-50.25平方米。租金标准为44元/建筑平方米•月。</w:t>
      </w:r>
    </w:p>
    <w:p w14:paraId="25E8279E">
      <w:pPr>
        <w:spacing w:line="480" w:lineRule="auto"/>
        <w:ind w:firstLine="420" w:firstLineChars="200"/>
        <w:jc w:val="both"/>
        <w:rPr>
          <w:rFonts w:ascii="Arial" w:hAnsi="Arial"/>
          <w:sz w:val="21"/>
        </w:rPr>
      </w:pPr>
      <w:r>
        <w:rPr>
          <w:rFonts w:hint="eastAsia" w:ascii="Arial" w:hAnsi="Arial"/>
          <w:sz w:val="21"/>
        </w:rPr>
        <w:t>璟秀欣苑公租房项目：该项目位于通州区台湖镇东石东三路6号院、7号院。本次可配租房源共计7套，大套型7套，建筑面积约57.60-58.02平方米。租金标准为35元/建筑平方米•月。</w:t>
      </w:r>
    </w:p>
    <w:p w14:paraId="54F58CE0">
      <w:pPr>
        <w:spacing w:line="480" w:lineRule="auto"/>
        <w:ind w:firstLine="420" w:firstLineChars="200"/>
        <w:jc w:val="both"/>
        <w:rPr>
          <w:rFonts w:ascii="Arial" w:hAnsi="Arial"/>
          <w:sz w:val="21"/>
        </w:rPr>
      </w:pPr>
      <w:r>
        <w:rPr>
          <w:rFonts w:hint="eastAsia" w:ascii="Arial" w:hAnsi="Arial"/>
          <w:sz w:val="21"/>
        </w:rPr>
        <w:t>盛达嘉园公租房项目：该项目位于通州区台湖镇东石东五路2号院。本次可配租房源共计21套，大套型21套，建筑面积约57.31-59.41平方米。租金标准为35元/建筑平方米•月。</w:t>
      </w:r>
    </w:p>
    <w:p w14:paraId="52E0ECDF">
      <w:pPr>
        <w:spacing w:line="480" w:lineRule="auto"/>
        <w:ind w:firstLine="420" w:firstLineChars="200"/>
        <w:jc w:val="both"/>
        <w:rPr>
          <w:rFonts w:ascii="Arial" w:hAnsi="Arial"/>
          <w:sz w:val="21"/>
        </w:rPr>
      </w:pPr>
      <w:r>
        <w:rPr>
          <w:rFonts w:hint="eastAsia" w:ascii="Arial" w:hAnsi="Arial"/>
          <w:sz w:val="21"/>
        </w:rPr>
        <w:t>台湖银河湾（东区）公租房项目：该项目位于通州区台湖镇海盛四街10号院。本次可配租房源共计25套，大套型25套，建筑面积约59.80-61.75平方米。租金标准为35元/建筑平方米•月。</w:t>
      </w:r>
    </w:p>
    <w:p w14:paraId="38FCC534">
      <w:pPr>
        <w:spacing w:line="480" w:lineRule="auto"/>
        <w:ind w:firstLine="420" w:firstLineChars="200"/>
        <w:jc w:val="both"/>
        <w:rPr>
          <w:rFonts w:ascii="Arial" w:hAnsi="Arial"/>
          <w:sz w:val="21"/>
        </w:rPr>
      </w:pPr>
      <w:r>
        <w:rPr>
          <w:rFonts w:hint="eastAsia" w:ascii="Arial" w:hAnsi="Arial"/>
          <w:sz w:val="21"/>
        </w:rPr>
        <w:t>台湖银河湾（西区）公租房项目：该项目位于通州区台湖镇海盛四街14号院。本次可配租房源共计55套，大套型55套，建筑面积约58.04-60.06平方米。租金标准为35元/建筑平方米•月。</w:t>
      </w:r>
    </w:p>
    <w:p w14:paraId="0B513CFA">
      <w:pPr>
        <w:spacing w:line="480" w:lineRule="auto"/>
        <w:ind w:firstLine="420" w:firstLineChars="200"/>
        <w:jc w:val="both"/>
        <w:rPr>
          <w:rFonts w:ascii="Arial" w:hAnsi="Arial"/>
          <w:sz w:val="21"/>
        </w:rPr>
      </w:pPr>
      <w:r>
        <w:rPr>
          <w:rFonts w:hint="eastAsia" w:ascii="Arial" w:hAnsi="Arial"/>
          <w:sz w:val="21"/>
        </w:rPr>
        <w:t>燕保•马驹桥家园公租房项目：该项目位于北京市通州区马驹桥镇兴贸一区兴贸二街。本次可配租房源共计60套，大套型60套，建筑面积约58.8-60.42平方米。租金标准为28元/建筑平方米•月。</w:t>
      </w:r>
    </w:p>
    <w:p w14:paraId="668F63C1">
      <w:pPr>
        <w:spacing w:line="480" w:lineRule="auto"/>
        <w:ind w:firstLine="420" w:firstLineChars="200"/>
        <w:jc w:val="both"/>
        <w:rPr>
          <w:rFonts w:ascii="Arial" w:hAnsi="Arial"/>
          <w:sz w:val="21"/>
        </w:rPr>
      </w:pPr>
      <w:r>
        <w:rPr>
          <w:rFonts w:hint="eastAsia" w:ascii="Arial" w:hAnsi="Arial"/>
          <w:sz w:val="21"/>
        </w:rPr>
        <w:t>拾景园公租房项目：该项目位于通州区台湖镇嘉创二路1号院。本次可配租房源共计229套，小套型13套，建筑面积约41.81-42.24平方米；中套型216套，建筑面积约51.72-53.96平方米。租金标准为35元/建筑平方米•月。</w:t>
      </w:r>
    </w:p>
    <w:p w14:paraId="248F593F">
      <w:pPr>
        <w:spacing w:line="480" w:lineRule="auto"/>
        <w:ind w:firstLine="420" w:firstLineChars="200"/>
        <w:jc w:val="both"/>
        <w:rPr>
          <w:rFonts w:ascii="Arial" w:hAnsi="Arial"/>
          <w:sz w:val="21"/>
        </w:rPr>
      </w:pPr>
      <w:r>
        <w:rPr>
          <w:rFonts w:hint="eastAsia" w:ascii="Arial" w:hAnsi="Arial"/>
          <w:sz w:val="21"/>
        </w:rPr>
        <w:t>通州光机电公租房项目：该项目位于通州区台湖镇兴光三街9号院。本次可配租房源共计10套，小套型5套，建筑面积约36.64-37.45平方米；大套型5套，建筑面积约66.21-67.73平方米。租金标准为35元/建筑㎡·月。</w:t>
      </w:r>
    </w:p>
    <w:p w14:paraId="4B2E0039">
      <w:pPr>
        <w:overflowPunct w:val="0"/>
        <w:spacing w:line="480" w:lineRule="auto"/>
        <w:ind w:firstLine="420" w:firstLineChars="200"/>
        <w:jc w:val="both"/>
        <w:textAlignment w:val="auto"/>
        <w:rPr>
          <w:rFonts w:hint="eastAsia" w:ascii="Arial" w:hAnsi="Arial"/>
          <w:sz w:val="21"/>
        </w:rPr>
      </w:pPr>
      <w:r>
        <w:rPr>
          <w:rFonts w:hint="eastAsia" w:ascii="Arial" w:hAnsi="Arial"/>
          <w:sz w:val="21"/>
        </w:rPr>
        <w:t>可配租房源套数共计525套，上述公租房项目的租金不包含供暖费、水费、电费、燃气费、电话费、上网费、有线电视初装及收视费等。</w:t>
      </w:r>
    </w:p>
    <w:p w14:paraId="447F9E29">
      <w:pPr>
        <w:overflowPunct w:val="0"/>
        <w:spacing w:line="480" w:lineRule="auto"/>
        <w:ind w:firstLine="420" w:firstLineChars="200"/>
        <w:jc w:val="both"/>
        <w:textAlignment w:val="auto"/>
        <w:rPr>
          <w:rFonts w:hint="eastAsia" w:ascii="Arial" w:hAnsi="Arial"/>
          <w:sz w:val="21"/>
        </w:rPr>
      </w:pPr>
    </w:p>
    <w:p w14:paraId="320E9FB7">
      <w:pPr>
        <w:pStyle w:val="3"/>
        <w:numPr>
          <w:ilvl w:val="0"/>
          <w:numId w:val="0"/>
        </w:numPr>
        <w:spacing w:line="480" w:lineRule="auto"/>
        <w:ind w:left="358" w:hanging="358" w:hangingChars="170"/>
        <w:jc w:val="both"/>
        <w:rPr>
          <w:rFonts w:hint="eastAsia" w:eastAsia="宋体"/>
          <w:kern w:val="2"/>
          <w:sz w:val="21"/>
          <w:szCs w:val="21"/>
        </w:rPr>
      </w:pPr>
      <w:bookmarkStart w:id="54" w:name="_Toc20572"/>
      <w:r>
        <w:rPr>
          <w:rFonts w:eastAsia="宋体"/>
          <w:kern w:val="2"/>
          <w:sz w:val="21"/>
          <w:szCs w:val="21"/>
        </w:rPr>
        <w:t>三、最高最佳利用分析</w:t>
      </w:r>
      <w:bookmarkEnd w:id="54"/>
    </w:p>
    <w:p w14:paraId="7612014D">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2BC8CE4D">
      <w:pPr>
        <w:pStyle w:val="60"/>
        <w:autoSpaceDE w:val="0"/>
        <w:autoSpaceDN w:val="0"/>
        <w:spacing w:line="480" w:lineRule="auto"/>
        <w:ind w:right="140"/>
        <w:jc w:val="both"/>
        <w:textAlignment w:val="bottom"/>
        <w:rPr>
          <w:rFonts w:hint="eastAsia" w:ascii="Arial" w:hAnsi="Arial" w:cs="Arial"/>
          <w:b/>
          <w:sz w:val="21"/>
          <w:szCs w:val="21"/>
        </w:rPr>
      </w:pPr>
      <w:r>
        <w:rPr>
          <w:rFonts w:ascii="Arial" w:hAnsi="Arial" w:cs="Arial"/>
          <w:b/>
          <w:sz w:val="21"/>
          <w:szCs w:val="21"/>
        </w:rPr>
        <w:t>（一）法律上允许</w:t>
      </w:r>
      <w:r>
        <w:rPr>
          <w:rFonts w:hint="eastAsia" w:ascii="Arial" w:hAnsi="Arial" w:cs="Arial"/>
          <w:b/>
          <w:sz w:val="21"/>
          <w:szCs w:val="21"/>
        </w:rPr>
        <w:t>（</w:t>
      </w:r>
      <w:r>
        <w:rPr>
          <w:rFonts w:ascii="Arial" w:hAnsi="Arial" w:cs="Arial"/>
          <w:b/>
          <w:sz w:val="21"/>
          <w:szCs w:val="21"/>
        </w:rPr>
        <w:t>规划及相关政策法规许可</w:t>
      </w:r>
      <w:r>
        <w:rPr>
          <w:rFonts w:hint="eastAsia" w:ascii="Arial" w:hAnsi="Arial" w:cs="Arial"/>
          <w:b/>
          <w:sz w:val="21"/>
          <w:szCs w:val="21"/>
        </w:rPr>
        <w:t>）</w:t>
      </w:r>
    </w:p>
    <w:p w14:paraId="519F2608">
      <w:pPr>
        <w:pStyle w:val="60"/>
        <w:autoSpaceDE w:val="0"/>
        <w:autoSpaceDN w:val="0"/>
        <w:spacing w:line="480" w:lineRule="auto"/>
        <w:ind w:right="140" w:firstLine="420" w:firstLineChars="200"/>
        <w:jc w:val="both"/>
        <w:textAlignment w:val="bottom"/>
        <w:rPr>
          <w:rFonts w:hint="eastAsia"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6182D460">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估价对象土地规划用途为住宅，房屋规划用途为住宅，实际拟用作公共租赁住房，法律上允许。</w:t>
      </w:r>
    </w:p>
    <w:p w14:paraId="731A4E0C">
      <w:pPr>
        <w:pStyle w:val="60"/>
        <w:autoSpaceDE w:val="0"/>
        <w:autoSpaceDN w:val="0"/>
        <w:spacing w:line="480" w:lineRule="auto"/>
        <w:ind w:right="142"/>
        <w:jc w:val="both"/>
        <w:textAlignment w:val="bottom"/>
        <w:rPr>
          <w:rFonts w:hint="eastAsia" w:ascii="Arial" w:hAnsi="Arial" w:cs="Arial"/>
          <w:b/>
          <w:sz w:val="21"/>
          <w:szCs w:val="21"/>
        </w:rPr>
      </w:pPr>
      <w:r>
        <w:rPr>
          <w:rFonts w:ascii="Arial" w:hAnsi="Arial" w:cs="Arial"/>
          <w:b/>
          <w:sz w:val="21"/>
          <w:szCs w:val="21"/>
        </w:rPr>
        <w:t>（二）技术上可能</w:t>
      </w:r>
    </w:p>
    <w:p w14:paraId="53312722">
      <w:pPr>
        <w:pStyle w:val="60"/>
        <w:autoSpaceDE w:val="0"/>
        <w:autoSpaceDN w:val="0"/>
        <w:spacing w:line="480" w:lineRule="auto"/>
        <w:ind w:right="142" w:firstLine="420" w:firstLineChars="200"/>
        <w:jc w:val="both"/>
        <w:textAlignment w:val="bottom"/>
        <w:rPr>
          <w:rFonts w:hint="eastAsia"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1FB71819">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装配式剪力墙（钢混）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4E243B44">
      <w:pPr>
        <w:pStyle w:val="60"/>
        <w:autoSpaceDE w:val="0"/>
        <w:autoSpaceDN w:val="0"/>
        <w:spacing w:line="480" w:lineRule="auto"/>
        <w:ind w:right="142"/>
        <w:jc w:val="both"/>
        <w:textAlignment w:val="bottom"/>
        <w:rPr>
          <w:rFonts w:hint="eastAsia" w:ascii="Arial" w:hAnsi="Arial" w:cs="Arial"/>
          <w:b/>
          <w:sz w:val="21"/>
          <w:szCs w:val="21"/>
        </w:rPr>
      </w:pPr>
      <w:r>
        <w:rPr>
          <w:rFonts w:ascii="Arial" w:hAnsi="Arial" w:cs="Arial"/>
          <w:b/>
          <w:sz w:val="21"/>
          <w:szCs w:val="21"/>
        </w:rPr>
        <w:t>（三）经济上可行</w:t>
      </w:r>
    </w:p>
    <w:p w14:paraId="5F0284C8">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EACC7C4">
      <w:pPr>
        <w:pStyle w:val="60"/>
        <w:autoSpaceDE w:val="0"/>
        <w:autoSpaceDN w:val="0"/>
        <w:spacing w:line="480" w:lineRule="auto"/>
        <w:ind w:right="140"/>
        <w:jc w:val="both"/>
        <w:textAlignment w:val="bottom"/>
        <w:rPr>
          <w:rFonts w:hint="eastAsia" w:ascii="Arial" w:hAnsi="Arial" w:cs="Arial"/>
          <w:b/>
          <w:sz w:val="21"/>
          <w:szCs w:val="21"/>
        </w:rPr>
      </w:pPr>
      <w:r>
        <w:rPr>
          <w:rFonts w:ascii="Arial" w:hAnsi="Arial" w:cs="Arial"/>
          <w:b/>
          <w:sz w:val="21"/>
          <w:szCs w:val="21"/>
        </w:rPr>
        <w:t>（四）价值最大化</w:t>
      </w:r>
    </w:p>
    <w:p w14:paraId="4578A59C">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hint="eastAsia" w:ascii="Arial" w:hAnsi="Arial" w:cs="Arial"/>
          <w:sz w:val="21"/>
          <w:szCs w:val="21"/>
        </w:rPr>
        <w:t>土地规划用途为住宅，房屋规划用途为住宅，实际拟用作公共租赁住房，</w:t>
      </w:r>
      <w:r>
        <w:rPr>
          <w:rFonts w:ascii="Arial" w:hAnsi="Arial" w:cs="Arial"/>
          <w:sz w:val="21"/>
          <w:szCs w:val="21"/>
        </w:rPr>
        <w:t>其使用方式以满足法律上许可、技术上可能、经济上可行为前提条件，经过论证可使估价对象价值得到最大化。</w:t>
      </w:r>
    </w:p>
    <w:p w14:paraId="407631CE">
      <w:pPr>
        <w:pStyle w:val="60"/>
        <w:autoSpaceDE w:val="0"/>
        <w:autoSpaceDN w:val="0"/>
        <w:spacing w:line="480" w:lineRule="auto"/>
        <w:ind w:right="140"/>
        <w:jc w:val="both"/>
        <w:textAlignment w:val="bottom"/>
        <w:rPr>
          <w:rFonts w:hint="eastAsia" w:ascii="Arial" w:hAnsi="Arial" w:cs="Arial"/>
          <w:b/>
          <w:sz w:val="21"/>
          <w:szCs w:val="21"/>
        </w:rPr>
      </w:pPr>
      <w:r>
        <w:rPr>
          <w:rFonts w:ascii="Arial" w:hAnsi="Arial" w:cs="Arial"/>
          <w:b/>
          <w:sz w:val="21"/>
          <w:szCs w:val="21"/>
        </w:rPr>
        <w:t>（五）使用前提说明与分析</w:t>
      </w:r>
    </w:p>
    <w:p w14:paraId="11618767">
      <w:pPr>
        <w:pStyle w:val="60"/>
        <w:autoSpaceDE w:val="0"/>
        <w:autoSpaceDN w:val="0"/>
        <w:spacing w:line="480" w:lineRule="auto"/>
        <w:ind w:right="140" w:firstLine="420" w:firstLineChars="200"/>
        <w:jc w:val="both"/>
        <w:textAlignment w:val="bottom"/>
        <w:rPr>
          <w:rFonts w:hint="eastAsia"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42C8B">
      <w:pPr>
        <w:spacing w:line="480" w:lineRule="auto"/>
        <w:ind w:firstLine="420" w:firstLineChars="200"/>
        <w:jc w:val="both"/>
        <w:rPr>
          <w:rFonts w:hint="eastAsia"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为公共租赁住房</w:t>
      </w:r>
      <w:r>
        <w:rPr>
          <w:rFonts w:ascii="Arial" w:hAnsi="Arial" w:cs="Arial"/>
          <w:sz w:val="21"/>
          <w:szCs w:val="21"/>
        </w:rPr>
        <w:t>为其最高最佳使用途径。</w:t>
      </w:r>
    </w:p>
    <w:p w14:paraId="007DBE32">
      <w:pPr>
        <w:spacing w:line="480" w:lineRule="auto"/>
        <w:ind w:firstLine="420" w:firstLineChars="200"/>
        <w:jc w:val="both"/>
        <w:rPr>
          <w:rFonts w:ascii="Arial" w:hAnsi="Arial" w:cs="Arial"/>
          <w:sz w:val="21"/>
          <w:szCs w:val="21"/>
        </w:rPr>
      </w:pPr>
    </w:p>
    <w:p w14:paraId="72F634A4">
      <w:pPr>
        <w:pStyle w:val="3"/>
        <w:numPr>
          <w:ilvl w:val="0"/>
          <w:numId w:val="9"/>
        </w:numPr>
        <w:spacing w:line="480" w:lineRule="auto"/>
        <w:jc w:val="both"/>
        <w:rPr>
          <w:rFonts w:eastAsia="宋体"/>
          <w:kern w:val="2"/>
          <w:sz w:val="21"/>
          <w:szCs w:val="21"/>
        </w:rPr>
      </w:pPr>
      <w:bookmarkStart w:id="55" w:name="_Toc26871"/>
      <w:r>
        <w:rPr>
          <w:rFonts w:eastAsia="宋体"/>
          <w:kern w:val="2"/>
          <w:sz w:val="21"/>
          <w:szCs w:val="21"/>
        </w:rPr>
        <w:t>估价方法适用性分析</w:t>
      </w:r>
      <w:bookmarkEnd w:id="55"/>
    </w:p>
    <w:p w14:paraId="6A4E656C">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市场平均租金价格水平</w:t>
      </w:r>
      <w:r>
        <w:rPr>
          <w:rFonts w:ascii="Arial" w:hAnsi="Arial" w:cs="Arial"/>
          <w:sz w:val="21"/>
          <w:szCs w:val="21"/>
        </w:rPr>
        <w:t>。</w:t>
      </w:r>
    </w:p>
    <w:p w14:paraId="5C95D08D">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7A6E95C6">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14:paraId="7F74C3FD">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1.首先</w:t>
      </w:r>
      <w:r>
        <w:rPr>
          <w:rFonts w:hint="eastAsia" w:ascii="Arial" w:hAnsi="Arial" w:cs="Arial"/>
          <w:color w:val="000000"/>
          <w:sz w:val="21"/>
          <w:szCs w:val="21"/>
        </w:rPr>
        <w:t>确认</w:t>
      </w:r>
      <w:r>
        <w:rPr>
          <w:rFonts w:ascii="Arial" w:hAnsi="Arial" w:cs="Arial"/>
          <w:color w:val="000000"/>
          <w:sz w:val="21"/>
          <w:szCs w:val="21"/>
        </w:rPr>
        <w:t>估价对象</w:t>
      </w:r>
      <w:r>
        <w:rPr>
          <w:rFonts w:hint="eastAsia" w:ascii="Arial" w:hAnsi="Arial" w:cs="Arial"/>
          <w:color w:val="000000"/>
          <w:sz w:val="21"/>
          <w:szCs w:val="21"/>
        </w:rPr>
        <w:t>标准小区，然后设定标准小区的</w:t>
      </w:r>
      <w:r>
        <w:rPr>
          <w:rFonts w:ascii="Arial" w:hAnsi="Arial" w:cs="Arial"/>
          <w:color w:val="000000"/>
          <w:sz w:val="21"/>
          <w:szCs w:val="21"/>
        </w:rPr>
        <w:t>标准房</w:t>
      </w:r>
      <w:r>
        <w:rPr>
          <w:rFonts w:hint="eastAsia" w:ascii="Arial" w:hAnsi="Arial" w:cs="Arial"/>
          <w:color w:val="000000"/>
          <w:sz w:val="21"/>
          <w:szCs w:val="21"/>
        </w:rPr>
        <w:t>。标准小区及标准房设定如下：</w:t>
      </w:r>
    </w:p>
    <w:p w14:paraId="3D8FB2E0">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套公共租赁住房。其中，</w:t>
      </w:r>
      <w:r>
        <w:rPr>
          <w:rFonts w:hint="eastAsia" w:ascii="Arial" w:hAnsi="Arial" w:cs="Arial"/>
          <w:color w:val="000000"/>
          <w:sz w:val="21"/>
          <w:szCs w:val="21"/>
        </w:rPr>
        <w:t>X13海棠苑共1487套，有三种户型，分别为开间、一居室、二居室。其中，开间共201套，面积控制在25.44-50.91平方米；一居室共1100套，面积控制38.46-62.94平方米；二居室共186套，面积约控制为60.42-61.34平方米。X38鹿海园五里共1231套，有三种户型，分别为一居室、二居室、三居室。其中，一居室共334套，面积约控制在51.14-71.30平方米；二居室共656套，面积控制在91.83-110.57平方米；三居室共241套，面积为123.14-131.57平方米。</w:t>
      </w:r>
    </w:p>
    <w:p w14:paraId="4CCE1FDA">
      <w:pPr>
        <w:pStyle w:val="60"/>
        <w:wordWrap w:val="0"/>
        <w:overflowPunct w:val="0"/>
        <w:autoSpaceDE w:val="0"/>
        <w:autoSpaceDN w:val="0"/>
        <w:spacing w:line="480" w:lineRule="auto"/>
        <w:ind w:right="140" w:firstLine="420" w:firstLineChars="200"/>
        <w:jc w:val="both"/>
        <w:textAlignment w:val="auto"/>
        <w:rPr>
          <w:rFonts w:hint="eastAsia" w:ascii="Arial" w:hAnsi="Arial" w:cs="Arial"/>
          <w:kern w:val="2"/>
          <w:sz w:val="21"/>
          <w:szCs w:val="21"/>
        </w:rPr>
      </w:pPr>
      <w:r>
        <w:rPr>
          <w:rFonts w:hint="eastAsia" w:ascii="Arial" w:hAnsi="Arial" w:cs="Arial"/>
          <w:sz w:val="21"/>
          <w:szCs w:val="21"/>
        </w:rPr>
        <w:t>参照被评估公共租赁住房项目的户型、面积、朝向、楼层、装修及设备等因素，依据众数原则，</w:t>
      </w:r>
      <w:r>
        <w:rPr>
          <w:rFonts w:ascii="Arial" w:hAnsi="Arial" w:cs="Arial"/>
          <w:color w:val="000000"/>
          <w:sz w:val="21"/>
          <w:szCs w:val="21"/>
        </w:rPr>
        <w:t>选取</w:t>
      </w:r>
      <w:r>
        <w:rPr>
          <w:rFonts w:hint="eastAsia" w:ascii="Arial" w:hAnsi="Arial" w:cs="Arial"/>
          <w:color w:val="000000"/>
          <w:sz w:val="21"/>
          <w:szCs w:val="21"/>
        </w:rPr>
        <w:t>X13海棠苑项目</w:t>
      </w:r>
      <w:r>
        <w:rPr>
          <w:rFonts w:ascii="Arial" w:hAnsi="Arial" w:cs="Arial"/>
          <w:color w:val="000000"/>
          <w:sz w:val="21"/>
          <w:szCs w:val="21"/>
        </w:rPr>
        <w:t>为标准小区</w:t>
      </w:r>
      <w:r>
        <w:rPr>
          <w:rFonts w:hint="eastAsia" w:ascii="Arial" w:hAnsi="Arial" w:cs="Arial"/>
          <w:color w:val="000000"/>
          <w:sz w:val="21"/>
          <w:szCs w:val="21"/>
        </w:rPr>
        <w:t>，</w:t>
      </w:r>
      <w:r>
        <w:rPr>
          <w:rFonts w:hint="eastAsia" w:ascii="Arial" w:hAnsi="Arial" w:cs="Arial"/>
          <w:kern w:val="2"/>
          <w:sz w:val="21"/>
          <w:szCs w:val="21"/>
        </w:rPr>
        <w:t>X13海棠苑项目设定的标准房户型为一居室，面积为</w:t>
      </w:r>
      <w:r>
        <w:rPr>
          <w:rFonts w:ascii="Arial" w:hAnsi="Arial" w:cs="Arial"/>
          <w:kern w:val="2"/>
          <w:sz w:val="21"/>
          <w:szCs w:val="21"/>
        </w:rPr>
        <w:t>59.64</w:t>
      </w:r>
      <w:r>
        <w:rPr>
          <w:rFonts w:hint="eastAsia" w:ascii="Arial" w:hAnsi="Arial" w:cs="Arial"/>
          <w:kern w:val="2"/>
          <w:sz w:val="21"/>
          <w:szCs w:val="21"/>
        </w:rPr>
        <w:t>平方米，朝向为西，装修为普通装修。X38鹿海园五里项目设定的标准房户型为二居室，面积为</w:t>
      </w:r>
      <w:r>
        <w:rPr>
          <w:rFonts w:ascii="Arial" w:hAnsi="Arial" w:cs="Arial"/>
          <w:kern w:val="2"/>
          <w:sz w:val="21"/>
          <w:szCs w:val="21"/>
        </w:rPr>
        <w:t>109.19</w:t>
      </w:r>
      <w:r>
        <w:rPr>
          <w:rFonts w:hint="eastAsia" w:ascii="Arial" w:hAnsi="Arial" w:cs="Arial"/>
          <w:kern w:val="2"/>
          <w:sz w:val="21"/>
          <w:szCs w:val="21"/>
        </w:rPr>
        <w:t>平方米，朝向为南北，装修为普通装修。</w:t>
      </w:r>
    </w:p>
    <w:p w14:paraId="1AA8DE4A">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5B648C88">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标准房租金水平。</w:t>
      </w:r>
    </w:p>
    <w:p w14:paraId="3B701A78">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4.将估价对象</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与</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标准房进行比较，得到</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租金水平。</w:t>
      </w:r>
    </w:p>
    <w:p w14:paraId="56B437FF">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sz w:val="21"/>
          <w:szCs w:val="21"/>
        </w:rPr>
        <w:t>（二）</w:t>
      </w:r>
      <w:r>
        <w:rPr>
          <w:rFonts w:hint="eastAsia" w:ascii="Arial" w:hAnsi="Arial" w:cs="Arial"/>
          <w:b/>
          <w:color w:val="000000"/>
          <w:sz w:val="21"/>
          <w:szCs w:val="21"/>
        </w:rPr>
        <w:t>估价方法</w:t>
      </w:r>
      <w:r>
        <w:rPr>
          <w:rFonts w:ascii="Arial" w:hAnsi="Arial" w:cs="Arial"/>
          <w:b/>
          <w:color w:val="000000"/>
          <w:sz w:val="21"/>
          <w:szCs w:val="21"/>
        </w:rPr>
        <w:t xml:space="preserve"> </w:t>
      </w:r>
    </w:p>
    <w:p w14:paraId="5AD519A3">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hint="eastAsia" w:ascii="Arial" w:hAnsi="Arial" w:cs="Arial"/>
          <w:color w:val="000000"/>
          <w:sz w:val="21"/>
          <w:szCs w:val="21"/>
        </w:rPr>
        <w:t>，</w:t>
      </w:r>
      <w:r>
        <w:rPr>
          <w:rFonts w:ascii="Arial" w:hAnsi="Arial" w:cs="Arial"/>
          <w:color w:val="000000"/>
          <w:sz w:val="21"/>
          <w:szCs w:val="21"/>
        </w:rPr>
        <w:t>通过区域因素修正得出估价对象相邻或相似区域住宅租赁价格水平</w:t>
      </w:r>
      <w:r>
        <w:rPr>
          <w:rFonts w:hint="eastAsia" w:ascii="Arial" w:hAnsi="Arial" w:cs="Arial"/>
          <w:color w:val="000000"/>
          <w:sz w:val="21"/>
          <w:szCs w:val="21"/>
        </w:rPr>
        <w:t>。</w:t>
      </w:r>
    </w:p>
    <w:p w14:paraId="3C45608D">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1.</w:t>
      </w:r>
      <w:r>
        <w:rPr>
          <w:rFonts w:ascii="Arial" w:hAnsi="Arial" w:cs="Arial"/>
          <w:color w:val="000000"/>
          <w:sz w:val="21"/>
          <w:szCs w:val="21"/>
        </w:rPr>
        <w:t>采用</w:t>
      </w:r>
      <w:r>
        <w:rPr>
          <w:rFonts w:hint="eastAsia" w:ascii="Arial" w:hAnsi="Arial" w:cs="Arial"/>
          <w:color w:val="000000"/>
          <w:sz w:val="21"/>
          <w:szCs w:val="21"/>
        </w:rPr>
        <w:t>比较法</w:t>
      </w:r>
      <w:r>
        <w:rPr>
          <w:rFonts w:ascii="Arial" w:hAnsi="Arial" w:cs="Arial"/>
          <w:color w:val="000000"/>
          <w:sz w:val="21"/>
          <w:szCs w:val="21"/>
        </w:rPr>
        <w:t>的理由</w:t>
      </w:r>
      <w:r>
        <w:rPr>
          <w:rFonts w:hint="eastAsia" w:ascii="Arial" w:hAnsi="Arial" w:cs="Arial"/>
          <w:color w:val="000000"/>
          <w:sz w:val="21"/>
          <w:szCs w:val="21"/>
        </w:rPr>
        <w:t>：</w:t>
      </w:r>
    </w:p>
    <w:p w14:paraId="4C95CEFF">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r>
        <w:rPr>
          <w:rFonts w:ascii="Arial" w:hAnsi="Arial" w:cs="Arial"/>
          <w:color w:val="000000"/>
          <w:sz w:val="21"/>
          <w:szCs w:val="21"/>
        </w:rPr>
        <w:t xml:space="preserve"> </w:t>
      </w:r>
    </w:p>
    <w:p w14:paraId="2A32FB4F">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不采用成本法、假设开发法、收益法的理由</w:t>
      </w:r>
      <w:r>
        <w:rPr>
          <w:rFonts w:hint="eastAsia" w:ascii="Arial" w:hAnsi="Arial" w:cs="Arial"/>
          <w:color w:val="000000"/>
          <w:sz w:val="21"/>
          <w:szCs w:val="21"/>
        </w:rPr>
        <w:t>：</w:t>
      </w:r>
    </w:p>
    <w:p w14:paraId="00DFC40B">
      <w:pPr>
        <w:pStyle w:val="65"/>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23709245">
      <w:pPr>
        <w:pStyle w:val="65"/>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30A8245B">
      <w:pPr>
        <w:pStyle w:val="60"/>
        <w:autoSpaceDE w:val="0"/>
        <w:autoSpaceDN w:val="0"/>
        <w:spacing w:line="480" w:lineRule="auto"/>
        <w:ind w:right="140" w:firstLine="420" w:firstLineChars="200"/>
        <w:jc w:val="both"/>
        <w:textAlignment w:val="bottom"/>
        <w:rPr>
          <w:rFonts w:hint="eastAsia" w:ascii="Arial" w:hAnsi="Arial" w:cs="Arial"/>
          <w:color w:val="000000"/>
          <w:sz w:val="21"/>
          <w:szCs w:val="21"/>
        </w:rPr>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3D877A62">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sz w:val="21"/>
          <w:szCs w:val="21"/>
        </w:rPr>
        <w:t>（三）估价方法公式</w:t>
      </w:r>
      <w:r>
        <w:rPr>
          <w:rFonts w:ascii="Arial" w:hAnsi="Arial" w:cs="Arial"/>
          <w:b/>
          <w:color w:val="000000"/>
          <w:sz w:val="21"/>
          <w:szCs w:val="21"/>
        </w:rPr>
        <w:t xml:space="preserve"> </w:t>
      </w:r>
    </w:p>
    <w:p w14:paraId="116ED018">
      <w:pPr>
        <w:pStyle w:val="60"/>
        <w:autoSpaceDE w:val="0"/>
        <w:autoSpaceDN w:val="0"/>
        <w:spacing w:line="480" w:lineRule="auto"/>
        <w:ind w:right="140"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比较法计算公式为：</w:t>
      </w:r>
    </w:p>
    <w:p w14:paraId="6331D347">
      <w:pPr>
        <w:pStyle w:val="60"/>
        <w:wordWrap w:val="0"/>
        <w:overflowPunct w:val="0"/>
        <w:autoSpaceDE w:val="0"/>
        <w:autoSpaceDN w:val="0"/>
        <w:spacing w:line="480" w:lineRule="auto"/>
        <w:ind w:right="140" w:firstLine="420"/>
        <w:jc w:val="both"/>
        <w:textAlignment w:val="auto"/>
        <w:rPr>
          <w:rFonts w:hint="eastAsia" w:ascii="Arial" w:hAnsi="Arial" w:cs="Arial"/>
          <w:color w:val="000000"/>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r>
        <w:rPr>
          <w:rFonts w:hint="eastAsia" w:ascii="Arial" w:hAnsi="Arial" w:cs="Arial"/>
          <w:sz w:val="21"/>
          <w:szCs w:val="21"/>
        </w:rPr>
        <w:t>）</w:t>
      </w:r>
    </w:p>
    <w:p w14:paraId="09832B3B">
      <w:pPr>
        <w:pStyle w:val="60"/>
        <w:wordWrap w:val="0"/>
        <w:overflowPunct w:val="0"/>
        <w:autoSpaceDE w:val="0"/>
        <w:autoSpaceDN w:val="0"/>
        <w:spacing w:line="480" w:lineRule="auto"/>
        <w:ind w:right="140" w:firstLine="420"/>
        <w:jc w:val="both"/>
        <w:textAlignment w:val="auto"/>
        <w:rPr>
          <w:rFonts w:hint="eastAsia" w:ascii="Arial" w:hAnsi="Arial" w:cs="Arial"/>
          <w:color w:val="000000"/>
          <w:sz w:val="21"/>
          <w:szCs w:val="21"/>
        </w:rPr>
      </w:pPr>
      <w:r>
        <w:rPr>
          <w:rFonts w:hint="eastAsia" w:ascii="Arial" w:hAnsi="Arial" w:cs="Arial"/>
          <w:color w:val="000000"/>
          <w:sz w:val="21"/>
          <w:szCs w:val="21"/>
        </w:rPr>
        <w:t>具体步骤如下：</w:t>
      </w:r>
    </w:p>
    <w:p w14:paraId="081E2125">
      <w:pPr>
        <w:pStyle w:val="60"/>
        <w:numPr>
          <w:ilvl w:val="0"/>
          <w:numId w:val="10"/>
        </w:numPr>
        <w:wordWrap w:val="0"/>
        <w:overflowPunct w:val="0"/>
        <w:autoSpaceDE w:val="0"/>
        <w:autoSpaceDN w:val="0"/>
        <w:spacing w:line="480" w:lineRule="auto"/>
        <w:ind w:right="140"/>
        <w:jc w:val="both"/>
        <w:textAlignment w:val="auto"/>
        <w:rPr>
          <w:rFonts w:hint="eastAsia" w:ascii="Arial" w:hAnsi="Arial" w:cs="Arial"/>
          <w:color w:val="000000"/>
          <w:sz w:val="21"/>
          <w:szCs w:val="21"/>
        </w:rPr>
      </w:pPr>
      <w:r>
        <w:rPr>
          <w:rFonts w:hint="eastAsia" w:ascii="Arial" w:hAnsi="Arial" w:cs="Arial"/>
          <w:color w:val="000000"/>
          <w:sz w:val="21"/>
          <w:szCs w:val="21"/>
        </w:rPr>
        <w:t>选择可比案例</w:t>
      </w:r>
    </w:p>
    <w:p w14:paraId="06EA5074">
      <w:pPr>
        <w:wordWrap w:val="0"/>
        <w:overflowPunct w:val="0"/>
        <w:spacing w:line="480" w:lineRule="auto"/>
        <w:ind w:left="780"/>
        <w:rPr>
          <w:rFonts w:ascii="Arial" w:hAnsi="Arial"/>
          <w:sz w:val="21"/>
          <w:szCs w:val="21"/>
        </w:rPr>
      </w:pPr>
      <w:r>
        <w:rPr>
          <w:rFonts w:hint="eastAsia" w:ascii="Arial" w:hAnsi="Arial"/>
          <w:sz w:val="21"/>
          <w:szCs w:val="21"/>
        </w:rPr>
        <w:t>（</w:t>
      </w:r>
      <w:r>
        <w:rPr>
          <w:rFonts w:ascii="Arial" w:hAnsi="Arial"/>
          <w:sz w:val="21"/>
          <w:szCs w:val="21"/>
        </w:rPr>
        <w:t>1</w:t>
      </w:r>
      <w:r>
        <w:rPr>
          <w:rFonts w:hint="eastAsia" w:ascii="Arial" w:hAnsi="Arial"/>
          <w:sz w:val="21"/>
          <w:szCs w:val="21"/>
        </w:rPr>
        <w:t>）选择可比案例</w:t>
      </w:r>
    </w:p>
    <w:p w14:paraId="661D149B">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04AC6D6E">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65EED6BF">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16B149A9">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2A639DEE">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4AAE7C84">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22EBB19E">
      <w:pPr>
        <w:wordWrap w:val="0"/>
        <w:overflowPunct w:val="0"/>
        <w:spacing w:line="480" w:lineRule="auto"/>
        <w:ind w:left="780"/>
        <w:rPr>
          <w:rFonts w:ascii="Arial" w:hAnsi="Arial"/>
          <w:sz w:val="21"/>
          <w:szCs w:val="21"/>
        </w:rPr>
      </w:pPr>
      <w:r>
        <w:rPr>
          <w:rFonts w:hint="eastAsia" w:ascii="Arial" w:hAnsi="Arial"/>
          <w:sz w:val="21"/>
          <w:szCs w:val="21"/>
        </w:rPr>
        <w:t>（</w:t>
      </w:r>
      <w:r>
        <w:rPr>
          <w:rFonts w:ascii="Arial" w:hAnsi="Arial"/>
          <w:sz w:val="21"/>
          <w:szCs w:val="21"/>
        </w:rPr>
        <w:t>2</w:t>
      </w:r>
      <w:r>
        <w:rPr>
          <w:rFonts w:hint="eastAsia" w:ascii="Arial" w:hAnsi="Arial"/>
          <w:sz w:val="21"/>
          <w:szCs w:val="21"/>
        </w:rPr>
        <w:t>）进行交易情况、市场状况、房地产状况（区位、实物）等因素修正和调整</w:t>
      </w:r>
    </w:p>
    <w:p w14:paraId="4709AFD2">
      <w:pPr>
        <w:wordWrap w:val="0"/>
        <w:overflowPunct w:val="0"/>
        <w:spacing w:line="480" w:lineRule="auto"/>
        <w:ind w:left="780"/>
        <w:rPr>
          <w:rFonts w:ascii="Arial" w:hAnsi="Arial"/>
          <w:sz w:val="21"/>
          <w:szCs w:val="21"/>
        </w:rPr>
      </w:pPr>
      <w:r>
        <w:rPr>
          <w:rFonts w:hint="eastAsia" w:ascii="Arial" w:hAnsi="Arial"/>
          <w:sz w:val="21"/>
          <w:szCs w:val="21"/>
        </w:rPr>
        <w:t>（</w:t>
      </w:r>
      <w:r>
        <w:rPr>
          <w:rFonts w:ascii="Arial" w:hAnsi="Arial"/>
          <w:sz w:val="21"/>
          <w:szCs w:val="21"/>
        </w:rPr>
        <w:t>3</w:t>
      </w:r>
      <w:r>
        <w:rPr>
          <w:rFonts w:hint="eastAsia" w:ascii="Arial" w:hAnsi="Arial"/>
          <w:sz w:val="21"/>
          <w:szCs w:val="21"/>
        </w:rPr>
        <w:t>）求取估价对象比较价值</w:t>
      </w:r>
    </w:p>
    <w:p w14:paraId="59AAF8AF">
      <w:pPr>
        <w:pStyle w:val="60"/>
        <w:numPr>
          <w:ilvl w:val="0"/>
          <w:numId w:val="10"/>
        </w:numPr>
        <w:wordWrap w:val="0"/>
        <w:overflowPunct w:val="0"/>
        <w:autoSpaceDE w:val="0"/>
        <w:autoSpaceDN w:val="0"/>
        <w:spacing w:line="480" w:lineRule="auto"/>
        <w:ind w:right="140"/>
        <w:jc w:val="both"/>
        <w:textAlignment w:val="auto"/>
        <w:rPr>
          <w:rFonts w:hint="eastAsia" w:ascii="Arial" w:hAnsi="Arial" w:cs="Arial"/>
          <w:color w:val="000000"/>
          <w:sz w:val="21"/>
          <w:szCs w:val="21"/>
        </w:rPr>
      </w:pPr>
      <w:r>
        <w:rPr>
          <w:rFonts w:hint="eastAsia" w:ascii="Arial" w:hAnsi="Arial" w:cs="Arial"/>
          <w:color w:val="000000"/>
          <w:sz w:val="21"/>
          <w:szCs w:val="21"/>
        </w:rPr>
        <w:t>进行交易情况、交易日期、房地产状况等因素修正</w:t>
      </w:r>
    </w:p>
    <w:p w14:paraId="0F1332E9">
      <w:pPr>
        <w:pStyle w:val="60"/>
        <w:numPr>
          <w:ilvl w:val="0"/>
          <w:numId w:val="10"/>
        </w:numPr>
        <w:wordWrap w:val="0"/>
        <w:overflowPunct w:val="0"/>
        <w:autoSpaceDE w:val="0"/>
        <w:autoSpaceDN w:val="0"/>
        <w:spacing w:line="480" w:lineRule="auto"/>
        <w:ind w:right="140"/>
        <w:jc w:val="both"/>
        <w:textAlignment w:val="auto"/>
        <w:rPr>
          <w:rFonts w:hint="eastAsia" w:ascii="Arial" w:hAnsi="Arial" w:cs="Arial"/>
          <w:color w:val="000000"/>
          <w:sz w:val="21"/>
          <w:szCs w:val="21"/>
        </w:rPr>
      </w:pPr>
      <w:r>
        <w:rPr>
          <w:rFonts w:hint="eastAsia" w:ascii="Arial" w:hAnsi="Arial" w:cs="Arial"/>
          <w:color w:val="000000"/>
          <w:sz w:val="21"/>
          <w:szCs w:val="21"/>
        </w:rPr>
        <w:t>求取估价对象比准价格</w:t>
      </w:r>
    </w:p>
    <w:p w14:paraId="6E94C63F">
      <w:pPr>
        <w:spacing w:line="480" w:lineRule="auto"/>
        <w:ind w:firstLine="422" w:firstLineChars="200"/>
        <w:jc w:val="both"/>
        <w:rPr>
          <w:rFonts w:ascii="Arial" w:hAnsi="Arial" w:cs="Arial"/>
          <w:b/>
          <w:kern w:val="2"/>
          <w:sz w:val="21"/>
          <w:szCs w:val="21"/>
        </w:rPr>
      </w:pPr>
    </w:p>
    <w:p w14:paraId="5C86422A">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br w:type="page"/>
      </w:r>
      <w:bookmarkStart w:id="56" w:name="_Toc14116"/>
      <w:r>
        <w:rPr>
          <w:rFonts w:eastAsia="宋体"/>
          <w:kern w:val="2"/>
          <w:sz w:val="21"/>
          <w:szCs w:val="21"/>
        </w:rPr>
        <w:t>五、估价测算过程</w:t>
      </w:r>
      <w:bookmarkEnd w:id="56"/>
      <w:r>
        <w:rPr>
          <w:rFonts w:hint="eastAsia" w:eastAsia="宋体"/>
          <w:kern w:val="2"/>
          <w:sz w:val="21"/>
          <w:szCs w:val="21"/>
        </w:rPr>
        <w:t xml:space="preserve">  </w:t>
      </w:r>
    </w:p>
    <w:p w14:paraId="25A53906">
      <w:pPr>
        <w:pStyle w:val="60"/>
        <w:autoSpaceDE w:val="0"/>
        <w:autoSpaceDN w:val="0"/>
        <w:spacing w:line="480" w:lineRule="auto"/>
        <w:ind w:right="140" w:firstLine="422" w:firstLineChars="200"/>
        <w:jc w:val="both"/>
        <w:textAlignment w:val="bottom"/>
        <w:rPr>
          <w:rFonts w:hint="eastAsia" w:ascii="Arial" w:hAnsi="Arial" w:cs="Arial"/>
          <w:b/>
          <w:sz w:val="21"/>
          <w:szCs w:val="21"/>
        </w:rPr>
      </w:pPr>
      <w:r>
        <w:rPr>
          <w:rFonts w:hint="eastAsia" w:ascii="Arial" w:hAnsi="Arial" w:cs="Arial"/>
          <w:b/>
          <w:sz w:val="21"/>
          <w:szCs w:val="21"/>
        </w:rPr>
        <w:t>（一）标准小区及标准房选取</w:t>
      </w:r>
    </w:p>
    <w:p w14:paraId="4E896702">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套公共租赁住房。其中，</w:t>
      </w:r>
      <w:r>
        <w:rPr>
          <w:rFonts w:hint="eastAsia" w:ascii="Arial" w:hAnsi="Arial" w:cs="Arial"/>
          <w:color w:val="000000"/>
          <w:sz w:val="21"/>
          <w:szCs w:val="21"/>
        </w:rPr>
        <w:t>X13海棠苑共1487套，有三种户型，分别为开间、一居室、二居室（其中，开间共201套，面积控制在25.44-50.91平方米；一居室共1100套，面积控制38.46-62.94平方米；二居室共186套，面积约控制为60.42-61.34平方米）。X38鹿海园五里共1231套，有三种户型，分别为一居室、二居室、三居室（其中，一居室共334套，面积约控制在51.14-71.30平方米；二居室共656套，面积控制在91.83-110.57平方米；三居室共241套，面积为123.14-131.57平方米）。</w:t>
      </w:r>
    </w:p>
    <w:p w14:paraId="08418AAD">
      <w:pPr>
        <w:pStyle w:val="60"/>
        <w:wordWrap w:val="0"/>
        <w:overflowPunct w:val="0"/>
        <w:autoSpaceDE w:val="0"/>
        <w:autoSpaceDN w:val="0"/>
        <w:spacing w:line="480" w:lineRule="auto"/>
        <w:ind w:right="140" w:firstLine="420" w:firstLineChars="200"/>
        <w:jc w:val="both"/>
        <w:textAlignment w:val="auto"/>
        <w:rPr>
          <w:rFonts w:ascii="Arial" w:hAnsi="Arial" w:cs="Arial"/>
          <w:kern w:val="2"/>
          <w:sz w:val="21"/>
          <w:szCs w:val="21"/>
        </w:rPr>
      </w:pPr>
      <w:r>
        <w:rPr>
          <w:rFonts w:hint="eastAsia" w:ascii="Arial" w:hAnsi="Arial" w:cs="Arial"/>
          <w:sz w:val="21"/>
          <w:szCs w:val="21"/>
        </w:rPr>
        <w:t>参照被评估公共租赁住房项目的户型、面积、朝向、楼层、装修及设备等因素，依据众数原则，</w:t>
      </w:r>
      <w:r>
        <w:rPr>
          <w:rFonts w:ascii="Arial" w:hAnsi="Arial" w:cs="Arial"/>
          <w:color w:val="000000"/>
          <w:sz w:val="21"/>
          <w:szCs w:val="21"/>
        </w:rPr>
        <w:t>选取</w:t>
      </w:r>
      <w:r>
        <w:rPr>
          <w:rFonts w:hint="eastAsia" w:ascii="Arial" w:hAnsi="Arial" w:cs="Arial"/>
          <w:color w:val="000000"/>
          <w:sz w:val="21"/>
          <w:szCs w:val="21"/>
        </w:rPr>
        <w:t>X13海棠苑项目</w:t>
      </w:r>
      <w:r>
        <w:rPr>
          <w:rFonts w:ascii="Arial" w:hAnsi="Arial" w:cs="Arial"/>
          <w:color w:val="000000"/>
          <w:sz w:val="21"/>
          <w:szCs w:val="21"/>
        </w:rPr>
        <w:t>为标准小区</w:t>
      </w:r>
      <w:r>
        <w:rPr>
          <w:rFonts w:hint="eastAsia" w:ascii="Arial" w:hAnsi="Arial" w:cs="Arial"/>
          <w:color w:val="000000"/>
          <w:sz w:val="21"/>
          <w:szCs w:val="21"/>
        </w:rPr>
        <w:t>，</w:t>
      </w:r>
      <w:r>
        <w:rPr>
          <w:rFonts w:hint="eastAsia" w:ascii="Arial" w:hAnsi="Arial" w:cs="Arial"/>
          <w:kern w:val="2"/>
          <w:sz w:val="21"/>
          <w:szCs w:val="21"/>
        </w:rPr>
        <w:t>X13海棠苑项目设定的标准房户型为一居室，面积为</w:t>
      </w:r>
      <w:r>
        <w:rPr>
          <w:rFonts w:ascii="Arial" w:hAnsi="Arial" w:cs="Arial"/>
          <w:kern w:val="2"/>
          <w:sz w:val="21"/>
          <w:szCs w:val="21"/>
        </w:rPr>
        <w:t>59.64</w:t>
      </w:r>
      <w:r>
        <w:rPr>
          <w:rFonts w:hint="eastAsia" w:ascii="Arial" w:hAnsi="Arial" w:cs="Arial"/>
          <w:kern w:val="2"/>
          <w:sz w:val="21"/>
          <w:szCs w:val="21"/>
        </w:rPr>
        <w:t>平方米，朝向为西，装修为普通装修。X38鹿海园五里项目设定的标准房户型为二居室，面积为</w:t>
      </w:r>
      <w:r>
        <w:rPr>
          <w:rFonts w:ascii="Arial" w:hAnsi="Arial" w:cs="Arial"/>
          <w:kern w:val="2"/>
          <w:sz w:val="21"/>
          <w:szCs w:val="21"/>
        </w:rPr>
        <w:t>109.19</w:t>
      </w:r>
      <w:r>
        <w:rPr>
          <w:rFonts w:hint="eastAsia" w:ascii="Arial" w:hAnsi="Arial" w:cs="Arial"/>
          <w:kern w:val="2"/>
          <w:sz w:val="21"/>
          <w:szCs w:val="21"/>
        </w:rPr>
        <w:t>平方米，朝向为南北，装修为普通装修。</w:t>
      </w:r>
    </w:p>
    <w:p w14:paraId="5571C53F">
      <w:pPr>
        <w:pStyle w:val="60"/>
        <w:autoSpaceDE w:val="0"/>
        <w:autoSpaceDN w:val="0"/>
        <w:spacing w:line="480" w:lineRule="auto"/>
        <w:ind w:right="140" w:firstLine="422" w:firstLineChars="200"/>
        <w:jc w:val="both"/>
        <w:textAlignment w:val="bottom"/>
        <w:rPr>
          <w:rFonts w:ascii="Arial" w:hAnsi="Arial" w:cs="Arial"/>
          <w:b/>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kern w:val="2"/>
          <w:sz w:val="21"/>
          <w:szCs w:val="21"/>
        </w:rPr>
        <w:t>可比案例选取</w:t>
      </w:r>
    </w:p>
    <w:p w14:paraId="08A8D6C9">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 xml:space="preserve">1. </w:t>
      </w:r>
      <w:r>
        <w:rPr>
          <w:rFonts w:hint="eastAsia" w:ascii="Arial" w:hAnsi="Arial" w:cs="Arial"/>
          <w:color w:val="000000"/>
          <w:sz w:val="21"/>
          <w:szCs w:val="21"/>
        </w:rPr>
        <w:t>估价机构样本小区数据选取</w:t>
      </w:r>
      <w:r>
        <w:rPr>
          <w:rFonts w:ascii="Arial" w:hAnsi="Arial" w:cs="Arial"/>
          <w:color w:val="000000"/>
          <w:sz w:val="21"/>
          <w:szCs w:val="21"/>
        </w:rPr>
        <w:t xml:space="preserve"> </w:t>
      </w:r>
    </w:p>
    <w:p w14:paraId="504488C7">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int="eastAsia" w:hAnsi="宋体" w:cs="Arial"/>
          <w:color w:val="000000"/>
          <w:sz w:val="21"/>
          <w:szCs w:val="21"/>
        </w:rPr>
        <w:t>（1）</w:t>
      </w:r>
      <w:r>
        <w:rPr>
          <w:rFonts w:hint="eastAsia" w:ascii="Arial" w:hAnsi="Arial" w:cs="Arial"/>
          <w:color w:val="000000"/>
          <w:sz w:val="21"/>
          <w:szCs w:val="21"/>
        </w:rPr>
        <w:t>样本小区选取</w:t>
      </w:r>
    </w:p>
    <w:p w14:paraId="70401720">
      <w:pPr>
        <w:pStyle w:val="60"/>
        <w:autoSpaceDE w:val="0"/>
        <w:autoSpaceDN w:val="0"/>
        <w:spacing w:line="480" w:lineRule="auto"/>
        <w:ind w:firstLine="420" w:firstLineChars="200"/>
        <w:jc w:val="both"/>
        <w:textAlignment w:val="bottom"/>
        <w:rPr>
          <w:rFonts w:hint="eastAsia" w:ascii="Arial" w:hAnsi="Arial" w:cs="Arial"/>
          <w:bCs/>
          <w:sz w:val="21"/>
          <w:szCs w:val="21"/>
        </w:rPr>
      </w:pPr>
      <w:r>
        <w:rPr>
          <w:rFonts w:ascii="Arial" w:hAnsi="Arial" w:cs="Arial"/>
          <w:color w:val="000000"/>
          <w:sz w:val="21"/>
          <w:szCs w:val="21"/>
        </w:rPr>
        <w:t>根据</w:t>
      </w:r>
      <w:r>
        <w:rPr>
          <w:rFonts w:hint="eastAsia" w:ascii="Arial" w:hAnsi="Arial" w:cs="Arial"/>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hint="eastAsia" w:ascii="Arial" w:hAnsi="Arial" w:cs="Arial"/>
          <w:color w:val="000000"/>
          <w:sz w:val="21"/>
          <w:szCs w:val="21"/>
        </w:rPr>
        <w:t>估价对象周边2公里内同品质住宅小区有悦廷、中信新城西区、南海家园四里、鹿海园三里、中芯花园共</w:t>
      </w:r>
      <w:r>
        <w:rPr>
          <w:rFonts w:ascii="Arial" w:hAnsi="Arial" w:cs="Arial"/>
          <w:color w:val="000000"/>
          <w:sz w:val="21"/>
          <w:szCs w:val="21"/>
        </w:rPr>
        <w:t>5</w:t>
      </w:r>
      <w:r>
        <w:rPr>
          <w:rFonts w:hint="eastAsia" w:ascii="Arial" w:hAnsi="Arial" w:cs="Arial"/>
          <w:color w:val="000000"/>
          <w:sz w:val="21"/>
          <w:szCs w:val="21"/>
        </w:rPr>
        <w:t>个</w:t>
      </w:r>
      <w:r>
        <w:rPr>
          <w:rFonts w:ascii="Arial" w:hAnsi="Arial" w:cs="Arial"/>
          <w:color w:val="000000"/>
          <w:sz w:val="21"/>
          <w:szCs w:val="21"/>
        </w:rPr>
        <w:t>普通商品房住宅</w:t>
      </w:r>
      <w:r>
        <w:rPr>
          <w:rFonts w:hint="eastAsia" w:ascii="Arial" w:hAnsi="Arial" w:cs="Arial"/>
          <w:color w:val="000000"/>
          <w:sz w:val="21"/>
          <w:szCs w:val="21"/>
        </w:rPr>
        <w:t>项目。各小区具体情况如下表所示：</w:t>
      </w:r>
    </w:p>
    <w:tbl>
      <w:tblPr>
        <w:tblStyle w:val="33"/>
        <w:tblW w:w="9515" w:type="dxa"/>
        <w:jc w:val="center"/>
        <w:tblLayout w:type="autofit"/>
        <w:tblCellMar>
          <w:top w:w="0" w:type="dxa"/>
          <w:left w:w="108" w:type="dxa"/>
          <w:bottom w:w="0" w:type="dxa"/>
          <w:right w:w="108" w:type="dxa"/>
        </w:tblCellMar>
      </w:tblPr>
      <w:tblGrid>
        <w:gridCol w:w="703"/>
        <w:gridCol w:w="1741"/>
        <w:gridCol w:w="1082"/>
        <w:gridCol w:w="1095"/>
        <w:gridCol w:w="1753"/>
        <w:gridCol w:w="1583"/>
        <w:gridCol w:w="1558"/>
      </w:tblGrid>
      <w:tr w14:paraId="31600159">
        <w:tblPrEx>
          <w:tblCellMar>
            <w:top w:w="0" w:type="dxa"/>
            <w:left w:w="108" w:type="dxa"/>
            <w:bottom w:w="0" w:type="dxa"/>
            <w:right w:w="108" w:type="dxa"/>
          </w:tblCellMar>
        </w:tblPrEx>
        <w:trPr>
          <w:trHeight w:val="270" w:hRule="atLeast"/>
          <w:jc w:val="center"/>
        </w:trPr>
        <w:tc>
          <w:tcPr>
            <w:tcW w:w="9515" w:type="dxa"/>
            <w:gridSpan w:val="7"/>
            <w:tcBorders>
              <w:top w:val="single" w:color="auto" w:sz="4" w:space="0"/>
              <w:left w:val="single" w:color="auto" w:sz="4" w:space="0"/>
              <w:bottom w:val="single" w:color="auto" w:sz="4" w:space="0"/>
              <w:right w:val="single" w:color="auto" w:sz="4" w:space="0"/>
            </w:tcBorders>
            <w:vAlign w:val="center"/>
          </w:tcPr>
          <w:p w14:paraId="65C428D9">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周边市场调查情况表</w:t>
            </w:r>
          </w:p>
        </w:tc>
      </w:tr>
      <w:tr w14:paraId="4FEAC0D9">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4B20781E">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序号</w:t>
            </w:r>
          </w:p>
        </w:tc>
        <w:tc>
          <w:tcPr>
            <w:tcW w:w="1741" w:type="dxa"/>
            <w:tcBorders>
              <w:top w:val="nil"/>
              <w:left w:val="nil"/>
              <w:bottom w:val="single" w:color="auto" w:sz="4" w:space="0"/>
              <w:right w:val="single" w:color="auto" w:sz="4" w:space="0"/>
            </w:tcBorders>
            <w:vAlign w:val="center"/>
          </w:tcPr>
          <w:p w14:paraId="37ACE6F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项目名称</w:t>
            </w:r>
          </w:p>
        </w:tc>
        <w:tc>
          <w:tcPr>
            <w:tcW w:w="1082" w:type="dxa"/>
            <w:tcBorders>
              <w:top w:val="nil"/>
              <w:left w:val="nil"/>
              <w:bottom w:val="single" w:color="auto" w:sz="4" w:space="0"/>
              <w:right w:val="single" w:color="auto" w:sz="4" w:space="0"/>
            </w:tcBorders>
            <w:vAlign w:val="center"/>
          </w:tcPr>
          <w:p w14:paraId="7F26A524">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户型</w:t>
            </w:r>
          </w:p>
        </w:tc>
        <w:tc>
          <w:tcPr>
            <w:tcW w:w="1095" w:type="dxa"/>
            <w:tcBorders>
              <w:top w:val="nil"/>
              <w:left w:val="nil"/>
              <w:bottom w:val="single" w:color="auto" w:sz="4" w:space="0"/>
              <w:right w:val="single" w:color="auto" w:sz="4" w:space="0"/>
            </w:tcBorders>
            <w:vAlign w:val="center"/>
          </w:tcPr>
          <w:p w14:paraId="089A547C">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建筑面积</w:t>
            </w:r>
          </w:p>
          <w:p w14:paraId="23A7DD02">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（平方米）</w:t>
            </w:r>
          </w:p>
        </w:tc>
        <w:tc>
          <w:tcPr>
            <w:tcW w:w="1753" w:type="dxa"/>
            <w:tcBorders>
              <w:top w:val="nil"/>
              <w:left w:val="nil"/>
              <w:bottom w:val="single" w:color="auto" w:sz="4" w:space="0"/>
              <w:right w:val="single" w:color="auto" w:sz="4" w:space="0"/>
            </w:tcBorders>
            <w:vAlign w:val="center"/>
          </w:tcPr>
          <w:p w14:paraId="79D665E6">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年均租金</w:t>
            </w:r>
          </w:p>
          <w:p w14:paraId="3110100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（元/月•平方米）</w:t>
            </w:r>
          </w:p>
        </w:tc>
        <w:tc>
          <w:tcPr>
            <w:tcW w:w="1583" w:type="dxa"/>
            <w:tcBorders>
              <w:top w:val="nil"/>
              <w:left w:val="nil"/>
              <w:bottom w:val="single" w:color="auto" w:sz="4" w:space="0"/>
              <w:right w:val="single" w:color="auto" w:sz="4" w:space="0"/>
            </w:tcBorders>
            <w:vAlign w:val="center"/>
          </w:tcPr>
          <w:p w14:paraId="5043D6E6">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物业费</w:t>
            </w:r>
          </w:p>
          <w:p w14:paraId="5598272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（元/月•平方米）</w:t>
            </w:r>
          </w:p>
        </w:tc>
        <w:tc>
          <w:tcPr>
            <w:tcW w:w="1558" w:type="dxa"/>
            <w:tcBorders>
              <w:top w:val="nil"/>
              <w:left w:val="nil"/>
              <w:bottom w:val="single" w:color="auto" w:sz="4" w:space="0"/>
              <w:right w:val="single" w:color="auto" w:sz="4" w:space="0"/>
            </w:tcBorders>
          </w:tcPr>
          <w:p w14:paraId="49229E5E">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供暖费</w:t>
            </w:r>
          </w:p>
          <w:p w14:paraId="50225384">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（元/月•平方米）</w:t>
            </w:r>
          </w:p>
        </w:tc>
      </w:tr>
      <w:tr w14:paraId="663910D5">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7BF5332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1</w:t>
            </w:r>
          </w:p>
        </w:tc>
        <w:tc>
          <w:tcPr>
            <w:tcW w:w="1741" w:type="dxa"/>
            <w:tcBorders>
              <w:top w:val="nil"/>
              <w:left w:val="nil"/>
              <w:bottom w:val="single" w:color="auto" w:sz="4" w:space="0"/>
              <w:right w:val="single" w:color="auto" w:sz="4" w:space="0"/>
            </w:tcBorders>
            <w:vAlign w:val="center"/>
          </w:tcPr>
          <w:p w14:paraId="08B73ADB">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悦廷</w:t>
            </w:r>
          </w:p>
        </w:tc>
        <w:tc>
          <w:tcPr>
            <w:tcW w:w="1082" w:type="dxa"/>
            <w:tcBorders>
              <w:top w:val="nil"/>
              <w:left w:val="nil"/>
              <w:bottom w:val="single" w:color="auto" w:sz="4" w:space="0"/>
              <w:right w:val="single" w:color="auto" w:sz="4" w:space="0"/>
            </w:tcBorders>
            <w:vAlign w:val="center"/>
          </w:tcPr>
          <w:p w14:paraId="78598A2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三居</w:t>
            </w:r>
          </w:p>
        </w:tc>
        <w:tc>
          <w:tcPr>
            <w:tcW w:w="1095" w:type="dxa"/>
            <w:tcBorders>
              <w:top w:val="nil"/>
              <w:left w:val="nil"/>
              <w:bottom w:val="single" w:color="auto" w:sz="4" w:space="0"/>
              <w:right w:val="single" w:color="auto" w:sz="4" w:space="0"/>
            </w:tcBorders>
            <w:vAlign w:val="center"/>
          </w:tcPr>
          <w:p w14:paraId="1E159C3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130</w:t>
            </w:r>
          </w:p>
        </w:tc>
        <w:tc>
          <w:tcPr>
            <w:tcW w:w="1753" w:type="dxa"/>
            <w:tcBorders>
              <w:top w:val="nil"/>
              <w:left w:val="nil"/>
              <w:bottom w:val="single" w:color="auto" w:sz="4" w:space="0"/>
              <w:right w:val="single" w:color="auto" w:sz="4" w:space="0"/>
            </w:tcBorders>
            <w:vAlign w:val="center"/>
          </w:tcPr>
          <w:p w14:paraId="3E15A2E5">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57</w:t>
            </w:r>
          </w:p>
        </w:tc>
        <w:tc>
          <w:tcPr>
            <w:tcW w:w="1583" w:type="dxa"/>
            <w:tcBorders>
              <w:top w:val="nil"/>
              <w:left w:val="nil"/>
              <w:bottom w:val="single" w:color="auto" w:sz="4" w:space="0"/>
              <w:right w:val="single" w:color="auto" w:sz="4" w:space="0"/>
            </w:tcBorders>
            <w:vAlign w:val="center"/>
          </w:tcPr>
          <w:p w14:paraId="5F1713A4">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2.8</w:t>
            </w:r>
          </w:p>
        </w:tc>
        <w:tc>
          <w:tcPr>
            <w:tcW w:w="1558" w:type="dxa"/>
            <w:tcBorders>
              <w:top w:val="nil"/>
              <w:left w:val="nil"/>
              <w:bottom w:val="single" w:color="auto" w:sz="4" w:space="0"/>
              <w:right w:val="single" w:color="auto" w:sz="4" w:space="0"/>
            </w:tcBorders>
          </w:tcPr>
          <w:p w14:paraId="13595C5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4E5896AF">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3647AC4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p>
        </w:tc>
        <w:tc>
          <w:tcPr>
            <w:tcW w:w="1741" w:type="dxa"/>
            <w:tcBorders>
              <w:top w:val="nil"/>
              <w:left w:val="nil"/>
              <w:bottom w:val="single" w:color="auto" w:sz="4" w:space="0"/>
              <w:right w:val="single" w:color="auto" w:sz="4" w:space="0"/>
            </w:tcBorders>
            <w:vAlign w:val="center"/>
          </w:tcPr>
          <w:p w14:paraId="76A9AF2E">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中信新城西区</w:t>
            </w:r>
          </w:p>
        </w:tc>
        <w:tc>
          <w:tcPr>
            <w:tcW w:w="1082" w:type="dxa"/>
            <w:tcBorders>
              <w:top w:val="nil"/>
              <w:left w:val="nil"/>
              <w:bottom w:val="single" w:color="auto" w:sz="4" w:space="0"/>
              <w:right w:val="single" w:color="auto" w:sz="4" w:space="0"/>
            </w:tcBorders>
            <w:vAlign w:val="center"/>
          </w:tcPr>
          <w:p w14:paraId="66B2742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三居</w:t>
            </w:r>
          </w:p>
        </w:tc>
        <w:tc>
          <w:tcPr>
            <w:tcW w:w="1095" w:type="dxa"/>
            <w:tcBorders>
              <w:top w:val="nil"/>
              <w:left w:val="nil"/>
              <w:bottom w:val="single" w:color="auto" w:sz="4" w:space="0"/>
              <w:right w:val="single" w:color="auto" w:sz="4" w:space="0"/>
            </w:tcBorders>
            <w:vAlign w:val="center"/>
          </w:tcPr>
          <w:p w14:paraId="671F643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约140</w:t>
            </w:r>
          </w:p>
        </w:tc>
        <w:tc>
          <w:tcPr>
            <w:tcW w:w="1753" w:type="dxa"/>
            <w:tcBorders>
              <w:top w:val="nil"/>
              <w:left w:val="nil"/>
              <w:bottom w:val="single" w:color="auto" w:sz="4" w:space="0"/>
              <w:right w:val="single" w:color="auto" w:sz="4" w:space="0"/>
            </w:tcBorders>
            <w:vAlign w:val="center"/>
          </w:tcPr>
          <w:p w14:paraId="3A54A6F0">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6</w:t>
            </w:r>
            <w:r>
              <w:rPr>
                <w:rFonts w:hint="eastAsia" w:ascii="华文细黑" w:hAnsi="华文细黑" w:eastAsia="华文细黑" w:cs="宋体"/>
                <w:color w:val="000000"/>
                <w:sz w:val="18"/>
                <w:szCs w:val="18"/>
              </w:rPr>
              <w:t>0</w:t>
            </w:r>
          </w:p>
        </w:tc>
        <w:tc>
          <w:tcPr>
            <w:tcW w:w="1583" w:type="dxa"/>
            <w:tcBorders>
              <w:top w:val="nil"/>
              <w:left w:val="nil"/>
              <w:bottom w:val="single" w:color="auto" w:sz="4" w:space="0"/>
              <w:right w:val="single" w:color="auto" w:sz="4" w:space="0"/>
            </w:tcBorders>
            <w:vAlign w:val="center"/>
          </w:tcPr>
          <w:p w14:paraId="5C9522E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3.66</w:t>
            </w:r>
          </w:p>
        </w:tc>
        <w:tc>
          <w:tcPr>
            <w:tcW w:w="1558" w:type="dxa"/>
            <w:tcBorders>
              <w:top w:val="nil"/>
              <w:left w:val="nil"/>
              <w:bottom w:val="single" w:color="auto" w:sz="4" w:space="0"/>
              <w:right w:val="single" w:color="auto" w:sz="4" w:space="0"/>
            </w:tcBorders>
          </w:tcPr>
          <w:p w14:paraId="60699A7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45D6BE07">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3799994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3</w:t>
            </w:r>
          </w:p>
        </w:tc>
        <w:tc>
          <w:tcPr>
            <w:tcW w:w="1741" w:type="dxa"/>
            <w:tcBorders>
              <w:top w:val="nil"/>
              <w:left w:val="nil"/>
              <w:bottom w:val="single" w:color="auto" w:sz="4" w:space="0"/>
              <w:right w:val="single" w:color="auto" w:sz="4" w:space="0"/>
            </w:tcBorders>
            <w:vAlign w:val="center"/>
          </w:tcPr>
          <w:p w14:paraId="1A9A339A">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南海家园四里</w:t>
            </w:r>
          </w:p>
        </w:tc>
        <w:tc>
          <w:tcPr>
            <w:tcW w:w="1082" w:type="dxa"/>
            <w:tcBorders>
              <w:top w:val="nil"/>
              <w:left w:val="nil"/>
              <w:bottom w:val="single" w:color="auto" w:sz="4" w:space="0"/>
              <w:right w:val="single" w:color="auto" w:sz="4" w:space="0"/>
            </w:tcBorders>
            <w:vAlign w:val="center"/>
          </w:tcPr>
          <w:p w14:paraId="28BA699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二居</w:t>
            </w:r>
          </w:p>
        </w:tc>
        <w:tc>
          <w:tcPr>
            <w:tcW w:w="1095" w:type="dxa"/>
            <w:tcBorders>
              <w:top w:val="nil"/>
              <w:left w:val="nil"/>
              <w:bottom w:val="single" w:color="auto" w:sz="4" w:space="0"/>
              <w:right w:val="single" w:color="auto" w:sz="4" w:space="0"/>
            </w:tcBorders>
            <w:vAlign w:val="center"/>
          </w:tcPr>
          <w:p w14:paraId="1272C7F7">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92</w:t>
            </w:r>
          </w:p>
        </w:tc>
        <w:tc>
          <w:tcPr>
            <w:tcW w:w="1753" w:type="dxa"/>
            <w:tcBorders>
              <w:top w:val="nil"/>
              <w:left w:val="nil"/>
              <w:bottom w:val="single" w:color="auto" w:sz="4" w:space="0"/>
              <w:right w:val="single" w:color="auto" w:sz="4" w:space="0"/>
            </w:tcBorders>
            <w:vAlign w:val="center"/>
          </w:tcPr>
          <w:p w14:paraId="586E01F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55</w:t>
            </w:r>
          </w:p>
        </w:tc>
        <w:tc>
          <w:tcPr>
            <w:tcW w:w="1583" w:type="dxa"/>
            <w:tcBorders>
              <w:top w:val="nil"/>
              <w:left w:val="nil"/>
              <w:bottom w:val="single" w:color="auto" w:sz="4" w:space="0"/>
              <w:right w:val="single" w:color="auto" w:sz="4" w:space="0"/>
            </w:tcBorders>
            <w:vAlign w:val="center"/>
          </w:tcPr>
          <w:p w14:paraId="0F4EDD51">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1.5</w:t>
            </w:r>
          </w:p>
        </w:tc>
        <w:tc>
          <w:tcPr>
            <w:tcW w:w="1558" w:type="dxa"/>
            <w:tcBorders>
              <w:top w:val="nil"/>
              <w:left w:val="nil"/>
              <w:bottom w:val="single" w:color="auto" w:sz="4" w:space="0"/>
              <w:right w:val="single" w:color="auto" w:sz="4" w:space="0"/>
            </w:tcBorders>
          </w:tcPr>
          <w:p w14:paraId="5F8D2BD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21A91010">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5A44E8D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4</w:t>
            </w:r>
          </w:p>
        </w:tc>
        <w:tc>
          <w:tcPr>
            <w:tcW w:w="1741" w:type="dxa"/>
            <w:tcBorders>
              <w:top w:val="nil"/>
              <w:left w:val="nil"/>
              <w:bottom w:val="single" w:color="auto" w:sz="4" w:space="0"/>
              <w:right w:val="single" w:color="auto" w:sz="4" w:space="0"/>
            </w:tcBorders>
            <w:vAlign w:val="center"/>
          </w:tcPr>
          <w:p w14:paraId="20A6235B">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鹿海园三里</w:t>
            </w:r>
          </w:p>
        </w:tc>
        <w:tc>
          <w:tcPr>
            <w:tcW w:w="1082" w:type="dxa"/>
            <w:tcBorders>
              <w:top w:val="nil"/>
              <w:left w:val="nil"/>
              <w:bottom w:val="single" w:color="auto" w:sz="4" w:space="0"/>
              <w:right w:val="single" w:color="auto" w:sz="4" w:space="0"/>
            </w:tcBorders>
            <w:vAlign w:val="center"/>
          </w:tcPr>
          <w:p w14:paraId="20A70EF6">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一居</w:t>
            </w:r>
          </w:p>
        </w:tc>
        <w:tc>
          <w:tcPr>
            <w:tcW w:w="1095" w:type="dxa"/>
            <w:tcBorders>
              <w:top w:val="nil"/>
              <w:left w:val="nil"/>
              <w:bottom w:val="single" w:color="auto" w:sz="4" w:space="0"/>
              <w:right w:val="single" w:color="auto" w:sz="4" w:space="0"/>
            </w:tcBorders>
            <w:vAlign w:val="center"/>
          </w:tcPr>
          <w:p w14:paraId="43F5AFF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70</w:t>
            </w:r>
          </w:p>
        </w:tc>
        <w:tc>
          <w:tcPr>
            <w:tcW w:w="1753" w:type="dxa"/>
            <w:tcBorders>
              <w:top w:val="nil"/>
              <w:left w:val="nil"/>
              <w:bottom w:val="single" w:color="auto" w:sz="4" w:space="0"/>
              <w:right w:val="single" w:color="auto" w:sz="4" w:space="0"/>
            </w:tcBorders>
            <w:vAlign w:val="center"/>
          </w:tcPr>
          <w:p w14:paraId="436D2E5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w:t>
            </w:r>
            <w:r>
              <w:rPr>
                <w:rFonts w:ascii="华文细黑" w:hAnsi="华文细黑" w:eastAsia="华文细黑" w:cs="宋体"/>
                <w:color w:val="000000"/>
                <w:sz w:val="18"/>
                <w:szCs w:val="18"/>
              </w:rPr>
              <w:t>0</w:t>
            </w:r>
          </w:p>
        </w:tc>
        <w:tc>
          <w:tcPr>
            <w:tcW w:w="1583" w:type="dxa"/>
            <w:tcBorders>
              <w:top w:val="nil"/>
              <w:left w:val="nil"/>
              <w:bottom w:val="single" w:color="auto" w:sz="4" w:space="0"/>
              <w:right w:val="single" w:color="auto" w:sz="4" w:space="0"/>
            </w:tcBorders>
            <w:vAlign w:val="center"/>
          </w:tcPr>
          <w:p w14:paraId="4E987B21">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2.5</w:t>
            </w:r>
          </w:p>
        </w:tc>
        <w:tc>
          <w:tcPr>
            <w:tcW w:w="1558" w:type="dxa"/>
            <w:tcBorders>
              <w:top w:val="nil"/>
              <w:left w:val="nil"/>
              <w:bottom w:val="single" w:color="auto" w:sz="4" w:space="0"/>
              <w:right w:val="single" w:color="auto" w:sz="4" w:space="0"/>
            </w:tcBorders>
          </w:tcPr>
          <w:p w14:paraId="4AB8768E">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19B1EA01">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6DD9ED8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w:t>
            </w:r>
          </w:p>
        </w:tc>
        <w:tc>
          <w:tcPr>
            <w:tcW w:w="1741" w:type="dxa"/>
            <w:tcBorders>
              <w:top w:val="nil"/>
              <w:left w:val="nil"/>
              <w:bottom w:val="single" w:color="auto" w:sz="4" w:space="0"/>
              <w:right w:val="single" w:color="auto" w:sz="4" w:space="0"/>
            </w:tcBorders>
            <w:vAlign w:val="center"/>
          </w:tcPr>
          <w:p w14:paraId="5C7B662F">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中芯花园</w:t>
            </w:r>
          </w:p>
        </w:tc>
        <w:tc>
          <w:tcPr>
            <w:tcW w:w="1082" w:type="dxa"/>
            <w:tcBorders>
              <w:top w:val="nil"/>
              <w:left w:val="nil"/>
              <w:bottom w:val="single" w:color="auto" w:sz="4" w:space="0"/>
              <w:right w:val="single" w:color="auto" w:sz="4" w:space="0"/>
            </w:tcBorders>
            <w:vAlign w:val="center"/>
          </w:tcPr>
          <w:p w14:paraId="050BEDD2">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二居</w:t>
            </w:r>
          </w:p>
        </w:tc>
        <w:tc>
          <w:tcPr>
            <w:tcW w:w="1095" w:type="dxa"/>
            <w:tcBorders>
              <w:top w:val="nil"/>
              <w:left w:val="nil"/>
              <w:bottom w:val="single" w:color="auto" w:sz="4" w:space="0"/>
              <w:right w:val="single" w:color="auto" w:sz="4" w:space="0"/>
            </w:tcBorders>
            <w:vAlign w:val="center"/>
          </w:tcPr>
          <w:p w14:paraId="35AF557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110</w:t>
            </w:r>
          </w:p>
        </w:tc>
        <w:tc>
          <w:tcPr>
            <w:tcW w:w="1753" w:type="dxa"/>
            <w:tcBorders>
              <w:top w:val="nil"/>
              <w:left w:val="nil"/>
              <w:bottom w:val="single" w:color="auto" w:sz="4" w:space="0"/>
              <w:right w:val="single" w:color="auto" w:sz="4" w:space="0"/>
            </w:tcBorders>
            <w:vAlign w:val="center"/>
          </w:tcPr>
          <w:p w14:paraId="226EE80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w:t>
            </w:r>
            <w:r>
              <w:rPr>
                <w:rFonts w:ascii="华文细黑" w:hAnsi="华文细黑" w:eastAsia="华文细黑" w:cs="宋体"/>
                <w:color w:val="000000"/>
                <w:sz w:val="18"/>
                <w:szCs w:val="18"/>
              </w:rPr>
              <w:t>1</w:t>
            </w:r>
          </w:p>
        </w:tc>
        <w:tc>
          <w:tcPr>
            <w:tcW w:w="1583" w:type="dxa"/>
            <w:tcBorders>
              <w:top w:val="nil"/>
              <w:left w:val="nil"/>
              <w:bottom w:val="single" w:color="auto" w:sz="4" w:space="0"/>
              <w:right w:val="single" w:color="auto" w:sz="4" w:space="0"/>
            </w:tcBorders>
            <w:vAlign w:val="center"/>
          </w:tcPr>
          <w:p w14:paraId="13C87C63">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4.28</w:t>
            </w:r>
          </w:p>
        </w:tc>
        <w:tc>
          <w:tcPr>
            <w:tcW w:w="1558" w:type="dxa"/>
            <w:tcBorders>
              <w:top w:val="nil"/>
              <w:left w:val="nil"/>
              <w:bottom w:val="single" w:color="auto" w:sz="4" w:space="0"/>
              <w:right w:val="single" w:color="auto" w:sz="4" w:space="0"/>
            </w:tcBorders>
          </w:tcPr>
          <w:p w14:paraId="0D5890A6">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bl>
    <w:p w14:paraId="596AD698">
      <w:pPr>
        <w:pStyle w:val="60"/>
        <w:autoSpaceDE w:val="0"/>
        <w:autoSpaceDN w:val="0"/>
        <w:spacing w:before="240" w:beforeLines="100" w:line="480" w:lineRule="auto"/>
        <w:ind w:firstLine="420" w:firstLineChars="200"/>
        <w:jc w:val="both"/>
        <w:textAlignment w:val="bottom"/>
        <w:rPr>
          <w:rFonts w:ascii="Arial" w:hAnsi="Arial" w:cs="Arial"/>
          <w:color w:val="000000"/>
          <w:sz w:val="21"/>
          <w:szCs w:val="21"/>
        </w:rPr>
      </w:pPr>
      <w:r>
        <w:rPr>
          <w:rFonts w:hint="eastAsia" w:hAnsi="宋体" w:cs="Arial"/>
          <w:color w:val="000000"/>
          <w:sz w:val="21"/>
          <w:szCs w:val="21"/>
        </w:rPr>
        <w:t>估价对象周边小区较多，综合区位、小区规模、档次等因素筛选住房小区作为本次估价对象租金的可比实例，</w:t>
      </w:r>
      <w:r>
        <w:rPr>
          <w:rFonts w:hint="eastAsia" w:ascii="Arial" w:hAnsi="Arial" w:cs="Arial"/>
          <w:color w:val="000000"/>
          <w:sz w:val="21"/>
          <w:szCs w:val="21"/>
        </w:rPr>
        <w:t>最终</w:t>
      </w:r>
      <w:r>
        <w:rPr>
          <w:rFonts w:ascii="Arial" w:hAnsi="Arial" w:cs="Arial"/>
          <w:color w:val="000000"/>
          <w:sz w:val="21"/>
          <w:szCs w:val="21"/>
        </w:rPr>
        <w:t>选取了</w:t>
      </w:r>
      <w:r>
        <w:rPr>
          <w:rFonts w:hint="eastAsia" w:ascii="Arial" w:hAnsi="Arial" w:cs="Arial"/>
          <w:color w:val="000000"/>
          <w:sz w:val="21"/>
          <w:szCs w:val="21"/>
        </w:rPr>
        <w:t>悦廷、中信新城西</w:t>
      </w:r>
      <w:r>
        <w:rPr>
          <w:rFonts w:hint="eastAsia" w:ascii="Arial" w:hAnsi="Arial" w:cs="Arial"/>
          <w:color w:val="000000"/>
          <w:sz w:val="21"/>
          <w:szCs w:val="21"/>
          <w:lang w:val="en-US" w:eastAsia="zh-CN"/>
        </w:rPr>
        <w:t>区</w:t>
      </w:r>
      <w:r>
        <w:rPr>
          <w:rFonts w:hint="eastAsia" w:ascii="Arial" w:hAnsi="Arial" w:cs="Arial"/>
          <w:color w:val="000000"/>
          <w:sz w:val="21"/>
          <w:szCs w:val="21"/>
        </w:rPr>
        <w:t>、南海家园四里3</w:t>
      </w:r>
      <w:r>
        <w:rPr>
          <w:rFonts w:ascii="Arial" w:hAnsi="Arial" w:cs="Arial"/>
          <w:color w:val="000000"/>
          <w:sz w:val="21"/>
          <w:szCs w:val="21"/>
        </w:rPr>
        <w:t>个普通商品房住宅小区为样本小区，具体如下</w:t>
      </w:r>
      <w:r>
        <w:rPr>
          <w:rFonts w:hint="eastAsia" w:ascii="Arial" w:hAnsi="Arial" w:cs="Arial"/>
          <w:color w:val="000000"/>
          <w:sz w:val="21"/>
          <w:szCs w:val="21"/>
        </w:rPr>
        <w:t>：</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2693"/>
        <w:gridCol w:w="2268"/>
        <w:gridCol w:w="3453"/>
      </w:tblGrid>
      <w:tr w14:paraId="442D8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72B761D4">
            <w:pPr>
              <w:pStyle w:val="58"/>
              <w:jc w:val="center"/>
              <w:rPr>
                <w:rFonts w:hint="eastAsia" w:ascii="华文细黑" w:hAnsi="华文细黑" w:eastAsia="华文细黑"/>
                <w:b/>
                <w:sz w:val="18"/>
                <w:szCs w:val="18"/>
              </w:rPr>
            </w:pPr>
            <w:r>
              <w:rPr>
                <w:rFonts w:hint="eastAsia" w:ascii="华文细黑" w:hAnsi="华文细黑" w:eastAsia="华文细黑"/>
                <w:b/>
                <w:sz w:val="18"/>
                <w:szCs w:val="18"/>
              </w:rPr>
              <w:t>序号</w:t>
            </w:r>
          </w:p>
        </w:tc>
        <w:tc>
          <w:tcPr>
            <w:tcW w:w="2693" w:type="dxa"/>
          </w:tcPr>
          <w:p w14:paraId="0030EF57">
            <w:pPr>
              <w:pStyle w:val="58"/>
              <w:jc w:val="center"/>
              <w:rPr>
                <w:rFonts w:hint="eastAsia" w:ascii="华文细黑" w:hAnsi="华文细黑" w:eastAsia="华文细黑"/>
                <w:b/>
                <w:sz w:val="18"/>
                <w:szCs w:val="18"/>
              </w:rPr>
            </w:pPr>
            <w:r>
              <w:rPr>
                <w:rFonts w:hint="eastAsia" w:ascii="华文细黑" w:hAnsi="华文细黑" w:eastAsia="华文细黑"/>
                <w:b/>
                <w:sz w:val="18"/>
                <w:szCs w:val="18"/>
              </w:rPr>
              <w:t>小区名称</w:t>
            </w:r>
          </w:p>
        </w:tc>
        <w:tc>
          <w:tcPr>
            <w:tcW w:w="2268" w:type="dxa"/>
          </w:tcPr>
          <w:p w14:paraId="705A90AE">
            <w:pPr>
              <w:pStyle w:val="58"/>
              <w:jc w:val="center"/>
              <w:rPr>
                <w:rFonts w:hint="eastAsia" w:ascii="华文细黑" w:hAnsi="华文细黑" w:eastAsia="华文细黑"/>
                <w:b/>
                <w:sz w:val="18"/>
                <w:szCs w:val="18"/>
              </w:rPr>
            </w:pPr>
            <w:r>
              <w:rPr>
                <w:rFonts w:hint="eastAsia" w:ascii="华文细黑" w:hAnsi="华文细黑" w:eastAsia="华文细黑"/>
                <w:b/>
                <w:sz w:val="18"/>
                <w:szCs w:val="18"/>
              </w:rPr>
              <w:t>建成年代（年）</w:t>
            </w:r>
          </w:p>
        </w:tc>
        <w:tc>
          <w:tcPr>
            <w:tcW w:w="3453" w:type="dxa"/>
          </w:tcPr>
          <w:p w14:paraId="5D6D4644">
            <w:pPr>
              <w:pStyle w:val="58"/>
              <w:jc w:val="center"/>
              <w:rPr>
                <w:rFonts w:hint="eastAsia" w:ascii="华文细黑" w:hAnsi="华文细黑" w:eastAsia="华文细黑"/>
                <w:b/>
                <w:sz w:val="18"/>
                <w:szCs w:val="18"/>
              </w:rPr>
            </w:pPr>
            <w:r>
              <w:rPr>
                <w:rFonts w:hint="eastAsia" w:ascii="华文细黑" w:hAnsi="华文细黑" w:eastAsia="华文细黑"/>
                <w:b/>
                <w:sz w:val="18"/>
                <w:szCs w:val="18"/>
              </w:rPr>
              <w:t>与估价对象直线距离</w:t>
            </w:r>
          </w:p>
        </w:tc>
      </w:tr>
      <w:tr w14:paraId="10840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225BDCCE">
            <w:pPr>
              <w:pStyle w:val="58"/>
              <w:jc w:val="center"/>
              <w:rPr>
                <w:rFonts w:hint="eastAsia" w:ascii="华文细黑" w:hAnsi="华文细黑" w:eastAsia="华文细黑"/>
                <w:sz w:val="18"/>
                <w:szCs w:val="18"/>
              </w:rPr>
            </w:pPr>
            <w:r>
              <w:rPr>
                <w:rFonts w:hint="eastAsia" w:ascii="华文细黑" w:hAnsi="华文细黑" w:eastAsia="华文细黑"/>
                <w:sz w:val="18"/>
                <w:szCs w:val="18"/>
              </w:rPr>
              <w:t>1</w:t>
            </w:r>
          </w:p>
        </w:tc>
        <w:tc>
          <w:tcPr>
            <w:tcW w:w="2693" w:type="dxa"/>
            <w:vAlign w:val="center"/>
          </w:tcPr>
          <w:p w14:paraId="393288CD">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悦廷</w:t>
            </w:r>
          </w:p>
        </w:tc>
        <w:tc>
          <w:tcPr>
            <w:tcW w:w="2268" w:type="dxa"/>
          </w:tcPr>
          <w:p w14:paraId="62B702A0">
            <w:pPr>
              <w:pStyle w:val="58"/>
              <w:jc w:val="center"/>
              <w:rPr>
                <w:rFonts w:hint="eastAsia" w:ascii="华文细黑" w:hAnsi="华文细黑" w:eastAsia="华文细黑"/>
                <w:sz w:val="18"/>
                <w:szCs w:val="18"/>
              </w:rPr>
            </w:pPr>
            <w:r>
              <w:rPr>
                <w:rFonts w:hint="eastAsia" w:ascii="华文细黑" w:hAnsi="华文细黑" w:eastAsia="华文细黑"/>
                <w:sz w:val="18"/>
                <w:szCs w:val="18"/>
              </w:rPr>
              <w:t>2011</w:t>
            </w:r>
          </w:p>
        </w:tc>
        <w:tc>
          <w:tcPr>
            <w:tcW w:w="3453" w:type="dxa"/>
          </w:tcPr>
          <w:p w14:paraId="21ECB262">
            <w:pPr>
              <w:pStyle w:val="58"/>
              <w:jc w:val="center"/>
              <w:rPr>
                <w:rFonts w:hint="eastAsia" w:ascii="华文细黑" w:hAnsi="华文细黑" w:eastAsia="华文细黑"/>
                <w:sz w:val="18"/>
                <w:szCs w:val="18"/>
              </w:rPr>
            </w:pPr>
            <w:r>
              <w:rPr>
                <w:rFonts w:hint="eastAsia" w:ascii="华文细黑" w:hAnsi="华文细黑" w:eastAsia="华文细黑"/>
                <w:sz w:val="18"/>
                <w:szCs w:val="18"/>
              </w:rPr>
              <w:t>约</w:t>
            </w:r>
            <w:r>
              <w:rPr>
                <w:rFonts w:ascii="华文细黑" w:hAnsi="华文细黑" w:eastAsia="华文细黑"/>
                <w:sz w:val="18"/>
                <w:szCs w:val="18"/>
              </w:rPr>
              <w:t>8</w:t>
            </w:r>
            <w:r>
              <w:rPr>
                <w:rFonts w:hint="eastAsia" w:ascii="华文细黑" w:hAnsi="华文细黑" w:eastAsia="华文细黑"/>
                <w:sz w:val="18"/>
                <w:szCs w:val="18"/>
              </w:rPr>
              <w:t>00米</w:t>
            </w:r>
          </w:p>
        </w:tc>
      </w:tr>
      <w:tr w14:paraId="6DFD6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355565AC">
            <w:pPr>
              <w:pStyle w:val="58"/>
              <w:jc w:val="center"/>
              <w:rPr>
                <w:rFonts w:hint="eastAsia" w:ascii="华文细黑" w:hAnsi="华文细黑" w:eastAsia="华文细黑"/>
                <w:sz w:val="18"/>
                <w:szCs w:val="18"/>
              </w:rPr>
            </w:pPr>
            <w:r>
              <w:rPr>
                <w:rFonts w:hint="eastAsia" w:ascii="华文细黑" w:hAnsi="华文细黑" w:eastAsia="华文细黑"/>
                <w:sz w:val="18"/>
                <w:szCs w:val="18"/>
              </w:rPr>
              <w:t>2</w:t>
            </w:r>
          </w:p>
        </w:tc>
        <w:tc>
          <w:tcPr>
            <w:tcW w:w="2693" w:type="dxa"/>
            <w:vAlign w:val="center"/>
          </w:tcPr>
          <w:p w14:paraId="282A3BF8">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中信新城西区</w:t>
            </w:r>
          </w:p>
        </w:tc>
        <w:tc>
          <w:tcPr>
            <w:tcW w:w="2268" w:type="dxa"/>
          </w:tcPr>
          <w:p w14:paraId="774B73AE">
            <w:pPr>
              <w:pStyle w:val="58"/>
              <w:jc w:val="center"/>
              <w:rPr>
                <w:rFonts w:ascii="华文细黑" w:hAnsi="华文细黑" w:eastAsia="华文细黑"/>
                <w:sz w:val="18"/>
                <w:szCs w:val="18"/>
              </w:rPr>
            </w:pPr>
            <w:r>
              <w:rPr>
                <w:rFonts w:hint="eastAsia" w:ascii="华文细黑" w:hAnsi="华文细黑" w:eastAsia="华文细黑"/>
                <w:sz w:val="18"/>
                <w:szCs w:val="18"/>
              </w:rPr>
              <w:t>2012</w:t>
            </w:r>
          </w:p>
        </w:tc>
        <w:tc>
          <w:tcPr>
            <w:tcW w:w="3453" w:type="dxa"/>
          </w:tcPr>
          <w:p w14:paraId="24A1CB34">
            <w:pPr>
              <w:pStyle w:val="58"/>
              <w:jc w:val="center"/>
              <w:rPr>
                <w:rFonts w:hint="eastAsia" w:ascii="华文细黑" w:hAnsi="华文细黑" w:eastAsia="华文细黑"/>
                <w:sz w:val="18"/>
                <w:szCs w:val="18"/>
              </w:rPr>
            </w:pPr>
            <w:r>
              <w:rPr>
                <w:rFonts w:hint="eastAsia" w:ascii="华文细黑" w:hAnsi="华文细黑" w:eastAsia="华文细黑"/>
                <w:sz w:val="18"/>
                <w:szCs w:val="18"/>
              </w:rPr>
              <w:t>约2500米</w:t>
            </w:r>
          </w:p>
        </w:tc>
      </w:tr>
      <w:tr w14:paraId="1F4DB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2C69544C">
            <w:pPr>
              <w:pStyle w:val="58"/>
              <w:jc w:val="center"/>
              <w:rPr>
                <w:rFonts w:hint="eastAsia" w:ascii="华文细黑" w:hAnsi="华文细黑" w:eastAsia="华文细黑"/>
                <w:sz w:val="18"/>
                <w:szCs w:val="18"/>
              </w:rPr>
            </w:pPr>
            <w:r>
              <w:rPr>
                <w:rFonts w:hint="eastAsia" w:ascii="华文细黑" w:hAnsi="华文细黑" w:eastAsia="华文细黑"/>
                <w:sz w:val="18"/>
                <w:szCs w:val="18"/>
              </w:rPr>
              <w:t>3</w:t>
            </w:r>
          </w:p>
        </w:tc>
        <w:tc>
          <w:tcPr>
            <w:tcW w:w="2693" w:type="dxa"/>
            <w:vAlign w:val="center"/>
          </w:tcPr>
          <w:p w14:paraId="5FD3B6A8">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南海家园四里</w:t>
            </w:r>
          </w:p>
        </w:tc>
        <w:tc>
          <w:tcPr>
            <w:tcW w:w="2268" w:type="dxa"/>
          </w:tcPr>
          <w:p w14:paraId="58133D12">
            <w:pPr>
              <w:pStyle w:val="58"/>
              <w:jc w:val="center"/>
              <w:rPr>
                <w:rFonts w:hint="eastAsia" w:ascii="华文细黑" w:hAnsi="华文细黑" w:eastAsia="华文细黑"/>
                <w:sz w:val="18"/>
                <w:szCs w:val="18"/>
              </w:rPr>
            </w:pPr>
            <w:r>
              <w:rPr>
                <w:rFonts w:hint="eastAsia" w:ascii="华文细黑" w:hAnsi="华文细黑" w:eastAsia="华文细黑"/>
                <w:sz w:val="18"/>
                <w:szCs w:val="18"/>
              </w:rPr>
              <w:t>20</w:t>
            </w:r>
            <w:r>
              <w:rPr>
                <w:rFonts w:ascii="华文细黑" w:hAnsi="华文细黑" w:eastAsia="华文细黑"/>
                <w:sz w:val="18"/>
                <w:szCs w:val="18"/>
              </w:rPr>
              <w:t>12</w:t>
            </w:r>
          </w:p>
        </w:tc>
        <w:tc>
          <w:tcPr>
            <w:tcW w:w="3453" w:type="dxa"/>
          </w:tcPr>
          <w:p w14:paraId="751AC6E9">
            <w:pPr>
              <w:pStyle w:val="58"/>
              <w:jc w:val="center"/>
              <w:rPr>
                <w:rFonts w:hint="eastAsia" w:ascii="华文细黑" w:hAnsi="华文细黑" w:eastAsia="华文细黑"/>
                <w:sz w:val="18"/>
                <w:szCs w:val="18"/>
              </w:rPr>
            </w:pPr>
            <w:r>
              <w:rPr>
                <w:rFonts w:hint="eastAsia" w:ascii="华文细黑" w:hAnsi="华文细黑" w:eastAsia="华文细黑"/>
                <w:sz w:val="18"/>
                <w:szCs w:val="18"/>
              </w:rPr>
              <w:t>约</w:t>
            </w:r>
            <w:r>
              <w:rPr>
                <w:rFonts w:ascii="华文细黑" w:hAnsi="华文细黑" w:eastAsia="华文细黑"/>
                <w:sz w:val="18"/>
                <w:szCs w:val="18"/>
              </w:rPr>
              <w:t>1</w:t>
            </w:r>
            <w:r>
              <w:rPr>
                <w:rFonts w:hint="eastAsia" w:ascii="华文细黑" w:hAnsi="华文细黑" w:eastAsia="华文细黑"/>
                <w:sz w:val="18"/>
                <w:szCs w:val="18"/>
              </w:rPr>
              <w:t>500米</w:t>
            </w:r>
          </w:p>
        </w:tc>
      </w:tr>
    </w:tbl>
    <w:p w14:paraId="04715D74">
      <w:pPr>
        <w:pStyle w:val="60"/>
        <w:wordWrap w:val="0"/>
        <w:overflowPunct w:val="0"/>
        <w:autoSpaceDE w:val="0"/>
        <w:autoSpaceDN w:val="0"/>
        <w:spacing w:before="240" w:beforeLines="100" w:line="480" w:lineRule="auto"/>
        <w:ind w:right="142"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样本小区一：悦廷</w:t>
      </w:r>
    </w:p>
    <w:p w14:paraId="0C1ADDF2">
      <w:pPr>
        <w:pStyle w:val="60"/>
        <w:overflowPunct w:val="0"/>
        <w:autoSpaceDE w:val="0"/>
        <w:autoSpaceDN w:val="0"/>
        <w:spacing w:line="480" w:lineRule="auto"/>
        <w:ind w:right="140" w:firstLine="420" w:firstLineChars="200"/>
        <w:textAlignment w:val="auto"/>
        <w:rPr>
          <w:rFonts w:ascii="Arial" w:hAnsi="Arial" w:cs="Arial"/>
          <w:color w:val="000000"/>
          <w:sz w:val="21"/>
          <w:szCs w:val="21"/>
        </w:rPr>
      </w:pPr>
      <w:r>
        <w:rPr>
          <w:rFonts w:hint="eastAsia" w:ascii="Arial" w:hAnsi="Arial" w:cs="Arial"/>
          <w:color w:val="000000"/>
          <w:sz w:val="21"/>
          <w:szCs w:val="21"/>
        </w:rPr>
        <w:t>悦廷小区位于大兴区凉水河一街与博兴七路交叉口东南侧，建成于2011年，占地面积约为31800平方米，建筑面积约为40000平方米，楼栋总数为8栋，建筑结构为钢混，共532户，建筑密度适中，环境状况较好，物业管理费为</w:t>
      </w:r>
      <w:r>
        <w:rPr>
          <w:rFonts w:ascii="Arial" w:hAnsi="Arial" w:cs="Arial"/>
          <w:color w:val="000000"/>
          <w:sz w:val="21"/>
          <w:szCs w:val="21"/>
        </w:rPr>
        <w:t>2.8</w:t>
      </w:r>
      <w:r>
        <w:rPr>
          <w:rFonts w:hint="eastAsia" w:ascii="Arial" w:hAnsi="Arial" w:cs="Arial"/>
          <w:color w:val="000000"/>
          <w:sz w:val="21"/>
          <w:szCs w:val="21"/>
        </w:rPr>
        <w:t>元/平方米·月，主力户型为三居室，距离估价对象约</w:t>
      </w:r>
      <w:r>
        <w:rPr>
          <w:rFonts w:ascii="Arial" w:hAnsi="Arial" w:cs="Arial"/>
          <w:color w:val="000000"/>
          <w:sz w:val="21"/>
          <w:szCs w:val="21"/>
        </w:rPr>
        <w:t>800</w:t>
      </w:r>
      <w:r>
        <w:rPr>
          <w:rFonts w:hint="eastAsia" w:ascii="Arial" w:hAnsi="Arial" w:cs="Arial"/>
          <w:color w:val="000000"/>
          <w:sz w:val="21"/>
          <w:szCs w:val="21"/>
        </w:rPr>
        <w:t>米。与估价对象位于同一供需圈，建筑结构、物业档次与估价对象类似。</w:t>
      </w:r>
    </w:p>
    <w:p w14:paraId="7DC1463B">
      <w:pPr>
        <w:pStyle w:val="66"/>
        <w:autoSpaceDE w:val="0"/>
        <w:autoSpaceDN w:val="0"/>
        <w:spacing w:line="480" w:lineRule="auto"/>
        <w:ind w:right="140" w:firstLine="420" w:firstLineChars="200"/>
        <w:jc w:val="both"/>
        <w:textAlignment w:val="auto"/>
        <w:rPr>
          <w:rFonts w:hint="eastAsia" w:ascii="Arial" w:hAnsi="Arial" w:cs="Arial"/>
          <w:sz w:val="21"/>
          <w:szCs w:val="21"/>
        </w:rPr>
      </w:pPr>
      <w:r>
        <w:rPr>
          <w:rFonts w:hint="eastAsia" w:ascii="Arial" w:hAnsi="Arial" w:cs="Arial"/>
          <w:sz w:val="21"/>
          <w:szCs w:val="21"/>
        </w:rPr>
        <w:t>样本小区二：中信新城西区</w:t>
      </w:r>
    </w:p>
    <w:p w14:paraId="7AB043E9">
      <w:pPr>
        <w:pStyle w:val="66"/>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color w:val="000000"/>
          <w:sz w:val="21"/>
          <w:szCs w:val="21"/>
        </w:rPr>
        <w:t>中信新城位于大兴区凉水河一街与旧头路交叉口东南，建成于</w:t>
      </w:r>
      <w:r>
        <w:rPr>
          <w:rFonts w:ascii="Arial" w:hAnsi="Arial" w:cs="Arial"/>
          <w:color w:val="000000"/>
          <w:sz w:val="21"/>
          <w:szCs w:val="21"/>
        </w:rPr>
        <w:t>2012</w:t>
      </w:r>
      <w:r>
        <w:rPr>
          <w:rFonts w:hint="eastAsia" w:ascii="Arial" w:hAnsi="Arial" w:cs="Arial"/>
          <w:color w:val="000000"/>
          <w:sz w:val="21"/>
          <w:szCs w:val="21"/>
        </w:rPr>
        <w:t>年，高层板楼，共</w:t>
      </w:r>
      <w:r>
        <w:rPr>
          <w:rFonts w:ascii="Arial" w:hAnsi="Arial" w:cs="Arial"/>
          <w:color w:val="000000"/>
          <w:sz w:val="21"/>
          <w:szCs w:val="21"/>
        </w:rPr>
        <w:t>24</w:t>
      </w:r>
      <w:r>
        <w:rPr>
          <w:rFonts w:hint="eastAsia" w:ascii="Arial" w:hAnsi="Arial" w:cs="Arial"/>
          <w:color w:val="000000"/>
          <w:sz w:val="21"/>
          <w:szCs w:val="21"/>
        </w:rPr>
        <w:t>栋住宅楼,建筑结构为钢混，建筑面积约为</w:t>
      </w:r>
      <w:r>
        <w:rPr>
          <w:rFonts w:ascii="Arial" w:hAnsi="Arial" w:cs="Arial"/>
          <w:color w:val="000000"/>
          <w:sz w:val="21"/>
          <w:szCs w:val="21"/>
        </w:rPr>
        <w:t>391170</w:t>
      </w:r>
      <w:r>
        <w:rPr>
          <w:rFonts w:hint="eastAsia" w:ascii="Arial" w:hAnsi="Arial" w:cs="Arial"/>
          <w:color w:val="000000"/>
          <w:sz w:val="21"/>
          <w:szCs w:val="21"/>
        </w:rPr>
        <w:t>平方米，物业管理费为</w:t>
      </w:r>
      <w:r>
        <w:rPr>
          <w:rFonts w:ascii="Arial" w:hAnsi="Arial" w:cs="Arial"/>
          <w:color w:val="000000"/>
          <w:sz w:val="21"/>
          <w:szCs w:val="21"/>
        </w:rPr>
        <w:t>3.6</w:t>
      </w:r>
      <w:r>
        <w:rPr>
          <w:rFonts w:hint="eastAsia" w:ascii="Arial" w:hAnsi="Arial" w:cs="Arial"/>
          <w:color w:val="000000"/>
          <w:sz w:val="21"/>
          <w:szCs w:val="21"/>
        </w:rPr>
        <w:t>6元/平方米·月，主力户型为三居室，距离估价对象约2500米。与估价对象位于同一供需圈，建筑结构、物业档次与估价对象类似</w:t>
      </w:r>
      <w:r>
        <w:rPr>
          <w:rFonts w:hint="eastAsia" w:ascii="Arial" w:hAnsi="Arial" w:cs="Arial"/>
          <w:sz w:val="21"/>
          <w:szCs w:val="21"/>
        </w:rPr>
        <w:t>。</w:t>
      </w:r>
    </w:p>
    <w:p w14:paraId="572A32DC">
      <w:pPr>
        <w:pStyle w:val="66"/>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样本小区三：南海家园四里</w:t>
      </w:r>
    </w:p>
    <w:p w14:paraId="08EE0D73">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南海家园位于大兴亦庄开发区泰河一街，建成于</w:t>
      </w:r>
      <w:r>
        <w:rPr>
          <w:rFonts w:ascii="Arial" w:hAnsi="Arial" w:cs="Arial"/>
          <w:color w:val="000000"/>
          <w:sz w:val="21"/>
          <w:szCs w:val="21"/>
        </w:rPr>
        <w:t>2012</w:t>
      </w:r>
      <w:r>
        <w:rPr>
          <w:rFonts w:hint="eastAsia" w:ascii="Arial" w:hAnsi="Arial" w:cs="Arial"/>
          <w:color w:val="000000"/>
          <w:sz w:val="21"/>
          <w:szCs w:val="21"/>
        </w:rPr>
        <w:t>年，建筑面积约为</w:t>
      </w:r>
      <w:r>
        <w:rPr>
          <w:rFonts w:ascii="Arial" w:hAnsi="Arial" w:cs="Arial"/>
          <w:color w:val="000000"/>
          <w:sz w:val="21"/>
          <w:szCs w:val="21"/>
        </w:rPr>
        <w:t>2251403.25</w:t>
      </w:r>
      <w:r>
        <w:rPr>
          <w:rFonts w:hint="eastAsia" w:ascii="Arial" w:hAnsi="Arial" w:cs="Arial"/>
          <w:color w:val="000000"/>
          <w:sz w:val="21"/>
          <w:szCs w:val="21"/>
        </w:rPr>
        <w:t>平方米，楼栋总数为</w:t>
      </w:r>
      <w:r>
        <w:rPr>
          <w:rFonts w:ascii="Arial" w:hAnsi="Arial" w:cs="Arial"/>
          <w:color w:val="000000"/>
          <w:sz w:val="21"/>
          <w:szCs w:val="21"/>
        </w:rPr>
        <w:t>159</w:t>
      </w:r>
      <w:r>
        <w:rPr>
          <w:rFonts w:hint="eastAsia" w:ascii="Arial" w:hAnsi="Arial" w:cs="Arial"/>
          <w:color w:val="000000"/>
          <w:sz w:val="21"/>
          <w:szCs w:val="21"/>
        </w:rPr>
        <w:t>栋，建筑结构为钢混，共</w:t>
      </w:r>
      <w:r>
        <w:rPr>
          <w:rFonts w:ascii="Arial" w:hAnsi="Arial" w:cs="Arial"/>
          <w:color w:val="000000"/>
          <w:sz w:val="21"/>
          <w:szCs w:val="21"/>
        </w:rPr>
        <w:t>17908</w:t>
      </w:r>
      <w:r>
        <w:rPr>
          <w:rFonts w:hint="eastAsia" w:ascii="Arial" w:hAnsi="Arial" w:cs="Arial"/>
          <w:color w:val="000000"/>
          <w:sz w:val="21"/>
          <w:szCs w:val="21"/>
        </w:rPr>
        <w:t>户，建筑密度适中，环境状况较好，物业管理费为</w:t>
      </w:r>
      <w:r>
        <w:rPr>
          <w:rFonts w:ascii="Arial" w:hAnsi="Arial" w:cs="Arial"/>
          <w:color w:val="000000"/>
          <w:sz w:val="21"/>
          <w:szCs w:val="21"/>
        </w:rPr>
        <w:t>1.5</w:t>
      </w:r>
      <w:r>
        <w:rPr>
          <w:rFonts w:hint="eastAsia" w:ascii="Arial" w:hAnsi="Arial" w:cs="Arial"/>
          <w:color w:val="000000"/>
          <w:sz w:val="21"/>
          <w:szCs w:val="21"/>
        </w:rPr>
        <w:t>元/平方米·月，主力户型为二居室，距离估价对象约</w:t>
      </w:r>
      <w:r>
        <w:rPr>
          <w:rFonts w:ascii="Arial" w:hAnsi="Arial" w:cs="Arial"/>
          <w:color w:val="000000"/>
          <w:sz w:val="21"/>
          <w:szCs w:val="21"/>
        </w:rPr>
        <w:t>1100</w:t>
      </w:r>
      <w:r>
        <w:rPr>
          <w:rFonts w:hint="eastAsia" w:ascii="Arial" w:hAnsi="Arial" w:cs="Arial"/>
          <w:color w:val="000000"/>
          <w:sz w:val="21"/>
          <w:szCs w:val="21"/>
        </w:rPr>
        <w:t>米。与估价对象位于同一供需圈，建筑结构、物业档次与估价对象类似</w:t>
      </w:r>
      <w:r>
        <w:rPr>
          <w:rFonts w:hint="eastAsia" w:ascii="Arial" w:hAnsi="Arial" w:cs="Arial"/>
          <w:sz w:val="21"/>
          <w:szCs w:val="21"/>
        </w:rPr>
        <w:t>。</w:t>
      </w:r>
    </w:p>
    <w:p w14:paraId="2F869AFE">
      <w:pPr>
        <w:pStyle w:val="66"/>
        <w:autoSpaceDE w:val="0"/>
        <w:autoSpaceDN w:val="0"/>
        <w:spacing w:line="360" w:lineRule="auto"/>
        <w:ind w:right="142" w:firstLine="420" w:firstLineChars="200"/>
        <w:jc w:val="center"/>
        <w:textAlignment w:val="auto"/>
        <w:rPr>
          <w:rFonts w:ascii="Arial" w:hAnsi="Arial" w:cs="Arial"/>
          <w:sz w:val="21"/>
          <w:szCs w:val="21"/>
        </w:rPr>
      </w:pPr>
      <w:r>
        <w:rPr>
          <w:rFonts w:hint="eastAsia" w:ascii="Arial" w:hAnsi="Arial" w:cs="Arial"/>
          <w:sz w:val="21"/>
          <w:szCs w:val="21"/>
        </w:rPr>
        <w:t>样本小区标准房</w:t>
      </w:r>
    </w:p>
    <w:tbl>
      <w:tblPr>
        <w:tblStyle w:val="33"/>
        <w:tblW w:w="9299" w:type="dxa"/>
        <w:jc w:val="center"/>
        <w:tblLayout w:type="autofit"/>
        <w:tblCellMar>
          <w:top w:w="0" w:type="dxa"/>
          <w:left w:w="108" w:type="dxa"/>
          <w:bottom w:w="0" w:type="dxa"/>
          <w:right w:w="108" w:type="dxa"/>
        </w:tblCellMar>
      </w:tblPr>
      <w:tblGrid>
        <w:gridCol w:w="851"/>
        <w:gridCol w:w="2688"/>
        <w:gridCol w:w="2835"/>
        <w:gridCol w:w="2925"/>
      </w:tblGrid>
      <w:tr w14:paraId="0F0F32BE">
        <w:tblPrEx>
          <w:tblCellMar>
            <w:top w:w="0" w:type="dxa"/>
            <w:left w:w="108" w:type="dxa"/>
            <w:bottom w:w="0" w:type="dxa"/>
            <w:right w:w="108" w:type="dxa"/>
          </w:tblCellMar>
        </w:tblPrEx>
        <w:trPr>
          <w:trHeight w:val="285"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59F4CE2D">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2688" w:type="dxa"/>
            <w:tcBorders>
              <w:top w:val="single" w:color="auto" w:sz="4" w:space="0"/>
              <w:left w:val="nil"/>
              <w:bottom w:val="single" w:color="auto" w:sz="4" w:space="0"/>
              <w:right w:val="single" w:color="auto" w:sz="4" w:space="0"/>
            </w:tcBorders>
            <w:noWrap/>
            <w:vAlign w:val="center"/>
          </w:tcPr>
          <w:p w14:paraId="1F966E44">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悦廷</w:t>
            </w:r>
          </w:p>
        </w:tc>
        <w:tc>
          <w:tcPr>
            <w:tcW w:w="2835" w:type="dxa"/>
            <w:tcBorders>
              <w:top w:val="single" w:color="auto" w:sz="4" w:space="0"/>
              <w:left w:val="nil"/>
              <w:bottom w:val="single" w:color="auto" w:sz="4" w:space="0"/>
              <w:right w:val="single" w:color="auto" w:sz="4" w:space="0"/>
            </w:tcBorders>
            <w:noWrap/>
            <w:vAlign w:val="center"/>
          </w:tcPr>
          <w:p w14:paraId="6910D8FA">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中信新城西区</w:t>
            </w:r>
          </w:p>
        </w:tc>
        <w:tc>
          <w:tcPr>
            <w:tcW w:w="2925" w:type="dxa"/>
            <w:tcBorders>
              <w:top w:val="single" w:color="auto" w:sz="4" w:space="0"/>
              <w:left w:val="nil"/>
              <w:bottom w:val="single" w:color="auto" w:sz="4" w:space="0"/>
              <w:right w:val="single" w:color="auto" w:sz="4" w:space="0"/>
            </w:tcBorders>
            <w:noWrap/>
            <w:vAlign w:val="center"/>
          </w:tcPr>
          <w:p w14:paraId="4660EA74">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南海家园四里</w:t>
            </w:r>
          </w:p>
        </w:tc>
      </w:tr>
      <w:tr w14:paraId="6FB13639">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551A6B4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楼层</w:t>
            </w:r>
          </w:p>
        </w:tc>
        <w:tc>
          <w:tcPr>
            <w:tcW w:w="2688" w:type="dxa"/>
            <w:tcBorders>
              <w:top w:val="nil"/>
              <w:left w:val="nil"/>
              <w:bottom w:val="single" w:color="auto" w:sz="4" w:space="0"/>
              <w:right w:val="single" w:color="auto" w:sz="4" w:space="0"/>
            </w:tcBorders>
            <w:noWrap/>
            <w:vAlign w:val="center"/>
          </w:tcPr>
          <w:p w14:paraId="71917A59">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835" w:type="dxa"/>
            <w:tcBorders>
              <w:top w:val="nil"/>
              <w:left w:val="nil"/>
              <w:bottom w:val="single" w:color="auto" w:sz="4" w:space="0"/>
              <w:right w:val="single" w:color="auto" w:sz="4" w:space="0"/>
            </w:tcBorders>
            <w:noWrap/>
            <w:vAlign w:val="center"/>
          </w:tcPr>
          <w:p w14:paraId="750F8B16">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925" w:type="dxa"/>
            <w:tcBorders>
              <w:top w:val="nil"/>
              <w:left w:val="nil"/>
              <w:bottom w:val="single" w:color="auto" w:sz="4" w:space="0"/>
              <w:right w:val="single" w:color="auto" w:sz="4" w:space="0"/>
            </w:tcBorders>
            <w:noWrap/>
            <w:vAlign w:val="center"/>
          </w:tcPr>
          <w:p w14:paraId="7057B46A">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r>
      <w:tr w14:paraId="7A71057C">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7C7A2250">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w:t>
            </w:r>
          </w:p>
        </w:tc>
        <w:tc>
          <w:tcPr>
            <w:tcW w:w="2688" w:type="dxa"/>
            <w:tcBorders>
              <w:top w:val="nil"/>
              <w:left w:val="nil"/>
              <w:bottom w:val="single" w:color="auto" w:sz="4" w:space="0"/>
              <w:right w:val="single" w:color="auto" w:sz="4" w:space="0"/>
            </w:tcBorders>
            <w:noWrap/>
            <w:vAlign w:val="center"/>
          </w:tcPr>
          <w:p w14:paraId="74834FC5">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2835" w:type="dxa"/>
            <w:tcBorders>
              <w:top w:val="nil"/>
              <w:left w:val="nil"/>
              <w:bottom w:val="single" w:color="auto" w:sz="4" w:space="0"/>
              <w:right w:val="single" w:color="auto" w:sz="4" w:space="0"/>
            </w:tcBorders>
            <w:noWrap/>
            <w:vAlign w:val="center"/>
          </w:tcPr>
          <w:p w14:paraId="6C982A61">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三居室</w:t>
            </w:r>
          </w:p>
        </w:tc>
        <w:tc>
          <w:tcPr>
            <w:tcW w:w="2925" w:type="dxa"/>
            <w:tcBorders>
              <w:top w:val="nil"/>
              <w:left w:val="nil"/>
              <w:bottom w:val="single" w:color="auto" w:sz="4" w:space="0"/>
              <w:right w:val="single" w:color="auto" w:sz="4" w:space="0"/>
            </w:tcBorders>
            <w:noWrap/>
            <w:vAlign w:val="center"/>
          </w:tcPr>
          <w:p w14:paraId="249EC825">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二居室</w:t>
            </w:r>
          </w:p>
        </w:tc>
      </w:tr>
      <w:tr w14:paraId="29C9528A">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5CEC6247">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朝向</w:t>
            </w:r>
          </w:p>
        </w:tc>
        <w:tc>
          <w:tcPr>
            <w:tcW w:w="2688" w:type="dxa"/>
            <w:tcBorders>
              <w:top w:val="nil"/>
              <w:left w:val="nil"/>
              <w:bottom w:val="single" w:color="auto" w:sz="4" w:space="0"/>
              <w:right w:val="single" w:color="auto" w:sz="4" w:space="0"/>
            </w:tcBorders>
            <w:noWrap/>
            <w:vAlign w:val="center"/>
          </w:tcPr>
          <w:p w14:paraId="73831DEC">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835" w:type="dxa"/>
            <w:tcBorders>
              <w:top w:val="nil"/>
              <w:left w:val="nil"/>
              <w:bottom w:val="single" w:color="auto" w:sz="4" w:space="0"/>
              <w:right w:val="single" w:color="auto" w:sz="4" w:space="0"/>
            </w:tcBorders>
            <w:noWrap/>
            <w:vAlign w:val="center"/>
          </w:tcPr>
          <w:p w14:paraId="081FE8AA">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925" w:type="dxa"/>
            <w:tcBorders>
              <w:top w:val="nil"/>
              <w:left w:val="nil"/>
              <w:bottom w:val="single" w:color="auto" w:sz="4" w:space="0"/>
              <w:right w:val="single" w:color="auto" w:sz="4" w:space="0"/>
            </w:tcBorders>
            <w:noWrap/>
            <w:vAlign w:val="center"/>
          </w:tcPr>
          <w:p w14:paraId="4B2D7409">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r>
      <w:tr w14:paraId="796438A1">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2B7046B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燃气</w:t>
            </w:r>
          </w:p>
        </w:tc>
        <w:tc>
          <w:tcPr>
            <w:tcW w:w="2688" w:type="dxa"/>
            <w:tcBorders>
              <w:top w:val="nil"/>
              <w:left w:val="nil"/>
              <w:bottom w:val="single" w:color="auto" w:sz="4" w:space="0"/>
              <w:right w:val="single" w:color="auto" w:sz="4" w:space="0"/>
            </w:tcBorders>
            <w:noWrap/>
            <w:vAlign w:val="center"/>
          </w:tcPr>
          <w:p w14:paraId="0D566288">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835" w:type="dxa"/>
            <w:tcBorders>
              <w:top w:val="nil"/>
              <w:left w:val="nil"/>
              <w:bottom w:val="single" w:color="auto" w:sz="4" w:space="0"/>
              <w:right w:val="single" w:color="auto" w:sz="4" w:space="0"/>
            </w:tcBorders>
            <w:noWrap/>
            <w:vAlign w:val="center"/>
          </w:tcPr>
          <w:p w14:paraId="460EB2C7">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925" w:type="dxa"/>
            <w:tcBorders>
              <w:top w:val="nil"/>
              <w:left w:val="nil"/>
              <w:bottom w:val="single" w:color="auto" w:sz="4" w:space="0"/>
              <w:right w:val="single" w:color="auto" w:sz="4" w:space="0"/>
            </w:tcBorders>
            <w:noWrap/>
            <w:vAlign w:val="center"/>
          </w:tcPr>
          <w:p w14:paraId="3CED5F0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r>
      <w:tr w14:paraId="034B6406">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14DD8090">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装修</w:t>
            </w:r>
          </w:p>
        </w:tc>
        <w:tc>
          <w:tcPr>
            <w:tcW w:w="2688" w:type="dxa"/>
            <w:tcBorders>
              <w:top w:val="nil"/>
              <w:left w:val="nil"/>
              <w:bottom w:val="single" w:color="auto" w:sz="4" w:space="0"/>
              <w:right w:val="single" w:color="auto" w:sz="4" w:space="0"/>
            </w:tcBorders>
            <w:noWrap/>
            <w:vAlign w:val="center"/>
          </w:tcPr>
          <w:p w14:paraId="1099C266">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835" w:type="dxa"/>
            <w:tcBorders>
              <w:top w:val="nil"/>
              <w:left w:val="nil"/>
              <w:bottom w:val="single" w:color="auto" w:sz="4" w:space="0"/>
              <w:right w:val="single" w:color="auto" w:sz="4" w:space="0"/>
            </w:tcBorders>
            <w:noWrap/>
            <w:vAlign w:val="center"/>
          </w:tcPr>
          <w:p w14:paraId="75C36B5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925" w:type="dxa"/>
            <w:tcBorders>
              <w:top w:val="nil"/>
              <w:left w:val="nil"/>
              <w:bottom w:val="single" w:color="auto" w:sz="4" w:space="0"/>
              <w:right w:val="single" w:color="auto" w:sz="4" w:space="0"/>
            </w:tcBorders>
            <w:noWrap/>
            <w:vAlign w:val="center"/>
          </w:tcPr>
          <w:p w14:paraId="64FAC459">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r>
      <w:tr w14:paraId="3744785C">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7E48FDE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设备</w:t>
            </w:r>
          </w:p>
        </w:tc>
        <w:tc>
          <w:tcPr>
            <w:tcW w:w="2688" w:type="dxa"/>
            <w:tcBorders>
              <w:top w:val="nil"/>
              <w:left w:val="nil"/>
              <w:bottom w:val="single" w:color="auto" w:sz="4" w:space="0"/>
              <w:right w:val="single" w:color="auto" w:sz="4" w:space="0"/>
            </w:tcBorders>
            <w:noWrap/>
          </w:tcPr>
          <w:p w14:paraId="5141DBA4">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835" w:type="dxa"/>
            <w:tcBorders>
              <w:top w:val="nil"/>
              <w:left w:val="nil"/>
              <w:bottom w:val="single" w:color="auto" w:sz="4" w:space="0"/>
              <w:right w:val="single" w:color="auto" w:sz="4" w:space="0"/>
            </w:tcBorders>
            <w:noWrap/>
          </w:tcPr>
          <w:p w14:paraId="6694070E">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925" w:type="dxa"/>
            <w:tcBorders>
              <w:top w:val="nil"/>
              <w:left w:val="nil"/>
              <w:bottom w:val="single" w:color="auto" w:sz="4" w:space="0"/>
              <w:right w:val="single" w:color="auto" w:sz="4" w:space="0"/>
            </w:tcBorders>
            <w:noWrap/>
          </w:tcPr>
          <w:p w14:paraId="57DF942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58CA3E7B">
      <w:pPr>
        <w:pStyle w:val="60"/>
        <w:wordWrap w:val="0"/>
        <w:overflowPunct w:val="0"/>
        <w:autoSpaceDE w:val="0"/>
        <w:autoSpaceDN w:val="0"/>
        <w:spacing w:before="120" w:beforeLines="50" w:line="480" w:lineRule="auto"/>
        <w:ind w:right="142"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61CBE573">
      <w:pPr>
        <w:pStyle w:val="60"/>
        <w:autoSpaceDE w:val="0"/>
        <w:autoSpaceDN w:val="0"/>
        <w:spacing w:line="480" w:lineRule="auto"/>
        <w:ind w:firstLine="420" w:firstLineChars="200"/>
        <w:jc w:val="center"/>
        <w:textAlignment w:val="bottom"/>
        <w:rPr>
          <w:rFonts w:hint="eastAsia"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估价对象及样本小区位置示意图</w:t>
      </w:r>
    </w:p>
    <w:p w14:paraId="662E54C7">
      <w:pPr>
        <w:pStyle w:val="60"/>
        <w:autoSpaceDE w:val="0"/>
        <w:autoSpaceDN w:val="0"/>
        <w:spacing w:line="480" w:lineRule="auto"/>
        <w:jc w:val="center"/>
        <w:textAlignment w:val="bottom"/>
        <w:rPr>
          <w:rFonts w:hint="eastAsia"/>
          <w:lang w:val="en-US" w:eastAsia="zh-CN"/>
        </w:rPr>
      </w:pPr>
      <w:r>
        <w:drawing>
          <wp:inline distT="0" distB="0" distL="0" distR="0">
            <wp:extent cx="5899150" cy="3670300"/>
            <wp:effectExtent l="0" t="0" r="0" b="0"/>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99150" cy="3670300"/>
                    </a:xfrm>
                    <a:prstGeom prst="rect">
                      <a:avLst/>
                    </a:prstGeom>
                    <a:noFill/>
                    <a:ln>
                      <a:noFill/>
                    </a:ln>
                  </pic:spPr>
                </pic:pic>
              </a:graphicData>
            </a:graphic>
          </wp:inline>
        </w:drawing>
      </w:r>
    </w:p>
    <w:p w14:paraId="1A7734A1">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6A2AD243">
      <w:pPr>
        <w:pStyle w:val="60"/>
        <w:autoSpaceDE w:val="0"/>
        <w:autoSpaceDN w:val="0"/>
        <w:spacing w:line="480" w:lineRule="auto"/>
        <w:ind w:firstLine="420" w:firstLineChars="200"/>
        <w:jc w:val="center"/>
        <w:textAlignment w:val="bottom"/>
        <w:rPr>
          <w:rFonts w:hint="eastAsia" w:ascii="Arial" w:hAnsi="Arial" w:cs="Arial"/>
          <w:color w:val="000000"/>
          <w:sz w:val="21"/>
          <w:szCs w:val="21"/>
        </w:rPr>
      </w:pPr>
    </w:p>
    <w:p w14:paraId="07D14303">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（2）</w:t>
      </w:r>
      <w:r>
        <w:rPr>
          <w:rFonts w:hint="eastAsia" w:ascii="Arial" w:hAnsi="Arial" w:cs="Arial"/>
          <w:color w:val="000000"/>
          <w:sz w:val="21"/>
          <w:szCs w:val="21"/>
        </w:rPr>
        <w:t>样本数据统计分析</w:t>
      </w:r>
    </w:p>
    <w:p w14:paraId="0204886F">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02F2C299">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A.估价机构监测数据</w:t>
      </w:r>
    </w:p>
    <w:p w14:paraId="36202ADF">
      <w:pPr>
        <w:pStyle w:val="66"/>
        <w:autoSpaceDE w:val="0"/>
        <w:autoSpaceDN w:val="0"/>
        <w:spacing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样本小区一：悦廷</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7B01272E">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0B197BD6">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BB06FDF">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AC0A184">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9700C7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4914E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CB4ED2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3FB441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60.43</w:t>
            </w:r>
          </w:p>
        </w:tc>
      </w:tr>
      <w:tr w14:paraId="766EDE3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A9BBAB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356541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1E417B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57.63</w:t>
            </w:r>
          </w:p>
        </w:tc>
      </w:tr>
      <w:tr w14:paraId="51E0618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508F5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2B97097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C5206E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53.06</w:t>
            </w:r>
          </w:p>
        </w:tc>
      </w:tr>
      <w:tr w14:paraId="1F57F2C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0A510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2ED47E3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8FA248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54.5</w:t>
            </w:r>
          </w:p>
        </w:tc>
      </w:tr>
      <w:tr w14:paraId="3B6134F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C09D52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042DB4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FE2659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61.48</w:t>
            </w:r>
          </w:p>
        </w:tc>
      </w:tr>
      <w:tr w14:paraId="72CEBF4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38D38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6E178A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82C33D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65.59</w:t>
            </w:r>
          </w:p>
        </w:tc>
      </w:tr>
      <w:tr w14:paraId="6A6CFAF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8C519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22230F8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618A48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64.84</w:t>
            </w:r>
          </w:p>
        </w:tc>
      </w:tr>
      <w:tr w14:paraId="172FC5F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1E4BA2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EC5937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CB7832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66.56</w:t>
            </w:r>
          </w:p>
        </w:tc>
      </w:tr>
      <w:tr w14:paraId="1589FAD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ECB4BA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8234B1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D03CAD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71.63</w:t>
            </w:r>
          </w:p>
        </w:tc>
      </w:tr>
      <w:tr w14:paraId="48A8F5A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967F3D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5403AAF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BC1E63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57.46</w:t>
            </w:r>
          </w:p>
        </w:tc>
      </w:tr>
      <w:tr w14:paraId="28B250A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4E54B0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3B7B53C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54AFC0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65.27</w:t>
            </w:r>
          </w:p>
        </w:tc>
      </w:tr>
      <w:tr w14:paraId="1B84DEC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BCC3F6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45A82EA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011876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64.63</w:t>
            </w:r>
          </w:p>
        </w:tc>
      </w:tr>
      <w:tr w14:paraId="1E2BB7CF">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3642A8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44C03E88">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61.92</w:t>
            </w:r>
          </w:p>
        </w:tc>
      </w:tr>
    </w:tbl>
    <w:p w14:paraId="0E372FDB">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样本小区二：中信新城西区</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234AF1DC">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633AC1D">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75EC048">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9036BCA">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2CBFA5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D2D57B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1F8AFCA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20C09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64.39</w:t>
            </w:r>
          </w:p>
        </w:tc>
      </w:tr>
      <w:tr w14:paraId="7BA5A1A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6500C3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7F1525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F02AC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65.28</w:t>
            </w:r>
          </w:p>
        </w:tc>
      </w:tr>
      <w:tr w14:paraId="59A6DC9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C36841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2754D4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922731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64.29</w:t>
            </w:r>
          </w:p>
        </w:tc>
      </w:tr>
      <w:tr w14:paraId="6ABB583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169DB3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050B633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0EACCB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64.27</w:t>
            </w:r>
          </w:p>
        </w:tc>
      </w:tr>
      <w:tr w14:paraId="41E42A5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03560B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0ACB778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AB4B72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63.96</w:t>
            </w:r>
          </w:p>
        </w:tc>
      </w:tr>
      <w:tr w14:paraId="2D643DE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939222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4FDFDDC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A4BEA3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63.64</w:t>
            </w:r>
          </w:p>
        </w:tc>
      </w:tr>
      <w:tr w14:paraId="328274E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9A7BA8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32ABD7A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57D49B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62.89</w:t>
            </w:r>
          </w:p>
        </w:tc>
      </w:tr>
      <w:tr w14:paraId="70291EC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CAD5C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D78C8D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DBD3F1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62.84</w:t>
            </w:r>
          </w:p>
        </w:tc>
      </w:tr>
      <w:tr w14:paraId="131EBE9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48DB91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C018AD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237D62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64.38</w:t>
            </w:r>
          </w:p>
        </w:tc>
      </w:tr>
      <w:tr w14:paraId="4487648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D8200A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1F5F7B5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D0C1B7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66.21</w:t>
            </w:r>
          </w:p>
        </w:tc>
      </w:tr>
      <w:tr w14:paraId="4EB6446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9293C6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5DFF2AA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11571A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64.74</w:t>
            </w:r>
          </w:p>
        </w:tc>
      </w:tr>
      <w:tr w14:paraId="3F7A67D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16BCF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012D31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D39DA5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65.38</w:t>
            </w:r>
          </w:p>
        </w:tc>
      </w:tr>
      <w:tr w14:paraId="252F55DF">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5EF79D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5F218D1C">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64.36</w:t>
            </w:r>
          </w:p>
        </w:tc>
      </w:tr>
    </w:tbl>
    <w:p w14:paraId="23FE18AA">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南海家园四里</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4DB7DABB">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60504A0">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98F6A47">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3DED252C">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FBC861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14F184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263BF5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7B0ABD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53.59</w:t>
            </w:r>
          </w:p>
        </w:tc>
      </w:tr>
      <w:tr w14:paraId="1A88D12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E71AC8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9F46E0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12E5BE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53.7</w:t>
            </w:r>
          </w:p>
        </w:tc>
      </w:tr>
      <w:tr w14:paraId="5725C67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DCCF1B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A6252A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90886B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53.42</w:t>
            </w:r>
          </w:p>
        </w:tc>
      </w:tr>
      <w:tr w14:paraId="276491A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F3CB4B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6ED2A9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386D9F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58.19</w:t>
            </w:r>
          </w:p>
        </w:tc>
      </w:tr>
      <w:tr w14:paraId="3AD182E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835757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15E8F58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51F3F7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55.89</w:t>
            </w:r>
          </w:p>
        </w:tc>
      </w:tr>
      <w:tr w14:paraId="267E310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97C23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630394B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B6C582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55.26</w:t>
            </w:r>
          </w:p>
        </w:tc>
      </w:tr>
      <w:tr w14:paraId="24B53B6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22A91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6137D0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4B0262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56.05</w:t>
            </w:r>
          </w:p>
        </w:tc>
      </w:tr>
      <w:tr w14:paraId="29C9AC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7B4BAF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4B7508F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3E6D6C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56.64</w:t>
            </w:r>
          </w:p>
        </w:tc>
      </w:tr>
      <w:tr w14:paraId="11D3FA2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8DF93D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4386AB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363AC4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58.65</w:t>
            </w:r>
          </w:p>
        </w:tc>
      </w:tr>
      <w:tr w14:paraId="4A6F81A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C2F868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1648A7E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C5E585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58.76</w:t>
            </w:r>
          </w:p>
        </w:tc>
      </w:tr>
      <w:tr w14:paraId="3CCDC8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2CED11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43385A3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3EAABC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57.85</w:t>
            </w:r>
          </w:p>
        </w:tc>
      </w:tr>
      <w:tr w14:paraId="0082425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DA192F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A91203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C8EE20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56.77</w:t>
            </w:r>
          </w:p>
        </w:tc>
      </w:tr>
      <w:tr w14:paraId="281D8B74">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0370F7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7B59339A">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56.23</w:t>
            </w:r>
          </w:p>
        </w:tc>
      </w:tr>
    </w:tbl>
    <w:p w14:paraId="107B9D9C">
      <w:pPr>
        <w:pStyle w:val="60"/>
        <w:autoSpaceDE w:val="0"/>
        <w:autoSpaceDN w:val="0"/>
        <w:spacing w:before="240" w:beforeLines="100" w:line="480" w:lineRule="auto"/>
        <w:ind w:firstLine="360" w:firstLineChars="200"/>
        <w:jc w:val="both"/>
        <w:textAlignment w:val="bottom"/>
        <w:rPr>
          <w:rFonts w:hint="eastAsia" w:ascii="Arial" w:hAnsi="Arial" w:cs="Arial"/>
          <w:color w:val="000000"/>
          <w:sz w:val="21"/>
          <w:szCs w:val="21"/>
        </w:rPr>
      </w:pPr>
      <w:r>
        <w:rPr>
          <w:rFonts w:hint="eastAsia" w:ascii="Arial" w:hAnsi="Arial" w:cs="Arial"/>
          <w:color w:val="000000"/>
          <w:sz w:val="18"/>
          <w:szCs w:val="18"/>
        </w:rPr>
        <w:t>注：</w:t>
      </w:r>
      <w:r>
        <w:rPr>
          <w:rFonts w:hint="eastAsia" w:ascii="Arial" w:hAnsi="Arial" w:cs="Arial"/>
          <w:sz w:val="18"/>
          <w:szCs w:val="18"/>
        </w:rPr>
        <w:t>上述样本小区租金包括地租、房屋折旧、设备折旧、维修费、家具及家电租赁费、保险费、物业费、供暖费、管理费、利息、利润和租赁税费等；不含水电费、天然气费、通信费、有线电视费、上网宽带费等</w:t>
      </w:r>
      <w:r>
        <w:rPr>
          <w:rFonts w:hint="eastAsia" w:ascii="Arial" w:hAnsi="Arial" w:cs="Arial"/>
          <w:color w:val="000000"/>
          <w:sz w:val="18"/>
          <w:szCs w:val="18"/>
        </w:rPr>
        <w:t>。</w:t>
      </w:r>
    </w:p>
    <w:p w14:paraId="715A338C">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p>
    <w:p w14:paraId="2C7885CF">
      <w:pPr>
        <w:pStyle w:val="60"/>
        <w:autoSpaceDE w:val="0"/>
        <w:autoSpaceDN w:val="0"/>
        <w:spacing w:line="480" w:lineRule="auto"/>
        <w:ind w:firstLine="420" w:firstLineChars="200"/>
        <w:textAlignment w:val="bottom"/>
        <w:rPr>
          <w:rFonts w:hint="eastAsia" w:ascii="Arial" w:hAnsi="Arial" w:cs="Arial"/>
          <w:color w:val="000000"/>
          <w:sz w:val="21"/>
          <w:szCs w:val="21"/>
        </w:rPr>
      </w:pPr>
    </w:p>
    <w:p w14:paraId="26B22B18">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B. 估价机构市场调查</w:t>
      </w:r>
    </w:p>
    <w:p w14:paraId="1C2C09D8">
      <w:pPr>
        <w:pStyle w:val="66"/>
        <w:autoSpaceDE w:val="0"/>
        <w:autoSpaceDN w:val="0"/>
        <w:spacing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样本小区一：悦廷</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12088671">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08259F1">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3C14E6B">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29EA0683">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2EEC1E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C1A4F0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8569F4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3E2A2C3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B4BDEB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925E5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vAlign w:val="center"/>
          </w:tcPr>
          <w:p w14:paraId="26390C5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759B20F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AE15AD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8AC2DF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vAlign w:val="center"/>
          </w:tcPr>
          <w:p w14:paraId="506BE62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669FB7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2A1568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26632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5BAE6F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E3B43B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58.40 </w:t>
            </w:r>
          </w:p>
        </w:tc>
      </w:tr>
      <w:tr w14:paraId="1EAF595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80BED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025795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8AC225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61.30 </w:t>
            </w:r>
          </w:p>
        </w:tc>
      </w:tr>
      <w:tr w14:paraId="7920F7E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803861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4A3B391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D0A8F1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D553E7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D2D40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331DB1B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1536AB4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57.85 </w:t>
            </w:r>
          </w:p>
        </w:tc>
      </w:tr>
      <w:tr w14:paraId="19335EA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A4AF70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8F3667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1CAFA40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157B45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2C21D0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BE08D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0AFBFA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66.40 </w:t>
            </w:r>
          </w:p>
        </w:tc>
      </w:tr>
      <w:tr w14:paraId="57C724B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AD7B0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36561E8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0DCF59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66.70 </w:t>
            </w:r>
          </w:p>
        </w:tc>
      </w:tr>
      <w:tr w14:paraId="0DCDD97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DD9099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5A513EF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9E97F8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57.10 </w:t>
            </w:r>
          </w:p>
        </w:tc>
      </w:tr>
      <w:tr w14:paraId="5F14277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D1CCDC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450FF8F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10CE8D6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C0725FD">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33B327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10C9D9C">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61.29</w:t>
            </w:r>
          </w:p>
        </w:tc>
      </w:tr>
    </w:tbl>
    <w:p w14:paraId="49493D37">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样本小区二：中信新城西区</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4E50B025">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19BE4CD0">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4957545">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4C0AA43">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158605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882533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0ABE007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624157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52.80 </w:t>
            </w:r>
          </w:p>
        </w:tc>
      </w:tr>
      <w:tr w14:paraId="3B3B7A7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674582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4866774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DFAD7F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67.10 </w:t>
            </w:r>
          </w:p>
        </w:tc>
      </w:tr>
      <w:tr w14:paraId="152AD9B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3D6045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4725B8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22DE15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DF1E7A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7EE244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5F2B4D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B10C8B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49.10 </w:t>
            </w:r>
          </w:p>
        </w:tc>
      </w:tr>
      <w:tr w14:paraId="0365F9D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451E32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483A94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A00FFE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55.60 </w:t>
            </w:r>
          </w:p>
        </w:tc>
      </w:tr>
      <w:tr w14:paraId="06E8A1D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A2F6EE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8BF333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2A1BC88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CC5BD1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5954A7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B5661C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BF262D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55.70 </w:t>
            </w:r>
          </w:p>
        </w:tc>
      </w:tr>
      <w:tr w14:paraId="5D47591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8F350F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9756C5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8C94AC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62.50 </w:t>
            </w:r>
          </w:p>
        </w:tc>
      </w:tr>
      <w:tr w14:paraId="5365111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53281A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DA5C96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C2B478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634923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74C840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D71EBFD">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167734E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57.65</w:t>
            </w:r>
          </w:p>
        </w:tc>
      </w:tr>
      <w:tr w14:paraId="7CF8377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9D98F0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A51245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5EAD4F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54.20 </w:t>
            </w:r>
          </w:p>
        </w:tc>
      </w:tr>
      <w:tr w14:paraId="2F507D4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975554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05557EB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BEA872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52.10 </w:t>
            </w:r>
          </w:p>
        </w:tc>
      </w:tr>
      <w:tr w14:paraId="7DF764EF">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3DE2BB8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E41D0E3">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56.31</w:t>
            </w:r>
          </w:p>
        </w:tc>
      </w:tr>
    </w:tbl>
    <w:p w14:paraId="16E8282D">
      <w:pPr>
        <w:pStyle w:val="66"/>
        <w:autoSpaceDE w:val="0"/>
        <w:autoSpaceDN w:val="0"/>
        <w:spacing w:before="240" w:beforeLines="100" w:line="240" w:lineRule="auto"/>
        <w:ind w:firstLine="315" w:firstLineChars="15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南海家园四里</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20D0001E">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35A09DB">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03909A7">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733FF24">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3E9CF6A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6A1321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510ADF1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91C52B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51.70 </w:t>
            </w:r>
          </w:p>
        </w:tc>
      </w:tr>
      <w:tr w14:paraId="67763B9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6AFB19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D3D0C4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A0BF30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55.60 </w:t>
            </w:r>
          </w:p>
        </w:tc>
      </w:tr>
      <w:tr w14:paraId="0BA7F5F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DD8DB9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436DBBA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3C4B02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47.70 </w:t>
            </w:r>
          </w:p>
        </w:tc>
      </w:tr>
      <w:tr w14:paraId="1856497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5938DA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48ADE46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21F5D9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19EF86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14D2B6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4885F73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669BDB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66.90 </w:t>
            </w:r>
          </w:p>
        </w:tc>
      </w:tr>
      <w:tr w14:paraId="703CA5C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AAD789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2BF8108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69EAC1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58.80 </w:t>
            </w:r>
          </w:p>
        </w:tc>
      </w:tr>
      <w:tr w14:paraId="11A421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1B1933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7468CA6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7329476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1A395C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09A1D4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136139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3DE490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42.80 </w:t>
            </w:r>
          </w:p>
        </w:tc>
      </w:tr>
      <w:tr w14:paraId="6AC5E6B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B530F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124F08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12CB26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51.30 </w:t>
            </w:r>
          </w:p>
        </w:tc>
      </w:tr>
      <w:tr w14:paraId="4FD2355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530387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5F32C8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3D004E8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50.30 </w:t>
            </w:r>
          </w:p>
        </w:tc>
      </w:tr>
      <w:tr w14:paraId="7F2EA63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E55145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30F9F6E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3</w:t>
            </w:r>
          </w:p>
        </w:tc>
        <w:tc>
          <w:tcPr>
            <w:tcW w:w="2252" w:type="pct"/>
            <w:tcBorders>
              <w:top w:val="nil"/>
              <w:left w:val="nil"/>
              <w:bottom w:val="single" w:color="auto" w:sz="4" w:space="0"/>
              <w:right w:val="single" w:color="auto" w:sz="4" w:space="0"/>
            </w:tcBorders>
            <w:vAlign w:val="center"/>
          </w:tcPr>
          <w:p w14:paraId="008165E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57.93 </w:t>
            </w:r>
          </w:p>
        </w:tc>
      </w:tr>
      <w:tr w14:paraId="545CD17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BAC0D7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528C453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A47824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73.50 </w:t>
            </w:r>
          </w:p>
        </w:tc>
      </w:tr>
      <w:tr w14:paraId="123BF2DE">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7DC20D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22E3A4F4">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55.65</w:t>
            </w:r>
          </w:p>
        </w:tc>
      </w:tr>
    </w:tbl>
    <w:p w14:paraId="20E0FA67">
      <w:pPr>
        <w:pStyle w:val="60"/>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w:t>
      </w:r>
      <w:r>
        <w:rPr>
          <w:rFonts w:hint="eastAsia" w:ascii="Arial" w:hAnsi="Arial" w:cs="Arial"/>
          <w:sz w:val="18"/>
          <w:szCs w:val="18"/>
        </w:rPr>
        <w:t>上述样本小区租金包括地租、房屋折旧、设备折旧、维修费、家具及家电租赁费、保险费、物业费、供暖费、管理费、利息、利润和租赁税费等；不含水电费、天然气费、通信费、有线电视费、上网宽带费等</w:t>
      </w:r>
      <w:r>
        <w:rPr>
          <w:rFonts w:hint="eastAsia" w:ascii="Arial" w:hAnsi="Arial" w:cs="Arial"/>
          <w:color w:val="000000"/>
          <w:sz w:val="18"/>
          <w:szCs w:val="18"/>
        </w:rPr>
        <w:t>。</w:t>
      </w:r>
    </w:p>
    <w:p w14:paraId="71F30D64">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C. 行业主管部门（北京市房地产市场管理事务中心）监测数据</w:t>
      </w:r>
    </w:p>
    <w:p w14:paraId="1455BC94">
      <w:pPr>
        <w:pStyle w:val="66"/>
        <w:autoSpaceDE w:val="0"/>
        <w:autoSpaceDN w:val="0"/>
        <w:spacing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样本小区一：悦廷</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5DB29F9E">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383027FF">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2A7B3E40">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550FE435">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5A90BCF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A24C7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tcPr>
          <w:p w14:paraId="755D13F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ED3487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56.53 </w:t>
            </w:r>
          </w:p>
        </w:tc>
      </w:tr>
      <w:tr w14:paraId="7A23125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DAD927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06D7BC9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D69AD1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58.31 </w:t>
            </w:r>
          </w:p>
        </w:tc>
      </w:tr>
      <w:tr w14:paraId="6338DF4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E83878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6F2D32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2C9B773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8E2272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7DA9B6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887CA5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C6AD10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63.09 </w:t>
            </w:r>
          </w:p>
        </w:tc>
      </w:tr>
      <w:tr w14:paraId="2C6ADE6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704D7B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FD350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8C72F3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61.27 </w:t>
            </w:r>
          </w:p>
        </w:tc>
      </w:tr>
      <w:tr w14:paraId="0C72A5C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AE28FE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0B64D4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CBF92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54.38 </w:t>
            </w:r>
          </w:p>
        </w:tc>
      </w:tr>
      <w:tr w14:paraId="07A4D82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54E487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73EC52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E1E9E1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57.99 </w:t>
            </w:r>
          </w:p>
        </w:tc>
      </w:tr>
      <w:tr w14:paraId="5BAF442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A049E7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7E41113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213DD20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9F335F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DD6CF2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64D516F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DDE731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72.25 </w:t>
            </w:r>
          </w:p>
        </w:tc>
      </w:tr>
      <w:tr w14:paraId="00501F9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6B20E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22DADAC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1088E8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63.72 </w:t>
            </w:r>
          </w:p>
        </w:tc>
      </w:tr>
      <w:tr w14:paraId="345CB36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CD8C23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429E9F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A5CC77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62.77 </w:t>
            </w:r>
          </w:p>
        </w:tc>
      </w:tr>
      <w:tr w14:paraId="59A0606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35BB02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4F82201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E16BEB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57.13 </w:t>
            </w:r>
          </w:p>
        </w:tc>
      </w:tr>
      <w:tr w14:paraId="42FE448C">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8A03AE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600425A">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60.74</w:t>
            </w:r>
          </w:p>
        </w:tc>
      </w:tr>
    </w:tbl>
    <w:p w14:paraId="2F987E23">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样本小区二：中信新城西区</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6C254ECE">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082BBEF0">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148B5D6">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2D749282">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6A97D4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4D1CE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tcPr>
          <w:p w14:paraId="1F5AFC0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08342E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53.98</w:t>
            </w:r>
          </w:p>
        </w:tc>
      </w:tr>
      <w:tr w14:paraId="1A7F48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F37772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DE2726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34C8B0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57.61</w:t>
            </w:r>
          </w:p>
        </w:tc>
      </w:tr>
      <w:tr w14:paraId="096213B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014AC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6C9F93D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0F81C4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52.84</w:t>
            </w:r>
          </w:p>
        </w:tc>
      </w:tr>
      <w:tr w14:paraId="73373C7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9BC66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D170C3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83DBA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52.29</w:t>
            </w:r>
          </w:p>
        </w:tc>
      </w:tr>
      <w:tr w14:paraId="0652EF4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9170B9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423F3B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249DA9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55.59</w:t>
            </w:r>
          </w:p>
        </w:tc>
      </w:tr>
      <w:tr w14:paraId="2011253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6B2414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6F7EE30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1D8AA7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57.13</w:t>
            </w:r>
          </w:p>
        </w:tc>
      </w:tr>
      <w:tr w14:paraId="08319FA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CCDA6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9E2DF0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93124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56.44</w:t>
            </w:r>
          </w:p>
        </w:tc>
      </w:tr>
      <w:tr w14:paraId="087E6F6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2C6FD1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6E9693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3769D5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58.02</w:t>
            </w:r>
          </w:p>
        </w:tc>
      </w:tr>
      <w:tr w14:paraId="61B91A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5841AE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680A00D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2D0076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58.08</w:t>
            </w:r>
          </w:p>
        </w:tc>
      </w:tr>
      <w:tr w14:paraId="09597B8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54A5FB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145FD9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51E601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63.08</w:t>
            </w:r>
          </w:p>
        </w:tc>
      </w:tr>
      <w:tr w14:paraId="5D846D4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8E562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30F345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957EF4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61.76</w:t>
            </w:r>
          </w:p>
        </w:tc>
      </w:tr>
      <w:tr w14:paraId="40165BD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C615D3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E41DCB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BC911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61.34</w:t>
            </w:r>
          </w:p>
        </w:tc>
      </w:tr>
      <w:tr w14:paraId="37833FC5">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34CE546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6A897CBD">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57.35</w:t>
            </w:r>
          </w:p>
        </w:tc>
      </w:tr>
    </w:tbl>
    <w:p w14:paraId="41322BA1">
      <w:pPr>
        <w:pStyle w:val="66"/>
        <w:autoSpaceDE w:val="0"/>
        <w:autoSpaceDN w:val="0"/>
        <w:spacing w:before="240" w:beforeLines="100" w:line="240" w:lineRule="auto"/>
        <w:ind w:firstLine="315" w:firstLineChars="15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南海家园四里</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75149D6D">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3CC088C5">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414BB9C5">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112289FE">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312391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2E85BB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tcPr>
          <w:p w14:paraId="1713D59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EF61F0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68.84</w:t>
            </w:r>
          </w:p>
        </w:tc>
      </w:tr>
      <w:tr w14:paraId="59FABFC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D24516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5541C5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6CEE38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59.45</w:t>
            </w:r>
          </w:p>
        </w:tc>
      </w:tr>
      <w:tr w14:paraId="61C5C70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39C0F1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14FA7D2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8A01EA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53.26</w:t>
            </w:r>
          </w:p>
        </w:tc>
      </w:tr>
      <w:tr w14:paraId="065C1C3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B72801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2A8AC9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BF1627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50.18</w:t>
            </w:r>
          </w:p>
        </w:tc>
      </w:tr>
      <w:tr w14:paraId="5D03F25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B35CC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9FAD5E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6EC945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48.69</w:t>
            </w:r>
          </w:p>
        </w:tc>
      </w:tr>
      <w:tr w14:paraId="443B09B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B7610C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B6DD20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1FDBA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48.82</w:t>
            </w:r>
          </w:p>
        </w:tc>
      </w:tr>
      <w:tr w14:paraId="012A033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7F055B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A1656E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611BA6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42.53</w:t>
            </w:r>
          </w:p>
        </w:tc>
      </w:tr>
      <w:tr w14:paraId="0399BD5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3CA85D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4B7C49D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A28A04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54.4</w:t>
            </w:r>
          </w:p>
        </w:tc>
      </w:tr>
      <w:tr w14:paraId="0EC6AB7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C010AF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F0EA29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7F395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48.09</w:t>
            </w:r>
          </w:p>
        </w:tc>
      </w:tr>
      <w:tr w14:paraId="119E656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AC182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327143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D3F54A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52.67</w:t>
            </w:r>
          </w:p>
        </w:tc>
      </w:tr>
      <w:tr w14:paraId="7CD5176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4A3F9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19E033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5EEFFB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55.36</w:t>
            </w:r>
          </w:p>
        </w:tc>
      </w:tr>
      <w:tr w14:paraId="11F2967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5EF90E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297AB1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F8B66C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58.56</w:t>
            </w:r>
          </w:p>
        </w:tc>
      </w:tr>
      <w:tr w14:paraId="31764DC0">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283399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1F44E79E">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53.40</w:t>
            </w:r>
          </w:p>
        </w:tc>
      </w:tr>
    </w:tbl>
    <w:p w14:paraId="22917ED1">
      <w:pPr>
        <w:pStyle w:val="60"/>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w:t>
      </w:r>
      <w:r>
        <w:rPr>
          <w:rFonts w:hint="eastAsia" w:ascii="Arial" w:hAnsi="Arial" w:cs="Arial"/>
          <w:sz w:val="18"/>
          <w:szCs w:val="18"/>
        </w:rPr>
        <w:t>上述样本小区租金包括地租、房屋折旧、设备折旧、维修费、家具及家电租赁费、保险费、物业费、供暖费、管理费、利息、利润和租赁税费等；不含水电费、天然气费、通信费、有线电视费、上网宽带费等</w:t>
      </w:r>
      <w:r>
        <w:rPr>
          <w:rFonts w:hint="eastAsia" w:ascii="Arial" w:hAnsi="Arial" w:cs="Arial"/>
          <w:color w:val="000000"/>
          <w:sz w:val="18"/>
          <w:szCs w:val="18"/>
        </w:rPr>
        <w:t>。</w:t>
      </w:r>
    </w:p>
    <w:p w14:paraId="42BAD704">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（3）确定可比实例年平均租金水平</w:t>
      </w:r>
    </w:p>
    <w:p w14:paraId="14D78C0C">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结合三方面数据,本次估价从评估专业人员掌握的交易实例中选取悦廷、</w:t>
      </w:r>
      <w:r>
        <w:rPr>
          <w:rFonts w:hint="eastAsia" w:ascii="Arial" w:hAnsi="Arial" w:cs="Arial"/>
          <w:sz w:val="21"/>
          <w:szCs w:val="21"/>
        </w:rPr>
        <w:t>中信新城西区</w:t>
      </w:r>
      <w:r>
        <w:rPr>
          <w:rFonts w:hint="eastAsia" w:ascii="Arial" w:hAnsi="Arial" w:cs="Arial"/>
          <w:color w:val="000000"/>
          <w:sz w:val="21"/>
          <w:szCs w:val="21"/>
        </w:rPr>
        <w:t>、</w:t>
      </w:r>
      <w:r>
        <w:rPr>
          <w:rFonts w:hint="eastAsia" w:ascii="Arial" w:hAnsi="Arial" w:cs="Arial"/>
          <w:sz w:val="21"/>
          <w:szCs w:val="21"/>
        </w:rPr>
        <w:t>南海家园四里</w:t>
      </w:r>
      <w:bookmarkStart w:id="60" w:name="_GoBack"/>
      <w:bookmarkEnd w:id="60"/>
      <w:r>
        <w:rPr>
          <w:rFonts w:hint="eastAsia" w:ascii="Arial" w:hAnsi="Arial" w:cs="Arial"/>
          <w:color w:val="000000"/>
          <w:sz w:val="21"/>
          <w:szCs w:val="21"/>
        </w:rPr>
        <w:t>3 个普通住宅小区作为可比实例。</w:t>
      </w:r>
    </w:p>
    <w:p w14:paraId="2C2468CD">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经过统计分析及测算，各小区的数据来源及近一年平均租金水平分别如下：</w:t>
      </w:r>
    </w:p>
    <w:tbl>
      <w:tblPr>
        <w:tblStyle w:val="33"/>
        <w:tblW w:w="5000" w:type="pct"/>
        <w:tblInd w:w="0" w:type="dxa"/>
        <w:tblLayout w:type="autofit"/>
        <w:tblCellMar>
          <w:top w:w="0" w:type="dxa"/>
          <w:left w:w="108" w:type="dxa"/>
          <w:bottom w:w="0" w:type="dxa"/>
          <w:right w:w="108" w:type="dxa"/>
        </w:tblCellMar>
      </w:tblPr>
      <w:tblGrid>
        <w:gridCol w:w="4076"/>
        <w:gridCol w:w="1907"/>
        <w:gridCol w:w="1766"/>
        <w:gridCol w:w="1766"/>
      </w:tblGrid>
      <w:tr w14:paraId="1D0558F0">
        <w:tblPrEx>
          <w:tblCellMar>
            <w:top w:w="0" w:type="dxa"/>
            <w:left w:w="108" w:type="dxa"/>
            <w:bottom w:w="0" w:type="dxa"/>
            <w:right w:w="108" w:type="dxa"/>
          </w:tblCellMar>
        </w:tblPrEx>
        <w:trPr>
          <w:trHeight w:val="440" w:hRule="atLeast"/>
        </w:trPr>
        <w:tc>
          <w:tcPr>
            <w:tcW w:w="2142" w:type="pct"/>
            <w:tcBorders>
              <w:top w:val="single" w:color="auto" w:sz="4" w:space="0"/>
              <w:left w:val="single" w:color="auto" w:sz="4" w:space="0"/>
              <w:bottom w:val="single" w:color="auto" w:sz="4" w:space="0"/>
              <w:right w:val="single" w:color="auto" w:sz="4" w:space="0"/>
            </w:tcBorders>
            <w:vAlign w:val="center"/>
          </w:tcPr>
          <w:p w14:paraId="0BD53C0B">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数据来源</w:t>
            </w:r>
          </w:p>
        </w:tc>
        <w:tc>
          <w:tcPr>
            <w:tcW w:w="1907" w:type="dxa"/>
            <w:tcBorders>
              <w:top w:val="single" w:color="auto" w:sz="4" w:space="0"/>
              <w:left w:val="nil"/>
              <w:bottom w:val="single" w:color="auto" w:sz="4" w:space="0"/>
              <w:right w:val="single" w:color="auto" w:sz="4" w:space="0"/>
            </w:tcBorders>
            <w:vAlign w:val="center"/>
          </w:tcPr>
          <w:p w14:paraId="0E6D34F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悦廷</w:t>
            </w:r>
          </w:p>
        </w:tc>
        <w:tc>
          <w:tcPr>
            <w:tcW w:w="1766" w:type="dxa"/>
            <w:tcBorders>
              <w:top w:val="single" w:color="auto" w:sz="4" w:space="0"/>
              <w:left w:val="nil"/>
              <w:bottom w:val="single" w:color="auto" w:sz="4" w:space="0"/>
              <w:right w:val="single" w:color="auto" w:sz="4" w:space="0"/>
            </w:tcBorders>
            <w:vAlign w:val="center"/>
          </w:tcPr>
          <w:p w14:paraId="0E9669D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中信新城西区</w:t>
            </w:r>
          </w:p>
        </w:tc>
        <w:tc>
          <w:tcPr>
            <w:tcW w:w="1766" w:type="dxa"/>
            <w:tcBorders>
              <w:top w:val="single" w:color="auto" w:sz="4" w:space="0"/>
              <w:left w:val="nil"/>
              <w:bottom w:val="single" w:color="auto" w:sz="4" w:space="0"/>
              <w:right w:val="single" w:color="auto" w:sz="4" w:space="0"/>
            </w:tcBorders>
            <w:vAlign w:val="center"/>
          </w:tcPr>
          <w:p w14:paraId="3B67ED3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南海家园四里</w:t>
            </w:r>
          </w:p>
        </w:tc>
      </w:tr>
      <w:tr w14:paraId="67C2A790">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7131BADD">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估价机构样本数据</w:t>
            </w:r>
          </w:p>
        </w:tc>
        <w:tc>
          <w:tcPr>
            <w:tcW w:w="1907" w:type="dxa"/>
            <w:tcBorders>
              <w:top w:val="nil"/>
              <w:left w:val="nil"/>
              <w:bottom w:val="single" w:color="auto" w:sz="4" w:space="0"/>
              <w:right w:val="single" w:color="auto" w:sz="4" w:space="0"/>
            </w:tcBorders>
            <w:vAlign w:val="center"/>
          </w:tcPr>
          <w:p w14:paraId="1BDA9BA9">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61.92</w:t>
            </w:r>
          </w:p>
        </w:tc>
        <w:tc>
          <w:tcPr>
            <w:tcW w:w="1766" w:type="dxa"/>
            <w:tcBorders>
              <w:top w:val="nil"/>
              <w:left w:val="nil"/>
              <w:bottom w:val="single" w:color="auto" w:sz="4" w:space="0"/>
              <w:right w:val="single" w:color="auto" w:sz="4" w:space="0"/>
            </w:tcBorders>
            <w:vAlign w:val="center"/>
          </w:tcPr>
          <w:p w14:paraId="2C92611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64.36</w:t>
            </w:r>
          </w:p>
        </w:tc>
        <w:tc>
          <w:tcPr>
            <w:tcW w:w="1766" w:type="dxa"/>
            <w:tcBorders>
              <w:top w:val="nil"/>
              <w:left w:val="nil"/>
              <w:bottom w:val="single" w:color="auto" w:sz="4" w:space="0"/>
              <w:right w:val="single" w:color="auto" w:sz="4" w:space="0"/>
            </w:tcBorders>
            <w:vAlign w:val="center"/>
          </w:tcPr>
          <w:p w14:paraId="06A44A4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56.23</w:t>
            </w:r>
          </w:p>
        </w:tc>
      </w:tr>
      <w:tr w14:paraId="4C205C2A">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31A31F5F">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市场调查数据</w:t>
            </w:r>
          </w:p>
        </w:tc>
        <w:tc>
          <w:tcPr>
            <w:tcW w:w="1907" w:type="dxa"/>
            <w:tcBorders>
              <w:top w:val="nil"/>
              <w:left w:val="nil"/>
              <w:bottom w:val="single" w:color="auto" w:sz="4" w:space="0"/>
              <w:right w:val="single" w:color="auto" w:sz="4" w:space="0"/>
            </w:tcBorders>
            <w:vAlign w:val="center"/>
          </w:tcPr>
          <w:p w14:paraId="59F7541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61.29</w:t>
            </w:r>
          </w:p>
        </w:tc>
        <w:tc>
          <w:tcPr>
            <w:tcW w:w="1766" w:type="dxa"/>
            <w:tcBorders>
              <w:top w:val="nil"/>
              <w:left w:val="nil"/>
              <w:bottom w:val="single" w:color="auto" w:sz="4" w:space="0"/>
              <w:right w:val="single" w:color="auto" w:sz="4" w:space="0"/>
            </w:tcBorders>
            <w:vAlign w:val="center"/>
          </w:tcPr>
          <w:p w14:paraId="00626C6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56.31</w:t>
            </w:r>
          </w:p>
        </w:tc>
        <w:tc>
          <w:tcPr>
            <w:tcW w:w="1766" w:type="dxa"/>
            <w:tcBorders>
              <w:top w:val="nil"/>
              <w:left w:val="nil"/>
              <w:bottom w:val="single" w:color="auto" w:sz="4" w:space="0"/>
              <w:right w:val="single" w:color="auto" w:sz="4" w:space="0"/>
            </w:tcBorders>
            <w:vAlign w:val="center"/>
          </w:tcPr>
          <w:p w14:paraId="5AE63231">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55.65</w:t>
            </w:r>
          </w:p>
        </w:tc>
      </w:tr>
      <w:tr w14:paraId="7B829706">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107CA1BC">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北京市房地产市场管理事务中心样本数据</w:t>
            </w:r>
          </w:p>
        </w:tc>
        <w:tc>
          <w:tcPr>
            <w:tcW w:w="1907" w:type="dxa"/>
            <w:tcBorders>
              <w:top w:val="nil"/>
              <w:left w:val="nil"/>
              <w:bottom w:val="single" w:color="auto" w:sz="4" w:space="0"/>
              <w:right w:val="single" w:color="auto" w:sz="4" w:space="0"/>
            </w:tcBorders>
            <w:vAlign w:val="center"/>
          </w:tcPr>
          <w:p w14:paraId="1855610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60.74</w:t>
            </w:r>
          </w:p>
        </w:tc>
        <w:tc>
          <w:tcPr>
            <w:tcW w:w="1766" w:type="dxa"/>
            <w:tcBorders>
              <w:top w:val="nil"/>
              <w:left w:val="nil"/>
              <w:bottom w:val="single" w:color="auto" w:sz="4" w:space="0"/>
              <w:right w:val="single" w:color="auto" w:sz="4" w:space="0"/>
            </w:tcBorders>
            <w:vAlign w:val="center"/>
          </w:tcPr>
          <w:p w14:paraId="1E78C23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57.35</w:t>
            </w:r>
          </w:p>
        </w:tc>
        <w:tc>
          <w:tcPr>
            <w:tcW w:w="1766" w:type="dxa"/>
            <w:tcBorders>
              <w:top w:val="nil"/>
              <w:left w:val="nil"/>
              <w:bottom w:val="single" w:color="auto" w:sz="4" w:space="0"/>
              <w:right w:val="single" w:color="auto" w:sz="4" w:space="0"/>
            </w:tcBorders>
            <w:vAlign w:val="center"/>
          </w:tcPr>
          <w:p w14:paraId="19C0261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53.40</w:t>
            </w:r>
          </w:p>
        </w:tc>
      </w:tr>
      <w:tr w14:paraId="6986576C">
        <w:tblPrEx>
          <w:tblCellMar>
            <w:top w:w="0" w:type="dxa"/>
            <w:left w:w="108" w:type="dxa"/>
            <w:bottom w:w="0" w:type="dxa"/>
            <w:right w:w="108" w:type="dxa"/>
          </w:tblCellMar>
        </w:tblPrEx>
        <w:trPr>
          <w:trHeight w:val="467" w:hRule="atLeast"/>
        </w:trPr>
        <w:tc>
          <w:tcPr>
            <w:tcW w:w="2142" w:type="pct"/>
            <w:tcBorders>
              <w:top w:val="nil"/>
              <w:left w:val="single" w:color="auto" w:sz="4" w:space="0"/>
              <w:bottom w:val="single" w:color="auto" w:sz="4" w:space="0"/>
              <w:right w:val="single" w:color="auto" w:sz="4" w:space="0"/>
            </w:tcBorders>
            <w:vAlign w:val="center"/>
          </w:tcPr>
          <w:p w14:paraId="5BE8AA61">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平均价</w:t>
            </w:r>
          </w:p>
        </w:tc>
        <w:tc>
          <w:tcPr>
            <w:tcW w:w="1907" w:type="dxa"/>
            <w:tcBorders>
              <w:top w:val="nil"/>
              <w:left w:val="nil"/>
              <w:bottom w:val="single" w:color="auto" w:sz="4" w:space="0"/>
              <w:right w:val="single" w:color="auto" w:sz="4" w:space="0"/>
            </w:tcBorders>
            <w:vAlign w:val="center"/>
          </w:tcPr>
          <w:p w14:paraId="07DD25F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61.32</w:t>
            </w:r>
          </w:p>
        </w:tc>
        <w:tc>
          <w:tcPr>
            <w:tcW w:w="1766" w:type="dxa"/>
            <w:tcBorders>
              <w:top w:val="nil"/>
              <w:left w:val="nil"/>
              <w:bottom w:val="single" w:color="auto" w:sz="4" w:space="0"/>
              <w:right w:val="single" w:color="auto" w:sz="4" w:space="0"/>
            </w:tcBorders>
            <w:vAlign w:val="center"/>
          </w:tcPr>
          <w:p w14:paraId="4A06C063">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59.34</w:t>
            </w:r>
          </w:p>
        </w:tc>
        <w:tc>
          <w:tcPr>
            <w:tcW w:w="1766" w:type="dxa"/>
            <w:tcBorders>
              <w:top w:val="nil"/>
              <w:left w:val="nil"/>
              <w:bottom w:val="single" w:color="auto" w:sz="4" w:space="0"/>
              <w:right w:val="single" w:color="auto" w:sz="4" w:space="0"/>
            </w:tcBorders>
            <w:vAlign w:val="center"/>
          </w:tcPr>
          <w:p w14:paraId="000F644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55.09</w:t>
            </w:r>
          </w:p>
        </w:tc>
      </w:tr>
    </w:tbl>
    <w:p w14:paraId="61D4B874">
      <w:pPr>
        <w:spacing w:before="22"/>
        <w:ind w:right="370"/>
        <w:rPr>
          <w:rFonts w:hint="eastAsia"/>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38B52909">
      <w:pPr>
        <w:pStyle w:val="66"/>
        <w:autoSpaceDE w:val="0"/>
        <w:autoSpaceDN w:val="0"/>
        <w:spacing w:before="240" w:beforeLines="100"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悦廷小区租金平均价＝（61.92+61.29+60.74）÷3＝61.32（元/月·㎡）</w:t>
      </w:r>
    </w:p>
    <w:p w14:paraId="18F41184">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中信新城西区小区租金平均价＝（64.36+56.31+57.35）÷3＝59.34（元/月·㎡）</w:t>
      </w:r>
    </w:p>
    <w:p w14:paraId="6650C739">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南海家园四里小区租金平均价＝（56.23+55.65+53.40）÷3＝55.09（元/月·㎡）</w:t>
      </w:r>
    </w:p>
    <w:p w14:paraId="43F7C07B">
      <w:pPr>
        <w:spacing w:before="22"/>
        <w:ind w:right="370"/>
        <w:jc w:val="center"/>
        <w:rPr>
          <w:rFonts w:ascii="Arial" w:hAnsi="Arial" w:cs="Arial"/>
          <w:sz w:val="21"/>
          <w:szCs w:val="21"/>
        </w:rPr>
      </w:pPr>
      <w:r>
        <w:rPr>
          <w:rFonts w:hint="eastAsia" w:ascii="Arial" w:hAnsi="Arial" w:cs="Arial"/>
          <w:sz w:val="21"/>
          <w:szCs w:val="21"/>
        </w:rPr>
        <w:t>可比实例外观照片</w:t>
      </w:r>
    </w:p>
    <w:p w14:paraId="12A0024F">
      <w:pPr>
        <w:pStyle w:val="12"/>
        <w:spacing w:before="4"/>
        <w:ind w:firstLine="1050" w:firstLineChars="500"/>
        <w:rPr>
          <w:rFonts w:ascii="Arial" w:hAnsi="Arial" w:eastAsia="宋体" w:cs="Arial"/>
          <w:sz w:val="21"/>
          <w:szCs w:val="21"/>
        </w:rPr>
      </w:pPr>
      <w:r>
        <w:rPr>
          <w:rFonts w:hint="eastAsia" w:ascii="Arial" w:hAnsi="Arial" w:eastAsia="宋体" w:cs="Arial"/>
          <w:sz w:val="21"/>
          <w:szCs w:val="21"/>
        </w:rPr>
        <w:t xml:space="preserve">悦廷             </w:t>
      </w:r>
      <w:r>
        <w:rPr>
          <w:rFonts w:ascii="Arial" w:hAnsi="Arial" w:eastAsia="宋体" w:cs="Arial"/>
          <w:sz w:val="21"/>
          <w:szCs w:val="21"/>
        </w:rPr>
        <w:t xml:space="preserve">      </w:t>
      </w:r>
      <w:r>
        <w:rPr>
          <w:rFonts w:hint="eastAsia" w:ascii="Arial" w:hAnsi="Arial" w:eastAsia="宋体" w:cs="Arial"/>
          <w:sz w:val="21"/>
          <w:szCs w:val="21"/>
        </w:rPr>
        <w:t xml:space="preserve">   中信新城西区                  </w:t>
      </w:r>
      <w:r>
        <w:rPr>
          <w:rFonts w:ascii="Arial" w:hAnsi="Arial" w:eastAsia="宋体" w:cs="Arial"/>
          <w:sz w:val="21"/>
          <w:szCs w:val="21"/>
        </w:rPr>
        <w:t xml:space="preserve">  </w:t>
      </w:r>
      <w:r>
        <w:rPr>
          <w:rFonts w:hint="eastAsia" w:ascii="Arial" w:hAnsi="Arial" w:eastAsia="宋体" w:cs="Arial"/>
          <w:sz w:val="21"/>
          <w:szCs w:val="21"/>
        </w:rPr>
        <w:t>南海家园四里</w:t>
      </w:r>
    </w:p>
    <w:p w14:paraId="1F853916">
      <w:pPr>
        <w:pStyle w:val="12"/>
        <w:spacing w:before="4"/>
        <w:ind w:left="520" w:hanging="520" w:hangingChars="100"/>
        <w:rPr>
          <w:rFonts w:hint="eastAsia" w:ascii="Arial" w:hAnsi="Arial" w:eastAsia="宋体" w:cs="Arial"/>
          <w:color w:val="000000"/>
          <w:sz w:val="21"/>
          <w:szCs w:val="21"/>
        </w:rPr>
      </w:pPr>
      <w:r>
        <w:drawing>
          <wp:inline distT="0" distB="0" distL="0" distR="0">
            <wp:extent cx="1581150" cy="2089150"/>
            <wp:effectExtent l="0" t="0" r="0" b="0"/>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581150" cy="208915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drawing>
          <wp:inline distT="0" distB="0" distL="0" distR="0">
            <wp:extent cx="1581150" cy="2082800"/>
            <wp:effectExtent l="0" t="0" r="0" b="0"/>
            <wp:docPr id="23" name="图片 2"/>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81150" cy="2082800"/>
                    </a:xfrm>
                    <a:prstGeom prst="rect">
                      <a:avLst/>
                    </a:prstGeom>
                    <a:noFill/>
                    <a:ln>
                      <a:noFill/>
                    </a:ln>
                  </pic:spPr>
                </pic:pic>
              </a:graphicData>
            </a:graphic>
          </wp:inline>
        </w:drawing>
      </w:r>
      <w:r>
        <w:t xml:space="preserve"> </w:t>
      </w:r>
      <w:r>
        <w:rPr>
          <w:rFonts w:hint="eastAsia"/>
        </w:rPr>
        <w:t xml:space="preserve">  </w:t>
      </w:r>
      <w:r>
        <w:drawing>
          <wp:inline distT="0" distB="0" distL="0" distR="0">
            <wp:extent cx="1581150" cy="20828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81150" cy="2082800"/>
                    </a:xfrm>
                    <a:prstGeom prst="rect">
                      <a:avLst/>
                    </a:prstGeom>
                    <a:noFill/>
                    <a:ln>
                      <a:noFill/>
                    </a:ln>
                  </pic:spPr>
                </pic:pic>
              </a:graphicData>
            </a:graphic>
          </wp:inline>
        </w:drawing>
      </w:r>
    </w:p>
    <w:p w14:paraId="54EBD729">
      <w:pPr>
        <w:pStyle w:val="12"/>
        <w:spacing w:before="4"/>
        <w:rPr>
          <w:rFonts w:hint="eastAsia" w:ascii="Arial" w:hAnsi="Arial" w:eastAsia="宋体" w:cs="Arial"/>
          <w:color w:val="000000"/>
          <w:sz w:val="21"/>
          <w:szCs w:val="21"/>
        </w:rPr>
      </w:pPr>
    </w:p>
    <w:p w14:paraId="76AA1562">
      <w:pPr>
        <w:pStyle w:val="67"/>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通过上述三方面数据的对比分析，各种数据来源的平均租金水平相对接近，均有一定的参考价值。</w:t>
      </w:r>
      <w:r>
        <w:rPr>
          <w:rFonts w:hint="eastAsia" w:ascii="Arial" w:hAnsi="Arial" w:cs="Arial"/>
          <w:color w:val="000000"/>
          <w:sz w:val="21"/>
          <w:szCs w:val="21"/>
        </w:rPr>
        <w:t>上述样本小区租金包括地租、房屋折旧、设备折旧、维修费、家具及家电租赁费、保险费、物业费、供暖费、管理费、利息、利润和租赁税费等；不含水电费、天然气费、通信费、有线电视费、上网宽带费等</w:t>
      </w:r>
      <w:r>
        <w:rPr>
          <w:rFonts w:ascii="Arial" w:hAnsi="Arial" w:cs="Arial"/>
          <w:color w:val="000000"/>
          <w:sz w:val="21"/>
          <w:szCs w:val="21"/>
        </w:rPr>
        <w:t>。由于各项目物业费水平不同，故需扣除物业费、供暖费和租赁税费，求取三个可比实例不含物业费、供暖费和租赁税费的租金。</w:t>
      </w:r>
      <w:r>
        <w:rPr>
          <w:rFonts w:hint="eastAsia" w:ascii="Arial" w:hAnsi="Arial" w:cs="Arial"/>
          <w:sz w:val="21"/>
          <w:szCs w:val="21"/>
        </w:rPr>
        <w:t>经注册房地产估价师现场调查，各小区物业费及供暖费如下：</w:t>
      </w:r>
    </w:p>
    <w:p w14:paraId="76035A77">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悦廷物业费2.8元/平方米•月，小区市政供暖，供暖费为</w:t>
      </w:r>
      <w:r>
        <w:rPr>
          <w:rFonts w:ascii="Arial" w:hAnsi="Arial" w:cs="Arial"/>
          <w:sz w:val="21"/>
          <w:szCs w:val="21"/>
        </w:rPr>
        <w:t>2.5</w:t>
      </w:r>
      <w:r>
        <w:rPr>
          <w:rFonts w:hint="eastAsia" w:ascii="Arial" w:hAnsi="Arial" w:cs="Arial"/>
          <w:sz w:val="21"/>
          <w:szCs w:val="21"/>
        </w:rPr>
        <w:t>元/平方米•月；</w:t>
      </w:r>
    </w:p>
    <w:p w14:paraId="79B28FD2">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中信新城西区物业费3.66元/平方米•月，小区市政供暖，供暖费为</w:t>
      </w:r>
      <w:r>
        <w:rPr>
          <w:rFonts w:ascii="Arial" w:hAnsi="Arial" w:cs="Arial"/>
          <w:sz w:val="21"/>
          <w:szCs w:val="21"/>
        </w:rPr>
        <w:t>2.5</w:t>
      </w:r>
      <w:r>
        <w:rPr>
          <w:rFonts w:hint="eastAsia" w:ascii="Arial" w:hAnsi="Arial" w:cs="Arial"/>
          <w:sz w:val="21"/>
          <w:szCs w:val="21"/>
        </w:rPr>
        <w:t>元/平方米•月；</w:t>
      </w:r>
    </w:p>
    <w:p w14:paraId="52447096">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南海家园四里物业费1.5元/平方米•月，小区市政供暖，供暖费为</w:t>
      </w:r>
      <w:r>
        <w:rPr>
          <w:rFonts w:ascii="Arial" w:hAnsi="Arial" w:cs="Arial"/>
          <w:sz w:val="21"/>
          <w:szCs w:val="21"/>
        </w:rPr>
        <w:t>2.5</w:t>
      </w:r>
      <w:r>
        <w:rPr>
          <w:rFonts w:hint="eastAsia" w:ascii="Arial" w:hAnsi="Arial" w:cs="Arial"/>
          <w:sz w:val="21"/>
          <w:szCs w:val="21"/>
        </w:rPr>
        <w:t>元/平方米•月；</w:t>
      </w:r>
    </w:p>
    <w:p w14:paraId="26A009BA">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扣除各小区物业费、供暖费，即：</w:t>
      </w:r>
    </w:p>
    <w:p w14:paraId="64A1F93D">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悦廷平均租金：61.32-2.8-2.5=56.02元/平方米·月</w:t>
      </w:r>
    </w:p>
    <w:p w14:paraId="34E37CBE">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中信新城西区平均租金：59.34-3.66-2.5=53.18元/平方米·月</w:t>
      </w:r>
    </w:p>
    <w:p w14:paraId="163547DD">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南海家园四里平均租金：55.09-1.5-2.5=51.09元/平方米·月</w:t>
      </w:r>
    </w:p>
    <w:p w14:paraId="15129DAA">
      <w:pPr>
        <w:pStyle w:val="67"/>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根据注册房地产估价师调查，北京地区对于个人出租商品住宅房的，月租金收入（不含税）在10万元（含）以下的，按照2.5%的综合税率来征收租赁税费。则租赁税费计算方式如下：</w:t>
      </w:r>
    </w:p>
    <w:p w14:paraId="063734F7">
      <w:pPr>
        <w:pStyle w:val="67"/>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租赁税费=（可比实例的月平均租金水平-物业费-供暖费）÷（1+5%）×2.5% </w:t>
      </w:r>
    </w:p>
    <w:p w14:paraId="0EF78FAC">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扣除租赁税费，则有：</w:t>
      </w:r>
    </w:p>
    <w:p w14:paraId="4A4F65D7">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悦廷平均租金：56.02-56.02</w:t>
      </w:r>
      <w:r>
        <w:rPr>
          <w:rFonts w:ascii="Arial" w:hAnsi="Arial" w:cs="Arial"/>
          <w:sz w:val="21"/>
          <w:szCs w:val="21"/>
        </w:rPr>
        <w:t>÷（1+5%）×2.5%</w:t>
      </w:r>
      <w:r>
        <w:rPr>
          <w:rFonts w:hint="eastAsia" w:ascii="Arial" w:hAnsi="Arial" w:cs="Arial"/>
          <w:sz w:val="21"/>
          <w:szCs w:val="21"/>
        </w:rPr>
        <w:t>=54.69元/平方米·月</w:t>
      </w:r>
    </w:p>
    <w:p w14:paraId="6302D753">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中信新城西区平均租金：53.18-53.18</w:t>
      </w:r>
      <w:r>
        <w:rPr>
          <w:rFonts w:ascii="Arial" w:hAnsi="Arial" w:cs="Arial"/>
          <w:sz w:val="21"/>
          <w:szCs w:val="21"/>
        </w:rPr>
        <w:t>÷（1+5%）×2.5%</w:t>
      </w:r>
      <w:r>
        <w:rPr>
          <w:rFonts w:hint="eastAsia" w:ascii="Arial" w:hAnsi="Arial" w:cs="Arial"/>
          <w:sz w:val="21"/>
          <w:szCs w:val="21"/>
        </w:rPr>
        <w:t>=51.91元/平方米·月</w:t>
      </w:r>
    </w:p>
    <w:p w14:paraId="7F0B6C68">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南海家园四里平均租金：51.09-51.09</w:t>
      </w:r>
      <w:r>
        <w:rPr>
          <w:rFonts w:ascii="Arial" w:hAnsi="Arial" w:cs="Arial"/>
          <w:sz w:val="21"/>
          <w:szCs w:val="21"/>
        </w:rPr>
        <w:t>÷（1+5%）×2.5%</w:t>
      </w:r>
      <w:r>
        <w:rPr>
          <w:rFonts w:hint="eastAsia" w:ascii="Arial" w:hAnsi="Arial" w:cs="Arial"/>
          <w:sz w:val="21"/>
          <w:szCs w:val="21"/>
        </w:rPr>
        <w:t>=49.87元/平方米·月</w:t>
      </w:r>
    </w:p>
    <w:p w14:paraId="744AC924">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sz w:val="21"/>
          <w:szCs w:val="21"/>
        </w:rPr>
        <w:t>即三个可比实例的不含物业费、供暖费、租赁税费的月平均租金水平分别为54.69元/平方米•月、51.91元/平方米•月、49.87元/平方米•月。</w:t>
      </w:r>
    </w:p>
    <w:p w14:paraId="7413518D">
      <w:pPr>
        <w:pStyle w:val="18"/>
        <w:spacing w:line="480" w:lineRule="auto"/>
        <w:rPr>
          <w:rFonts w:hint="eastAsia" w:ascii="Arial" w:hAnsi="Arial" w:eastAsia="宋体" w:cs="Arial"/>
          <w:sz w:val="21"/>
          <w:szCs w:val="21"/>
        </w:rPr>
      </w:pPr>
      <w:r>
        <w:rPr>
          <w:rFonts w:ascii="Arial" w:hAnsi="Arial" w:eastAsia="宋体" w:cs="Arial"/>
          <w:sz w:val="21"/>
          <w:szCs w:val="21"/>
        </w:rPr>
        <w:br w:type="page"/>
      </w: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 xml:space="preserve"> 比较法测算过程</w:t>
      </w:r>
    </w:p>
    <w:p w14:paraId="242C8895">
      <w:pPr>
        <w:wordWrap w:val="0"/>
        <w:overflowPunct w:val="0"/>
        <w:spacing w:line="480" w:lineRule="auto"/>
        <w:ind w:firstLine="420" w:firstLineChars="200"/>
        <w:rPr>
          <w:rFonts w:ascii="Arial" w:hAnsi="Arial"/>
          <w:sz w:val="21"/>
          <w:szCs w:val="21"/>
        </w:rPr>
      </w:pPr>
      <w:r>
        <w:rPr>
          <w:rFonts w:hint="eastAsia" w:ascii="Arial" w:hAnsi="Arial"/>
          <w:sz w:val="21"/>
          <w:szCs w:val="21"/>
        </w:rPr>
        <w:t>（1）建立比较因素条件说明表</w:t>
      </w:r>
      <w:r>
        <w:rPr>
          <w:rFonts w:ascii="Arial" w:hAnsi="Arial"/>
          <w:sz w:val="21"/>
          <w:szCs w:val="21"/>
        </w:rPr>
        <w:t xml:space="preserve"> </w:t>
      </w:r>
    </w:p>
    <w:p w14:paraId="5B80876E">
      <w:pPr>
        <w:wordWrap w:val="0"/>
        <w:overflowPunct w:val="0"/>
        <w:spacing w:line="480" w:lineRule="auto"/>
        <w:ind w:firstLine="420" w:firstLineChars="200"/>
        <w:rPr>
          <w:rFonts w:hint="eastAsia" w:ascii="Arial" w:hAnsi="Arial"/>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Pr>
          <w:rFonts w:hint="eastAsia" w:ascii="Arial" w:hAnsi="Arial"/>
          <w:sz w:val="21"/>
          <w:szCs w:val="21"/>
        </w:rPr>
        <w:t>：</w:t>
      </w:r>
    </w:p>
    <w:p w14:paraId="6CD875DA">
      <w:pPr>
        <w:overflowPunct w:val="0"/>
        <w:spacing w:line="480" w:lineRule="auto"/>
        <w:ind w:firstLine="420" w:firstLineChars="200"/>
        <w:jc w:val="center"/>
        <w:rPr>
          <w:rFonts w:ascii="Arial" w:hAnsi="Arial"/>
          <w:sz w:val="21"/>
          <w:szCs w:val="21"/>
        </w:rPr>
      </w:pPr>
      <w:r>
        <w:rPr>
          <w:rFonts w:hint="eastAsia" w:ascii="Arial" w:hAnsi="Arial" w:cs="Arial"/>
          <w:color w:val="000000"/>
          <w:sz w:val="21"/>
          <w:szCs w:val="21"/>
        </w:rPr>
        <w:t>X13海棠苑</w:t>
      </w: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6"/>
        <w:gridCol w:w="1578"/>
        <w:gridCol w:w="1815"/>
        <w:gridCol w:w="1815"/>
        <w:gridCol w:w="1815"/>
        <w:gridCol w:w="1796"/>
      </w:tblGrid>
      <w:tr w14:paraId="6283CF09">
        <w:trPr>
          <w:trHeight w:val="270" w:hRule="atLeast"/>
          <w:tblHeader/>
          <w:jc w:val="center"/>
        </w:trPr>
        <w:tc>
          <w:tcPr>
            <w:tcW w:w="1195" w:type="pct"/>
            <w:gridSpan w:val="2"/>
            <w:tcBorders>
              <w:top w:val="single" w:color="auto" w:sz="4" w:space="0"/>
              <w:left w:val="single" w:color="auto" w:sz="4" w:space="0"/>
              <w:bottom w:val="single" w:color="auto" w:sz="4" w:space="0"/>
              <w:right w:val="single" w:color="000000" w:sz="4" w:space="0"/>
            </w:tcBorders>
            <w:vAlign w:val="center"/>
          </w:tcPr>
          <w:p w14:paraId="472E25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项目</w:t>
            </w:r>
          </w:p>
        </w:tc>
        <w:tc>
          <w:tcPr>
            <w:tcW w:w="954" w:type="pct"/>
            <w:tcBorders>
              <w:top w:val="single" w:color="auto" w:sz="4" w:space="0"/>
              <w:left w:val="nil"/>
              <w:bottom w:val="single" w:color="auto" w:sz="4" w:space="0"/>
              <w:right w:val="single" w:color="auto" w:sz="4" w:space="0"/>
            </w:tcBorders>
            <w:vAlign w:val="center"/>
          </w:tcPr>
          <w:p w14:paraId="506D222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w:t>
            </w:r>
          </w:p>
        </w:tc>
        <w:tc>
          <w:tcPr>
            <w:tcW w:w="954" w:type="pct"/>
            <w:tcBorders>
              <w:top w:val="single" w:color="auto" w:sz="4" w:space="0"/>
              <w:left w:val="nil"/>
              <w:bottom w:val="single" w:color="auto" w:sz="4" w:space="0"/>
              <w:right w:val="single" w:color="auto" w:sz="4" w:space="0"/>
            </w:tcBorders>
            <w:vAlign w:val="center"/>
          </w:tcPr>
          <w:p w14:paraId="05C5307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w:t>
            </w:r>
          </w:p>
        </w:tc>
        <w:tc>
          <w:tcPr>
            <w:tcW w:w="1815" w:type="dxa"/>
            <w:tcBorders>
              <w:top w:val="single" w:color="auto" w:sz="4" w:space="0"/>
              <w:left w:val="nil"/>
              <w:bottom w:val="single" w:color="auto" w:sz="4" w:space="0"/>
              <w:right w:val="single" w:color="auto" w:sz="4" w:space="0"/>
            </w:tcBorders>
            <w:vAlign w:val="center"/>
          </w:tcPr>
          <w:p w14:paraId="78E0A1A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w:t>
            </w:r>
          </w:p>
        </w:tc>
        <w:tc>
          <w:tcPr>
            <w:tcW w:w="1796" w:type="dxa"/>
            <w:tcBorders>
              <w:top w:val="single" w:color="auto" w:sz="4" w:space="0"/>
              <w:left w:val="nil"/>
              <w:bottom w:val="single" w:color="auto" w:sz="4" w:space="0"/>
              <w:right w:val="single" w:color="auto" w:sz="4" w:space="0"/>
            </w:tcBorders>
            <w:vAlign w:val="center"/>
          </w:tcPr>
          <w:p w14:paraId="5CA5DFB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可比案例3</w:t>
            </w:r>
          </w:p>
        </w:tc>
      </w:tr>
      <w:tr w14:paraId="14EE2563">
        <w:tblPrEx>
          <w:tblCellMar>
            <w:top w:w="0" w:type="dxa"/>
            <w:left w:w="108" w:type="dxa"/>
            <w:bottom w:w="0" w:type="dxa"/>
            <w:right w:w="108" w:type="dxa"/>
          </w:tblCellMar>
        </w:tblPrEx>
        <w:trPr>
          <w:trHeight w:val="270" w:hRule="atLeast"/>
          <w:tblHeader/>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75AA738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小区名称</w:t>
            </w:r>
          </w:p>
        </w:tc>
        <w:tc>
          <w:tcPr>
            <w:tcW w:w="954" w:type="pct"/>
            <w:tcBorders>
              <w:top w:val="nil"/>
              <w:left w:val="nil"/>
              <w:bottom w:val="single" w:color="auto" w:sz="4" w:space="0"/>
              <w:right w:val="single" w:color="auto" w:sz="4" w:space="0"/>
            </w:tcBorders>
            <w:vAlign w:val="center"/>
          </w:tcPr>
          <w:p w14:paraId="271E9AB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X13海棠苑</w:t>
            </w:r>
          </w:p>
        </w:tc>
        <w:tc>
          <w:tcPr>
            <w:tcW w:w="954" w:type="pct"/>
            <w:tcBorders>
              <w:top w:val="nil"/>
              <w:left w:val="nil"/>
              <w:bottom w:val="single" w:color="auto" w:sz="4" w:space="0"/>
              <w:right w:val="single" w:color="auto" w:sz="4" w:space="0"/>
            </w:tcBorders>
            <w:vAlign w:val="center"/>
          </w:tcPr>
          <w:p w14:paraId="5C216F5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悦廷</w:t>
            </w:r>
          </w:p>
        </w:tc>
        <w:tc>
          <w:tcPr>
            <w:tcW w:w="1815" w:type="dxa"/>
            <w:tcBorders>
              <w:top w:val="nil"/>
              <w:left w:val="nil"/>
              <w:bottom w:val="single" w:color="auto" w:sz="4" w:space="0"/>
              <w:right w:val="single" w:color="auto" w:sz="4" w:space="0"/>
            </w:tcBorders>
            <w:vAlign w:val="center"/>
          </w:tcPr>
          <w:p w14:paraId="09BA0E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中信新城西区</w:t>
            </w:r>
          </w:p>
        </w:tc>
        <w:tc>
          <w:tcPr>
            <w:tcW w:w="1796" w:type="dxa"/>
            <w:tcBorders>
              <w:top w:val="nil"/>
              <w:left w:val="nil"/>
              <w:bottom w:val="single" w:color="auto" w:sz="4" w:space="0"/>
              <w:right w:val="single" w:color="auto" w:sz="4" w:space="0"/>
            </w:tcBorders>
            <w:vAlign w:val="center"/>
          </w:tcPr>
          <w:p w14:paraId="41C3F08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南海家园四里</w:t>
            </w:r>
          </w:p>
        </w:tc>
      </w:tr>
      <w:tr w14:paraId="3A8E51AA">
        <w:tblPrEx>
          <w:tblCellMar>
            <w:top w:w="0" w:type="dxa"/>
            <w:left w:w="108" w:type="dxa"/>
            <w:bottom w:w="0" w:type="dxa"/>
            <w:right w:w="108" w:type="dxa"/>
          </w:tblCellMar>
        </w:tblPrEx>
        <w:trPr>
          <w:trHeight w:val="270" w:hRule="atLeast"/>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0F1CF40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平均租金（元/平方米·月）</w:t>
            </w:r>
          </w:p>
        </w:tc>
        <w:tc>
          <w:tcPr>
            <w:tcW w:w="954" w:type="pct"/>
            <w:tcBorders>
              <w:top w:val="nil"/>
              <w:left w:val="nil"/>
              <w:bottom w:val="single" w:color="auto" w:sz="4" w:space="0"/>
              <w:right w:val="single" w:color="auto" w:sz="4" w:space="0"/>
            </w:tcBorders>
            <w:vAlign w:val="center"/>
          </w:tcPr>
          <w:p w14:paraId="64C95D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待估</w:t>
            </w:r>
          </w:p>
        </w:tc>
        <w:tc>
          <w:tcPr>
            <w:tcW w:w="954" w:type="pct"/>
            <w:tcBorders>
              <w:top w:val="nil"/>
              <w:left w:val="nil"/>
              <w:bottom w:val="single" w:color="auto" w:sz="4" w:space="0"/>
              <w:right w:val="single" w:color="auto" w:sz="4" w:space="0"/>
            </w:tcBorders>
            <w:vAlign w:val="center"/>
          </w:tcPr>
          <w:p w14:paraId="1C220A0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54.69</w:t>
            </w:r>
          </w:p>
        </w:tc>
        <w:tc>
          <w:tcPr>
            <w:tcW w:w="1815" w:type="dxa"/>
            <w:tcBorders>
              <w:top w:val="nil"/>
              <w:left w:val="nil"/>
              <w:bottom w:val="single" w:color="auto" w:sz="4" w:space="0"/>
              <w:right w:val="single" w:color="auto" w:sz="4" w:space="0"/>
            </w:tcBorders>
            <w:vAlign w:val="center"/>
          </w:tcPr>
          <w:p w14:paraId="60E6765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51.91</w:t>
            </w:r>
          </w:p>
        </w:tc>
        <w:tc>
          <w:tcPr>
            <w:tcW w:w="1796" w:type="dxa"/>
            <w:tcBorders>
              <w:top w:val="nil"/>
              <w:left w:val="nil"/>
              <w:bottom w:val="single" w:color="auto" w:sz="4" w:space="0"/>
              <w:right w:val="single" w:color="auto" w:sz="4" w:space="0"/>
            </w:tcBorders>
            <w:vAlign w:val="center"/>
          </w:tcPr>
          <w:p w14:paraId="0457E23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49.87</w:t>
            </w:r>
          </w:p>
        </w:tc>
      </w:tr>
      <w:tr w14:paraId="1AF775A1">
        <w:tblPrEx>
          <w:tblCellMar>
            <w:top w:w="0" w:type="dxa"/>
            <w:left w:w="108" w:type="dxa"/>
            <w:bottom w:w="0" w:type="dxa"/>
            <w:right w:w="108" w:type="dxa"/>
          </w:tblCellMar>
        </w:tblPrEx>
        <w:trPr>
          <w:trHeight w:val="495" w:hRule="atLeast"/>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00DFC00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954" w:type="pct"/>
            <w:tcBorders>
              <w:top w:val="nil"/>
              <w:left w:val="nil"/>
              <w:bottom w:val="single" w:color="auto" w:sz="4" w:space="0"/>
              <w:right w:val="single" w:color="auto" w:sz="4" w:space="0"/>
            </w:tcBorders>
            <w:vAlign w:val="center"/>
          </w:tcPr>
          <w:p w14:paraId="22D580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954" w:type="pct"/>
            <w:tcBorders>
              <w:top w:val="nil"/>
              <w:left w:val="nil"/>
              <w:bottom w:val="single" w:color="auto" w:sz="4" w:space="0"/>
              <w:right w:val="single" w:color="auto" w:sz="4" w:space="0"/>
            </w:tcBorders>
            <w:vAlign w:val="center"/>
          </w:tcPr>
          <w:p w14:paraId="73A76AE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1815" w:type="dxa"/>
            <w:tcBorders>
              <w:top w:val="nil"/>
              <w:left w:val="nil"/>
              <w:bottom w:val="single" w:color="auto" w:sz="4" w:space="0"/>
              <w:right w:val="single" w:color="auto" w:sz="4" w:space="0"/>
            </w:tcBorders>
            <w:vAlign w:val="center"/>
          </w:tcPr>
          <w:p w14:paraId="78BC107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1796" w:type="dxa"/>
            <w:tcBorders>
              <w:top w:val="nil"/>
              <w:left w:val="nil"/>
              <w:bottom w:val="single" w:color="auto" w:sz="4" w:space="0"/>
              <w:right w:val="single" w:color="auto" w:sz="4" w:space="0"/>
            </w:tcBorders>
            <w:vAlign w:val="center"/>
          </w:tcPr>
          <w:p w14:paraId="61D09BD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r>
      <w:tr w14:paraId="34DC2A61">
        <w:tblPrEx>
          <w:tblCellMar>
            <w:top w:w="0" w:type="dxa"/>
            <w:left w:w="108" w:type="dxa"/>
            <w:bottom w:w="0" w:type="dxa"/>
            <w:right w:w="108" w:type="dxa"/>
          </w:tblCellMar>
        </w:tblPrEx>
        <w:trPr>
          <w:trHeight w:val="270" w:hRule="atLeast"/>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226851E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954" w:type="pct"/>
            <w:tcBorders>
              <w:top w:val="nil"/>
              <w:left w:val="nil"/>
              <w:bottom w:val="single" w:color="auto" w:sz="4" w:space="0"/>
              <w:right w:val="single" w:color="auto" w:sz="4" w:space="0"/>
            </w:tcBorders>
            <w:vAlign w:val="center"/>
          </w:tcPr>
          <w:p w14:paraId="171A7EB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954" w:type="pct"/>
            <w:tcBorders>
              <w:top w:val="nil"/>
              <w:left w:val="nil"/>
              <w:bottom w:val="single" w:color="auto" w:sz="4" w:space="0"/>
              <w:right w:val="single" w:color="auto" w:sz="4" w:space="0"/>
            </w:tcBorders>
            <w:vAlign w:val="center"/>
          </w:tcPr>
          <w:p w14:paraId="6E7BA8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954" w:type="pct"/>
            <w:tcBorders>
              <w:top w:val="nil"/>
              <w:left w:val="nil"/>
              <w:bottom w:val="single" w:color="auto" w:sz="4" w:space="0"/>
              <w:right w:val="single" w:color="auto" w:sz="4" w:space="0"/>
            </w:tcBorders>
            <w:vAlign w:val="center"/>
          </w:tcPr>
          <w:p w14:paraId="18F4041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943" w:type="pct"/>
            <w:tcBorders>
              <w:top w:val="nil"/>
              <w:left w:val="nil"/>
              <w:bottom w:val="single" w:color="auto" w:sz="4" w:space="0"/>
              <w:right w:val="single" w:color="auto" w:sz="4" w:space="0"/>
            </w:tcBorders>
            <w:vAlign w:val="center"/>
          </w:tcPr>
          <w:p w14:paraId="644E8F4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r>
      <w:tr w14:paraId="077DED12">
        <w:tblPrEx>
          <w:tblCellMar>
            <w:top w:w="0" w:type="dxa"/>
            <w:left w:w="108" w:type="dxa"/>
            <w:bottom w:w="0" w:type="dxa"/>
            <w:right w:w="108" w:type="dxa"/>
          </w:tblCellMar>
        </w:tblPrEx>
        <w:trPr>
          <w:trHeight w:val="241" w:hRule="atLeast"/>
          <w:jc w:val="center"/>
        </w:trPr>
        <w:tc>
          <w:tcPr>
            <w:tcW w:w="366" w:type="pct"/>
            <w:vMerge w:val="restart"/>
            <w:tcBorders>
              <w:top w:val="nil"/>
              <w:left w:val="single" w:color="auto" w:sz="4" w:space="0"/>
              <w:bottom w:val="single" w:color="000000" w:sz="4" w:space="0"/>
              <w:right w:val="single" w:color="auto" w:sz="4" w:space="0"/>
            </w:tcBorders>
            <w:vAlign w:val="center"/>
          </w:tcPr>
          <w:p w14:paraId="7D52A7E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区域状况</w:t>
            </w:r>
          </w:p>
        </w:tc>
        <w:tc>
          <w:tcPr>
            <w:tcW w:w="829" w:type="pct"/>
            <w:tcBorders>
              <w:top w:val="nil"/>
              <w:left w:val="nil"/>
              <w:bottom w:val="single" w:color="auto" w:sz="4" w:space="0"/>
              <w:right w:val="single" w:color="auto" w:sz="4" w:space="0"/>
            </w:tcBorders>
            <w:vAlign w:val="center"/>
          </w:tcPr>
          <w:p w14:paraId="6700FD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954" w:type="pct"/>
            <w:tcBorders>
              <w:top w:val="nil"/>
              <w:left w:val="nil"/>
              <w:bottom w:val="single" w:color="auto" w:sz="4" w:space="0"/>
              <w:right w:val="single" w:color="auto" w:sz="4" w:space="0"/>
            </w:tcBorders>
            <w:vAlign w:val="center"/>
          </w:tcPr>
          <w:p w14:paraId="2BF7A56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周边有观海苑、泰河园小区、中芯花园、悦廷、鹿海园、南海家园、博客雅苑等居住小区，居住小区规模较大，入住率较高，综合评价居住区成熟度较好。</w:t>
            </w:r>
          </w:p>
        </w:tc>
        <w:tc>
          <w:tcPr>
            <w:tcW w:w="954" w:type="pct"/>
            <w:tcBorders>
              <w:top w:val="nil"/>
              <w:left w:val="nil"/>
              <w:bottom w:val="single" w:color="auto" w:sz="4" w:space="0"/>
              <w:right w:val="single" w:color="auto" w:sz="4" w:space="0"/>
            </w:tcBorders>
            <w:vAlign w:val="center"/>
          </w:tcPr>
          <w:p w14:paraId="5691FCB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周边有观海苑、泰河园小区、中芯花园、悦廷、鹿海园、南海家园、博客雅苑等居住小区，居住小区规模较大，入住率较高，综合评价居住区成熟度较好。</w:t>
            </w:r>
          </w:p>
        </w:tc>
        <w:tc>
          <w:tcPr>
            <w:tcW w:w="1815" w:type="dxa"/>
            <w:tcBorders>
              <w:top w:val="nil"/>
              <w:left w:val="nil"/>
              <w:bottom w:val="single" w:color="auto" w:sz="4" w:space="0"/>
              <w:right w:val="single" w:color="auto" w:sz="4" w:space="0"/>
            </w:tcBorders>
            <w:vAlign w:val="center"/>
          </w:tcPr>
          <w:p w14:paraId="3998180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周边有贵园南里、中信新城、赢海庄园等居住小区，居住小区规模较大，入住率较高，综合评价居住区成熟度较好</w:t>
            </w:r>
          </w:p>
        </w:tc>
        <w:tc>
          <w:tcPr>
            <w:tcW w:w="1796" w:type="dxa"/>
            <w:tcBorders>
              <w:top w:val="nil"/>
              <w:left w:val="nil"/>
              <w:bottom w:val="single" w:color="auto" w:sz="4" w:space="0"/>
              <w:right w:val="single" w:color="auto" w:sz="4" w:space="0"/>
            </w:tcBorders>
            <w:vAlign w:val="center"/>
          </w:tcPr>
          <w:p w14:paraId="1ADF66F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周边有南海家园一里、南海家园二里、北京城建海梓府等居住小区，居住小区规模较大，入住率较高，综合评价居住区成熟度较好。</w:t>
            </w:r>
          </w:p>
        </w:tc>
      </w:tr>
      <w:tr w14:paraId="5E030F33">
        <w:tblPrEx>
          <w:tblCellMar>
            <w:top w:w="0" w:type="dxa"/>
            <w:left w:w="108" w:type="dxa"/>
            <w:bottom w:w="0" w:type="dxa"/>
            <w:right w:w="108" w:type="dxa"/>
          </w:tblCellMar>
        </w:tblPrEx>
        <w:trPr>
          <w:trHeight w:val="270"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04FC8F21">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680B92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954" w:type="pct"/>
            <w:tcBorders>
              <w:top w:val="nil"/>
              <w:left w:val="nil"/>
              <w:bottom w:val="single" w:color="auto" w:sz="4" w:space="0"/>
              <w:right w:val="single" w:color="auto" w:sz="4" w:space="0"/>
            </w:tcBorders>
            <w:vAlign w:val="center"/>
          </w:tcPr>
          <w:p w14:paraId="1EF9298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支路——凉水河二街，距南六环路约3.4公里，路网密集度较好；周边有公交车站（鹿海园），停靠线路有573路、580路、599路、665路、兴78路等十余条公交线路，距离地铁亦庄T1线（鹿圈东站）约1500米，道路通达度较好，综合评价交通便捷度较好。</w:t>
            </w:r>
          </w:p>
        </w:tc>
        <w:tc>
          <w:tcPr>
            <w:tcW w:w="954" w:type="pct"/>
            <w:tcBorders>
              <w:top w:val="nil"/>
              <w:left w:val="nil"/>
              <w:bottom w:val="single" w:color="auto" w:sz="4" w:space="0"/>
              <w:right w:val="single" w:color="auto" w:sz="4" w:space="0"/>
            </w:tcBorders>
            <w:vAlign w:val="center"/>
          </w:tcPr>
          <w:p w14:paraId="57BA3246">
            <w:pPr>
              <w:widowControl/>
              <w:adjustRightInd/>
              <w:spacing w:line="240" w:lineRule="auto"/>
              <w:jc w:val="center"/>
              <w:textAlignment w:val="auto"/>
              <w:rPr>
                <w:rFonts w:hint="eastAsia" w:ascii="Arial" w:hAnsi="Arial" w:eastAsia="华文细黑" w:cs="Arial"/>
                <w:sz w:val="18"/>
                <w:szCs w:val="18"/>
              </w:rPr>
            </w:pPr>
          </w:p>
          <w:p w14:paraId="1D277D4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次干道——博兴七路，距南六环路约3.4公里，路网密集度较好；周边有公交车站（鹿海园），停靠线路有573路、580路、599路、665路、兴78路等十余条公交线路，距离地铁亦庄T1线（鹿圈东站）约1000米，道路通达度较好，综合评价交通便捷度较好。</w:t>
            </w:r>
          </w:p>
        </w:tc>
        <w:tc>
          <w:tcPr>
            <w:tcW w:w="1815" w:type="dxa"/>
            <w:tcBorders>
              <w:top w:val="nil"/>
              <w:left w:val="nil"/>
              <w:bottom w:val="single" w:color="auto" w:sz="4" w:space="0"/>
              <w:right w:val="single" w:color="auto" w:sz="4" w:space="0"/>
            </w:tcBorders>
            <w:vAlign w:val="center"/>
          </w:tcPr>
          <w:p w14:paraId="0EFEAC9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次干道——凉水河一街，距南六环路约2公里，周边有公交车站（中信新城西区西门、枫丹壹号小区等），停靠线路有兴59路、兴72路、324路、599路等十余条公交线路，距地铁亦庄线（荣京东街站）约3000米，综合评价交通便捷度较差</w:t>
            </w:r>
          </w:p>
        </w:tc>
        <w:tc>
          <w:tcPr>
            <w:tcW w:w="1796" w:type="dxa"/>
            <w:tcBorders>
              <w:top w:val="nil"/>
              <w:left w:val="nil"/>
              <w:bottom w:val="single" w:color="auto" w:sz="4" w:space="0"/>
              <w:right w:val="single" w:color="auto" w:sz="4" w:space="0"/>
            </w:tcBorders>
            <w:vAlign w:val="center"/>
          </w:tcPr>
          <w:p w14:paraId="5B3010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次干道——三海子东路，距南六环路约3公里，路网密集度较好；周边有公交车站（南海家园四里南门、南海家园二里等），停靠线路有兴31路、兴72路、580路、581路等十余条公交线路，距离地铁亦庄T1线（九号村站）约1900米，道路通达度较好，综合评价交通便捷度一般</w:t>
            </w:r>
          </w:p>
        </w:tc>
      </w:tr>
      <w:tr w14:paraId="47E261D0">
        <w:tblPrEx>
          <w:tblCellMar>
            <w:top w:w="0" w:type="dxa"/>
            <w:left w:w="108" w:type="dxa"/>
            <w:bottom w:w="0" w:type="dxa"/>
            <w:right w:w="108" w:type="dxa"/>
          </w:tblCellMar>
        </w:tblPrEx>
        <w:trPr>
          <w:trHeight w:val="270"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366B0479">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429773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954" w:type="pct"/>
            <w:tcBorders>
              <w:top w:val="nil"/>
              <w:left w:val="nil"/>
              <w:bottom w:val="single" w:color="auto" w:sz="4" w:space="0"/>
              <w:right w:val="single" w:color="auto" w:sz="4" w:space="0"/>
            </w:tcBorders>
            <w:vAlign w:val="center"/>
          </w:tcPr>
          <w:p w14:paraId="4743EFC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954" w:type="pct"/>
            <w:tcBorders>
              <w:top w:val="nil"/>
              <w:left w:val="nil"/>
              <w:bottom w:val="single" w:color="auto" w:sz="4" w:space="0"/>
              <w:right w:val="single" w:color="auto" w:sz="4" w:space="0"/>
            </w:tcBorders>
            <w:vAlign w:val="center"/>
          </w:tcPr>
          <w:p w14:paraId="1453462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1815" w:type="dxa"/>
            <w:tcBorders>
              <w:top w:val="nil"/>
              <w:left w:val="nil"/>
              <w:bottom w:val="single" w:color="auto" w:sz="4" w:space="0"/>
              <w:right w:val="single" w:color="auto" w:sz="4" w:space="0"/>
            </w:tcBorders>
            <w:vAlign w:val="center"/>
          </w:tcPr>
          <w:p w14:paraId="59B6B58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周边有物美超市、世纪华联超市、大雄商业中心等，商业设施以小区配套为主，且数量一般，综合评价商业设施一般。</w:t>
            </w:r>
          </w:p>
        </w:tc>
        <w:tc>
          <w:tcPr>
            <w:tcW w:w="1796" w:type="dxa"/>
            <w:tcBorders>
              <w:top w:val="nil"/>
              <w:left w:val="nil"/>
              <w:bottom w:val="single" w:color="auto" w:sz="4" w:space="0"/>
              <w:right w:val="single" w:color="auto" w:sz="4" w:space="0"/>
            </w:tcBorders>
            <w:vAlign w:val="center"/>
          </w:tcPr>
          <w:p w14:paraId="515F162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r>
      <w:tr w14:paraId="035E764D">
        <w:tblPrEx>
          <w:tblCellMar>
            <w:top w:w="0" w:type="dxa"/>
            <w:left w:w="108" w:type="dxa"/>
            <w:bottom w:w="0" w:type="dxa"/>
            <w:right w:w="108" w:type="dxa"/>
          </w:tblCellMar>
        </w:tblPrEx>
        <w:trPr>
          <w:trHeight w:val="282"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52CF3B82">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732AC6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954" w:type="pct"/>
            <w:tcBorders>
              <w:top w:val="nil"/>
              <w:left w:val="nil"/>
              <w:bottom w:val="single" w:color="auto" w:sz="4" w:space="0"/>
              <w:right w:val="single" w:color="auto" w:sz="4" w:space="0"/>
            </w:tcBorders>
            <w:vAlign w:val="center"/>
          </w:tcPr>
          <w:p w14:paraId="4B20AC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954" w:type="pct"/>
            <w:tcBorders>
              <w:top w:val="nil"/>
              <w:left w:val="nil"/>
              <w:bottom w:val="single" w:color="auto" w:sz="4" w:space="0"/>
              <w:right w:val="single" w:color="auto" w:sz="4" w:space="0"/>
            </w:tcBorders>
            <w:vAlign w:val="center"/>
          </w:tcPr>
          <w:p w14:paraId="3F922D0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1815" w:type="dxa"/>
            <w:tcBorders>
              <w:top w:val="nil"/>
              <w:left w:val="nil"/>
              <w:bottom w:val="single" w:color="auto" w:sz="4" w:space="0"/>
              <w:right w:val="single" w:color="auto" w:sz="4" w:space="0"/>
            </w:tcBorders>
            <w:vAlign w:val="center"/>
          </w:tcPr>
          <w:p w14:paraId="65D66FB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周边有南海子公园、亦庄文化广场等，绿化面积较大，自然与人环境较好</w:t>
            </w:r>
          </w:p>
        </w:tc>
        <w:tc>
          <w:tcPr>
            <w:tcW w:w="1796" w:type="dxa"/>
            <w:tcBorders>
              <w:top w:val="nil"/>
              <w:left w:val="nil"/>
              <w:bottom w:val="single" w:color="auto" w:sz="4" w:space="0"/>
              <w:right w:val="single" w:color="auto" w:sz="4" w:space="0"/>
            </w:tcBorders>
            <w:vAlign w:val="center"/>
          </w:tcPr>
          <w:p w14:paraId="6E8870D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r>
      <w:tr w14:paraId="045376AF">
        <w:tblPrEx>
          <w:tblCellMar>
            <w:top w:w="0" w:type="dxa"/>
            <w:left w:w="108" w:type="dxa"/>
            <w:bottom w:w="0" w:type="dxa"/>
            <w:right w:w="108" w:type="dxa"/>
          </w:tblCellMar>
        </w:tblPrEx>
        <w:trPr>
          <w:trHeight w:val="1200"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59ED1B72">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7842DC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1815" w:type="dxa"/>
            <w:tcBorders>
              <w:top w:val="nil"/>
              <w:left w:val="nil"/>
              <w:bottom w:val="single" w:color="auto" w:sz="4" w:space="0"/>
              <w:right w:val="single" w:color="auto" w:sz="4" w:space="0"/>
            </w:tcBorders>
            <w:vAlign w:val="center"/>
          </w:tcPr>
          <w:p w14:paraId="3810012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c>
          <w:tcPr>
            <w:tcW w:w="1815" w:type="dxa"/>
            <w:tcBorders>
              <w:top w:val="nil"/>
              <w:left w:val="nil"/>
              <w:bottom w:val="single" w:color="auto" w:sz="4" w:space="0"/>
              <w:right w:val="single" w:color="auto" w:sz="4" w:space="0"/>
            </w:tcBorders>
            <w:vAlign w:val="center"/>
          </w:tcPr>
          <w:p w14:paraId="59099CE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c>
          <w:tcPr>
            <w:tcW w:w="1815" w:type="dxa"/>
            <w:tcBorders>
              <w:top w:val="nil"/>
              <w:left w:val="nil"/>
              <w:bottom w:val="single" w:color="auto" w:sz="4" w:space="0"/>
              <w:right w:val="single" w:color="auto" w:sz="4" w:space="0"/>
            </w:tcBorders>
            <w:vAlign w:val="center"/>
          </w:tcPr>
          <w:p w14:paraId="60D5DC7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亦庄镇第六幼儿园、北京小学大兴分校亦庄校区、北京二中亦庄分校、人大附中北京经济技术开发区学校、亦庄中心小学、开发区实验学校等教育设施；同仁医院亦庄分院、大兴区亦庄医院、国家康复辅具研究中心附属康复医院等医疗设施；、中信银行、北京农商银行、中国建设银行等配套设施，公共配套设施较齐全</w:t>
            </w:r>
          </w:p>
        </w:tc>
        <w:tc>
          <w:tcPr>
            <w:tcW w:w="1796" w:type="dxa"/>
            <w:tcBorders>
              <w:top w:val="nil"/>
              <w:left w:val="nil"/>
              <w:bottom w:val="single" w:color="auto" w:sz="4" w:space="0"/>
              <w:right w:val="single" w:color="auto" w:sz="4" w:space="0"/>
            </w:tcBorders>
            <w:vAlign w:val="center"/>
          </w:tcPr>
          <w:p w14:paraId="07773C5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r>
      <w:tr w14:paraId="57ADDA4A">
        <w:tblPrEx>
          <w:tblCellMar>
            <w:top w:w="0" w:type="dxa"/>
            <w:left w:w="108" w:type="dxa"/>
            <w:bottom w:w="0" w:type="dxa"/>
            <w:right w:w="108" w:type="dxa"/>
          </w:tblCellMar>
        </w:tblPrEx>
        <w:trPr>
          <w:trHeight w:val="270" w:hRule="atLeast"/>
          <w:jc w:val="center"/>
        </w:trPr>
        <w:tc>
          <w:tcPr>
            <w:tcW w:w="366" w:type="pct"/>
            <w:vMerge w:val="restart"/>
            <w:tcBorders>
              <w:top w:val="nil"/>
              <w:left w:val="single" w:color="auto" w:sz="4" w:space="0"/>
              <w:bottom w:val="single" w:color="auto" w:sz="4" w:space="0"/>
              <w:right w:val="single" w:color="auto" w:sz="4" w:space="0"/>
            </w:tcBorders>
            <w:vAlign w:val="center"/>
          </w:tcPr>
          <w:p w14:paraId="10FCC23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实物状况</w:t>
            </w:r>
          </w:p>
        </w:tc>
        <w:tc>
          <w:tcPr>
            <w:tcW w:w="829" w:type="pct"/>
            <w:tcBorders>
              <w:top w:val="nil"/>
              <w:left w:val="nil"/>
              <w:bottom w:val="single" w:color="auto" w:sz="4" w:space="0"/>
              <w:right w:val="single" w:color="auto" w:sz="4" w:space="0"/>
            </w:tcBorders>
            <w:vAlign w:val="center"/>
          </w:tcPr>
          <w:p w14:paraId="4BB352A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954" w:type="pct"/>
            <w:tcBorders>
              <w:top w:val="nil"/>
              <w:left w:val="nil"/>
              <w:bottom w:val="single" w:color="auto" w:sz="4" w:space="0"/>
              <w:right w:val="single" w:color="auto" w:sz="4" w:space="0"/>
            </w:tcBorders>
            <w:vAlign w:val="center"/>
          </w:tcPr>
          <w:p w14:paraId="3976C3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有专业物业公司，物业服务保障较好。</w:t>
            </w:r>
          </w:p>
        </w:tc>
        <w:tc>
          <w:tcPr>
            <w:tcW w:w="954" w:type="pct"/>
            <w:tcBorders>
              <w:top w:val="nil"/>
              <w:left w:val="nil"/>
              <w:bottom w:val="single" w:color="auto" w:sz="4" w:space="0"/>
              <w:right w:val="single" w:color="auto" w:sz="4" w:space="0"/>
            </w:tcBorders>
            <w:vAlign w:val="center"/>
          </w:tcPr>
          <w:p w14:paraId="1C4962E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有专业物业公司，物业服务保障较好。</w:t>
            </w:r>
          </w:p>
        </w:tc>
        <w:tc>
          <w:tcPr>
            <w:tcW w:w="954" w:type="pct"/>
            <w:tcBorders>
              <w:top w:val="nil"/>
              <w:left w:val="nil"/>
              <w:bottom w:val="single" w:color="auto" w:sz="4" w:space="0"/>
              <w:right w:val="single" w:color="auto" w:sz="4" w:space="0"/>
            </w:tcBorders>
            <w:vAlign w:val="center"/>
          </w:tcPr>
          <w:p w14:paraId="466509C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有专业物业公司，物业服务保障较好。</w:t>
            </w:r>
          </w:p>
        </w:tc>
        <w:tc>
          <w:tcPr>
            <w:tcW w:w="943" w:type="pct"/>
            <w:tcBorders>
              <w:top w:val="nil"/>
              <w:left w:val="nil"/>
              <w:bottom w:val="single" w:color="auto" w:sz="4" w:space="0"/>
              <w:right w:val="single" w:color="auto" w:sz="4" w:space="0"/>
            </w:tcBorders>
            <w:vAlign w:val="center"/>
          </w:tcPr>
          <w:p w14:paraId="2D34A5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有专业物业公司，物业服务保障较好。</w:t>
            </w:r>
          </w:p>
        </w:tc>
      </w:tr>
      <w:tr w14:paraId="5090680D">
        <w:tblPrEx>
          <w:tblCellMar>
            <w:top w:w="0" w:type="dxa"/>
            <w:left w:w="108" w:type="dxa"/>
            <w:bottom w:w="0" w:type="dxa"/>
            <w:right w:w="108" w:type="dxa"/>
          </w:tblCellMar>
        </w:tblPrEx>
        <w:trPr>
          <w:trHeight w:val="51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439C238C">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580C837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954" w:type="pct"/>
            <w:tcBorders>
              <w:top w:val="nil"/>
              <w:left w:val="nil"/>
              <w:bottom w:val="single" w:color="auto" w:sz="4" w:space="0"/>
              <w:right w:val="single" w:color="auto" w:sz="4" w:space="0"/>
            </w:tcBorders>
            <w:vAlign w:val="center"/>
          </w:tcPr>
          <w:p w14:paraId="731BF1E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954" w:type="pct"/>
            <w:tcBorders>
              <w:top w:val="nil"/>
              <w:left w:val="nil"/>
              <w:bottom w:val="single" w:color="auto" w:sz="4" w:space="0"/>
              <w:right w:val="single" w:color="auto" w:sz="4" w:space="0"/>
            </w:tcBorders>
            <w:vAlign w:val="center"/>
          </w:tcPr>
          <w:p w14:paraId="121CE3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954" w:type="pct"/>
            <w:tcBorders>
              <w:top w:val="nil"/>
              <w:left w:val="nil"/>
              <w:bottom w:val="single" w:color="auto" w:sz="4" w:space="0"/>
              <w:right w:val="single" w:color="auto" w:sz="4" w:space="0"/>
            </w:tcBorders>
            <w:vAlign w:val="center"/>
          </w:tcPr>
          <w:p w14:paraId="794E57D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943" w:type="pct"/>
            <w:tcBorders>
              <w:top w:val="nil"/>
              <w:left w:val="nil"/>
              <w:bottom w:val="single" w:color="auto" w:sz="4" w:space="0"/>
              <w:right w:val="single" w:color="auto" w:sz="4" w:space="0"/>
            </w:tcBorders>
            <w:vAlign w:val="center"/>
          </w:tcPr>
          <w:p w14:paraId="4D8DB61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r>
      <w:tr w14:paraId="243442E0">
        <w:tblPrEx>
          <w:tblCellMar>
            <w:top w:w="0" w:type="dxa"/>
            <w:left w:w="108" w:type="dxa"/>
            <w:bottom w:w="0" w:type="dxa"/>
            <w:right w:w="108" w:type="dxa"/>
          </w:tblCellMar>
        </w:tblPrEx>
        <w:trPr>
          <w:trHeight w:val="51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4EF49BAE">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19053DB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954" w:type="pct"/>
            <w:tcBorders>
              <w:top w:val="nil"/>
              <w:left w:val="nil"/>
              <w:bottom w:val="single" w:color="auto" w:sz="4" w:space="0"/>
              <w:right w:val="single" w:color="auto" w:sz="4" w:space="0"/>
            </w:tcBorders>
            <w:vAlign w:val="center"/>
          </w:tcPr>
          <w:p w14:paraId="791CCD8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954" w:type="pct"/>
            <w:tcBorders>
              <w:top w:val="nil"/>
              <w:left w:val="nil"/>
              <w:bottom w:val="single" w:color="auto" w:sz="4" w:space="0"/>
              <w:right w:val="single" w:color="auto" w:sz="4" w:space="0"/>
            </w:tcBorders>
            <w:vAlign w:val="center"/>
          </w:tcPr>
          <w:p w14:paraId="610665A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954" w:type="pct"/>
            <w:tcBorders>
              <w:top w:val="nil"/>
              <w:left w:val="nil"/>
              <w:bottom w:val="single" w:color="auto" w:sz="4" w:space="0"/>
              <w:right w:val="single" w:color="auto" w:sz="4" w:space="0"/>
            </w:tcBorders>
            <w:vAlign w:val="center"/>
          </w:tcPr>
          <w:p w14:paraId="4D77746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943" w:type="pct"/>
            <w:tcBorders>
              <w:top w:val="nil"/>
              <w:left w:val="nil"/>
              <w:bottom w:val="single" w:color="auto" w:sz="4" w:space="0"/>
              <w:right w:val="single" w:color="auto" w:sz="4" w:space="0"/>
            </w:tcBorders>
            <w:vAlign w:val="center"/>
          </w:tcPr>
          <w:p w14:paraId="7AB8F24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r>
      <w:tr w14:paraId="5A61E0D9">
        <w:tblPrEx>
          <w:tblCellMar>
            <w:top w:w="0" w:type="dxa"/>
            <w:left w:w="108" w:type="dxa"/>
            <w:bottom w:w="0" w:type="dxa"/>
            <w:right w:w="108" w:type="dxa"/>
          </w:tblCellMar>
        </w:tblPrEx>
        <w:trPr>
          <w:trHeight w:val="27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03F64932">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1A62B10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954" w:type="pct"/>
            <w:tcBorders>
              <w:top w:val="nil"/>
              <w:left w:val="nil"/>
              <w:bottom w:val="single" w:color="auto" w:sz="4" w:space="0"/>
              <w:right w:val="single" w:color="auto" w:sz="4" w:space="0"/>
            </w:tcBorders>
            <w:vAlign w:val="center"/>
          </w:tcPr>
          <w:p w14:paraId="572DECF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815" w:type="dxa"/>
            <w:tcBorders>
              <w:top w:val="nil"/>
              <w:left w:val="nil"/>
              <w:bottom w:val="single" w:color="auto" w:sz="4" w:space="0"/>
              <w:right w:val="single" w:color="auto" w:sz="4" w:space="0"/>
            </w:tcBorders>
            <w:vAlign w:val="center"/>
          </w:tcPr>
          <w:p w14:paraId="17E801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815" w:type="dxa"/>
            <w:tcBorders>
              <w:top w:val="nil"/>
              <w:left w:val="nil"/>
              <w:bottom w:val="single" w:color="auto" w:sz="4" w:space="0"/>
              <w:right w:val="single" w:color="auto" w:sz="4" w:space="0"/>
            </w:tcBorders>
            <w:vAlign w:val="center"/>
          </w:tcPr>
          <w:p w14:paraId="3A9B6D9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96" w:type="dxa"/>
            <w:tcBorders>
              <w:top w:val="nil"/>
              <w:left w:val="nil"/>
              <w:bottom w:val="single" w:color="auto" w:sz="4" w:space="0"/>
              <w:right w:val="single" w:color="auto" w:sz="4" w:space="0"/>
            </w:tcBorders>
            <w:vAlign w:val="center"/>
          </w:tcPr>
          <w:p w14:paraId="77C84DE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r>
      <w:tr w14:paraId="5138131B">
        <w:tblPrEx>
          <w:tblCellMar>
            <w:top w:w="0" w:type="dxa"/>
            <w:left w:w="108" w:type="dxa"/>
            <w:bottom w:w="0" w:type="dxa"/>
            <w:right w:w="108" w:type="dxa"/>
          </w:tblCellMar>
        </w:tblPrEx>
        <w:trPr>
          <w:trHeight w:val="96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77FBD2C0">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12D0FB8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954" w:type="pct"/>
            <w:tcBorders>
              <w:top w:val="nil"/>
              <w:left w:val="nil"/>
              <w:bottom w:val="single" w:color="auto" w:sz="4" w:space="0"/>
              <w:right w:val="single" w:color="auto" w:sz="4" w:space="0"/>
            </w:tcBorders>
            <w:vAlign w:val="center"/>
          </w:tcPr>
          <w:p w14:paraId="764D18C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朝向（西）一般，能保证一定时间的采光，通风一般，综合评价一般。</w:t>
            </w:r>
          </w:p>
        </w:tc>
        <w:tc>
          <w:tcPr>
            <w:tcW w:w="1815" w:type="dxa"/>
            <w:tcBorders>
              <w:top w:val="nil"/>
              <w:left w:val="nil"/>
              <w:bottom w:val="single" w:color="auto" w:sz="4" w:space="0"/>
              <w:right w:val="single" w:color="auto" w:sz="4" w:space="0"/>
            </w:tcBorders>
            <w:vAlign w:val="center"/>
          </w:tcPr>
          <w:p w14:paraId="06BC0B0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朝向较好（南北），能保证较长时间的采光，通风较好，好</w:t>
            </w:r>
          </w:p>
        </w:tc>
        <w:tc>
          <w:tcPr>
            <w:tcW w:w="1815" w:type="dxa"/>
            <w:tcBorders>
              <w:top w:val="nil"/>
              <w:left w:val="nil"/>
              <w:bottom w:val="single" w:color="auto" w:sz="4" w:space="0"/>
              <w:right w:val="single" w:color="auto" w:sz="4" w:space="0"/>
            </w:tcBorders>
            <w:vAlign w:val="center"/>
          </w:tcPr>
          <w:p w14:paraId="770077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朝向较好（南北），能保证较长时间的采光，通风较好，好</w:t>
            </w:r>
          </w:p>
        </w:tc>
        <w:tc>
          <w:tcPr>
            <w:tcW w:w="1796" w:type="dxa"/>
            <w:tcBorders>
              <w:top w:val="nil"/>
              <w:left w:val="nil"/>
              <w:bottom w:val="single" w:color="auto" w:sz="4" w:space="0"/>
              <w:right w:val="single" w:color="auto" w:sz="4" w:space="0"/>
            </w:tcBorders>
            <w:vAlign w:val="center"/>
          </w:tcPr>
          <w:p w14:paraId="6806354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朝向较好（南北），能保证较长时间的采光，通风较好，好</w:t>
            </w:r>
          </w:p>
        </w:tc>
      </w:tr>
      <w:tr w14:paraId="0822E898">
        <w:tblPrEx>
          <w:tblCellMar>
            <w:top w:w="0" w:type="dxa"/>
            <w:left w:w="108" w:type="dxa"/>
            <w:bottom w:w="0" w:type="dxa"/>
            <w:right w:w="108" w:type="dxa"/>
          </w:tblCellMar>
        </w:tblPrEx>
        <w:trPr>
          <w:trHeight w:val="549"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6F41D2DD">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4B43633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954" w:type="pct"/>
            <w:tcBorders>
              <w:top w:val="nil"/>
              <w:left w:val="nil"/>
              <w:bottom w:val="single" w:color="auto" w:sz="4" w:space="0"/>
              <w:right w:val="single" w:color="auto" w:sz="4" w:space="0"/>
            </w:tcBorders>
            <w:vAlign w:val="center"/>
          </w:tcPr>
          <w:p w14:paraId="73431E3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主力户型为一居室</w:t>
            </w:r>
          </w:p>
        </w:tc>
        <w:tc>
          <w:tcPr>
            <w:tcW w:w="954" w:type="pct"/>
            <w:tcBorders>
              <w:top w:val="nil"/>
              <w:left w:val="nil"/>
              <w:bottom w:val="single" w:color="auto" w:sz="4" w:space="0"/>
              <w:right w:val="single" w:color="auto" w:sz="4" w:space="0"/>
            </w:tcBorders>
            <w:vAlign w:val="center"/>
          </w:tcPr>
          <w:p w14:paraId="70EACB8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主力户型为三居室</w:t>
            </w:r>
          </w:p>
        </w:tc>
        <w:tc>
          <w:tcPr>
            <w:tcW w:w="954" w:type="pct"/>
            <w:tcBorders>
              <w:top w:val="nil"/>
              <w:left w:val="nil"/>
              <w:bottom w:val="single" w:color="auto" w:sz="4" w:space="0"/>
              <w:right w:val="single" w:color="auto" w:sz="4" w:space="0"/>
            </w:tcBorders>
            <w:vAlign w:val="center"/>
          </w:tcPr>
          <w:p w14:paraId="7A8F69B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主力户型为三居室</w:t>
            </w:r>
          </w:p>
        </w:tc>
        <w:tc>
          <w:tcPr>
            <w:tcW w:w="943" w:type="pct"/>
            <w:tcBorders>
              <w:top w:val="nil"/>
              <w:left w:val="nil"/>
              <w:bottom w:val="single" w:color="auto" w:sz="4" w:space="0"/>
              <w:right w:val="single" w:color="auto" w:sz="4" w:space="0"/>
            </w:tcBorders>
            <w:vAlign w:val="center"/>
          </w:tcPr>
          <w:p w14:paraId="6AD8543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主力户型为二居室</w:t>
            </w:r>
          </w:p>
        </w:tc>
      </w:tr>
      <w:tr w14:paraId="30DB13ED">
        <w:tblPrEx>
          <w:tblCellMar>
            <w:top w:w="0" w:type="dxa"/>
            <w:left w:w="108" w:type="dxa"/>
            <w:bottom w:w="0" w:type="dxa"/>
            <w:right w:w="108" w:type="dxa"/>
          </w:tblCellMar>
        </w:tblPrEx>
        <w:trPr>
          <w:trHeight w:val="102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3E41CE62">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7D97642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1815" w:type="dxa"/>
            <w:tcBorders>
              <w:top w:val="nil"/>
              <w:left w:val="nil"/>
              <w:bottom w:val="single" w:color="auto" w:sz="4" w:space="0"/>
              <w:right w:val="single" w:color="auto" w:sz="4" w:space="0"/>
            </w:tcBorders>
            <w:vAlign w:val="center"/>
          </w:tcPr>
          <w:p w14:paraId="33EA5B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c>
          <w:tcPr>
            <w:tcW w:w="1815" w:type="dxa"/>
            <w:tcBorders>
              <w:top w:val="nil"/>
              <w:left w:val="nil"/>
              <w:bottom w:val="single" w:color="auto" w:sz="4" w:space="0"/>
              <w:right w:val="single" w:color="auto" w:sz="4" w:space="0"/>
            </w:tcBorders>
            <w:vAlign w:val="center"/>
          </w:tcPr>
          <w:p w14:paraId="40C7F8C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c>
          <w:tcPr>
            <w:tcW w:w="1815" w:type="dxa"/>
            <w:tcBorders>
              <w:top w:val="nil"/>
              <w:left w:val="nil"/>
              <w:bottom w:val="single" w:color="auto" w:sz="4" w:space="0"/>
              <w:right w:val="single" w:color="auto" w:sz="4" w:space="0"/>
            </w:tcBorders>
            <w:vAlign w:val="center"/>
          </w:tcPr>
          <w:p w14:paraId="529FFD7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c>
          <w:tcPr>
            <w:tcW w:w="1796" w:type="dxa"/>
            <w:tcBorders>
              <w:top w:val="nil"/>
              <w:left w:val="nil"/>
              <w:bottom w:val="single" w:color="auto" w:sz="4" w:space="0"/>
              <w:right w:val="single" w:color="auto" w:sz="4" w:space="0"/>
            </w:tcBorders>
            <w:vAlign w:val="center"/>
          </w:tcPr>
          <w:p w14:paraId="5ECB1B1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r>
      <w:tr w14:paraId="14F00B10">
        <w:tblPrEx>
          <w:tblCellMar>
            <w:top w:w="0" w:type="dxa"/>
            <w:left w:w="108" w:type="dxa"/>
            <w:bottom w:w="0" w:type="dxa"/>
            <w:right w:w="108" w:type="dxa"/>
          </w:tblCellMar>
        </w:tblPrEx>
        <w:trPr>
          <w:trHeight w:val="951"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5F984B61">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7090B1B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954" w:type="pct"/>
            <w:tcBorders>
              <w:top w:val="nil"/>
              <w:left w:val="nil"/>
              <w:bottom w:val="single" w:color="auto" w:sz="4" w:space="0"/>
              <w:right w:val="single" w:color="auto" w:sz="4" w:space="0"/>
            </w:tcBorders>
            <w:vAlign w:val="center"/>
          </w:tcPr>
          <w:p w14:paraId="79FF6FE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部分户型配备家具家电，程度较新；功能正常，质量有保证，一般。</w:t>
            </w:r>
          </w:p>
        </w:tc>
        <w:tc>
          <w:tcPr>
            <w:tcW w:w="1815" w:type="dxa"/>
            <w:tcBorders>
              <w:top w:val="nil"/>
              <w:left w:val="nil"/>
              <w:bottom w:val="single" w:color="auto" w:sz="4" w:space="0"/>
              <w:right w:val="single" w:color="auto" w:sz="4" w:space="0"/>
            </w:tcBorders>
            <w:vAlign w:val="center"/>
          </w:tcPr>
          <w:p w14:paraId="577505C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1815" w:type="dxa"/>
            <w:tcBorders>
              <w:top w:val="nil"/>
              <w:left w:val="nil"/>
              <w:bottom w:val="single" w:color="auto" w:sz="4" w:space="0"/>
              <w:right w:val="single" w:color="auto" w:sz="4" w:space="0"/>
            </w:tcBorders>
            <w:vAlign w:val="center"/>
          </w:tcPr>
          <w:p w14:paraId="3F6C60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1796" w:type="dxa"/>
            <w:tcBorders>
              <w:top w:val="nil"/>
              <w:left w:val="nil"/>
              <w:bottom w:val="single" w:color="auto" w:sz="4" w:space="0"/>
              <w:right w:val="single" w:color="auto" w:sz="4" w:space="0"/>
            </w:tcBorders>
            <w:vAlign w:val="center"/>
          </w:tcPr>
          <w:p w14:paraId="3BB7CAE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57E5240D">
      <w:pPr>
        <w:wordWrap w:val="0"/>
        <w:overflowPunct w:val="0"/>
        <w:spacing w:line="480" w:lineRule="auto"/>
        <w:rPr>
          <w:rFonts w:hint="eastAsia" w:ascii="Arial" w:hAnsi="Arial"/>
          <w:sz w:val="21"/>
          <w:szCs w:val="21"/>
        </w:rPr>
      </w:pPr>
    </w:p>
    <w:p w14:paraId="0CA4EC41">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E0831D0">
      <w:pPr>
        <w:wordWrap w:val="0"/>
        <w:overflowPunct w:val="0"/>
        <w:spacing w:line="480" w:lineRule="auto"/>
        <w:ind w:firstLine="420" w:firstLineChars="200"/>
        <w:rPr>
          <w:rFonts w:hint="eastAsia"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0B6BB4E2">
      <w:pPr>
        <w:overflowPunct w:val="0"/>
        <w:spacing w:line="480" w:lineRule="auto"/>
        <w:ind w:firstLine="420" w:firstLineChars="200"/>
        <w:jc w:val="center"/>
        <w:rPr>
          <w:rFonts w:hint="eastAsia" w:ascii="Arial" w:hAnsi="Arial"/>
          <w:sz w:val="21"/>
          <w:szCs w:val="21"/>
        </w:rPr>
      </w:pPr>
      <w:r>
        <w:rPr>
          <w:rFonts w:hint="eastAsia" w:ascii="Arial" w:hAnsi="Arial"/>
          <w:sz w:val="21"/>
          <w:szCs w:val="21"/>
        </w:rPr>
        <w:t>X13海棠苑</w:t>
      </w:r>
      <w:r>
        <w:rPr>
          <w:rFonts w:ascii="Arial" w:hAnsi="Arial"/>
          <w:sz w:val="21"/>
          <w:szCs w:val="21"/>
        </w:rPr>
        <w:t>比较因素条件指数表</w:t>
      </w:r>
    </w:p>
    <w:tbl>
      <w:tblPr>
        <w:tblStyle w:val="33"/>
        <w:tblW w:w="5000" w:type="pct"/>
        <w:tblInd w:w="0" w:type="dxa"/>
        <w:tblLayout w:type="autofit"/>
        <w:tblCellMar>
          <w:top w:w="0" w:type="dxa"/>
          <w:left w:w="108" w:type="dxa"/>
          <w:bottom w:w="0" w:type="dxa"/>
          <w:right w:w="108" w:type="dxa"/>
        </w:tblCellMar>
      </w:tblPr>
      <w:tblGrid>
        <w:gridCol w:w="595"/>
        <w:gridCol w:w="978"/>
        <w:gridCol w:w="1024"/>
        <w:gridCol w:w="1024"/>
        <w:gridCol w:w="1024"/>
        <w:gridCol w:w="1022"/>
        <w:gridCol w:w="3848"/>
      </w:tblGrid>
      <w:tr w14:paraId="4D388A63">
        <w:tblPrEx>
          <w:tblCellMar>
            <w:top w:w="0" w:type="dxa"/>
            <w:left w:w="108" w:type="dxa"/>
            <w:bottom w:w="0" w:type="dxa"/>
            <w:right w:w="108" w:type="dxa"/>
          </w:tblCellMar>
        </w:tblPrEx>
        <w:trPr>
          <w:trHeight w:val="405" w:hRule="atLeast"/>
          <w:tblHeader/>
        </w:trPr>
        <w:tc>
          <w:tcPr>
            <w:tcW w:w="827"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tcPr>
          <w:p w14:paraId="3E06FE0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估价对象及</w:t>
            </w:r>
          </w:p>
          <w:p w14:paraId="2D4CD1D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w:t>
            </w:r>
          </w:p>
          <w:p w14:paraId="771A5FB8">
            <w:pPr>
              <w:widowControl/>
              <w:adjustRightInd/>
              <w:spacing w:line="240" w:lineRule="auto"/>
              <w:jc w:val="center"/>
              <w:textAlignment w:val="auto"/>
              <w:rPr>
                <w:rFonts w:hint="eastAsia" w:ascii="Arial" w:hAnsi="Arial" w:eastAsia="华文细黑" w:cs="Arial"/>
                <w:sz w:val="18"/>
                <w:szCs w:val="18"/>
              </w:rPr>
            </w:pPr>
          </w:p>
          <w:p w14:paraId="49D70E67">
            <w:pPr>
              <w:widowControl/>
              <w:adjustRightInd/>
              <w:spacing w:line="240" w:lineRule="auto"/>
              <w:jc w:val="center"/>
              <w:textAlignment w:val="auto"/>
              <w:rPr>
                <w:rFonts w:hint="eastAsia" w:ascii="Arial" w:hAnsi="Arial" w:eastAsia="华文细黑" w:cs="Arial"/>
                <w:sz w:val="18"/>
                <w:szCs w:val="18"/>
              </w:rPr>
            </w:pPr>
          </w:p>
          <w:p w14:paraId="5A50694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比较因素</w:t>
            </w:r>
          </w:p>
        </w:tc>
        <w:tc>
          <w:tcPr>
            <w:tcW w:w="538" w:type="pct"/>
            <w:tcBorders>
              <w:top w:val="single" w:color="auto" w:sz="4" w:space="0"/>
              <w:left w:val="nil"/>
              <w:bottom w:val="single" w:color="auto" w:sz="4" w:space="0"/>
              <w:right w:val="single" w:color="auto" w:sz="4" w:space="0"/>
            </w:tcBorders>
            <w:vAlign w:val="center"/>
          </w:tcPr>
          <w:p w14:paraId="59E467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w:t>
            </w:r>
          </w:p>
        </w:tc>
        <w:tc>
          <w:tcPr>
            <w:tcW w:w="538" w:type="pct"/>
            <w:tcBorders>
              <w:top w:val="single" w:color="auto" w:sz="4" w:space="0"/>
              <w:left w:val="nil"/>
              <w:bottom w:val="single" w:color="auto" w:sz="4" w:space="0"/>
              <w:right w:val="single" w:color="auto" w:sz="4" w:space="0"/>
            </w:tcBorders>
            <w:vAlign w:val="center"/>
          </w:tcPr>
          <w:p w14:paraId="2A5C7F0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w:t>
            </w:r>
          </w:p>
        </w:tc>
        <w:tc>
          <w:tcPr>
            <w:tcW w:w="538" w:type="pct"/>
            <w:tcBorders>
              <w:top w:val="single" w:color="auto" w:sz="4" w:space="0"/>
              <w:left w:val="nil"/>
              <w:bottom w:val="single" w:color="auto" w:sz="4" w:space="0"/>
              <w:right w:val="single" w:color="auto" w:sz="4" w:space="0"/>
            </w:tcBorders>
            <w:vAlign w:val="center"/>
          </w:tcPr>
          <w:p w14:paraId="3982A31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w:t>
            </w:r>
          </w:p>
        </w:tc>
        <w:tc>
          <w:tcPr>
            <w:tcW w:w="537" w:type="pct"/>
            <w:tcBorders>
              <w:top w:val="single" w:color="auto" w:sz="4" w:space="0"/>
              <w:left w:val="nil"/>
              <w:bottom w:val="single" w:color="auto" w:sz="4" w:space="0"/>
              <w:right w:val="single" w:color="auto" w:sz="4" w:space="0"/>
            </w:tcBorders>
            <w:vAlign w:val="center"/>
          </w:tcPr>
          <w:p w14:paraId="63B65D0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可比实例3</w:t>
            </w:r>
          </w:p>
        </w:tc>
        <w:tc>
          <w:tcPr>
            <w:tcW w:w="2022" w:type="pct"/>
            <w:tcBorders>
              <w:top w:val="single" w:color="auto" w:sz="4" w:space="0"/>
              <w:left w:val="nil"/>
              <w:bottom w:val="single" w:color="auto" w:sz="4" w:space="0"/>
              <w:right w:val="single" w:color="auto" w:sz="4" w:space="0"/>
            </w:tcBorders>
            <w:vAlign w:val="center"/>
          </w:tcPr>
          <w:p w14:paraId="661BA29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比较因素调整说明</w:t>
            </w:r>
          </w:p>
        </w:tc>
      </w:tr>
      <w:tr w14:paraId="149B28CD">
        <w:tblPrEx>
          <w:tblCellMar>
            <w:top w:w="0" w:type="dxa"/>
            <w:left w:w="108" w:type="dxa"/>
            <w:bottom w:w="0" w:type="dxa"/>
            <w:right w:w="108" w:type="dxa"/>
          </w:tblCellMar>
        </w:tblPrEx>
        <w:trPr>
          <w:trHeight w:val="555" w:hRule="atLeast"/>
          <w:tblHeader/>
        </w:trPr>
        <w:tc>
          <w:tcPr>
            <w:tcW w:w="827" w:type="pct"/>
            <w:gridSpan w:val="2"/>
            <w:vMerge w:val="continue"/>
            <w:tcBorders>
              <w:top w:val="single" w:color="auto" w:sz="4" w:space="0"/>
              <w:left w:val="single" w:color="auto" w:sz="4" w:space="0"/>
              <w:bottom w:val="single" w:color="000000" w:sz="4" w:space="0"/>
              <w:right w:val="single" w:color="000000" w:sz="4" w:space="0"/>
            </w:tcBorders>
            <w:vAlign w:val="center"/>
          </w:tcPr>
          <w:p w14:paraId="0D21DF85">
            <w:pPr>
              <w:widowControl/>
              <w:adjustRightInd/>
              <w:spacing w:line="240" w:lineRule="auto"/>
              <w:jc w:val="center"/>
              <w:textAlignment w:val="auto"/>
              <w:rPr>
                <w:rFonts w:hint="eastAsia" w:ascii="Arial" w:hAnsi="Arial" w:eastAsia="华文细黑" w:cs="Arial"/>
                <w:sz w:val="18"/>
                <w:szCs w:val="18"/>
              </w:rPr>
            </w:pPr>
          </w:p>
        </w:tc>
        <w:tc>
          <w:tcPr>
            <w:tcW w:w="538" w:type="pct"/>
            <w:tcBorders>
              <w:top w:val="nil"/>
              <w:left w:val="nil"/>
              <w:bottom w:val="single" w:color="auto" w:sz="4" w:space="0"/>
              <w:right w:val="single" w:color="auto" w:sz="4" w:space="0"/>
            </w:tcBorders>
            <w:vAlign w:val="center"/>
          </w:tcPr>
          <w:p w14:paraId="6788A5D7">
            <w:pPr>
              <w:widowControl/>
              <w:adjustRightInd/>
              <w:spacing w:line="240" w:lineRule="auto"/>
              <w:jc w:val="center"/>
              <w:textAlignment w:val="auto"/>
              <w:rPr>
                <w:rFonts w:hint="eastAsia" w:ascii="Arial" w:hAnsi="Arial" w:eastAsia="华文细黑" w:cs="Arial"/>
                <w:sz w:val="18"/>
                <w:szCs w:val="18"/>
              </w:rPr>
            </w:pPr>
            <w:bookmarkStart w:id="57" w:name="_Hlk111570394"/>
            <w:r>
              <w:rPr>
                <w:rFonts w:hint="eastAsia" w:ascii="Arial" w:hAnsi="Arial" w:eastAsia="华文细黑" w:cs="Arial"/>
                <w:sz w:val="18"/>
                <w:szCs w:val="18"/>
              </w:rPr>
              <w:t>X13海棠苑</w:t>
            </w:r>
            <w:bookmarkEnd w:id="57"/>
          </w:p>
        </w:tc>
        <w:tc>
          <w:tcPr>
            <w:tcW w:w="538" w:type="pct"/>
            <w:tcBorders>
              <w:top w:val="nil"/>
              <w:left w:val="nil"/>
              <w:bottom w:val="single" w:color="auto" w:sz="4" w:space="0"/>
              <w:right w:val="single" w:color="auto" w:sz="4" w:space="0"/>
            </w:tcBorders>
            <w:vAlign w:val="center"/>
          </w:tcPr>
          <w:p w14:paraId="004F0F9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悦廷</w:t>
            </w:r>
          </w:p>
        </w:tc>
        <w:tc>
          <w:tcPr>
            <w:tcW w:w="1024" w:type="dxa"/>
            <w:tcBorders>
              <w:top w:val="nil"/>
              <w:left w:val="nil"/>
              <w:bottom w:val="single" w:color="auto" w:sz="4" w:space="0"/>
              <w:right w:val="single" w:color="auto" w:sz="4" w:space="0"/>
            </w:tcBorders>
            <w:vAlign w:val="center"/>
          </w:tcPr>
          <w:p w14:paraId="741699B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中信新城西区</w:t>
            </w:r>
          </w:p>
        </w:tc>
        <w:tc>
          <w:tcPr>
            <w:tcW w:w="1022" w:type="dxa"/>
            <w:tcBorders>
              <w:top w:val="nil"/>
              <w:left w:val="nil"/>
              <w:bottom w:val="single" w:color="auto" w:sz="4" w:space="0"/>
              <w:right w:val="single" w:color="auto" w:sz="4" w:space="0"/>
            </w:tcBorders>
            <w:vAlign w:val="center"/>
          </w:tcPr>
          <w:p w14:paraId="22146E6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南海家园四里</w:t>
            </w:r>
          </w:p>
        </w:tc>
        <w:tc>
          <w:tcPr>
            <w:tcW w:w="2022" w:type="pct"/>
            <w:tcBorders>
              <w:top w:val="nil"/>
              <w:left w:val="nil"/>
              <w:bottom w:val="single" w:color="auto" w:sz="4" w:space="0"/>
              <w:right w:val="single" w:color="auto" w:sz="4" w:space="0"/>
            </w:tcBorders>
            <w:vAlign w:val="center"/>
          </w:tcPr>
          <w:p w14:paraId="04DC5A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w:t>
            </w:r>
          </w:p>
        </w:tc>
      </w:tr>
      <w:tr w14:paraId="0AE2F016">
        <w:tblPrEx>
          <w:tblCellMar>
            <w:top w:w="0" w:type="dxa"/>
            <w:left w:w="108" w:type="dxa"/>
            <w:bottom w:w="0" w:type="dxa"/>
            <w:right w:w="108" w:type="dxa"/>
          </w:tblCellMar>
        </w:tblPrEx>
        <w:trPr>
          <w:trHeight w:val="601" w:hRule="atLeast"/>
        </w:trPr>
        <w:tc>
          <w:tcPr>
            <w:tcW w:w="827" w:type="pct"/>
            <w:gridSpan w:val="2"/>
            <w:tcBorders>
              <w:top w:val="single" w:color="auto" w:sz="4" w:space="0"/>
              <w:left w:val="single" w:color="auto" w:sz="4" w:space="0"/>
              <w:bottom w:val="single" w:color="auto" w:sz="4" w:space="0"/>
              <w:right w:val="single" w:color="000000" w:sz="4" w:space="0"/>
            </w:tcBorders>
            <w:vAlign w:val="bottom"/>
          </w:tcPr>
          <w:p w14:paraId="1F78FD3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确定的交易价格</w:t>
            </w:r>
            <w:r>
              <w:rPr>
                <w:rFonts w:hint="eastAsia" w:ascii="Arial" w:hAnsi="Arial" w:eastAsia="华文细黑" w:cs="Arial"/>
                <w:sz w:val="18"/>
                <w:szCs w:val="18"/>
              </w:rPr>
              <w:br w:type="textWrapping"/>
            </w:r>
            <w:r>
              <w:rPr>
                <w:rFonts w:hint="eastAsia" w:ascii="Arial" w:hAnsi="Arial" w:eastAsia="华文细黑" w:cs="Arial"/>
                <w:sz w:val="18"/>
                <w:szCs w:val="18"/>
              </w:rPr>
              <w:t>（元/平方米·月）</w:t>
            </w:r>
          </w:p>
        </w:tc>
        <w:tc>
          <w:tcPr>
            <w:tcW w:w="538" w:type="pct"/>
            <w:tcBorders>
              <w:top w:val="nil"/>
              <w:left w:val="nil"/>
              <w:bottom w:val="single" w:color="auto" w:sz="4" w:space="0"/>
              <w:right w:val="single" w:color="auto" w:sz="4" w:space="0"/>
            </w:tcBorders>
            <w:vAlign w:val="center"/>
          </w:tcPr>
          <w:p w14:paraId="7F97F2E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待估</w:t>
            </w:r>
          </w:p>
        </w:tc>
        <w:tc>
          <w:tcPr>
            <w:tcW w:w="1024" w:type="dxa"/>
            <w:tcBorders>
              <w:top w:val="nil"/>
              <w:left w:val="nil"/>
              <w:bottom w:val="single" w:color="auto" w:sz="4" w:space="0"/>
              <w:right w:val="single" w:color="auto" w:sz="4" w:space="0"/>
            </w:tcBorders>
            <w:vAlign w:val="center"/>
          </w:tcPr>
          <w:p w14:paraId="034EC81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54.69</w:t>
            </w:r>
          </w:p>
        </w:tc>
        <w:tc>
          <w:tcPr>
            <w:tcW w:w="1024" w:type="dxa"/>
            <w:tcBorders>
              <w:top w:val="nil"/>
              <w:left w:val="nil"/>
              <w:bottom w:val="single" w:color="auto" w:sz="4" w:space="0"/>
              <w:right w:val="single" w:color="auto" w:sz="4" w:space="0"/>
            </w:tcBorders>
            <w:vAlign w:val="center"/>
          </w:tcPr>
          <w:p w14:paraId="005FB09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51.91</w:t>
            </w:r>
          </w:p>
        </w:tc>
        <w:tc>
          <w:tcPr>
            <w:tcW w:w="1022" w:type="dxa"/>
            <w:tcBorders>
              <w:top w:val="nil"/>
              <w:left w:val="nil"/>
              <w:bottom w:val="single" w:color="auto" w:sz="4" w:space="0"/>
              <w:right w:val="single" w:color="auto" w:sz="4" w:space="0"/>
            </w:tcBorders>
            <w:vAlign w:val="center"/>
          </w:tcPr>
          <w:p w14:paraId="72056EB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49.87</w:t>
            </w:r>
          </w:p>
        </w:tc>
        <w:tc>
          <w:tcPr>
            <w:tcW w:w="2022" w:type="pct"/>
            <w:tcBorders>
              <w:top w:val="nil"/>
              <w:left w:val="nil"/>
              <w:bottom w:val="single" w:color="auto" w:sz="4" w:space="0"/>
              <w:right w:val="single" w:color="auto" w:sz="4" w:space="0"/>
            </w:tcBorders>
            <w:vAlign w:val="center"/>
          </w:tcPr>
          <w:p w14:paraId="55752A4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w:t>
            </w:r>
          </w:p>
        </w:tc>
      </w:tr>
      <w:tr w14:paraId="20BD6F1B">
        <w:tblPrEx>
          <w:tblCellMar>
            <w:top w:w="0" w:type="dxa"/>
            <w:left w:w="108" w:type="dxa"/>
            <w:bottom w:w="0" w:type="dxa"/>
            <w:right w:w="108" w:type="dxa"/>
          </w:tblCellMar>
        </w:tblPrEx>
        <w:trPr>
          <w:trHeight w:val="533" w:hRule="atLeast"/>
        </w:trPr>
        <w:tc>
          <w:tcPr>
            <w:tcW w:w="827" w:type="pct"/>
            <w:gridSpan w:val="2"/>
            <w:tcBorders>
              <w:top w:val="single" w:color="auto" w:sz="4" w:space="0"/>
              <w:left w:val="single" w:color="auto" w:sz="4" w:space="0"/>
              <w:bottom w:val="single" w:color="auto" w:sz="4" w:space="0"/>
              <w:right w:val="single" w:color="auto" w:sz="4" w:space="0"/>
            </w:tcBorders>
            <w:vAlign w:val="center"/>
          </w:tcPr>
          <w:p w14:paraId="3F2121C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538" w:type="pct"/>
            <w:tcBorders>
              <w:top w:val="nil"/>
              <w:left w:val="nil"/>
              <w:bottom w:val="single" w:color="auto" w:sz="4" w:space="0"/>
              <w:right w:val="single" w:color="auto" w:sz="4" w:space="0"/>
            </w:tcBorders>
            <w:vAlign w:val="center"/>
          </w:tcPr>
          <w:p w14:paraId="7518D7E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520B81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634393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329122E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04F4070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估价对象与可比实例的交易时间一致，因此确定估价对象与可比实例该因素指数均为100；</w:t>
            </w:r>
          </w:p>
        </w:tc>
      </w:tr>
      <w:tr w14:paraId="017B5683">
        <w:tblPrEx>
          <w:tblCellMar>
            <w:top w:w="0" w:type="dxa"/>
            <w:left w:w="108" w:type="dxa"/>
            <w:bottom w:w="0" w:type="dxa"/>
            <w:right w:w="108" w:type="dxa"/>
          </w:tblCellMar>
        </w:tblPrEx>
        <w:trPr>
          <w:trHeight w:val="301" w:hRule="atLeast"/>
        </w:trPr>
        <w:tc>
          <w:tcPr>
            <w:tcW w:w="827" w:type="pct"/>
            <w:gridSpan w:val="2"/>
            <w:tcBorders>
              <w:top w:val="single" w:color="auto" w:sz="4" w:space="0"/>
              <w:left w:val="single" w:color="auto" w:sz="4" w:space="0"/>
              <w:bottom w:val="single" w:color="auto" w:sz="4" w:space="0"/>
              <w:right w:val="single" w:color="auto" w:sz="4" w:space="0"/>
            </w:tcBorders>
            <w:vAlign w:val="center"/>
          </w:tcPr>
          <w:p w14:paraId="1E5C2C1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538" w:type="pct"/>
            <w:tcBorders>
              <w:top w:val="nil"/>
              <w:left w:val="nil"/>
              <w:bottom w:val="single" w:color="auto" w:sz="4" w:space="0"/>
              <w:right w:val="single" w:color="auto" w:sz="4" w:space="0"/>
            </w:tcBorders>
            <w:vAlign w:val="center"/>
          </w:tcPr>
          <w:p w14:paraId="51131FB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65B4179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024" w:type="dxa"/>
            <w:tcBorders>
              <w:top w:val="nil"/>
              <w:left w:val="nil"/>
              <w:bottom w:val="single" w:color="auto" w:sz="4" w:space="0"/>
              <w:right w:val="single" w:color="auto" w:sz="4" w:space="0"/>
            </w:tcBorders>
            <w:vAlign w:val="center"/>
          </w:tcPr>
          <w:p w14:paraId="48F964C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022" w:type="dxa"/>
            <w:tcBorders>
              <w:top w:val="nil"/>
              <w:left w:val="nil"/>
              <w:bottom w:val="single" w:color="auto" w:sz="4" w:space="0"/>
              <w:right w:val="single" w:color="auto" w:sz="4" w:space="0"/>
            </w:tcBorders>
            <w:vAlign w:val="center"/>
          </w:tcPr>
          <w:p w14:paraId="229C023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560E666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可比实例均为正常交易或已修正为正常交易，故不予修正，交易情况指数均100；</w:t>
            </w:r>
          </w:p>
        </w:tc>
      </w:tr>
      <w:tr w14:paraId="28C3CB4B">
        <w:tblPrEx>
          <w:tblCellMar>
            <w:top w:w="0" w:type="dxa"/>
            <w:left w:w="108" w:type="dxa"/>
            <w:bottom w:w="0" w:type="dxa"/>
            <w:right w:w="108" w:type="dxa"/>
          </w:tblCellMar>
        </w:tblPrEx>
        <w:trPr>
          <w:trHeight w:val="788" w:hRule="atLeast"/>
        </w:trPr>
        <w:tc>
          <w:tcPr>
            <w:tcW w:w="313" w:type="pct"/>
            <w:vMerge w:val="restart"/>
            <w:tcBorders>
              <w:top w:val="single" w:color="auto" w:sz="4" w:space="0"/>
              <w:left w:val="single" w:color="auto" w:sz="4" w:space="0"/>
              <w:bottom w:val="single" w:color="auto" w:sz="4" w:space="0"/>
              <w:right w:val="single" w:color="auto" w:sz="4" w:space="0"/>
            </w:tcBorders>
            <w:vAlign w:val="center"/>
          </w:tcPr>
          <w:p w14:paraId="73B291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w:t>
            </w:r>
          </w:p>
          <w:p w14:paraId="2495A6C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状况</w:t>
            </w:r>
          </w:p>
        </w:tc>
        <w:tc>
          <w:tcPr>
            <w:tcW w:w="514" w:type="pct"/>
            <w:tcBorders>
              <w:top w:val="nil"/>
              <w:left w:val="nil"/>
              <w:bottom w:val="single" w:color="auto" w:sz="4" w:space="0"/>
              <w:right w:val="single" w:color="auto" w:sz="4" w:space="0"/>
            </w:tcBorders>
            <w:vAlign w:val="center"/>
          </w:tcPr>
          <w:p w14:paraId="1C2C697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538" w:type="pct"/>
            <w:tcBorders>
              <w:top w:val="nil"/>
              <w:left w:val="nil"/>
              <w:bottom w:val="single" w:color="auto" w:sz="4" w:space="0"/>
              <w:right w:val="single" w:color="auto" w:sz="4" w:space="0"/>
            </w:tcBorders>
            <w:vAlign w:val="center"/>
          </w:tcPr>
          <w:p w14:paraId="6ED73B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21FB5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25733BA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50C438A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12BE475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从好到差划分为好、较好、一般、较差、差五个等级，每个等级相差5分，确定可比实例1、2、3该因素指数分别为100、100、100；</w:t>
            </w:r>
          </w:p>
        </w:tc>
      </w:tr>
      <w:tr w14:paraId="546FC818">
        <w:tblPrEx>
          <w:tblCellMar>
            <w:top w:w="0" w:type="dxa"/>
            <w:left w:w="108" w:type="dxa"/>
            <w:bottom w:w="0" w:type="dxa"/>
            <w:right w:w="108" w:type="dxa"/>
          </w:tblCellMar>
        </w:tblPrEx>
        <w:trPr>
          <w:trHeight w:val="774"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7A5ACB4B">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0835EE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538" w:type="pct"/>
            <w:tcBorders>
              <w:top w:val="nil"/>
              <w:left w:val="nil"/>
              <w:bottom w:val="single" w:color="auto" w:sz="4" w:space="0"/>
              <w:right w:val="single" w:color="auto" w:sz="4" w:space="0"/>
            </w:tcBorders>
            <w:vAlign w:val="center"/>
          </w:tcPr>
          <w:p w14:paraId="1803520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26F3C9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10739F4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537" w:type="pct"/>
            <w:tcBorders>
              <w:top w:val="nil"/>
              <w:left w:val="nil"/>
              <w:bottom w:val="single" w:color="auto" w:sz="4" w:space="0"/>
              <w:right w:val="single" w:color="auto" w:sz="4" w:space="0"/>
            </w:tcBorders>
            <w:vAlign w:val="center"/>
          </w:tcPr>
          <w:p w14:paraId="3EB34D4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2022" w:type="pct"/>
            <w:tcBorders>
              <w:top w:val="nil"/>
              <w:left w:val="nil"/>
              <w:bottom w:val="single" w:color="auto" w:sz="4" w:space="0"/>
              <w:right w:val="single" w:color="auto" w:sz="4" w:space="0"/>
            </w:tcBorders>
            <w:vAlign w:val="center"/>
          </w:tcPr>
          <w:p w14:paraId="7FA768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从好到差划分为好、较好、一般、较差、差五个等级，每个等级相差1分，确定可比实例1、2、3该因素指数分别为100、98、99；</w:t>
            </w:r>
          </w:p>
        </w:tc>
      </w:tr>
      <w:tr w14:paraId="081E1364">
        <w:tblPrEx>
          <w:tblCellMar>
            <w:top w:w="0" w:type="dxa"/>
            <w:left w:w="108" w:type="dxa"/>
            <w:bottom w:w="0" w:type="dxa"/>
            <w:right w:w="108" w:type="dxa"/>
          </w:tblCellMar>
        </w:tblPrEx>
        <w:trPr>
          <w:trHeight w:val="848"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5F5C35D5">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6F8A028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538" w:type="pct"/>
            <w:tcBorders>
              <w:top w:val="nil"/>
              <w:left w:val="nil"/>
              <w:bottom w:val="single" w:color="auto" w:sz="4" w:space="0"/>
              <w:right w:val="single" w:color="auto" w:sz="4" w:space="0"/>
            </w:tcBorders>
            <w:vAlign w:val="center"/>
          </w:tcPr>
          <w:p w14:paraId="1C908A5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018824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74AA0A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05011B3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167E58B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从好到差划分为好、较好、一般、较差、差五个等级，每个等级相差2分，确定可比实例1、2、3该因素指数分别为100、100、100；</w:t>
            </w:r>
          </w:p>
        </w:tc>
      </w:tr>
      <w:tr w14:paraId="24D16C3F">
        <w:tblPrEx>
          <w:tblCellMar>
            <w:top w:w="0" w:type="dxa"/>
            <w:left w:w="108" w:type="dxa"/>
            <w:bottom w:w="0" w:type="dxa"/>
            <w:right w:w="108" w:type="dxa"/>
          </w:tblCellMar>
        </w:tblPrEx>
        <w:trPr>
          <w:trHeight w:val="900"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04DA8B92">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4F2901E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538" w:type="pct"/>
            <w:tcBorders>
              <w:top w:val="nil"/>
              <w:left w:val="nil"/>
              <w:bottom w:val="single" w:color="auto" w:sz="4" w:space="0"/>
              <w:right w:val="single" w:color="auto" w:sz="4" w:space="0"/>
            </w:tcBorders>
            <w:vAlign w:val="center"/>
          </w:tcPr>
          <w:p w14:paraId="733AFF0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9561F3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7F81DA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101</w:t>
            </w:r>
          </w:p>
        </w:tc>
        <w:tc>
          <w:tcPr>
            <w:tcW w:w="537" w:type="pct"/>
            <w:tcBorders>
              <w:top w:val="nil"/>
              <w:left w:val="nil"/>
              <w:bottom w:val="single" w:color="auto" w:sz="4" w:space="0"/>
              <w:right w:val="single" w:color="auto" w:sz="4" w:space="0"/>
            </w:tcBorders>
            <w:vAlign w:val="center"/>
          </w:tcPr>
          <w:p w14:paraId="4497657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7F1D5EF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从好到差划分为好、较好、一般、较差、差五个等级，每个等级相差1分，确定可比实例1、2、3该因素指数分别为100、101、100；</w:t>
            </w:r>
          </w:p>
        </w:tc>
      </w:tr>
      <w:tr w14:paraId="4F3536E3">
        <w:tblPrEx>
          <w:tblCellMar>
            <w:top w:w="0" w:type="dxa"/>
            <w:left w:w="108" w:type="dxa"/>
            <w:bottom w:w="0" w:type="dxa"/>
            <w:right w:w="108" w:type="dxa"/>
          </w:tblCellMar>
        </w:tblPrEx>
        <w:trPr>
          <w:trHeight w:val="946"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1132750C">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57C0FDC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538" w:type="pct"/>
            <w:tcBorders>
              <w:top w:val="nil"/>
              <w:left w:val="nil"/>
              <w:bottom w:val="single" w:color="auto" w:sz="4" w:space="0"/>
              <w:right w:val="single" w:color="auto" w:sz="4" w:space="0"/>
            </w:tcBorders>
            <w:vAlign w:val="center"/>
          </w:tcPr>
          <w:p w14:paraId="21D408B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E5F3D6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06C2977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7239994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26BA2BF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从好到差划分为齐全、较齐全、一般、较不齐全、不齐全五个等级，每个等级相差5分，确定可比实例1、2、3该因素指数分别为100、100、100；</w:t>
            </w:r>
          </w:p>
        </w:tc>
      </w:tr>
      <w:tr w14:paraId="227C05D6">
        <w:tblPrEx>
          <w:tblCellMar>
            <w:top w:w="0" w:type="dxa"/>
            <w:left w:w="108" w:type="dxa"/>
            <w:bottom w:w="0" w:type="dxa"/>
            <w:right w:w="108" w:type="dxa"/>
          </w:tblCellMar>
        </w:tblPrEx>
        <w:trPr>
          <w:trHeight w:val="975" w:hRule="atLeast"/>
        </w:trPr>
        <w:tc>
          <w:tcPr>
            <w:tcW w:w="313" w:type="pct"/>
            <w:vMerge w:val="restart"/>
            <w:tcBorders>
              <w:top w:val="single" w:color="auto" w:sz="4" w:space="0"/>
              <w:left w:val="single" w:color="auto" w:sz="4" w:space="0"/>
              <w:bottom w:val="single" w:color="auto" w:sz="4" w:space="0"/>
              <w:right w:val="single" w:color="auto" w:sz="4" w:space="0"/>
            </w:tcBorders>
            <w:vAlign w:val="center"/>
          </w:tcPr>
          <w:p w14:paraId="478776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w:t>
            </w:r>
          </w:p>
          <w:p w14:paraId="32EC773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状况</w:t>
            </w:r>
          </w:p>
        </w:tc>
        <w:tc>
          <w:tcPr>
            <w:tcW w:w="514" w:type="pct"/>
            <w:tcBorders>
              <w:top w:val="nil"/>
              <w:left w:val="nil"/>
              <w:bottom w:val="single" w:color="auto" w:sz="4" w:space="0"/>
              <w:right w:val="single" w:color="auto" w:sz="4" w:space="0"/>
            </w:tcBorders>
            <w:vAlign w:val="center"/>
          </w:tcPr>
          <w:p w14:paraId="34A55DE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538" w:type="pct"/>
            <w:tcBorders>
              <w:top w:val="nil"/>
              <w:left w:val="nil"/>
              <w:bottom w:val="single" w:color="auto" w:sz="4" w:space="0"/>
              <w:right w:val="single" w:color="auto" w:sz="4" w:space="0"/>
            </w:tcBorders>
            <w:vAlign w:val="center"/>
          </w:tcPr>
          <w:p w14:paraId="470F5AB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318712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4BBAC2D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56D240E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5B107C4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根据物业服务对其价值的影响，从好到差划分为有专业物业公司、无物业公司二个等级。以估价对象该因素指数为100，各可比实例与之相比，确定可比实例1、2、3该因素指数分别为100、100、100；</w:t>
            </w:r>
          </w:p>
        </w:tc>
      </w:tr>
      <w:tr w14:paraId="4A24C42A">
        <w:tblPrEx>
          <w:tblCellMar>
            <w:top w:w="0" w:type="dxa"/>
            <w:left w:w="108" w:type="dxa"/>
            <w:bottom w:w="0" w:type="dxa"/>
            <w:right w:w="108" w:type="dxa"/>
          </w:tblCellMar>
        </w:tblPrEx>
        <w:trPr>
          <w:trHeight w:val="1360" w:hRule="atLeast"/>
        </w:trPr>
        <w:tc>
          <w:tcPr>
            <w:tcW w:w="313" w:type="pct"/>
            <w:vMerge w:val="continue"/>
            <w:tcBorders>
              <w:top w:val="nil"/>
              <w:left w:val="single" w:color="auto" w:sz="4" w:space="0"/>
              <w:bottom w:val="single" w:color="auto" w:sz="4" w:space="0"/>
              <w:right w:val="single" w:color="auto" w:sz="4" w:space="0"/>
            </w:tcBorders>
            <w:vAlign w:val="center"/>
          </w:tcPr>
          <w:p w14:paraId="0AF8A103">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7F45A16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538" w:type="pct"/>
            <w:tcBorders>
              <w:top w:val="nil"/>
              <w:left w:val="nil"/>
              <w:bottom w:val="single" w:color="auto" w:sz="4" w:space="0"/>
              <w:right w:val="single" w:color="auto" w:sz="4" w:space="0"/>
            </w:tcBorders>
            <w:vAlign w:val="center"/>
          </w:tcPr>
          <w:p w14:paraId="2D4D671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0D7907F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7337F6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0DAC334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22379A3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小区环境对其价值的影响，从好到差划分为绿化率≥35%为好，35％&gt;绿化率≥30%为较好，30%&gt;绿化率≥25%&gt;为一般，25%&gt;绿化率≥20%为较差，绿化率&lt;20%为差五个等级。以估价对象该因素指数为100，各可比实例与之相比，确定可比实例1、2、3该因素指数分别为100、100、100；</w:t>
            </w:r>
          </w:p>
        </w:tc>
      </w:tr>
      <w:tr w14:paraId="0415351B">
        <w:tblPrEx>
          <w:tblCellMar>
            <w:top w:w="0" w:type="dxa"/>
            <w:left w:w="108" w:type="dxa"/>
            <w:bottom w:w="0" w:type="dxa"/>
            <w:right w:w="108" w:type="dxa"/>
          </w:tblCellMar>
        </w:tblPrEx>
        <w:trPr>
          <w:trHeight w:val="1127" w:hRule="atLeast"/>
        </w:trPr>
        <w:tc>
          <w:tcPr>
            <w:tcW w:w="313" w:type="pct"/>
            <w:vMerge w:val="continue"/>
            <w:tcBorders>
              <w:top w:val="nil"/>
              <w:left w:val="single" w:color="auto" w:sz="4" w:space="0"/>
              <w:bottom w:val="single" w:color="auto" w:sz="4" w:space="0"/>
              <w:right w:val="single" w:color="auto" w:sz="4" w:space="0"/>
            </w:tcBorders>
            <w:vAlign w:val="center"/>
          </w:tcPr>
          <w:p w14:paraId="7F866D53">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631D02D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538" w:type="pct"/>
            <w:tcBorders>
              <w:top w:val="nil"/>
              <w:left w:val="nil"/>
              <w:bottom w:val="single" w:color="auto" w:sz="4" w:space="0"/>
              <w:right w:val="single" w:color="auto" w:sz="4" w:space="0"/>
            </w:tcBorders>
            <w:vAlign w:val="center"/>
          </w:tcPr>
          <w:p w14:paraId="6B02A4F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F8017D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01F40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5A091DA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2AC2892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配套设施对其价值的影响，从好到差划分为配备医疗站、活动站；配备活动站、不配备医疗站或配备医疗站，无活动站；无医疗站、活动站三个等级以估价对象该因素指数为100，各可比实例与之相比，确定可比实例1、2、3该因素指数分别为100、100、100；</w:t>
            </w:r>
          </w:p>
        </w:tc>
      </w:tr>
      <w:tr w14:paraId="3FED0BAA">
        <w:tblPrEx>
          <w:tblCellMar>
            <w:top w:w="0" w:type="dxa"/>
            <w:left w:w="108" w:type="dxa"/>
            <w:bottom w:w="0" w:type="dxa"/>
            <w:right w:w="108" w:type="dxa"/>
          </w:tblCellMar>
        </w:tblPrEx>
        <w:trPr>
          <w:trHeight w:val="1148" w:hRule="atLeast"/>
        </w:trPr>
        <w:tc>
          <w:tcPr>
            <w:tcW w:w="313" w:type="pct"/>
            <w:vMerge w:val="continue"/>
            <w:tcBorders>
              <w:top w:val="nil"/>
              <w:left w:val="single" w:color="auto" w:sz="4" w:space="0"/>
              <w:bottom w:val="single" w:color="auto" w:sz="4" w:space="0"/>
              <w:right w:val="single" w:color="auto" w:sz="4" w:space="0"/>
            </w:tcBorders>
            <w:vAlign w:val="center"/>
          </w:tcPr>
          <w:p w14:paraId="3CA2F14D">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520FDC0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538" w:type="pct"/>
            <w:tcBorders>
              <w:top w:val="nil"/>
              <w:left w:val="nil"/>
              <w:bottom w:val="single" w:color="auto" w:sz="4" w:space="0"/>
              <w:right w:val="single" w:color="auto" w:sz="4" w:space="0"/>
            </w:tcBorders>
            <w:vAlign w:val="center"/>
          </w:tcPr>
          <w:p w14:paraId="4579F10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2219C7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0E7CA78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5F328F5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31B3205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居住管理对其价值的影响，从好到差划分为有管理人员配置，房屋住户均有备案、有管理人员配置，房屋住户备案较少、无管理人员配置三个等级。以估价对象该因素指数为100，各可比实例与之相比，确定可比实例1、2、3该因素指数分别为100、100、100；</w:t>
            </w:r>
          </w:p>
        </w:tc>
      </w:tr>
      <w:tr w14:paraId="3857DBC7">
        <w:tblPrEx>
          <w:tblCellMar>
            <w:top w:w="0" w:type="dxa"/>
            <w:left w:w="108" w:type="dxa"/>
            <w:bottom w:w="0" w:type="dxa"/>
            <w:right w:w="108" w:type="dxa"/>
          </w:tblCellMar>
        </w:tblPrEx>
        <w:trPr>
          <w:trHeight w:val="1148" w:hRule="atLeast"/>
        </w:trPr>
        <w:tc>
          <w:tcPr>
            <w:tcW w:w="313" w:type="pct"/>
            <w:vMerge w:val="continue"/>
            <w:tcBorders>
              <w:top w:val="nil"/>
              <w:left w:val="single" w:color="auto" w:sz="4" w:space="0"/>
              <w:bottom w:val="single" w:color="auto" w:sz="4" w:space="0"/>
              <w:right w:val="single" w:color="auto" w:sz="4" w:space="0"/>
            </w:tcBorders>
            <w:vAlign w:val="center"/>
          </w:tcPr>
          <w:p w14:paraId="03E552FA">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0FACE89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538" w:type="pct"/>
            <w:tcBorders>
              <w:top w:val="nil"/>
              <w:left w:val="nil"/>
              <w:bottom w:val="single" w:color="auto" w:sz="4" w:space="0"/>
              <w:right w:val="single" w:color="auto" w:sz="4" w:space="0"/>
            </w:tcBorders>
            <w:vAlign w:val="center"/>
          </w:tcPr>
          <w:p w14:paraId="77646D7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62C7F19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538" w:type="pct"/>
            <w:tcBorders>
              <w:top w:val="nil"/>
              <w:left w:val="nil"/>
              <w:bottom w:val="single" w:color="auto" w:sz="4" w:space="0"/>
              <w:right w:val="single" w:color="auto" w:sz="4" w:space="0"/>
            </w:tcBorders>
            <w:vAlign w:val="center"/>
          </w:tcPr>
          <w:p w14:paraId="2B8C818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537" w:type="pct"/>
            <w:tcBorders>
              <w:top w:val="nil"/>
              <w:left w:val="nil"/>
              <w:bottom w:val="single" w:color="auto" w:sz="4" w:space="0"/>
              <w:right w:val="single" w:color="auto" w:sz="4" w:space="0"/>
            </w:tcBorders>
            <w:vAlign w:val="center"/>
          </w:tcPr>
          <w:p w14:paraId="4851F70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2022" w:type="pct"/>
            <w:tcBorders>
              <w:top w:val="nil"/>
              <w:left w:val="nil"/>
              <w:bottom w:val="single" w:color="auto" w:sz="4" w:space="0"/>
              <w:right w:val="single" w:color="auto" w:sz="4" w:space="0"/>
            </w:tcBorders>
            <w:vAlign w:val="center"/>
          </w:tcPr>
          <w:p w14:paraId="0B7F93D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户型对其价值的影响，从好到差划分为好、较好、一般、较差、差五个等级。南北通透，多数房间、通风、采光好，好；朝向较好，能保证较长时间的采光，通风较好，较好；朝向一般，能保证一定时间的采光，通风一般，一般；采光时间较短、通风不良，较差；没有采光、不通风，差。以估价对象该因素指数为100，各可比实例与之相比，确定可比实例1、2、3该因素指数分别为102、102、102；</w:t>
            </w:r>
          </w:p>
        </w:tc>
      </w:tr>
      <w:tr w14:paraId="0BE003F6">
        <w:tblPrEx>
          <w:tblCellMar>
            <w:top w:w="0" w:type="dxa"/>
            <w:left w:w="108" w:type="dxa"/>
            <w:bottom w:w="0" w:type="dxa"/>
            <w:right w:w="108" w:type="dxa"/>
          </w:tblCellMar>
        </w:tblPrEx>
        <w:trPr>
          <w:trHeight w:val="1793" w:hRule="atLeast"/>
        </w:trPr>
        <w:tc>
          <w:tcPr>
            <w:tcW w:w="313" w:type="pct"/>
            <w:vMerge w:val="continue"/>
            <w:tcBorders>
              <w:top w:val="nil"/>
              <w:left w:val="single" w:color="auto" w:sz="4" w:space="0"/>
              <w:bottom w:val="single" w:color="auto" w:sz="4" w:space="0"/>
              <w:right w:val="single" w:color="auto" w:sz="4" w:space="0"/>
            </w:tcBorders>
            <w:vAlign w:val="center"/>
          </w:tcPr>
          <w:p w14:paraId="1D972302">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4A26C2A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538" w:type="pct"/>
            <w:tcBorders>
              <w:top w:val="nil"/>
              <w:left w:val="nil"/>
              <w:bottom w:val="single" w:color="auto" w:sz="4" w:space="0"/>
              <w:right w:val="single" w:color="auto" w:sz="4" w:space="0"/>
            </w:tcBorders>
            <w:vAlign w:val="center"/>
          </w:tcPr>
          <w:p w14:paraId="4C06E3C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F5D11F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538" w:type="pct"/>
            <w:tcBorders>
              <w:top w:val="nil"/>
              <w:left w:val="nil"/>
              <w:bottom w:val="single" w:color="auto" w:sz="4" w:space="0"/>
              <w:right w:val="single" w:color="auto" w:sz="4" w:space="0"/>
            </w:tcBorders>
            <w:vAlign w:val="center"/>
          </w:tcPr>
          <w:p w14:paraId="70875EA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537" w:type="pct"/>
            <w:tcBorders>
              <w:top w:val="nil"/>
              <w:left w:val="nil"/>
              <w:bottom w:val="single" w:color="auto" w:sz="4" w:space="0"/>
              <w:right w:val="single" w:color="auto" w:sz="4" w:space="0"/>
            </w:tcBorders>
            <w:vAlign w:val="center"/>
          </w:tcPr>
          <w:p w14:paraId="1446839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2022" w:type="pct"/>
            <w:tcBorders>
              <w:top w:val="nil"/>
              <w:left w:val="nil"/>
              <w:bottom w:val="single" w:color="auto" w:sz="4" w:space="0"/>
              <w:right w:val="single" w:color="auto" w:sz="4" w:space="0"/>
            </w:tcBorders>
            <w:vAlign w:val="center"/>
          </w:tcPr>
          <w:p w14:paraId="7033BCD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根据户型对其价值的影响，分开间或一居室、二居室、三居室。户型小的户型更方便出租。以估价对象该因素指数为100，各可比实例与之相比，确定可比实例1、2、3该因素指数分别为98、98、99；</w:t>
            </w:r>
          </w:p>
        </w:tc>
      </w:tr>
      <w:tr w14:paraId="651FBA50">
        <w:tblPrEx>
          <w:tblCellMar>
            <w:top w:w="0" w:type="dxa"/>
            <w:left w:w="108" w:type="dxa"/>
            <w:bottom w:w="0" w:type="dxa"/>
            <w:right w:w="108" w:type="dxa"/>
          </w:tblCellMar>
        </w:tblPrEx>
        <w:trPr>
          <w:trHeight w:val="870" w:hRule="atLeast"/>
        </w:trPr>
        <w:tc>
          <w:tcPr>
            <w:tcW w:w="313" w:type="pct"/>
            <w:vMerge w:val="continue"/>
            <w:tcBorders>
              <w:top w:val="nil"/>
              <w:left w:val="single" w:color="auto" w:sz="4" w:space="0"/>
              <w:bottom w:val="single" w:color="auto" w:sz="4" w:space="0"/>
              <w:right w:val="single" w:color="auto" w:sz="4" w:space="0"/>
            </w:tcBorders>
            <w:vAlign w:val="center"/>
          </w:tcPr>
          <w:p w14:paraId="2C049A0F">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single" w:color="auto" w:sz="4" w:space="0"/>
              <w:left w:val="single" w:color="auto" w:sz="4" w:space="0"/>
              <w:bottom w:val="single" w:color="auto" w:sz="4" w:space="0"/>
              <w:right w:val="single" w:color="auto" w:sz="4" w:space="0"/>
            </w:tcBorders>
            <w:vAlign w:val="center"/>
          </w:tcPr>
          <w:p w14:paraId="4796F2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538" w:type="pct"/>
            <w:tcBorders>
              <w:top w:val="single" w:color="auto" w:sz="4" w:space="0"/>
              <w:left w:val="single" w:color="auto" w:sz="4" w:space="0"/>
              <w:bottom w:val="single" w:color="auto" w:sz="4" w:space="0"/>
              <w:right w:val="single" w:color="auto" w:sz="4" w:space="0"/>
            </w:tcBorders>
            <w:vAlign w:val="center"/>
          </w:tcPr>
          <w:p w14:paraId="04F2B19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single" w:color="auto" w:sz="4" w:space="0"/>
              <w:left w:val="single" w:color="auto" w:sz="4" w:space="0"/>
              <w:bottom w:val="single" w:color="auto" w:sz="4" w:space="0"/>
              <w:right w:val="single" w:color="auto" w:sz="4" w:space="0"/>
            </w:tcBorders>
            <w:vAlign w:val="center"/>
          </w:tcPr>
          <w:p w14:paraId="6D939D8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single" w:color="auto" w:sz="4" w:space="0"/>
              <w:left w:val="single" w:color="auto" w:sz="4" w:space="0"/>
              <w:bottom w:val="single" w:color="auto" w:sz="4" w:space="0"/>
              <w:right w:val="single" w:color="auto" w:sz="4" w:space="0"/>
            </w:tcBorders>
            <w:vAlign w:val="center"/>
          </w:tcPr>
          <w:p w14:paraId="530E722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single" w:color="auto" w:sz="4" w:space="0"/>
              <w:left w:val="single" w:color="auto" w:sz="4" w:space="0"/>
              <w:bottom w:val="single" w:color="auto" w:sz="4" w:space="0"/>
              <w:right w:val="single" w:color="auto" w:sz="4" w:space="0"/>
            </w:tcBorders>
            <w:vAlign w:val="center"/>
          </w:tcPr>
          <w:p w14:paraId="6C3DE14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single" w:color="auto" w:sz="4" w:space="0"/>
              <w:left w:val="single" w:color="auto" w:sz="4" w:space="0"/>
              <w:bottom w:val="single" w:color="auto" w:sz="4" w:space="0"/>
              <w:right w:val="single" w:color="auto" w:sz="4" w:space="0"/>
            </w:tcBorders>
            <w:vAlign w:val="center"/>
          </w:tcPr>
          <w:p w14:paraId="1CF7AFC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1、2、3该因素指数分别为100、100、100；；</w:t>
            </w:r>
          </w:p>
        </w:tc>
      </w:tr>
      <w:tr w14:paraId="0BF01643">
        <w:tblPrEx>
          <w:tblCellMar>
            <w:top w:w="0" w:type="dxa"/>
            <w:left w:w="108" w:type="dxa"/>
            <w:bottom w:w="0" w:type="dxa"/>
            <w:right w:w="108" w:type="dxa"/>
          </w:tblCellMar>
        </w:tblPrEx>
        <w:trPr>
          <w:trHeight w:val="870" w:hRule="atLeast"/>
        </w:trPr>
        <w:tc>
          <w:tcPr>
            <w:tcW w:w="313" w:type="pct"/>
            <w:vMerge w:val="continue"/>
            <w:tcBorders>
              <w:top w:val="nil"/>
              <w:left w:val="single" w:color="auto" w:sz="4" w:space="0"/>
              <w:bottom w:val="single" w:color="auto" w:sz="4" w:space="0"/>
              <w:right w:val="single" w:color="auto" w:sz="4" w:space="0"/>
            </w:tcBorders>
            <w:vAlign w:val="center"/>
          </w:tcPr>
          <w:p w14:paraId="0D3B786A">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3D873CD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538" w:type="pct"/>
            <w:tcBorders>
              <w:top w:val="nil"/>
              <w:left w:val="nil"/>
              <w:bottom w:val="single" w:color="auto" w:sz="4" w:space="0"/>
              <w:right w:val="single" w:color="auto" w:sz="4" w:space="0"/>
            </w:tcBorders>
            <w:vAlign w:val="center"/>
          </w:tcPr>
          <w:p w14:paraId="0835149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7649A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538" w:type="pct"/>
            <w:tcBorders>
              <w:top w:val="nil"/>
              <w:left w:val="nil"/>
              <w:bottom w:val="single" w:color="auto" w:sz="4" w:space="0"/>
              <w:right w:val="single" w:color="auto" w:sz="4" w:space="0"/>
            </w:tcBorders>
            <w:vAlign w:val="center"/>
          </w:tcPr>
          <w:p w14:paraId="697809A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537" w:type="pct"/>
            <w:tcBorders>
              <w:top w:val="nil"/>
              <w:left w:val="nil"/>
              <w:bottom w:val="single" w:color="auto" w:sz="4" w:space="0"/>
              <w:right w:val="single" w:color="auto" w:sz="4" w:space="0"/>
            </w:tcBorders>
            <w:vAlign w:val="center"/>
          </w:tcPr>
          <w:p w14:paraId="3D17D0A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2022" w:type="pct"/>
            <w:tcBorders>
              <w:top w:val="nil"/>
              <w:left w:val="nil"/>
              <w:bottom w:val="single" w:color="auto" w:sz="4" w:space="0"/>
              <w:right w:val="single" w:color="auto" w:sz="4" w:space="0"/>
            </w:tcBorders>
            <w:vAlign w:val="center"/>
          </w:tcPr>
          <w:p w14:paraId="55AC168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根据设备对其价值的影响，从好到差划分为好、较好、一般、较差、差五个等级。</w:t>
            </w:r>
          </w:p>
          <w:p w14:paraId="45E8B83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100，各可比实例与之相比，确定可比实例1、2、3该因素指数分别为102、102、102。</w:t>
            </w:r>
          </w:p>
        </w:tc>
      </w:tr>
    </w:tbl>
    <w:p w14:paraId="1492BA9F">
      <w:pPr>
        <w:widowControl/>
        <w:adjustRightInd/>
        <w:spacing w:line="240" w:lineRule="auto"/>
        <w:jc w:val="center"/>
        <w:textAlignment w:val="auto"/>
        <w:rPr>
          <w:rFonts w:hint="eastAsia" w:ascii="Arial" w:hAnsi="Arial" w:eastAsia="华文细黑" w:cs="Arial"/>
          <w:sz w:val="18"/>
          <w:szCs w:val="18"/>
        </w:rPr>
      </w:pPr>
    </w:p>
    <w:p w14:paraId="5C0E14AA">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（3）编制因素比较修正系数表</w:t>
      </w:r>
      <w:r>
        <w:rPr>
          <w:rFonts w:ascii="Arial" w:hAnsi="Arial"/>
          <w:sz w:val="21"/>
          <w:szCs w:val="21"/>
        </w:rPr>
        <w:t xml:space="preserve"> </w:t>
      </w:r>
    </w:p>
    <w:p w14:paraId="233BB2B9">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44442B70">
      <w:pPr>
        <w:overflowPunct w:val="0"/>
        <w:spacing w:line="480" w:lineRule="auto"/>
        <w:ind w:firstLine="420" w:firstLineChars="200"/>
        <w:jc w:val="center"/>
        <w:rPr>
          <w:rFonts w:hint="eastAsia" w:ascii="Arial" w:hAnsi="Arial"/>
          <w:sz w:val="21"/>
          <w:szCs w:val="21"/>
        </w:rPr>
      </w:pPr>
      <w:r>
        <w:rPr>
          <w:rFonts w:hint="eastAsia" w:ascii="Arial" w:hAnsi="Arial"/>
          <w:sz w:val="21"/>
          <w:szCs w:val="21"/>
        </w:rPr>
        <w:t>X13海棠苑因素比较修正系数表</w:t>
      </w:r>
    </w:p>
    <w:tbl>
      <w:tblPr>
        <w:tblStyle w:val="33"/>
        <w:tblW w:w="5000" w:type="pct"/>
        <w:tblInd w:w="0" w:type="dxa"/>
        <w:tblLayout w:type="autofit"/>
        <w:tblCellMar>
          <w:top w:w="0" w:type="dxa"/>
          <w:left w:w="108" w:type="dxa"/>
          <w:bottom w:w="0" w:type="dxa"/>
          <w:right w:w="108" w:type="dxa"/>
        </w:tblCellMar>
      </w:tblPr>
      <w:tblGrid>
        <w:gridCol w:w="1509"/>
        <w:gridCol w:w="2885"/>
        <w:gridCol w:w="1707"/>
        <w:gridCol w:w="1707"/>
        <w:gridCol w:w="1707"/>
      </w:tblGrid>
      <w:tr w14:paraId="41A5DE1A">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0643456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项目</w:t>
            </w:r>
          </w:p>
        </w:tc>
        <w:tc>
          <w:tcPr>
            <w:tcW w:w="897" w:type="pct"/>
            <w:tcBorders>
              <w:top w:val="single" w:color="auto" w:sz="4" w:space="0"/>
              <w:left w:val="nil"/>
              <w:bottom w:val="single" w:color="auto" w:sz="4" w:space="0"/>
              <w:right w:val="single" w:color="auto" w:sz="4" w:space="0"/>
            </w:tcBorders>
            <w:vAlign w:val="center"/>
          </w:tcPr>
          <w:p w14:paraId="5DCB22F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w:t>
            </w:r>
          </w:p>
        </w:tc>
        <w:tc>
          <w:tcPr>
            <w:tcW w:w="897" w:type="pct"/>
            <w:tcBorders>
              <w:top w:val="single" w:color="auto" w:sz="4" w:space="0"/>
              <w:left w:val="nil"/>
              <w:bottom w:val="single" w:color="auto" w:sz="4" w:space="0"/>
              <w:right w:val="single" w:color="auto" w:sz="4" w:space="0"/>
            </w:tcBorders>
            <w:vAlign w:val="center"/>
          </w:tcPr>
          <w:p w14:paraId="550A2D2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w:t>
            </w:r>
          </w:p>
        </w:tc>
        <w:tc>
          <w:tcPr>
            <w:tcW w:w="897" w:type="pct"/>
            <w:tcBorders>
              <w:top w:val="single" w:color="auto" w:sz="4" w:space="0"/>
              <w:left w:val="nil"/>
              <w:bottom w:val="single" w:color="auto" w:sz="4" w:space="0"/>
              <w:right w:val="single" w:color="auto" w:sz="4" w:space="0"/>
            </w:tcBorders>
            <w:vAlign w:val="center"/>
          </w:tcPr>
          <w:p w14:paraId="027445C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可比实例3</w:t>
            </w:r>
          </w:p>
        </w:tc>
      </w:tr>
      <w:tr w14:paraId="6E143290">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13465A2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小区名称</w:t>
            </w:r>
          </w:p>
        </w:tc>
        <w:tc>
          <w:tcPr>
            <w:tcW w:w="1707" w:type="dxa"/>
            <w:tcBorders>
              <w:top w:val="nil"/>
              <w:left w:val="nil"/>
              <w:bottom w:val="single" w:color="auto" w:sz="4" w:space="0"/>
              <w:right w:val="single" w:color="auto" w:sz="4" w:space="0"/>
            </w:tcBorders>
            <w:vAlign w:val="center"/>
          </w:tcPr>
          <w:p w14:paraId="0CFC3D7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悦廷</w:t>
            </w:r>
          </w:p>
        </w:tc>
        <w:tc>
          <w:tcPr>
            <w:tcW w:w="1707" w:type="dxa"/>
            <w:tcBorders>
              <w:top w:val="nil"/>
              <w:left w:val="nil"/>
              <w:bottom w:val="single" w:color="auto" w:sz="4" w:space="0"/>
              <w:right w:val="single" w:color="auto" w:sz="4" w:space="0"/>
            </w:tcBorders>
            <w:vAlign w:val="center"/>
          </w:tcPr>
          <w:p w14:paraId="43CECEC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中信新城西区</w:t>
            </w:r>
          </w:p>
        </w:tc>
        <w:tc>
          <w:tcPr>
            <w:tcW w:w="1707" w:type="dxa"/>
            <w:tcBorders>
              <w:top w:val="nil"/>
              <w:left w:val="nil"/>
              <w:bottom w:val="single" w:color="auto" w:sz="4" w:space="0"/>
              <w:right w:val="single" w:color="auto" w:sz="4" w:space="0"/>
            </w:tcBorders>
            <w:vAlign w:val="center"/>
          </w:tcPr>
          <w:p w14:paraId="6FDF8C3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南海家园四里</w:t>
            </w:r>
          </w:p>
        </w:tc>
      </w:tr>
      <w:tr w14:paraId="57EAD9FD">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17E4AA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平均租金（元/平方米·月）</w:t>
            </w:r>
          </w:p>
        </w:tc>
        <w:tc>
          <w:tcPr>
            <w:tcW w:w="1707" w:type="dxa"/>
            <w:tcBorders>
              <w:top w:val="nil"/>
              <w:left w:val="nil"/>
              <w:bottom w:val="single" w:color="auto" w:sz="4" w:space="0"/>
              <w:right w:val="single" w:color="auto" w:sz="4" w:space="0"/>
            </w:tcBorders>
            <w:vAlign w:val="center"/>
          </w:tcPr>
          <w:p w14:paraId="3A7C819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54.69</w:t>
            </w:r>
          </w:p>
        </w:tc>
        <w:tc>
          <w:tcPr>
            <w:tcW w:w="1707" w:type="dxa"/>
            <w:tcBorders>
              <w:top w:val="nil"/>
              <w:left w:val="nil"/>
              <w:bottom w:val="single" w:color="auto" w:sz="4" w:space="0"/>
              <w:right w:val="single" w:color="auto" w:sz="4" w:space="0"/>
            </w:tcBorders>
            <w:vAlign w:val="center"/>
          </w:tcPr>
          <w:p w14:paraId="5584170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51.91</w:t>
            </w:r>
          </w:p>
        </w:tc>
        <w:tc>
          <w:tcPr>
            <w:tcW w:w="1707" w:type="dxa"/>
            <w:tcBorders>
              <w:top w:val="nil"/>
              <w:left w:val="nil"/>
              <w:bottom w:val="single" w:color="auto" w:sz="4" w:space="0"/>
              <w:right w:val="single" w:color="auto" w:sz="4" w:space="0"/>
            </w:tcBorders>
            <w:vAlign w:val="center"/>
          </w:tcPr>
          <w:p w14:paraId="477468F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49.87</w:t>
            </w:r>
          </w:p>
        </w:tc>
      </w:tr>
      <w:tr w14:paraId="06035C86">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67B9A31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897" w:type="pct"/>
            <w:tcBorders>
              <w:top w:val="nil"/>
              <w:left w:val="nil"/>
              <w:bottom w:val="single" w:color="auto" w:sz="4" w:space="0"/>
              <w:right w:val="single" w:color="auto" w:sz="4" w:space="0"/>
            </w:tcBorders>
            <w:vAlign w:val="center"/>
          </w:tcPr>
          <w:p w14:paraId="57B27D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7588508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0986735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4BF8A9D8">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4A012F9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897" w:type="pct"/>
            <w:tcBorders>
              <w:top w:val="nil"/>
              <w:left w:val="nil"/>
              <w:bottom w:val="single" w:color="auto" w:sz="4" w:space="0"/>
              <w:right w:val="single" w:color="auto" w:sz="4" w:space="0"/>
            </w:tcBorders>
            <w:vAlign w:val="center"/>
          </w:tcPr>
          <w:p w14:paraId="2A8B5C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3F58CCF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CBB640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142771DF">
        <w:tblPrEx>
          <w:tblCellMar>
            <w:top w:w="0" w:type="dxa"/>
            <w:left w:w="108" w:type="dxa"/>
            <w:bottom w:w="0" w:type="dxa"/>
            <w:right w:w="108" w:type="dxa"/>
          </w:tblCellMar>
        </w:tblPrEx>
        <w:trPr>
          <w:trHeight w:val="227" w:hRule="atLeast"/>
        </w:trPr>
        <w:tc>
          <w:tcPr>
            <w:tcW w:w="793" w:type="pct"/>
            <w:vMerge w:val="restart"/>
            <w:tcBorders>
              <w:top w:val="nil"/>
              <w:left w:val="single" w:color="auto" w:sz="4" w:space="0"/>
              <w:bottom w:val="single" w:color="auto" w:sz="4" w:space="0"/>
              <w:right w:val="single" w:color="auto" w:sz="4" w:space="0"/>
            </w:tcBorders>
            <w:vAlign w:val="center"/>
          </w:tcPr>
          <w:p w14:paraId="1D98ACB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区域状况</w:t>
            </w:r>
          </w:p>
        </w:tc>
        <w:tc>
          <w:tcPr>
            <w:tcW w:w="1516" w:type="pct"/>
            <w:tcBorders>
              <w:top w:val="nil"/>
              <w:left w:val="nil"/>
              <w:bottom w:val="single" w:color="auto" w:sz="4" w:space="0"/>
              <w:right w:val="single" w:color="auto" w:sz="4" w:space="0"/>
            </w:tcBorders>
            <w:vAlign w:val="center"/>
          </w:tcPr>
          <w:p w14:paraId="0527D6B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897" w:type="pct"/>
            <w:tcBorders>
              <w:top w:val="nil"/>
              <w:left w:val="nil"/>
              <w:bottom w:val="single" w:color="auto" w:sz="4" w:space="0"/>
              <w:right w:val="single" w:color="auto" w:sz="4" w:space="0"/>
            </w:tcBorders>
            <w:vAlign w:val="center"/>
          </w:tcPr>
          <w:p w14:paraId="6465986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28938FE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004D33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259A6C34">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484834C7">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51D9C0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897" w:type="pct"/>
            <w:tcBorders>
              <w:top w:val="nil"/>
              <w:left w:val="nil"/>
              <w:bottom w:val="single" w:color="auto" w:sz="4" w:space="0"/>
              <w:right w:val="single" w:color="auto" w:sz="4" w:space="0"/>
            </w:tcBorders>
            <w:vAlign w:val="center"/>
          </w:tcPr>
          <w:p w14:paraId="2BF8457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6E8D962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897" w:type="pct"/>
            <w:tcBorders>
              <w:top w:val="nil"/>
              <w:left w:val="nil"/>
              <w:bottom w:val="single" w:color="auto" w:sz="4" w:space="0"/>
              <w:right w:val="single" w:color="auto" w:sz="4" w:space="0"/>
            </w:tcBorders>
            <w:vAlign w:val="center"/>
          </w:tcPr>
          <w:p w14:paraId="48C76C8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4BBCB6EA">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3035CA7A">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AA57E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897" w:type="pct"/>
            <w:tcBorders>
              <w:top w:val="nil"/>
              <w:left w:val="nil"/>
              <w:bottom w:val="single" w:color="auto" w:sz="4" w:space="0"/>
              <w:right w:val="single" w:color="auto" w:sz="4" w:space="0"/>
            </w:tcBorders>
            <w:vAlign w:val="center"/>
          </w:tcPr>
          <w:p w14:paraId="59E0352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0964AB0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760227C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68452B21">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21C1FCB6">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2A08937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897" w:type="pct"/>
            <w:tcBorders>
              <w:top w:val="nil"/>
              <w:left w:val="nil"/>
              <w:bottom w:val="single" w:color="auto" w:sz="4" w:space="0"/>
              <w:right w:val="single" w:color="auto" w:sz="4" w:space="0"/>
            </w:tcBorders>
            <w:vAlign w:val="center"/>
          </w:tcPr>
          <w:p w14:paraId="260DB1F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76712EF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100/101</w:t>
            </w:r>
          </w:p>
        </w:tc>
        <w:tc>
          <w:tcPr>
            <w:tcW w:w="897" w:type="pct"/>
            <w:tcBorders>
              <w:top w:val="nil"/>
              <w:left w:val="nil"/>
              <w:bottom w:val="single" w:color="auto" w:sz="4" w:space="0"/>
              <w:right w:val="single" w:color="auto" w:sz="4" w:space="0"/>
            </w:tcBorders>
            <w:vAlign w:val="center"/>
          </w:tcPr>
          <w:p w14:paraId="6F248D1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42C7B361">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40947C5C">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B73BA6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897" w:type="pct"/>
            <w:tcBorders>
              <w:top w:val="nil"/>
              <w:left w:val="nil"/>
              <w:bottom w:val="single" w:color="auto" w:sz="4" w:space="0"/>
              <w:right w:val="single" w:color="auto" w:sz="4" w:space="0"/>
            </w:tcBorders>
            <w:vAlign w:val="center"/>
          </w:tcPr>
          <w:p w14:paraId="41C3BBB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0D06413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3FFAE1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728E90AA">
        <w:tblPrEx>
          <w:tblCellMar>
            <w:top w:w="0" w:type="dxa"/>
            <w:left w:w="108" w:type="dxa"/>
            <w:bottom w:w="0" w:type="dxa"/>
            <w:right w:w="108" w:type="dxa"/>
          </w:tblCellMar>
        </w:tblPrEx>
        <w:trPr>
          <w:trHeight w:val="227" w:hRule="atLeast"/>
        </w:trPr>
        <w:tc>
          <w:tcPr>
            <w:tcW w:w="793" w:type="pct"/>
            <w:vMerge w:val="restart"/>
            <w:tcBorders>
              <w:top w:val="nil"/>
              <w:left w:val="single" w:color="auto" w:sz="4" w:space="0"/>
              <w:bottom w:val="single" w:color="auto" w:sz="4" w:space="0"/>
              <w:right w:val="single" w:color="auto" w:sz="4" w:space="0"/>
            </w:tcBorders>
            <w:vAlign w:val="center"/>
          </w:tcPr>
          <w:p w14:paraId="02395B1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实物状况</w:t>
            </w:r>
          </w:p>
        </w:tc>
        <w:tc>
          <w:tcPr>
            <w:tcW w:w="1516" w:type="pct"/>
            <w:tcBorders>
              <w:top w:val="nil"/>
              <w:left w:val="nil"/>
              <w:bottom w:val="single" w:color="auto" w:sz="4" w:space="0"/>
              <w:right w:val="single" w:color="auto" w:sz="4" w:space="0"/>
            </w:tcBorders>
            <w:vAlign w:val="center"/>
          </w:tcPr>
          <w:p w14:paraId="6D686CC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1707" w:type="dxa"/>
            <w:tcBorders>
              <w:top w:val="nil"/>
              <w:left w:val="nil"/>
              <w:bottom w:val="single" w:color="auto" w:sz="4" w:space="0"/>
              <w:right w:val="single" w:color="auto" w:sz="4" w:space="0"/>
            </w:tcBorders>
            <w:vAlign w:val="center"/>
          </w:tcPr>
          <w:p w14:paraId="5A22E0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07095C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0D2C2B8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623B70B9">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6250B38E">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4D053AB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1707" w:type="dxa"/>
            <w:tcBorders>
              <w:top w:val="nil"/>
              <w:left w:val="nil"/>
              <w:bottom w:val="single" w:color="auto" w:sz="4" w:space="0"/>
              <w:right w:val="single" w:color="auto" w:sz="4" w:space="0"/>
            </w:tcBorders>
            <w:vAlign w:val="center"/>
          </w:tcPr>
          <w:p w14:paraId="5CAA0FB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0329B0C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716F9F3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746B6851">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1D604A17">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20728E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1707" w:type="dxa"/>
            <w:tcBorders>
              <w:top w:val="nil"/>
              <w:left w:val="nil"/>
              <w:bottom w:val="single" w:color="auto" w:sz="4" w:space="0"/>
              <w:right w:val="single" w:color="auto" w:sz="4" w:space="0"/>
            </w:tcBorders>
            <w:vAlign w:val="center"/>
          </w:tcPr>
          <w:p w14:paraId="37B7EF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26595DE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4D73F42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420EAF0F">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578DE2EF">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7947E03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1707" w:type="dxa"/>
            <w:tcBorders>
              <w:top w:val="nil"/>
              <w:left w:val="nil"/>
              <w:bottom w:val="single" w:color="auto" w:sz="4" w:space="0"/>
              <w:right w:val="single" w:color="auto" w:sz="4" w:space="0"/>
            </w:tcBorders>
            <w:vAlign w:val="center"/>
          </w:tcPr>
          <w:p w14:paraId="55724FD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1D6DB04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140FED4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6CC9C412">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485EAC5D">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7307446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1707" w:type="dxa"/>
            <w:tcBorders>
              <w:top w:val="nil"/>
              <w:left w:val="nil"/>
              <w:bottom w:val="single" w:color="auto" w:sz="4" w:space="0"/>
              <w:right w:val="single" w:color="auto" w:sz="4" w:space="0"/>
            </w:tcBorders>
            <w:vAlign w:val="center"/>
          </w:tcPr>
          <w:p w14:paraId="78D8DED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32EAB96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71D7544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r>
      <w:tr w14:paraId="48B6FF10">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1373C613">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5B82912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1707" w:type="dxa"/>
            <w:tcBorders>
              <w:top w:val="nil"/>
              <w:left w:val="nil"/>
              <w:bottom w:val="single" w:color="auto" w:sz="4" w:space="0"/>
              <w:right w:val="single" w:color="auto" w:sz="4" w:space="0"/>
            </w:tcBorders>
            <w:vAlign w:val="center"/>
          </w:tcPr>
          <w:p w14:paraId="3B07859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707" w:type="dxa"/>
            <w:tcBorders>
              <w:top w:val="nil"/>
              <w:left w:val="nil"/>
              <w:bottom w:val="single" w:color="auto" w:sz="4" w:space="0"/>
              <w:right w:val="single" w:color="auto" w:sz="4" w:space="0"/>
            </w:tcBorders>
            <w:vAlign w:val="center"/>
          </w:tcPr>
          <w:p w14:paraId="2A9CFEC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707" w:type="dxa"/>
            <w:tcBorders>
              <w:top w:val="nil"/>
              <w:left w:val="nil"/>
              <w:bottom w:val="single" w:color="auto" w:sz="4" w:space="0"/>
              <w:right w:val="single" w:color="auto" w:sz="4" w:space="0"/>
            </w:tcBorders>
            <w:vAlign w:val="center"/>
          </w:tcPr>
          <w:p w14:paraId="63E7A52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4CE6215C">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2F63F05D">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2808FAA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1707" w:type="dxa"/>
            <w:tcBorders>
              <w:top w:val="nil"/>
              <w:left w:val="nil"/>
              <w:bottom w:val="single" w:color="auto" w:sz="4" w:space="0"/>
              <w:right w:val="single" w:color="auto" w:sz="4" w:space="0"/>
            </w:tcBorders>
            <w:vAlign w:val="center"/>
          </w:tcPr>
          <w:p w14:paraId="7B857E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4B6575F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0E6B7EA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5428D849">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339AA0B6">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4E143B3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1707" w:type="dxa"/>
            <w:tcBorders>
              <w:top w:val="nil"/>
              <w:left w:val="nil"/>
              <w:bottom w:val="single" w:color="auto" w:sz="4" w:space="0"/>
              <w:right w:val="single" w:color="auto" w:sz="4" w:space="0"/>
            </w:tcBorders>
            <w:vAlign w:val="center"/>
          </w:tcPr>
          <w:p w14:paraId="793153D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7469961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11B126C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r>
      <w:tr w14:paraId="03BA7893">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3DFE535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修正系数</w:t>
            </w:r>
          </w:p>
        </w:tc>
        <w:tc>
          <w:tcPr>
            <w:tcW w:w="897" w:type="pct"/>
            <w:tcBorders>
              <w:top w:val="single" w:color="auto" w:sz="4" w:space="0"/>
              <w:left w:val="nil"/>
              <w:bottom w:val="single" w:color="auto" w:sz="4" w:space="0"/>
              <w:right w:val="single" w:color="auto" w:sz="4" w:space="0"/>
            </w:tcBorders>
            <w:vAlign w:val="center"/>
          </w:tcPr>
          <w:p w14:paraId="60D117B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0.9803</w:t>
            </w:r>
          </w:p>
        </w:tc>
        <w:tc>
          <w:tcPr>
            <w:tcW w:w="897" w:type="pct"/>
            <w:tcBorders>
              <w:top w:val="single" w:color="auto" w:sz="4" w:space="0"/>
              <w:left w:val="nil"/>
              <w:bottom w:val="single" w:color="auto" w:sz="4" w:space="0"/>
              <w:right w:val="single" w:color="auto" w:sz="4" w:space="0"/>
            </w:tcBorders>
            <w:vAlign w:val="center"/>
          </w:tcPr>
          <w:p w14:paraId="508878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0.9909</w:t>
            </w:r>
          </w:p>
        </w:tc>
        <w:tc>
          <w:tcPr>
            <w:tcW w:w="897" w:type="pct"/>
            <w:tcBorders>
              <w:top w:val="single" w:color="auto" w:sz="4" w:space="0"/>
              <w:left w:val="nil"/>
              <w:bottom w:val="single" w:color="auto" w:sz="4" w:space="0"/>
              <w:right w:val="single" w:color="auto" w:sz="4" w:space="0"/>
            </w:tcBorders>
            <w:vAlign w:val="center"/>
          </w:tcPr>
          <w:p w14:paraId="1E7B856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0.9807</w:t>
            </w:r>
          </w:p>
        </w:tc>
      </w:tr>
      <w:tr w14:paraId="5185AB84">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23B047F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3CC4A64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53.64</w:t>
            </w:r>
          </w:p>
        </w:tc>
        <w:tc>
          <w:tcPr>
            <w:tcW w:w="897" w:type="pct"/>
            <w:tcBorders>
              <w:top w:val="single" w:color="auto" w:sz="4" w:space="0"/>
              <w:left w:val="nil"/>
              <w:bottom w:val="single" w:color="auto" w:sz="4" w:space="0"/>
              <w:right w:val="single" w:color="auto" w:sz="4" w:space="0"/>
            </w:tcBorders>
            <w:vAlign w:val="center"/>
          </w:tcPr>
          <w:p w14:paraId="5F2C587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51.44</w:t>
            </w:r>
          </w:p>
        </w:tc>
        <w:tc>
          <w:tcPr>
            <w:tcW w:w="897" w:type="pct"/>
            <w:tcBorders>
              <w:top w:val="single" w:color="auto" w:sz="4" w:space="0"/>
              <w:left w:val="nil"/>
              <w:bottom w:val="single" w:color="auto" w:sz="4" w:space="0"/>
              <w:right w:val="single" w:color="auto" w:sz="4" w:space="0"/>
            </w:tcBorders>
            <w:vAlign w:val="center"/>
          </w:tcPr>
          <w:p w14:paraId="434BE46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48.91</w:t>
            </w:r>
          </w:p>
        </w:tc>
      </w:tr>
    </w:tbl>
    <w:p w14:paraId="1011C2F8">
      <w:pPr>
        <w:wordWrap w:val="0"/>
        <w:overflowPunct w:val="0"/>
        <w:spacing w:before="240" w:beforeLines="100" w:line="480" w:lineRule="auto"/>
        <w:ind w:firstLine="420" w:firstLineChars="200"/>
        <w:rPr>
          <w:rFonts w:hint="eastAsia"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14:paraId="147159AC">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5B89CA17">
      <w:pPr>
        <w:overflowPunct w:val="0"/>
        <w:spacing w:line="480" w:lineRule="auto"/>
        <w:ind w:firstLine="420" w:firstLineChars="200"/>
        <w:jc w:val="both"/>
        <w:rPr>
          <w:rFonts w:hint="eastAsia"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w:t>
      </w:r>
      <w:r>
        <w:rPr>
          <w:rFonts w:hint="eastAsia" w:ascii="Arial" w:hAnsi="Arial"/>
          <w:sz w:val="21"/>
          <w:szCs w:val="21"/>
        </w:rPr>
        <w:t>X13海棠苑</w:t>
      </w:r>
      <w:r>
        <w:rPr>
          <w:rFonts w:ascii="Arial" w:hAnsi="Arial"/>
          <w:sz w:val="21"/>
          <w:szCs w:val="21"/>
        </w:rPr>
        <w:t>公租房项目的评估价格</w:t>
      </w:r>
      <w:r>
        <w:rPr>
          <w:rFonts w:hint="eastAsia" w:ascii="Arial" w:hAnsi="Arial"/>
          <w:sz w:val="21"/>
          <w:szCs w:val="21"/>
        </w:rPr>
        <w:t>。</w:t>
      </w:r>
    </w:p>
    <w:p w14:paraId="501AAD72">
      <w:pPr>
        <w:wordWrap w:val="0"/>
        <w:overflowPunct w:val="0"/>
        <w:spacing w:line="480" w:lineRule="auto"/>
        <w:ind w:firstLine="420" w:firstLineChars="200"/>
        <w:rPr>
          <w:rFonts w:hint="eastAsia" w:ascii="Arial" w:hAnsi="Arial"/>
          <w:sz w:val="21"/>
          <w:szCs w:val="21"/>
        </w:rPr>
      </w:pPr>
      <w:r>
        <w:rPr>
          <w:rFonts w:hint="eastAsia" w:ascii="Arial" w:hAnsi="Arial"/>
          <w:sz w:val="21"/>
          <w:szCs w:val="21"/>
        </w:rPr>
        <w:t>即：（53.64</w:t>
      </w:r>
      <w:r>
        <w:rPr>
          <w:rFonts w:ascii="Arial" w:hAnsi="Arial"/>
          <w:sz w:val="21"/>
          <w:szCs w:val="21"/>
        </w:rPr>
        <w:t>+</w:t>
      </w:r>
      <w:r>
        <w:rPr>
          <w:rFonts w:hint="eastAsia" w:ascii="Arial" w:hAnsi="Arial"/>
          <w:sz w:val="21"/>
          <w:szCs w:val="21"/>
        </w:rPr>
        <w:t>51.44+4</w:t>
      </w:r>
      <w:r>
        <w:rPr>
          <w:rFonts w:ascii="Arial" w:hAnsi="Arial"/>
          <w:sz w:val="21"/>
          <w:szCs w:val="21"/>
        </w:rPr>
        <w:t>8.</w:t>
      </w:r>
      <w:r>
        <w:rPr>
          <w:rFonts w:hint="eastAsia" w:ascii="Arial" w:hAnsi="Arial"/>
          <w:sz w:val="21"/>
          <w:szCs w:val="21"/>
        </w:rPr>
        <w:t>91）÷3</w:t>
      </w:r>
    </w:p>
    <w:p w14:paraId="2A7CC721">
      <w:pPr>
        <w:wordWrap w:val="0"/>
        <w:overflowPunct w:val="0"/>
        <w:spacing w:line="480" w:lineRule="auto"/>
        <w:ind w:firstLine="420" w:firstLineChars="200"/>
        <w:rPr>
          <w:rFonts w:ascii="Arial" w:hAnsi="Arial"/>
          <w:sz w:val="21"/>
          <w:szCs w:val="21"/>
        </w:rPr>
      </w:pPr>
      <w:r>
        <w:rPr>
          <w:rFonts w:hint="eastAsia" w:ascii="Arial" w:hAnsi="Arial"/>
          <w:sz w:val="21"/>
          <w:szCs w:val="21"/>
        </w:rPr>
        <w:t xml:space="preserve">  =51.33（元/平方米·月）</w:t>
      </w:r>
    </w:p>
    <w:p w14:paraId="0FF0193A">
      <w:pPr>
        <w:overflowPunct w:val="0"/>
        <w:spacing w:line="480" w:lineRule="auto"/>
        <w:ind w:firstLine="420" w:firstLineChars="200"/>
        <w:jc w:val="both"/>
        <w:rPr>
          <w:rFonts w:ascii="Arial" w:hAnsi="Arial"/>
          <w:sz w:val="21"/>
          <w:szCs w:val="21"/>
        </w:rPr>
      </w:pPr>
      <w:r>
        <w:rPr>
          <w:rFonts w:ascii="Arial" w:hAnsi="Arial"/>
          <w:sz w:val="21"/>
          <w:szCs w:val="21"/>
        </w:rPr>
        <w:t>比较法评估估价对象房地产于价值时点过去 12 个月的月平均市场租金水平为</w:t>
      </w:r>
      <w:r>
        <w:rPr>
          <w:rFonts w:hint="eastAsia" w:ascii="Arial" w:hAnsi="Arial"/>
          <w:sz w:val="21"/>
          <w:szCs w:val="21"/>
        </w:rPr>
        <w:t>51.33元/平方米·</w:t>
      </w:r>
      <w:r>
        <w:rPr>
          <w:rFonts w:ascii="Arial" w:hAnsi="Arial"/>
          <w:sz w:val="21"/>
          <w:szCs w:val="21"/>
        </w:rPr>
        <w:t>月</w:t>
      </w:r>
      <w:r>
        <w:rPr>
          <w:rFonts w:hint="eastAsia" w:ascii="Arial" w:hAnsi="Arial"/>
          <w:sz w:val="21"/>
          <w:szCs w:val="21"/>
        </w:rPr>
        <w:t>。</w:t>
      </w:r>
      <w:r>
        <w:rPr>
          <w:rFonts w:ascii="Arial" w:hAnsi="Arial"/>
          <w:sz w:val="21"/>
          <w:szCs w:val="21"/>
        </w:rPr>
        <w:t xml:space="preserve"> </w:t>
      </w:r>
    </w:p>
    <w:p w14:paraId="0904908D">
      <w:pPr>
        <w:wordWrap w:val="0"/>
        <w:overflowPunct w:val="0"/>
        <w:spacing w:line="480" w:lineRule="auto"/>
        <w:ind w:firstLine="420" w:firstLineChars="200"/>
        <w:rPr>
          <w:rFonts w:ascii="Arial" w:hAnsi="Arial"/>
          <w:sz w:val="21"/>
          <w:szCs w:val="21"/>
        </w:rPr>
      </w:pPr>
      <w:r>
        <w:rPr>
          <w:rFonts w:hint="eastAsia" w:ascii="Arial" w:hAnsi="Arial"/>
          <w:sz w:val="21"/>
          <w:szCs w:val="21"/>
        </w:rPr>
        <w:t>（5）根据X13海棠苑标准房租金修后得到X</w:t>
      </w:r>
      <w:r>
        <w:rPr>
          <w:rFonts w:ascii="Arial" w:hAnsi="Arial"/>
          <w:sz w:val="21"/>
          <w:szCs w:val="21"/>
        </w:rPr>
        <w:t>38</w:t>
      </w:r>
      <w:r>
        <w:rPr>
          <w:rFonts w:hint="eastAsia" w:ascii="Arial" w:hAnsi="Arial"/>
          <w:sz w:val="21"/>
          <w:szCs w:val="21"/>
        </w:rPr>
        <w:t>鹿海园五里租金</w:t>
      </w:r>
    </w:p>
    <w:tbl>
      <w:tblPr>
        <w:tblStyle w:val="33"/>
        <w:tblW w:w="5000" w:type="pct"/>
        <w:jc w:val="center"/>
        <w:tblLayout w:type="autofit"/>
        <w:tblCellMar>
          <w:top w:w="0" w:type="dxa"/>
          <w:left w:w="108" w:type="dxa"/>
          <w:bottom w:w="0" w:type="dxa"/>
          <w:right w:w="108" w:type="dxa"/>
        </w:tblCellMar>
      </w:tblPr>
      <w:tblGrid>
        <w:gridCol w:w="959"/>
        <w:gridCol w:w="1418"/>
        <w:gridCol w:w="2533"/>
        <w:gridCol w:w="1010"/>
        <w:gridCol w:w="2693"/>
        <w:gridCol w:w="902"/>
      </w:tblGrid>
      <w:tr w14:paraId="54452447">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0F2A39D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小区名称</w:t>
            </w:r>
          </w:p>
        </w:tc>
        <w:tc>
          <w:tcPr>
            <w:tcW w:w="1862" w:type="pct"/>
            <w:gridSpan w:val="2"/>
            <w:tcBorders>
              <w:top w:val="single" w:color="auto" w:sz="4" w:space="0"/>
              <w:left w:val="nil"/>
              <w:bottom w:val="single" w:color="auto" w:sz="4" w:space="0"/>
              <w:right w:val="single" w:color="000000" w:sz="4" w:space="0"/>
            </w:tcBorders>
            <w:vAlign w:val="center"/>
          </w:tcPr>
          <w:p w14:paraId="61F9543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X13海棠苑</w:t>
            </w:r>
          </w:p>
        </w:tc>
        <w:tc>
          <w:tcPr>
            <w:tcW w:w="1889" w:type="pct"/>
            <w:gridSpan w:val="2"/>
            <w:tcBorders>
              <w:top w:val="single" w:color="auto" w:sz="4" w:space="0"/>
              <w:left w:val="nil"/>
              <w:bottom w:val="single" w:color="auto" w:sz="4" w:space="0"/>
              <w:right w:val="single" w:color="000000" w:sz="4" w:space="0"/>
            </w:tcBorders>
            <w:vAlign w:val="center"/>
          </w:tcPr>
          <w:p w14:paraId="3521299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X38鹿海园五里</w:t>
            </w:r>
          </w:p>
        </w:tc>
      </w:tr>
      <w:tr w14:paraId="4D7CE97B">
        <w:tblPrEx>
          <w:tblCellMar>
            <w:top w:w="0" w:type="dxa"/>
            <w:left w:w="108" w:type="dxa"/>
            <w:bottom w:w="0" w:type="dxa"/>
            <w:right w:w="108" w:type="dxa"/>
          </w:tblCellMar>
        </w:tblPrEx>
        <w:trPr>
          <w:trHeight w:val="303"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7B8D87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平均租金（元/平方米·月）</w:t>
            </w:r>
          </w:p>
        </w:tc>
        <w:tc>
          <w:tcPr>
            <w:tcW w:w="1862" w:type="pct"/>
            <w:gridSpan w:val="2"/>
            <w:tcBorders>
              <w:top w:val="single" w:color="auto" w:sz="4" w:space="0"/>
              <w:left w:val="nil"/>
              <w:bottom w:val="single" w:color="auto" w:sz="4" w:space="0"/>
              <w:right w:val="single" w:color="000000" w:sz="4" w:space="0"/>
            </w:tcBorders>
            <w:vAlign w:val="center"/>
          </w:tcPr>
          <w:p w14:paraId="7FA3165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51.33</w:t>
            </w:r>
          </w:p>
        </w:tc>
        <w:tc>
          <w:tcPr>
            <w:tcW w:w="1889" w:type="pct"/>
            <w:gridSpan w:val="2"/>
            <w:tcBorders>
              <w:top w:val="single" w:color="auto" w:sz="4" w:space="0"/>
              <w:left w:val="nil"/>
              <w:bottom w:val="single" w:color="auto" w:sz="4" w:space="0"/>
              <w:right w:val="single" w:color="000000" w:sz="4" w:space="0"/>
            </w:tcBorders>
            <w:vAlign w:val="center"/>
          </w:tcPr>
          <w:p w14:paraId="2E9CB94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待估</w:t>
            </w:r>
          </w:p>
        </w:tc>
      </w:tr>
      <w:tr w14:paraId="63A38B20">
        <w:tblPrEx>
          <w:tblCellMar>
            <w:top w:w="0" w:type="dxa"/>
            <w:left w:w="108" w:type="dxa"/>
            <w:bottom w:w="0" w:type="dxa"/>
            <w:right w:w="108" w:type="dxa"/>
          </w:tblCellMar>
        </w:tblPrEx>
        <w:trPr>
          <w:trHeight w:val="264"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4C15E3D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1331" w:type="pct"/>
            <w:tcBorders>
              <w:top w:val="nil"/>
              <w:left w:val="nil"/>
              <w:bottom w:val="single" w:color="auto" w:sz="4" w:space="0"/>
              <w:right w:val="single" w:color="auto" w:sz="4" w:space="0"/>
            </w:tcBorders>
            <w:vAlign w:val="center"/>
          </w:tcPr>
          <w:p w14:paraId="7ED3300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531" w:type="pct"/>
            <w:tcBorders>
              <w:top w:val="nil"/>
              <w:left w:val="nil"/>
              <w:bottom w:val="single" w:color="auto" w:sz="4" w:space="0"/>
              <w:right w:val="single" w:color="auto" w:sz="4" w:space="0"/>
            </w:tcBorders>
            <w:noWrap/>
            <w:vAlign w:val="center"/>
          </w:tcPr>
          <w:p w14:paraId="06E69D3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5829250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474" w:type="pct"/>
            <w:tcBorders>
              <w:top w:val="nil"/>
              <w:left w:val="nil"/>
              <w:bottom w:val="single" w:color="auto" w:sz="4" w:space="0"/>
              <w:right w:val="single" w:color="auto" w:sz="4" w:space="0"/>
            </w:tcBorders>
            <w:noWrap/>
            <w:vAlign w:val="center"/>
          </w:tcPr>
          <w:p w14:paraId="3D7F9C7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7FF47FC9">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141D466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1331" w:type="pct"/>
            <w:tcBorders>
              <w:top w:val="nil"/>
              <w:left w:val="nil"/>
              <w:bottom w:val="single" w:color="auto" w:sz="4" w:space="0"/>
              <w:right w:val="single" w:color="auto" w:sz="4" w:space="0"/>
            </w:tcBorders>
            <w:vAlign w:val="center"/>
          </w:tcPr>
          <w:p w14:paraId="4222E0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531" w:type="pct"/>
            <w:tcBorders>
              <w:top w:val="nil"/>
              <w:left w:val="nil"/>
              <w:bottom w:val="single" w:color="auto" w:sz="4" w:space="0"/>
              <w:right w:val="single" w:color="auto" w:sz="4" w:space="0"/>
            </w:tcBorders>
            <w:vAlign w:val="center"/>
          </w:tcPr>
          <w:p w14:paraId="4F0469C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775AD5C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474" w:type="pct"/>
            <w:tcBorders>
              <w:top w:val="nil"/>
              <w:left w:val="nil"/>
              <w:bottom w:val="single" w:color="auto" w:sz="4" w:space="0"/>
              <w:right w:val="single" w:color="auto" w:sz="4" w:space="0"/>
            </w:tcBorders>
            <w:vAlign w:val="center"/>
          </w:tcPr>
          <w:p w14:paraId="72C80F0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3C4F2AD0">
        <w:tblPrEx>
          <w:tblCellMar>
            <w:top w:w="0" w:type="dxa"/>
            <w:left w:w="108" w:type="dxa"/>
            <w:bottom w:w="0" w:type="dxa"/>
            <w:right w:w="108" w:type="dxa"/>
          </w:tblCellMar>
        </w:tblPrEx>
        <w:trPr>
          <w:trHeight w:val="1313" w:hRule="atLeast"/>
          <w:jc w:val="center"/>
        </w:trPr>
        <w:tc>
          <w:tcPr>
            <w:tcW w:w="504" w:type="pct"/>
            <w:vMerge w:val="restart"/>
            <w:tcBorders>
              <w:top w:val="nil"/>
              <w:left w:val="single" w:color="auto" w:sz="4" w:space="0"/>
              <w:bottom w:val="single" w:color="000000" w:sz="4" w:space="0"/>
              <w:right w:val="single" w:color="auto" w:sz="4" w:space="0"/>
            </w:tcBorders>
            <w:noWrap/>
            <w:vAlign w:val="center"/>
          </w:tcPr>
          <w:p w14:paraId="61D74DE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区域状况</w:t>
            </w:r>
          </w:p>
        </w:tc>
        <w:tc>
          <w:tcPr>
            <w:tcW w:w="745" w:type="pct"/>
            <w:tcBorders>
              <w:top w:val="nil"/>
              <w:left w:val="nil"/>
              <w:bottom w:val="single" w:color="auto" w:sz="4" w:space="0"/>
              <w:right w:val="single" w:color="auto" w:sz="4" w:space="0"/>
            </w:tcBorders>
            <w:vAlign w:val="center"/>
          </w:tcPr>
          <w:p w14:paraId="1BD4C24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1331" w:type="pct"/>
            <w:tcBorders>
              <w:top w:val="nil"/>
              <w:left w:val="nil"/>
              <w:bottom w:val="single" w:color="auto" w:sz="4" w:space="0"/>
              <w:right w:val="single" w:color="auto" w:sz="4" w:space="0"/>
            </w:tcBorders>
            <w:vAlign w:val="center"/>
          </w:tcPr>
          <w:p w14:paraId="4C2E077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周边有观海苑、泰河园小区、中芯花园、悦廷、鹿海园、南海家园、博客雅苑等居住小区，居住小区规模较大，入住率较高，综合评价居住区成熟度较好。</w:t>
            </w:r>
          </w:p>
        </w:tc>
        <w:tc>
          <w:tcPr>
            <w:tcW w:w="531" w:type="pct"/>
            <w:tcBorders>
              <w:top w:val="nil"/>
              <w:left w:val="nil"/>
              <w:bottom w:val="single" w:color="auto" w:sz="4" w:space="0"/>
              <w:right w:val="single" w:color="auto" w:sz="4" w:space="0"/>
            </w:tcBorders>
            <w:vAlign w:val="center"/>
          </w:tcPr>
          <w:p w14:paraId="1CE0583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65A5DBF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周边有南海家园、亦庄金茂悦、北京城建海梓府、亦城亦景家园、博客雅苑等居住小区，居住小区规模较大，入住率较高，综合评价居住区成熟度较好。</w:t>
            </w:r>
          </w:p>
        </w:tc>
        <w:tc>
          <w:tcPr>
            <w:tcW w:w="474" w:type="pct"/>
            <w:tcBorders>
              <w:top w:val="nil"/>
              <w:left w:val="nil"/>
              <w:bottom w:val="single" w:color="auto" w:sz="4" w:space="0"/>
              <w:right w:val="single" w:color="auto" w:sz="4" w:space="0"/>
            </w:tcBorders>
            <w:vAlign w:val="center"/>
          </w:tcPr>
          <w:p w14:paraId="26F5BC8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514949B5">
        <w:tblPrEx>
          <w:tblCellMar>
            <w:top w:w="0" w:type="dxa"/>
            <w:left w:w="108" w:type="dxa"/>
            <w:bottom w:w="0" w:type="dxa"/>
            <w:right w:w="108" w:type="dxa"/>
          </w:tblCellMar>
        </w:tblPrEx>
        <w:trPr>
          <w:trHeight w:val="2134" w:hRule="atLeast"/>
          <w:jc w:val="center"/>
        </w:trPr>
        <w:tc>
          <w:tcPr>
            <w:tcW w:w="504" w:type="pct"/>
            <w:vMerge w:val="continue"/>
            <w:tcBorders>
              <w:top w:val="nil"/>
              <w:left w:val="single" w:color="auto" w:sz="4" w:space="0"/>
              <w:bottom w:val="single" w:color="000000" w:sz="4" w:space="0"/>
              <w:right w:val="single" w:color="auto" w:sz="4" w:space="0"/>
            </w:tcBorders>
            <w:vAlign w:val="center"/>
          </w:tcPr>
          <w:p w14:paraId="442A533E">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26C837A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1331" w:type="pct"/>
            <w:tcBorders>
              <w:top w:val="nil"/>
              <w:left w:val="nil"/>
              <w:bottom w:val="single" w:color="auto" w:sz="4" w:space="0"/>
              <w:right w:val="single" w:color="auto" w:sz="4" w:space="0"/>
            </w:tcBorders>
            <w:vAlign w:val="center"/>
          </w:tcPr>
          <w:p w14:paraId="6A0C027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支路——凉水河二街，距南六环路约3.4公里，路网密集度较好；周边有公交车站（鹿海园），停靠线路有573路、580路、599路、665路、兴78路等十余条公交线路，距离地铁亦庄T1线（鹿圈东站）约1500米，道路通达度较好，综合评价交通便捷度较好。</w:t>
            </w:r>
          </w:p>
        </w:tc>
        <w:tc>
          <w:tcPr>
            <w:tcW w:w="531" w:type="pct"/>
            <w:tcBorders>
              <w:top w:val="nil"/>
              <w:left w:val="nil"/>
              <w:bottom w:val="single" w:color="auto" w:sz="4" w:space="0"/>
              <w:right w:val="single" w:color="auto" w:sz="4" w:space="0"/>
            </w:tcBorders>
            <w:vAlign w:val="center"/>
          </w:tcPr>
          <w:p w14:paraId="69C798A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937F71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次干道——泰河二街，距南六环路约2.1公里，路网密集度较好；周边有公交车站（鹿海园五里东门），停靠线路有578路、580路、兴48路、兴49路、兴59路、专183路、专187路等十余条公交线路，距离地铁亦庄T1线（九号村站）约700米，道路通达度较好，综合评价交通便捷度较好。</w:t>
            </w:r>
          </w:p>
        </w:tc>
        <w:tc>
          <w:tcPr>
            <w:tcW w:w="474" w:type="pct"/>
            <w:tcBorders>
              <w:top w:val="nil"/>
              <w:left w:val="nil"/>
              <w:bottom w:val="single" w:color="auto" w:sz="4" w:space="0"/>
              <w:right w:val="single" w:color="auto" w:sz="4" w:space="0"/>
            </w:tcBorders>
            <w:vAlign w:val="center"/>
          </w:tcPr>
          <w:p w14:paraId="630EFE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05374020">
        <w:tblPrEx>
          <w:tblCellMar>
            <w:top w:w="0" w:type="dxa"/>
            <w:left w:w="108" w:type="dxa"/>
            <w:bottom w:w="0" w:type="dxa"/>
            <w:right w:w="108" w:type="dxa"/>
          </w:tblCellMar>
        </w:tblPrEx>
        <w:trPr>
          <w:trHeight w:val="637" w:hRule="atLeast"/>
          <w:jc w:val="center"/>
        </w:trPr>
        <w:tc>
          <w:tcPr>
            <w:tcW w:w="504" w:type="pct"/>
            <w:vMerge w:val="continue"/>
            <w:tcBorders>
              <w:top w:val="nil"/>
              <w:left w:val="single" w:color="auto" w:sz="4" w:space="0"/>
              <w:bottom w:val="single" w:color="000000" w:sz="4" w:space="0"/>
              <w:right w:val="single" w:color="auto" w:sz="4" w:space="0"/>
            </w:tcBorders>
            <w:vAlign w:val="center"/>
          </w:tcPr>
          <w:p w14:paraId="039D8BB6">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4E05684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1331" w:type="pct"/>
            <w:tcBorders>
              <w:top w:val="nil"/>
              <w:left w:val="nil"/>
              <w:bottom w:val="single" w:color="auto" w:sz="4" w:space="0"/>
              <w:right w:val="single" w:color="auto" w:sz="4" w:space="0"/>
            </w:tcBorders>
            <w:vAlign w:val="center"/>
          </w:tcPr>
          <w:p w14:paraId="407D8D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531" w:type="pct"/>
            <w:tcBorders>
              <w:top w:val="nil"/>
              <w:left w:val="nil"/>
              <w:bottom w:val="single" w:color="auto" w:sz="4" w:space="0"/>
              <w:right w:val="single" w:color="auto" w:sz="4" w:space="0"/>
            </w:tcBorders>
            <w:vAlign w:val="center"/>
          </w:tcPr>
          <w:p w14:paraId="2B9A480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58CB0A5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474" w:type="pct"/>
            <w:tcBorders>
              <w:top w:val="nil"/>
              <w:left w:val="nil"/>
              <w:bottom w:val="single" w:color="auto" w:sz="4" w:space="0"/>
              <w:right w:val="single" w:color="auto" w:sz="4" w:space="0"/>
            </w:tcBorders>
            <w:vAlign w:val="center"/>
          </w:tcPr>
          <w:p w14:paraId="0059845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6A2BA15D">
        <w:tblPrEx>
          <w:tblCellMar>
            <w:top w:w="0" w:type="dxa"/>
            <w:left w:w="108" w:type="dxa"/>
            <w:bottom w:w="0" w:type="dxa"/>
            <w:right w:w="108" w:type="dxa"/>
          </w:tblCellMar>
        </w:tblPrEx>
        <w:trPr>
          <w:trHeight w:val="1200" w:hRule="atLeast"/>
          <w:jc w:val="center"/>
        </w:trPr>
        <w:tc>
          <w:tcPr>
            <w:tcW w:w="504" w:type="pct"/>
            <w:vMerge w:val="continue"/>
            <w:tcBorders>
              <w:top w:val="nil"/>
              <w:left w:val="single" w:color="auto" w:sz="4" w:space="0"/>
              <w:bottom w:val="single" w:color="000000" w:sz="4" w:space="0"/>
              <w:right w:val="single" w:color="auto" w:sz="4" w:space="0"/>
            </w:tcBorders>
            <w:vAlign w:val="center"/>
          </w:tcPr>
          <w:p w14:paraId="33A3AD6C">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2940C70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1331" w:type="pct"/>
            <w:tcBorders>
              <w:top w:val="nil"/>
              <w:left w:val="nil"/>
              <w:bottom w:val="single" w:color="auto" w:sz="4" w:space="0"/>
              <w:right w:val="single" w:color="auto" w:sz="4" w:space="0"/>
            </w:tcBorders>
            <w:vAlign w:val="center"/>
          </w:tcPr>
          <w:p w14:paraId="351F894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531" w:type="pct"/>
            <w:tcBorders>
              <w:top w:val="nil"/>
              <w:left w:val="nil"/>
              <w:bottom w:val="single" w:color="auto" w:sz="4" w:space="0"/>
              <w:right w:val="single" w:color="auto" w:sz="4" w:space="0"/>
            </w:tcBorders>
            <w:vAlign w:val="center"/>
          </w:tcPr>
          <w:p w14:paraId="15E2606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899AF1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474" w:type="pct"/>
            <w:tcBorders>
              <w:top w:val="nil"/>
              <w:left w:val="nil"/>
              <w:bottom w:val="single" w:color="auto" w:sz="4" w:space="0"/>
              <w:right w:val="single" w:color="auto" w:sz="4" w:space="0"/>
            </w:tcBorders>
            <w:vAlign w:val="center"/>
          </w:tcPr>
          <w:p w14:paraId="2ADFE39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7C4E3AD3">
        <w:tblPrEx>
          <w:tblCellMar>
            <w:top w:w="0" w:type="dxa"/>
            <w:left w:w="108" w:type="dxa"/>
            <w:bottom w:w="0" w:type="dxa"/>
            <w:right w:w="108" w:type="dxa"/>
          </w:tblCellMar>
        </w:tblPrEx>
        <w:trPr>
          <w:trHeight w:val="550" w:hRule="atLeast"/>
          <w:jc w:val="center"/>
        </w:trPr>
        <w:tc>
          <w:tcPr>
            <w:tcW w:w="504" w:type="pct"/>
            <w:vMerge w:val="continue"/>
            <w:tcBorders>
              <w:top w:val="nil"/>
              <w:left w:val="single" w:color="auto" w:sz="4" w:space="0"/>
              <w:bottom w:val="single" w:color="auto" w:sz="4" w:space="0"/>
              <w:right w:val="single" w:color="auto" w:sz="4" w:space="0"/>
            </w:tcBorders>
            <w:vAlign w:val="center"/>
          </w:tcPr>
          <w:p w14:paraId="26DA4C22">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1FA7805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1331" w:type="pct"/>
            <w:tcBorders>
              <w:top w:val="nil"/>
              <w:left w:val="nil"/>
              <w:bottom w:val="single" w:color="auto" w:sz="4" w:space="0"/>
              <w:right w:val="single" w:color="auto" w:sz="4" w:space="0"/>
            </w:tcBorders>
            <w:vAlign w:val="center"/>
          </w:tcPr>
          <w:p w14:paraId="77F2F76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531" w:type="pct"/>
            <w:tcBorders>
              <w:top w:val="nil"/>
              <w:left w:val="nil"/>
              <w:bottom w:val="single" w:color="auto" w:sz="4" w:space="0"/>
              <w:right w:val="single" w:color="auto" w:sz="4" w:space="0"/>
            </w:tcBorders>
            <w:vAlign w:val="center"/>
          </w:tcPr>
          <w:p w14:paraId="3F09D8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77C6550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474" w:type="pct"/>
            <w:tcBorders>
              <w:top w:val="nil"/>
              <w:left w:val="nil"/>
              <w:bottom w:val="single" w:color="auto" w:sz="4" w:space="0"/>
              <w:right w:val="single" w:color="auto" w:sz="4" w:space="0"/>
            </w:tcBorders>
            <w:vAlign w:val="center"/>
          </w:tcPr>
          <w:p w14:paraId="0EB9787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3E3C46E0">
        <w:tblPrEx>
          <w:tblCellMar>
            <w:top w:w="0" w:type="dxa"/>
            <w:left w:w="108" w:type="dxa"/>
            <w:bottom w:w="0" w:type="dxa"/>
            <w:right w:w="108" w:type="dxa"/>
          </w:tblCellMar>
        </w:tblPrEx>
        <w:trPr>
          <w:trHeight w:val="480" w:hRule="atLeast"/>
          <w:jc w:val="center"/>
        </w:trPr>
        <w:tc>
          <w:tcPr>
            <w:tcW w:w="504" w:type="pct"/>
            <w:vMerge w:val="restart"/>
            <w:tcBorders>
              <w:top w:val="single" w:color="auto" w:sz="4" w:space="0"/>
              <w:left w:val="single" w:color="auto" w:sz="4" w:space="0"/>
              <w:bottom w:val="single" w:color="auto" w:sz="4" w:space="0"/>
              <w:right w:val="single" w:color="auto" w:sz="4" w:space="0"/>
            </w:tcBorders>
            <w:noWrap/>
            <w:vAlign w:val="center"/>
          </w:tcPr>
          <w:p w14:paraId="60339E3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实物状况</w:t>
            </w:r>
          </w:p>
        </w:tc>
        <w:tc>
          <w:tcPr>
            <w:tcW w:w="745" w:type="pct"/>
            <w:tcBorders>
              <w:top w:val="single" w:color="auto" w:sz="4" w:space="0"/>
              <w:left w:val="nil"/>
              <w:bottom w:val="single" w:color="auto" w:sz="4" w:space="0"/>
              <w:right w:val="single" w:color="auto" w:sz="4" w:space="0"/>
            </w:tcBorders>
            <w:vAlign w:val="center"/>
          </w:tcPr>
          <w:p w14:paraId="3748D39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1331" w:type="pct"/>
            <w:tcBorders>
              <w:top w:val="nil"/>
              <w:left w:val="nil"/>
              <w:bottom w:val="single" w:color="auto" w:sz="4" w:space="0"/>
              <w:right w:val="single" w:color="auto" w:sz="4" w:space="0"/>
            </w:tcBorders>
            <w:vAlign w:val="center"/>
          </w:tcPr>
          <w:p w14:paraId="7FE9D8C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有专业物业公司，物业服务保障好。</w:t>
            </w:r>
          </w:p>
        </w:tc>
        <w:tc>
          <w:tcPr>
            <w:tcW w:w="531" w:type="pct"/>
            <w:tcBorders>
              <w:top w:val="nil"/>
              <w:left w:val="nil"/>
              <w:bottom w:val="single" w:color="auto" w:sz="4" w:space="0"/>
              <w:right w:val="single" w:color="auto" w:sz="4" w:space="0"/>
            </w:tcBorders>
            <w:vAlign w:val="center"/>
          </w:tcPr>
          <w:p w14:paraId="492E992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1BB6F4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有专业物业公司，物业服务保障好。</w:t>
            </w:r>
          </w:p>
        </w:tc>
        <w:tc>
          <w:tcPr>
            <w:tcW w:w="474" w:type="pct"/>
            <w:tcBorders>
              <w:top w:val="nil"/>
              <w:left w:val="nil"/>
              <w:bottom w:val="single" w:color="auto" w:sz="4" w:space="0"/>
              <w:right w:val="single" w:color="auto" w:sz="4" w:space="0"/>
            </w:tcBorders>
            <w:vAlign w:val="center"/>
          </w:tcPr>
          <w:p w14:paraId="54BEFEA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307BACBF">
        <w:tblPrEx>
          <w:tblCellMar>
            <w:top w:w="0" w:type="dxa"/>
            <w:left w:w="108" w:type="dxa"/>
            <w:bottom w:w="0" w:type="dxa"/>
            <w:right w:w="108" w:type="dxa"/>
          </w:tblCellMar>
        </w:tblPrEx>
        <w:trPr>
          <w:trHeight w:val="211"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2977E308">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774D73B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1331" w:type="pct"/>
            <w:tcBorders>
              <w:top w:val="nil"/>
              <w:left w:val="nil"/>
              <w:bottom w:val="single" w:color="auto" w:sz="4" w:space="0"/>
              <w:right w:val="single" w:color="auto" w:sz="4" w:space="0"/>
            </w:tcBorders>
            <w:vAlign w:val="center"/>
          </w:tcPr>
          <w:p w14:paraId="715CE3B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531" w:type="pct"/>
            <w:tcBorders>
              <w:top w:val="nil"/>
              <w:left w:val="nil"/>
              <w:bottom w:val="single" w:color="auto" w:sz="4" w:space="0"/>
              <w:right w:val="single" w:color="auto" w:sz="4" w:space="0"/>
            </w:tcBorders>
            <w:vAlign w:val="center"/>
          </w:tcPr>
          <w:p w14:paraId="13997C3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023FFB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474" w:type="pct"/>
            <w:tcBorders>
              <w:top w:val="nil"/>
              <w:left w:val="nil"/>
              <w:bottom w:val="single" w:color="auto" w:sz="4" w:space="0"/>
              <w:right w:val="single" w:color="auto" w:sz="4" w:space="0"/>
            </w:tcBorders>
            <w:vAlign w:val="center"/>
          </w:tcPr>
          <w:p w14:paraId="6B8D8D8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517DE703">
        <w:tblPrEx>
          <w:tblCellMar>
            <w:top w:w="0" w:type="dxa"/>
            <w:left w:w="108" w:type="dxa"/>
            <w:bottom w:w="0" w:type="dxa"/>
            <w:right w:w="108" w:type="dxa"/>
          </w:tblCellMar>
        </w:tblPrEx>
        <w:trPr>
          <w:trHeight w:val="244"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139EDC0E">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506CAF3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1331" w:type="pct"/>
            <w:tcBorders>
              <w:top w:val="nil"/>
              <w:left w:val="nil"/>
              <w:bottom w:val="single" w:color="auto" w:sz="4" w:space="0"/>
              <w:right w:val="single" w:color="auto" w:sz="4" w:space="0"/>
            </w:tcBorders>
            <w:vAlign w:val="center"/>
          </w:tcPr>
          <w:p w14:paraId="7489EE2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531" w:type="pct"/>
            <w:tcBorders>
              <w:top w:val="nil"/>
              <w:left w:val="nil"/>
              <w:bottom w:val="single" w:color="auto" w:sz="4" w:space="0"/>
              <w:right w:val="single" w:color="auto" w:sz="4" w:space="0"/>
            </w:tcBorders>
            <w:vAlign w:val="center"/>
          </w:tcPr>
          <w:p w14:paraId="6A82119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1AEA2D1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474" w:type="pct"/>
            <w:tcBorders>
              <w:top w:val="nil"/>
              <w:left w:val="nil"/>
              <w:bottom w:val="single" w:color="auto" w:sz="4" w:space="0"/>
              <w:right w:val="single" w:color="auto" w:sz="4" w:space="0"/>
            </w:tcBorders>
            <w:vAlign w:val="center"/>
          </w:tcPr>
          <w:p w14:paraId="24CFC32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6C7D0EB5">
        <w:tblPrEx>
          <w:tblCellMar>
            <w:top w:w="0" w:type="dxa"/>
            <w:left w:w="108" w:type="dxa"/>
            <w:bottom w:w="0" w:type="dxa"/>
            <w:right w:w="108" w:type="dxa"/>
          </w:tblCellMar>
        </w:tblPrEx>
        <w:trPr>
          <w:trHeight w:val="559"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66143B00">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312851D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1331" w:type="pct"/>
            <w:tcBorders>
              <w:top w:val="nil"/>
              <w:left w:val="nil"/>
              <w:bottom w:val="single" w:color="auto" w:sz="4" w:space="0"/>
              <w:right w:val="single" w:color="auto" w:sz="4" w:space="0"/>
            </w:tcBorders>
            <w:vAlign w:val="center"/>
          </w:tcPr>
          <w:p w14:paraId="72D8224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531" w:type="pct"/>
            <w:tcBorders>
              <w:top w:val="nil"/>
              <w:left w:val="nil"/>
              <w:bottom w:val="single" w:color="auto" w:sz="4" w:space="0"/>
              <w:right w:val="single" w:color="auto" w:sz="4" w:space="0"/>
            </w:tcBorders>
            <w:vAlign w:val="center"/>
          </w:tcPr>
          <w:p w14:paraId="68A71B8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6DD9383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474" w:type="pct"/>
            <w:tcBorders>
              <w:top w:val="nil"/>
              <w:left w:val="nil"/>
              <w:bottom w:val="single" w:color="auto" w:sz="4" w:space="0"/>
              <w:right w:val="single" w:color="auto" w:sz="4" w:space="0"/>
            </w:tcBorders>
            <w:vAlign w:val="center"/>
          </w:tcPr>
          <w:p w14:paraId="414E1B6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4C8F2727">
        <w:tblPrEx>
          <w:tblCellMar>
            <w:top w:w="0" w:type="dxa"/>
            <w:left w:w="108" w:type="dxa"/>
            <w:bottom w:w="0" w:type="dxa"/>
            <w:right w:w="108" w:type="dxa"/>
          </w:tblCellMar>
        </w:tblPrEx>
        <w:trPr>
          <w:trHeight w:val="735"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14AA37FB">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6132665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1331" w:type="pct"/>
            <w:tcBorders>
              <w:top w:val="nil"/>
              <w:left w:val="nil"/>
              <w:bottom w:val="single" w:color="auto" w:sz="4" w:space="0"/>
              <w:right w:val="single" w:color="auto" w:sz="4" w:space="0"/>
            </w:tcBorders>
            <w:vAlign w:val="center"/>
          </w:tcPr>
          <w:p w14:paraId="658CB60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朝向（西）一般，能保证较长时间的采光，通风较好，综合分析朝向、采光、通风状况一般</w:t>
            </w:r>
          </w:p>
        </w:tc>
        <w:tc>
          <w:tcPr>
            <w:tcW w:w="531" w:type="pct"/>
            <w:tcBorders>
              <w:top w:val="nil"/>
              <w:left w:val="nil"/>
              <w:bottom w:val="single" w:color="auto" w:sz="4" w:space="0"/>
              <w:right w:val="single" w:color="auto" w:sz="4" w:space="0"/>
            </w:tcBorders>
            <w:vAlign w:val="center"/>
          </w:tcPr>
          <w:p w14:paraId="622FFAA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65AF46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朝向（南北）好，能保证较长时间的采光，通风较好，综合分析朝向、采光、通风状况好</w:t>
            </w:r>
          </w:p>
        </w:tc>
        <w:tc>
          <w:tcPr>
            <w:tcW w:w="474" w:type="pct"/>
            <w:tcBorders>
              <w:top w:val="nil"/>
              <w:left w:val="nil"/>
              <w:bottom w:val="single" w:color="auto" w:sz="4" w:space="0"/>
              <w:right w:val="single" w:color="auto" w:sz="4" w:space="0"/>
            </w:tcBorders>
            <w:vAlign w:val="center"/>
          </w:tcPr>
          <w:p w14:paraId="1020920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w:t>
            </w:r>
          </w:p>
        </w:tc>
      </w:tr>
      <w:tr w14:paraId="769DCA1A">
        <w:tblPrEx>
          <w:tblCellMar>
            <w:top w:w="0" w:type="dxa"/>
            <w:left w:w="108" w:type="dxa"/>
            <w:bottom w:w="0" w:type="dxa"/>
            <w:right w:w="108" w:type="dxa"/>
          </w:tblCellMar>
        </w:tblPrEx>
        <w:trPr>
          <w:trHeight w:val="251"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2ADDF2BD">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1FB601E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1331" w:type="pct"/>
            <w:tcBorders>
              <w:top w:val="nil"/>
              <w:left w:val="nil"/>
              <w:bottom w:val="single" w:color="auto" w:sz="4" w:space="0"/>
              <w:right w:val="single" w:color="auto" w:sz="4" w:space="0"/>
            </w:tcBorders>
            <w:vAlign w:val="center"/>
          </w:tcPr>
          <w:p w14:paraId="247381B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主力户型为一居室</w:t>
            </w:r>
          </w:p>
        </w:tc>
        <w:tc>
          <w:tcPr>
            <w:tcW w:w="531" w:type="pct"/>
            <w:tcBorders>
              <w:top w:val="nil"/>
              <w:left w:val="nil"/>
              <w:bottom w:val="single" w:color="auto" w:sz="4" w:space="0"/>
              <w:right w:val="single" w:color="auto" w:sz="4" w:space="0"/>
            </w:tcBorders>
            <w:vAlign w:val="center"/>
          </w:tcPr>
          <w:p w14:paraId="7E44F77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36D5845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主力户型为两居室</w:t>
            </w:r>
          </w:p>
        </w:tc>
        <w:tc>
          <w:tcPr>
            <w:tcW w:w="474" w:type="pct"/>
            <w:tcBorders>
              <w:top w:val="nil"/>
              <w:left w:val="nil"/>
              <w:bottom w:val="single" w:color="auto" w:sz="4" w:space="0"/>
              <w:right w:val="single" w:color="auto" w:sz="4" w:space="0"/>
            </w:tcBorders>
            <w:vAlign w:val="center"/>
          </w:tcPr>
          <w:p w14:paraId="3842D2C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r>
      <w:tr w14:paraId="4C650EA3">
        <w:tblPrEx>
          <w:tblCellMar>
            <w:top w:w="0" w:type="dxa"/>
            <w:left w:w="108" w:type="dxa"/>
            <w:bottom w:w="0" w:type="dxa"/>
            <w:right w:w="108" w:type="dxa"/>
          </w:tblCellMar>
        </w:tblPrEx>
        <w:trPr>
          <w:trHeight w:val="397"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1E5F3A2A">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4647145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1331" w:type="pct"/>
            <w:tcBorders>
              <w:top w:val="nil"/>
              <w:left w:val="nil"/>
              <w:bottom w:val="single" w:color="auto" w:sz="4" w:space="0"/>
              <w:right w:val="single" w:color="auto" w:sz="4" w:space="0"/>
            </w:tcBorders>
            <w:vAlign w:val="center"/>
          </w:tcPr>
          <w:p w14:paraId="2FE3C7C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装修为普通装修，与居住功能相适应，较好</w:t>
            </w:r>
          </w:p>
        </w:tc>
        <w:tc>
          <w:tcPr>
            <w:tcW w:w="531" w:type="pct"/>
            <w:tcBorders>
              <w:top w:val="nil"/>
              <w:left w:val="nil"/>
              <w:bottom w:val="single" w:color="auto" w:sz="4" w:space="0"/>
              <w:right w:val="single" w:color="auto" w:sz="4" w:space="0"/>
            </w:tcBorders>
            <w:vAlign w:val="center"/>
          </w:tcPr>
          <w:p w14:paraId="5073573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73E6790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装修为普通装修，与居住功能相适应，较好</w:t>
            </w:r>
          </w:p>
        </w:tc>
        <w:tc>
          <w:tcPr>
            <w:tcW w:w="474" w:type="pct"/>
            <w:tcBorders>
              <w:top w:val="nil"/>
              <w:left w:val="nil"/>
              <w:bottom w:val="single" w:color="auto" w:sz="4" w:space="0"/>
              <w:right w:val="single" w:color="auto" w:sz="4" w:space="0"/>
            </w:tcBorders>
            <w:vAlign w:val="center"/>
          </w:tcPr>
          <w:p w14:paraId="6BBCFDE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7A1567C0">
        <w:tblPrEx>
          <w:tblCellMar>
            <w:top w:w="0" w:type="dxa"/>
            <w:left w:w="108" w:type="dxa"/>
            <w:bottom w:w="0" w:type="dxa"/>
            <w:right w:w="108" w:type="dxa"/>
          </w:tblCellMar>
        </w:tblPrEx>
        <w:trPr>
          <w:trHeight w:val="347"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5BEF51F7">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072846E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1331" w:type="pct"/>
            <w:tcBorders>
              <w:top w:val="nil"/>
              <w:left w:val="nil"/>
              <w:bottom w:val="single" w:color="auto" w:sz="4" w:space="0"/>
              <w:right w:val="single" w:color="auto" w:sz="4" w:space="0"/>
            </w:tcBorders>
            <w:vAlign w:val="center"/>
          </w:tcPr>
          <w:p w14:paraId="2F34BB0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厨房卫生间配备家具家电，程度较新；功能正常，质量有保证，一般</w:t>
            </w:r>
          </w:p>
        </w:tc>
        <w:tc>
          <w:tcPr>
            <w:tcW w:w="531" w:type="pct"/>
            <w:tcBorders>
              <w:top w:val="nil"/>
              <w:left w:val="nil"/>
              <w:bottom w:val="single" w:color="auto" w:sz="4" w:space="0"/>
              <w:right w:val="single" w:color="auto" w:sz="4" w:space="0"/>
            </w:tcBorders>
            <w:vAlign w:val="center"/>
          </w:tcPr>
          <w:p w14:paraId="14F89ED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0F3668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厨房卫生间配备家具家电，程度较新；功能正常，质量有保证，一般</w:t>
            </w:r>
          </w:p>
        </w:tc>
        <w:tc>
          <w:tcPr>
            <w:tcW w:w="474" w:type="pct"/>
            <w:tcBorders>
              <w:top w:val="nil"/>
              <w:left w:val="nil"/>
              <w:bottom w:val="single" w:color="auto" w:sz="4" w:space="0"/>
              <w:right w:val="single" w:color="auto" w:sz="4" w:space="0"/>
            </w:tcBorders>
            <w:vAlign w:val="center"/>
          </w:tcPr>
          <w:p w14:paraId="34B0B4D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5FC54AAB">
        <w:tblPrEx>
          <w:tblCellMar>
            <w:top w:w="0" w:type="dxa"/>
            <w:left w:w="108" w:type="dxa"/>
            <w:bottom w:w="0" w:type="dxa"/>
            <w:right w:w="108" w:type="dxa"/>
          </w:tblCellMar>
        </w:tblPrEx>
        <w:trPr>
          <w:trHeight w:val="408"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223A28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比较价值（元/平米）</w:t>
            </w:r>
          </w:p>
        </w:tc>
        <w:tc>
          <w:tcPr>
            <w:tcW w:w="1862" w:type="pct"/>
            <w:gridSpan w:val="2"/>
            <w:tcBorders>
              <w:top w:val="single" w:color="auto" w:sz="4" w:space="0"/>
              <w:left w:val="nil"/>
              <w:bottom w:val="single" w:color="auto" w:sz="4" w:space="0"/>
              <w:right w:val="single" w:color="auto" w:sz="4" w:space="0"/>
            </w:tcBorders>
            <w:vAlign w:val="center"/>
          </w:tcPr>
          <w:p w14:paraId="2C41402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51.33</w:t>
            </w:r>
          </w:p>
        </w:tc>
        <w:tc>
          <w:tcPr>
            <w:tcW w:w="1889" w:type="pct"/>
            <w:gridSpan w:val="2"/>
            <w:tcBorders>
              <w:top w:val="single" w:color="auto" w:sz="4" w:space="0"/>
              <w:left w:val="nil"/>
              <w:bottom w:val="single" w:color="auto" w:sz="4" w:space="0"/>
              <w:right w:val="single" w:color="auto" w:sz="4" w:space="0"/>
            </w:tcBorders>
            <w:vAlign w:val="center"/>
          </w:tcPr>
          <w:p w14:paraId="5E46DE2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52.88</w:t>
            </w:r>
          </w:p>
        </w:tc>
      </w:tr>
    </w:tbl>
    <w:p w14:paraId="2ECE6D6B">
      <w:pPr>
        <w:widowControl/>
        <w:adjustRightInd/>
        <w:spacing w:line="240" w:lineRule="auto"/>
        <w:textAlignment w:val="auto"/>
        <w:rPr>
          <w:rFonts w:hint="eastAsia" w:ascii="宋体" w:hAnsi="宋体" w:cs="Arial"/>
          <w:sz w:val="18"/>
        </w:rPr>
        <w:sectPr>
          <w:footerReference r:id="rId19" w:type="default"/>
          <w:pgSz w:w="11907" w:h="16840"/>
          <w:pgMar w:top="1843" w:right="1134" w:bottom="1134" w:left="1134" w:header="1134" w:footer="907" w:gutter="340"/>
          <w:cols w:space="720" w:num="1"/>
          <w:docGrid w:linePitch="326" w:charSpace="0"/>
        </w:sectPr>
      </w:pPr>
    </w:p>
    <w:p w14:paraId="40487FE8">
      <w:pPr>
        <w:wordWrap w:val="0"/>
        <w:overflowPunct w:val="0"/>
        <w:spacing w:line="480" w:lineRule="auto"/>
        <w:ind w:firstLine="420" w:firstLineChars="200"/>
        <w:rPr>
          <w:rFonts w:ascii="Arial" w:hAnsi="Arial"/>
          <w:sz w:val="21"/>
          <w:szCs w:val="21"/>
        </w:rPr>
      </w:pPr>
      <w:r>
        <w:rPr>
          <w:rFonts w:hint="eastAsia" w:ascii="Arial" w:hAnsi="Arial"/>
          <w:sz w:val="21"/>
          <w:szCs w:val="21"/>
        </w:rPr>
        <w:t>根据估价委托人介绍，估价对象</w:t>
      </w:r>
      <w:r>
        <w:rPr>
          <w:rFonts w:hint="eastAsia" w:ascii="Arial" w:hAnsi="Arial" w:cs="Arial"/>
          <w:kern w:val="2"/>
          <w:sz w:val="21"/>
          <w:szCs w:val="21"/>
        </w:rPr>
        <w:t>X13海棠苑项目</w:t>
      </w:r>
      <w:r>
        <w:rPr>
          <w:rFonts w:hint="eastAsia" w:ascii="Arial" w:hAnsi="Arial" w:cs="Arial"/>
          <w:color w:val="000000"/>
          <w:sz w:val="21"/>
          <w:szCs w:val="21"/>
        </w:rPr>
        <w:t>物业费</w:t>
      </w:r>
      <w:r>
        <w:rPr>
          <w:rFonts w:ascii="Arial" w:hAnsi="Arial" w:cs="Arial"/>
          <w:color w:val="000000"/>
          <w:sz w:val="21"/>
          <w:szCs w:val="21"/>
        </w:rPr>
        <w:t>3.2</w:t>
      </w:r>
      <w:r>
        <w:rPr>
          <w:rFonts w:hint="eastAsia" w:ascii="Arial" w:hAnsi="Arial" w:cs="Arial"/>
          <w:color w:val="000000"/>
          <w:sz w:val="21"/>
          <w:szCs w:val="21"/>
        </w:rPr>
        <w:t>元/平方米•月，供暖费2</w:t>
      </w:r>
      <w:r>
        <w:rPr>
          <w:rFonts w:ascii="Arial" w:hAnsi="Arial" w:cs="Arial"/>
          <w:color w:val="000000"/>
          <w:sz w:val="21"/>
          <w:szCs w:val="21"/>
        </w:rPr>
        <w:t>.5</w:t>
      </w:r>
      <w:r>
        <w:rPr>
          <w:rFonts w:hint="eastAsia" w:ascii="Arial" w:hAnsi="Arial" w:cs="Arial"/>
          <w:color w:val="000000"/>
          <w:sz w:val="21"/>
          <w:szCs w:val="21"/>
        </w:rPr>
        <w:t>元/平方米•月；</w:t>
      </w:r>
      <w:r>
        <w:rPr>
          <w:rFonts w:hint="eastAsia" w:ascii="Arial" w:hAnsi="Arial" w:cs="Arial"/>
          <w:kern w:val="2"/>
          <w:sz w:val="21"/>
          <w:szCs w:val="21"/>
        </w:rPr>
        <w:t>X38鹿海园五里项目</w:t>
      </w:r>
      <w:r>
        <w:rPr>
          <w:rFonts w:hint="eastAsia" w:ascii="Arial" w:hAnsi="Arial" w:cs="Arial"/>
          <w:color w:val="000000"/>
          <w:sz w:val="21"/>
          <w:szCs w:val="21"/>
        </w:rPr>
        <w:t>物业费</w:t>
      </w:r>
      <w:r>
        <w:rPr>
          <w:rFonts w:ascii="Arial" w:hAnsi="Arial" w:cs="Arial"/>
          <w:color w:val="000000"/>
          <w:sz w:val="21"/>
          <w:szCs w:val="21"/>
        </w:rPr>
        <w:t>2.3</w:t>
      </w:r>
      <w:r>
        <w:rPr>
          <w:rFonts w:hint="eastAsia" w:ascii="Arial" w:hAnsi="Arial" w:cs="Arial"/>
          <w:color w:val="000000"/>
          <w:sz w:val="21"/>
          <w:szCs w:val="21"/>
        </w:rPr>
        <w:t>元/平方米•月，供暖费2</w:t>
      </w:r>
      <w:r>
        <w:rPr>
          <w:rFonts w:ascii="Arial" w:hAnsi="Arial" w:cs="Arial"/>
          <w:color w:val="000000"/>
          <w:sz w:val="21"/>
          <w:szCs w:val="21"/>
        </w:rPr>
        <w:t>.5</w:t>
      </w:r>
      <w:r>
        <w:rPr>
          <w:rFonts w:hint="eastAsia" w:ascii="Arial" w:hAnsi="Arial" w:cs="Arial"/>
          <w:color w:val="000000"/>
          <w:sz w:val="21"/>
          <w:szCs w:val="21"/>
        </w:rPr>
        <w:t>元/平方米•月</w:t>
      </w:r>
      <w:r>
        <w:rPr>
          <w:rFonts w:hint="eastAsia" w:ascii="Arial" w:hAnsi="Arial"/>
          <w:sz w:val="21"/>
          <w:szCs w:val="21"/>
        </w:rPr>
        <w:t>，</w:t>
      </w:r>
      <w:r>
        <w:rPr>
          <w:rFonts w:hint="eastAsia" w:ascii="Arial" w:hAnsi="Arial" w:cs="Arial"/>
          <w:kern w:val="2"/>
          <w:sz w:val="21"/>
          <w:szCs w:val="21"/>
        </w:rPr>
        <w:t>故，</w:t>
      </w:r>
      <w:r>
        <w:rPr>
          <w:rFonts w:hint="eastAsia" w:ascii="Arial" w:hAnsi="Arial"/>
          <w:sz w:val="21"/>
          <w:szCs w:val="21"/>
        </w:rPr>
        <w:t>估价对象</w:t>
      </w:r>
      <w:r>
        <w:rPr>
          <w:rFonts w:hint="eastAsia" w:ascii="Arial" w:hAnsi="Arial" w:cs="Arial"/>
          <w:sz w:val="21"/>
          <w:szCs w:val="21"/>
        </w:rPr>
        <w:t>于价值时点2025年10月1日前一年内（2024年10月1日至2025年9月30日）</w:t>
      </w:r>
      <w:r>
        <w:rPr>
          <w:rFonts w:ascii="Arial" w:hAnsi="Arial"/>
          <w:sz w:val="21"/>
          <w:szCs w:val="21"/>
        </w:rPr>
        <w:t>的月平均市场租金水平</w:t>
      </w:r>
      <w:r>
        <w:rPr>
          <w:rFonts w:hint="eastAsia" w:ascii="Arial" w:hAnsi="Arial"/>
          <w:sz w:val="21"/>
          <w:szCs w:val="21"/>
        </w:rPr>
        <w:t>：</w:t>
      </w:r>
    </w:p>
    <w:p w14:paraId="385FBF8C">
      <w:pPr>
        <w:wordWrap w:val="0"/>
        <w:overflowPunct w:val="0"/>
        <w:spacing w:line="480" w:lineRule="auto"/>
        <w:ind w:firstLine="420" w:firstLineChars="200"/>
        <w:rPr>
          <w:rFonts w:ascii="Arial" w:hAnsi="Arial" w:cs="Arial"/>
          <w:color w:val="000000"/>
          <w:sz w:val="21"/>
          <w:szCs w:val="21"/>
        </w:rPr>
      </w:pPr>
      <w:r>
        <w:rPr>
          <w:rFonts w:hint="eastAsia" w:ascii="Arial" w:hAnsi="Arial" w:cs="Arial"/>
          <w:kern w:val="2"/>
          <w:sz w:val="21"/>
          <w:szCs w:val="21"/>
        </w:rPr>
        <w:t>X13海棠苑</w:t>
      </w:r>
      <w:r>
        <w:rPr>
          <w:rFonts w:hint="eastAsia" w:ascii="Arial" w:hAnsi="Arial" w:cs="Arial"/>
          <w:color w:val="000000"/>
          <w:sz w:val="21"/>
          <w:szCs w:val="21"/>
        </w:rPr>
        <w:t>平均租金=51.33</w:t>
      </w:r>
      <w:r>
        <w:rPr>
          <w:rFonts w:ascii="Arial" w:hAnsi="Arial" w:cs="Arial"/>
          <w:color w:val="000000"/>
          <w:sz w:val="21"/>
          <w:szCs w:val="21"/>
        </w:rPr>
        <w:t>+3.2</w:t>
      </w:r>
    </w:p>
    <w:p w14:paraId="4C4436A6">
      <w:pPr>
        <w:wordWrap w:val="0"/>
        <w:overflowPunct w:val="0"/>
        <w:spacing w:line="480" w:lineRule="auto"/>
        <w:ind w:firstLine="1890" w:firstLineChars="900"/>
        <w:rPr>
          <w:rFonts w:hint="eastAsia" w:ascii="Arial" w:hAnsi="Arial" w:cs="Arial"/>
          <w:kern w:val="2"/>
          <w:sz w:val="21"/>
          <w:szCs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=54.53（元/平方米•月）</w:t>
      </w:r>
    </w:p>
    <w:p w14:paraId="6FF16182">
      <w:pPr>
        <w:wordWrap w:val="0"/>
        <w:overflowPunct w:val="0"/>
        <w:spacing w:line="480" w:lineRule="auto"/>
        <w:ind w:firstLine="420" w:firstLineChars="200"/>
        <w:rPr>
          <w:rFonts w:ascii="Arial" w:hAnsi="Arial" w:cs="Arial"/>
          <w:color w:val="000000"/>
          <w:sz w:val="21"/>
          <w:szCs w:val="21"/>
        </w:rPr>
      </w:pPr>
      <w:r>
        <w:rPr>
          <w:rFonts w:hint="eastAsia" w:ascii="Arial" w:hAnsi="Arial" w:cs="Arial"/>
          <w:kern w:val="2"/>
          <w:sz w:val="21"/>
          <w:szCs w:val="21"/>
        </w:rPr>
        <w:t>X38鹿海园五里</w:t>
      </w:r>
      <w:r>
        <w:rPr>
          <w:rFonts w:hint="eastAsia" w:ascii="Arial" w:hAnsi="Arial" w:cs="Arial"/>
          <w:color w:val="000000"/>
          <w:sz w:val="21"/>
          <w:szCs w:val="21"/>
        </w:rPr>
        <w:t>平均租金=52.88</w:t>
      </w:r>
      <w:r>
        <w:rPr>
          <w:rFonts w:ascii="Arial" w:hAnsi="Arial" w:cs="Arial"/>
          <w:color w:val="000000"/>
          <w:sz w:val="21"/>
          <w:szCs w:val="21"/>
        </w:rPr>
        <w:t>+2.3</w:t>
      </w:r>
    </w:p>
    <w:p w14:paraId="1A36A4F3">
      <w:pPr>
        <w:wordWrap w:val="0"/>
        <w:overflowPunct w:val="0"/>
        <w:spacing w:line="480" w:lineRule="auto"/>
        <w:ind w:firstLine="420" w:firstLineChars="200"/>
        <w:rPr>
          <w:rFonts w:ascii="Arial" w:hAnsi="Arial"/>
          <w:sz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=55.18（元/平方米•月）</w:t>
      </w:r>
    </w:p>
    <w:p w14:paraId="3D62C755">
      <w:pPr>
        <w:wordWrap w:val="0"/>
        <w:overflowPunct w:val="0"/>
        <w:spacing w:line="480" w:lineRule="auto"/>
        <w:ind w:firstLine="422" w:firstLineChars="200"/>
        <w:rPr>
          <w:rFonts w:ascii="Arial" w:hAnsi="Arial" w:cs="Arial"/>
          <w:b/>
          <w:sz w:val="21"/>
          <w:szCs w:val="21"/>
        </w:rPr>
      </w:pPr>
    </w:p>
    <w:p w14:paraId="1185E58B">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br w:type="page"/>
      </w:r>
      <w:bookmarkStart w:id="58" w:name="_Toc27218"/>
      <w:r>
        <w:rPr>
          <w:rFonts w:eastAsia="宋体"/>
          <w:kern w:val="2"/>
          <w:sz w:val="21"/>
          <w:szCs w:val="21"/>
        </w:rPr>
        <w:t>六、估价结果确定</w:t>
      </w:r>
      <w:bookmarkEnd w:id="58"/>
    </w:p>
    <w:p w14:paraId="58C3BAEB">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 xml:space="preserve">同地块、同类型普通住宅房地产于价值时点2025年10月1日前一年内（2024年10月1日至2025年9月30日）平均市场租金水平为： </w:t>
      </w:r>
    </w:p>
    <w:p w14:paraId="67E6B6C4">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X13海棠苑：54.53元/平方米·月（货币种类：人民币）</w:t>
      </w:r>
    </w:p>
    <w:p w14:paraId="18FE5E8A">
      <w:pPr>
        <w:overflowPunct w:val="0"/>
        <w:spacing w:line="480" w:lineRule="auto"/>
        <w:ind w:firstLine="2003" w:firstLineChars="950"/>
        <w:textAlignment w:val="auto"/>
        <w:rPr>
          <w:rFonts w:hint="eastAsia" w:ascii="Arial" w:hAnsi="Arial" w:cs="Arial"/>
          <w:b/>
          <w:bCs/>
          <w:sz w:val="21"/>
          <w:szCs w:val="21"/>
        </w:rPr>
      </w:pPr>
      <w:r>
        <w:rPr>
          <w:rFonts w:hint="eastAsia" w:ascii="Arial" w:hAnsi="Arial" w:cs="Arial"/>
          <w:b/>
          <w:bCs/>
          <w:sz w:val="21"/>
          <w:szCs w:val="21"/>
        </w:rPr>
        <w:t>X</w:t>
      </w:r>
      <w:r>
        <w:rPr>
          <w:rFonts w:ascii="Arial" w:hAnsi="Arial" w:cs="Arial"/>
          <w:b/>
          <w:bCs/>
          <w:sz w:val="21"/>
          <w:szCs w:val="21"/>
        </w:rPr>
        <w:t>38</w:t>
      </w:r>
      <w:r>
        <w:rPr>
          <w:rFonts w:hint="eastAsia" w:ascii="Arial" w:hAnsi="Arial" w:cs="Arial"/>
          <w:b/>
          <w:bCs/>
          <w:sz w:val="21"/>
          <w:szCs w:val="21"/>
        </w:rPr>
        <w:t>鹿海园五里：55.18元/平方米·月（货币种类：人民币）</w:t>
      </w:r>
    </w:p>
    <w:p w14:paraId="717D85BC">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77806093">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1305DB2B">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p>
    <w:p w14:paraId="62B5CC86">
      <w:pPr>
        <w:overflowPunct w:val="0"/>
        <w:spacing w:line="480" w:lineRule="auto"/>
        <w:ind w:left="720" w:leftChars="150" w:hanging="360" w:hangingChars="200"/>
        <w:jc w:val="both"/>
        <w:textAlignment w:val="auto"/>
        <w:rPr>
          <w:rFonts w:hint="eastAsia" w:ascii="Arial" w:hAnsi="Arial" w:cs="Arial"/>
          <w:sz w:val="18"/>
          <w:szCs w:val="18"/>
        </w:rPr>
      </w:pPr>
      <w:r>
        <w:rPr>
          <w:rFonts w:ascii="Arial" w:hAnsi="Arial" w:cs="Arial"/>
          <w:sz w:val="18"/>
          <w:szCs w:val="18"/>
        </w:rPr>
        <w:t xml:space="preserve">    4、估价结果</w:t>
      </w:r>
      <w:r>
        <w:rPr>
          <w:rFonts w:hint="eastAsia" w:ascii="Arial" w:hAnsi="Arial" w:cs="Arial"/>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73740A97">
      <w:pPr>
        <w:overflowPunct w:val="0"/>
        <w:spacing w:line="480" w:lineRule="auto"/>
        <w:ind w:left="720" w:leftChars="150" w:hanging="360" w:hangingChars="200"/>
        <w:jc w:val="both"/>
        <w:textAlignment w:val="auto"/>
        <w:rPr>
          <w:rFonts w:hint="eastAsia" w:ascii="Arial" w:hAnsi="Arial" w:cs="Arial"/>
          <w:sz w:val="18"/>
          <w:szCs w:val="18"/>
        </w:rPr>
      </w:pPr>
    </w:p>
    <w:p w14:paraId="45C741DC">
      <w:pPr>
        <w:spacing w:line="240" w:lineRule="auto"/>
        <w:jc w:val="center"/>
        <w:rPr>
          <w:rFonts w:hint="eastAsia" w:ascii="Arial" w:hAnsi="Arial" w:cs="Arial"/>
          <w:b/>
          <w:sz w:val="21"/>
          <w:szCs w:val="21"/>
        </w:rPr>
      </w:pPr>
    </w:p>
    <w:p w14:paraId="08366A45">
      <w:pPr>
        <w:spacing w:line="240" w:lineRule="auto"/>
        <w:jc w:val="center"/>
        <w:rPr>
          <w:rFonts w:ascii="Arial" w:hAnsi="Arial" w:cs="Arial"/>
          <w:b/>
          <w:sz w:val="21"/>
          <w:szCs w:val="21"/>
        </w:rPr>
        <w:sectPr>
          <w:pgSz w:w="11907" w:h="16840"/>
          <w:pgMar w:top="1843" w:right="1134" w:bottom="1134" w:left="1134" w:header="1134" w:footer="907" w:gutter="340"/>
          <w:cols w:space="720" w:num="1"/>
          <w:docGrid w:linePitch="326" w:charSpace="0"/>
        </w:sectPr>
      </w:pPr>
    </w:p>
    <w:p w14:paraId="2A978846">
      <w:pPr>
        <w:pStyle w:val="2"/>
        <w:spacing w:line="480" w:lineRule="auto"/>
        <w:jc w:val="center"/>
        <w:rPr>
          <w:rFonts w:hint="eastAsia" w:eastAsia="方正黑体简体"/>
          <w:b w:val="0"/>
          <w:kern w:val="2"/>
          <w:sz w:val="32"/>
          <w:szCs w:val="32"/>
        </w:rPr>
      </w:pPr>
      <w:bookmarkStart w:id="59" w:name="_Toc1683"/>
      <w:r>
        <w:rPr>
          <w:rFonts w:hint="eastAsia" w:eastAsia="方正黑体简体"/>
          <w:b w:val="0"/>
          <w:kern w:val="2"/>
          <w:sz w:val="32"/>
          <w:szCs w:val="32"/>
        </w:rPr>
        <w:t>附   件</w:t>
      </w:r>
      <w:bookmarkEnd w:id="59"/>
    </w:p>
    <w:p w14:paraId="1253A98B">
      <w:pPr>
        <w:numPr>
          <w:ilvl w:val="0"/>
          <w:numId w:val="11"/>
        </w:numPr>
        <w:spacing w:line="480" w:lineRule="auto"/>
        <w:jc w:val="both"/>
        <w:rPr>
          <w:rFonts w:hint="eastAsia" w:ascii="Arial" w:hAnsi="Arial" w:cs="Arial"/>
          <w:sz w:val="21"/>
          <w:szCs w:val="21"/>
        </w:rPr>
      </w:pPr>
      <w:r>
        <w:rPr>
          <w:rFonts w:hint="eastAsia" w:ascii="Arial" w:hAnsi="Arial" w:cs="Arial"/>
          <w:sz w:val="21"/>
          <w:szCs w:val="21"/>
        </w:rPr>
        <w:t>《估价委托书》复印件</w:t>
      </w:r>
    </w:p>
    <w:p w14:paraId="2E9BF13E">
      <w:pPr>
        <w:numPr>
          <w:ilvl w:val="0"/>
          <w:numId w:val="11"/>
        </w:numPr>
        <w:spacing w:line="480" w:lineRule="auto"/>
        <w:jc w:val="both"/>
        <w:rPr>
          <w:rFonts w:ascii="Arial" w:hAnsi="Arial" w:cs="Arial"/>
          <w:sz w:val="21"/>
          <w:szCs w:val="21"/>
        </w:rPr>
      </w:pPr>
      <w:r>
        <w:rPr>
          <w:rFonts w:ascii="Arial" w:hAnsi="Arial" w:cs="Arial"/>
          <w:sz w:val="21"/>
          <w:szCs w:val="21"/>
        </w:rPr>
        <w:t>估价对象所在位置示意图</w:t>
      </w:r>
    </w:p>
    <w:p w14:paraId="2F82B6C2">
      <w:pPr>
        <w:numPr>
          <w:ilvl w:val="0"/>
          <w:numId w:val="11"/>
        </w:numPr>
        <w:spacing w:line="48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相关照片</w:t>
      </w:r>
    </w:p>
    <w:p w14:paraId="44AA0525">
      <w:pPr>
        <w:numPr>
          <w:ilvl w:val="0"/>
          <w:numId w:val="11"/>
        </w:numPr>
        <w:spacing w:line="480" w:lineRule="auto"/>
        <w:jc w:val="both"/>
        <w:rPr>
          <w:rFonts w:ascii="Arial" w:hAnsi="Arial" w:cs="Arial"/>
          <w:sz w:val="21"/>
          <w:szCs w:val="21"/>
        </w:rPr>
      </w:pP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》复印件</w:t>
      </w:r>
    </w:p>
    <w:p w14:paraId="49944005">
      <w:pPr>
        <w:numPr>
          <w:ilvl w:val="0"/>
          <w:numId w:val="11"/>
        </w:numPr>
        <w:spacing w:line="480" w:lineRule="auto"/>
        <w:jc w:val="both"/>
        <w:rPr>
          <w:rFonts w:hint="eastAsia" w:ascii="Arial" w:hAnsi="Arial" w:cs="Arial"/>
          <w:sz w:val="21"/>
          <w:szCs w:val="21"/>
        </w:rPr>
      </w:pPr>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》复印件</w:t>
      </w:r>
    </w:p>
    <w:p w14:paraId="5768E904">
      <w:pPr>
        <w:numPr>
          <w:ilvl w:val="0"/>
          <w:numId w:val="11"/>
        </w:numPr>
        <w:spacing w:line="480" w:lineRule="auto"/>
        <w:jc w:val="both"/>
        <w:rPr>
          <w:rFonts w:hint="eastAsia" w:ascii="Arial" w:hAnsi="Arial" w:cs="Arial"/>
          <w:sz w:val="21"/>
          <w:szCs w:val="21"/>
        </w:rPr>
      </w:pPr>
      <w:r>
        <w:rPr>
          <w:rFonts w:hint="eastAsia" w:ascii="Arial" w:hAnsi="Arial" w:cs="Arial"/>
          <w:sz w:val="21"/>
          <w:szCs w:val="21"/>
        </w:rPr>
        <w:t>《房屋收购协议》[编号：2020-新元-综合-17]复印件</w:t>
      </w:r>
    </w:p>
    <w:p w14:paraId="6EC01930">
      <w:pPr>
        <w:numPr>
          <w:ilvl w:val="0"/>
          <w:numId w:val="11"/>
        </w:numPr>
        <w:spacing w:line="480" w:lineRule="auto"/>
        <w:jc w:val="both"/>
        <w:rPr>
          <w:rFonts w:hint="eastAsia" w:ascii="Arial" w:hAnsi="Arial" w:cs="Arial"/>
          <w:sz w:val="21"/>
          <w:szCs w:val="21"/>
        </w:rPr>
      </w:pPr>
      <w:r>
        <w:rPr>
          <w:rFonts w:hint="eastAsia" w:ascii="Arial" w:hAnsi="Arial" w:cs="Arial"/>
          <w:kern w:val="2"/>
          <w:sz w:val="21"/>
          <w:szCs w:val="21"/>
        </w:rPr>
        <w:t>《房屋交接书》</w:t>
      </w:r>
      <w:r>
        <w:rPr>
          <w:rFonts w:ascii="Arial" w:hAnsi="Arial" w:cs="Arial"/>
          <w:sz w:val="21"/>
          <w:szCs w:val="21"/>
        </w:rPr>
        <w:t>复印件</w:t>
      </w:r>
    </w:p>
    <w:p w14:paraId="5A93455D">
      <w:pPr>
        <w:numPr>
          <w:ilvl w:val="0"/>
          <w:numId w:val="11"/>
        </w:numPr>
        <w:spacing w:line="480" w:lineRule="auto"/>
        <w:jc w:val="both"/>
        <w:rPr>
          <w:rFonts w:hint="eastAsia" w:ascii="Arial" w:hAnsi="Arial" w:cs="Arial"/>
          <w:sz w:val="21"/>
          <w:szCs w:val="21"/>
        </w:rPr>
      </w:pPr>
      <w:r>
        <w:rPr>
          <w:rFonts w:hint="eastAsia" w:ascii="Arial" w:hAnsi="Arial" w:cs="Arial"/>
          <w:sz w:val="21"/>
          <w:szCs w:val="21"/>
        </w:rPr>
        <w:t>估价委托人《营业执照（副本）》复印件</w:t>
      </w:r>
    </w:p>
    <w:p w14:paraId="5ED8F599">
      <w:pPr>
        <w:numPr>
          <w:ilvl w:val="0"/>
          <w:numId w:val="11"/>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4452CF3D">
      <w:pPr>
        <w:numPr>
          <w:ilvl w:val="0"/>
          <w:numId w:val="11"/>
        </w:numPr>
        <w:spacing w:line="480" w:lineRule="auto"/>
        <w:jc w:val="both"/>
        <w:rPr>
          <w:rFonts w:ascii="Arial" w:hAnsi="Arial" w:cs="Arial"/>
          <w:sz w:val="21"/>
          <w:szCs w:val="21"/>
        </w:rPr>
      </w:pPr>
      <w:r>
        <w:rPr>
          <w:rFonts w:ascii="Arial" w:hAnsi="Arial" w:cs="Arial"/>
          <w:sz w:val="21"/>
          <w:szCs w:val="21"/>
        </w:rPr>
        <w:t>估价机构资质证书复印件</w:t>
      </w:r>
    </w:p>
    <w:p w14:paraId="37E53D23">
      <w:pPr>
        <w:numPr>
          <w:ilvl w:val="0"/>
          <w:numId w:val="11"/>
        </w:numPr>
        <w:spacing w:line="480" w:lineRule="auto"/>
        <w:jc w:val="both"/>
        <w:rPr>
          <w:rFonts w:ascii="Arial" w:hAnsi="Arial" w:cs="Arial"/>
          <w:sz w:val="21"/>
          <w:szCs w:val="21"/>
        </w:rPr>
      </w:pPr>
      <w:r>
        <w:rPr>
          <w:rFonts w:ascii="Arial" w:hAnsi="Arial" w:cs="Arial"/>
          <w:sz w:val="21"/>
          <w:szCs w:val="21"/>
        </w:rPr>
        <w:t>评估专业人员执业证书复印件</w:t>
      </w:r>
    </w:p>
    <w:sectPr>
      <w:headerReference r:id="rId20" w:type="default"/>
      <w:pgSz w:w="11907" w:h="16840"/>
      <w:pgMar w:top="1843" w:right="1134" w:bottom="1134" w:left="1134" w:header="1134" w:footer="907" w:gutter="34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宋体;SimSun">
    <w:altName w:val="宋体"/>
    <w:panose1 w:val="00000000000000000000"/>
    <w:charset w:val="86"/>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7A6F0">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eastAsia="zh-CN"/>
      </w:rPr>
      <w:t>1</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D74C3">
    <w:pPr>
      <w:pStyle w:val="21"/>
      <w:framePr w:wrap="around" w:vAnchor="text" w:hAnchor="margin" w:xAlign="center" w:y="1"/>
      <w:rPr>
        <w:rStyle w:val="37"/>
      </w:rPr>
    </w:pPr>
    <w:r>
      <w:fldChar w:fldCharType="begin"/>
    </w:r>
    <w:r>
      <w:rPr>
        <w:rStyle w:val="37"/>
      </w:rPr>
      <w:instrText xml:space="preserve">PAGE  </w:instrText>
    </w:r>
    <w:r>
      <w:fldChar w:fldCharType="end"/>
    </w:r>
  </w:p>
  <w:p w14:paraId="4BE54E5B">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5F032">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93653">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1FF60DD5">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FB569">
    <w:pPr>
      <w:pStyle w:val="21"/>
      <w:pBdr>
        <w:top w:val="single" w:color="404040" w:sz="4" w:space="1"/>
      </w:pBdr>
      <w:tabs>
        <w:tab w:val="right" w:pos="9027"/>
        <w:tab w:val="clear" w:pos="4153"/>
        <w:tab w:val="clear" w:pos="8306"/>
      </w:tabs>
      <w:jc w:val="center"/>
      <w:rPr>
        <w:rFonts w:hint="eastAsia"/>
      </w:rP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eastAsia="zh-CN"/>
      </w:rPr>
      <w:t>23</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C069">
    <w:pPr>
      <w:pStyle w:val="21"/>
      <w:framePr w:wrap="around" w:vAnchor="text" w:hAnchor="margin" w:xAlign="center" w:y="1"/>
      <w:rPr>
        <w:rStyle w:val="37"/>
      </w:rPr>
    </w:pPr>
    <w:r>
      <w:fldChar w:fldCharType="begin"/>
    </w:r>
    <w:r>
      <w:rPr>
        <w:rStyle w:val="37"/>
      </w:rPr>
      <w:instrText xml:space="preserve">PAGE  </w:instrText>
    </w:r>
    <w:r>
      <w:fldChar w:fldCharType="end"/>
    </w:r>
  </w:p>
  <w:p w14:paraId="08C03EE9">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FC7C9">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eastAsia="zh-CN"/>
      </w:rPr>
      <w:t>63</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22D5">
    <w:pPr>
      <w:pStyle w:val="22"/>
      <w:pBdr>
        <w:bottom w:val="none" w:color="auto" w:sz="0" w:space="0"/>
      </w:pBdr>
    </w:pPr>
    <w:r>
      <w:rPr>
        <w:lang w:val="en-US" w:eastAsia="zh-CN"/>
      </w:rPr>
      <w:drawing>
        <wp:inline distT="0" distB="0" distL="0" distR="0">
          <wp:extent cx="5911850" cy="285750"/>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91803">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FCD5A">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B73C1">
    <w:pPr>
      <w:pStyle w:val="22"/>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11850" cy="285750"/>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16EE2">
    <w:pPr>
      <w:pStyle w:val="22"/>
      <w:pBdr>
        <w:bottom w:val="none" w:color="auto" w:sz="0" w:space="0"/>
      </w:pBdr>
      <w:rPr>
        <w:lang w:val="en-US" w:eastAsia="zh-CN"/>
      </w:rPr>
    </w:pPr>
    <w:r>
      <w:rPr>
        <w:lang w:val="en-US" w:eastAsia="zh-CN"/>
      </w:rPr>
      <w:drawing>
        <wp:inline distT="0" distB="0" distL="0" distR="0">
          <wp:extent cx="5911850" cy="28575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76E0C">
    <w:pPr>
      <w:pStyle w:val="22"/>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11850" cy="28575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0D02E">
    <w:pPr>
      <w:pStyle w:val="22"/>
    </w:pPr>
    <w:r>
      <w:rPr>
        <w:lang w:val="en-US" w:eastAsia="zh-CN"/>
      </w:rPr>
      <w:drawing>
        <wp:inline distT="0" distB="0" distL="0" distR="0">
          <wp:extent cx="5505450" cy="285750"/>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545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71C17">
    <w:pPr>
      <w:pStyle w:val="22"/>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11850" cy="28575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DE27">
    <w:pPr>
      <w:pStyle w:val="22"/>
      <w:pBdr>
        <w:bottom w:val="none" w:color="auto" w:sz="0" w:space="0"/>
      </w:pBdr>
      <w:rPr>
        <w:rFonts w:hint="eastAsia"/>
      </w:rPr>
    </w:pPr>
    <w:r>
      <w:rPr>
        <w:lang w:val="en-US" w:eastAsia="zh-CN"/>
      </w:rPr>
      <w:drawing>
        <wp:inline distT="0" distB="0" distL="0" distR="0">
          <wp:extent cx="5911850" cy="285750"/>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45DB1E09"/>
    <w:multiLevelType w:val="multilevel"/>
    <w:tmpl w:val="45DB1E09"/>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A3C2487"/>
    <w:multiLevelType w:val="multilevel"/>
    <w:tmpl w:val="4A3C248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9">
    <w:nsid w:val="64776A02"/>
    <w:multiLevelType w:val="multilevel"/>
    <w:tmpl w:val="64776A02"/>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1"/>
  </w:num>
  <w:num w:numId="3">
    <w:abstractNumId w:val="8"/>
  </w:num>
  <w:num w:numId="4">
    <w:abstractNumId w:val="7"/>
  </w:num>
  <w:num w:numId="5">
    <w:abstractNumId w:val="6"/>
  </w:num>
  <w:num w:numId="6">
    <w:abstractNumId w:val="4"/>
  </w:num>
  <w:num w:numId="7">
    <w:abstractNumId w:val="5"/>
  </w:num>
  <w:num w:numId="8">
    <w:abstractNumId w:val="2"/>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0D1B"/>
    <w:rsid w:val="00001B36"/>
    <w:rsid w:val="00002687"/>
    <w:rsid w:val="00004CA5"/>
    <w:rsid w:val="00004D42"/>
    <w:rsid w:val="00006360"/>
    <w:rsid w:val="00006FCA"/>
    <w:rsid w:val="0001031A"/>
    <w:rsid w:val="00011244"/>
    <w:rsid w:val="0001206A"/>
    <w:rsid w:val="0001237C"/>
    <w:rsid w:val="0001354F"/>
    <w:rsid w:val="000138C0"/>
    <w:rsid w:val="00014AAB"/>
    <w:rsid w:val="00014F2D"/>
    <w:rsid w:val="00014FF0"/>
    <w:rsid w:val="000159CB"/>
    <w:rsid w:val="000164F9"/>
    <w:rsid w:val="0001651B"/>
    <w:rsid w:val="0001714F"/>
    <w:rsid w:val="00017AA7"/>
    <w:rsid w:val="00022039"/>
    <w:rsid w:val="00022827"/>
    <w:rsid w:val="00024420"/>
    <w:rsid w:val="000257D8"/>
    <w:rsid w:val="00027D53"/>
    <w:rsid w:val="00030603"/>
    <w:rsid w:val="00031A0B"/>
    <w:rsid w:val="00031FE9"/>
    <w:rsid w:val="0003253E"/>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50104"/>
    <w:rsid w:val="00050CC5"/>
    <w:rsid w:val="00052184"/>
    <w:rsid w:val="00052348"/>
    <w:rsid w:val="000527EE"/>
    <w:rsid w:val="00053031"/>
    <w:rsid w:val="00053B17"/>
    <w:rsid w:val="00053DFF"/>
    <w:rsid w:val="00054E24"/>
    <w:rsid w:val="000552B7"/>
    <w:rsid w:val="0005586F"/>
    <w:rsid w:val="00057D66"/>
    <w:rsid w:val="00060499"/>
    <w:rsid w:val="0006270D"/>
    <w:rsid w:val="000639A8"/>
    <w:rsid w:val="000647E7"/>
    <w:rsid w:val="0006530A"/>
    <w:rsid w:val="00065379"/>
    <w:rsid w:val="00065A67"/>
    <w:rsid w:val="000677C9"/>
    <w:rsid w:val="000728BE"/>
    <w:rsid w:val="00072BA6"/>
    <w:rsid w:val="00076979"/>
    <w:rsid w:val="00077803"/>
    <w:rsid w:val="00077930"/>
    <w:rsid w:val="000802B7"/>
    <w:rsid w:val="00080845"/>
    <w:rsid w:val="00080ED6"/>
    <w:rsid w:val="00081E5C"/>
    <w:rsid w:val="00081E6A"/>
    <w:rsid w:val="00081F03"/>
    <w:rsid w:val="00082C75"/>
    <w:rsid w:val="000831DD"/>
    <w:rsid w:val="00084265"/>
    <w:rsid w:val="00085075"/>
    <w:rsid w:val="000855DD"/>
    <w:rsid w:val="00085690"/>
    <w:rsid w:val="00086DF3"/>
    <w:rsid w:val="00086FC1"/>
    <w:rsid w:val="00090ADF"/>
    <w:rsid w:val="00090B68"/>
    <w:rsid w:val="00091111"/>
    <w:rsid w:val="00091746"/>
    <w:rsid w:val="00092F3C"/>
    <w:rsid w:val="00093D2A"/>
    <w:rsid w:val="00093EA9"/>
    <w:rsid w:val="0009464C"/>
    <w:rsid w:val="00095EB9"/>
    <w:rsid w:val="0009738A"/>
    <w:rsid w:val="000A1B10"/>
    <w:rsid w:val="000A1EC0"/>
    <w:rsid w:val="000A1F17"/>
    <w:rsid w:val="000A28DB"/>
    <w:rsid w:val="000A4345"/>
    <w:rsid w:val="000A4D84"/>
    <w:rsid w:val="000A6867"/>
    <w:rsid w:val="000B020C"/>
    <w:rsid w:val="000B0322"/>
    <w:rsid w:val="000B060E"/>
    <w:rsid w:val="000B22DA"/>
    <w:rsid w:val="000B486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845"/>
    <w:rsid w:val="000D337B"/>
    <w:rsid w:val="000D3459"/>
    <w:rsid w:val="000D362A"/>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27AA"/>
    <w:rsid w:val="000F5732"/>
    <w:rsid w:val="000F5B72"/>
    <w:rsid w:val="000F746A"/>
    <w:rsid w:val="00102861"/>
    <w:rsid w:val="00103AC3"/>
    <w:rsid w:val="00104428"/>
    <w:rsid w:val="00106495"/>
    <w:rsid w:val="001070F4"/>
    <w:rsid w:val="00110932"/>
    <w:rsid w:val="00112C6B"/>
    <w:rsid w:val="00113F1B"/>
    <w:rsid w:val="001160DA"/>
    <w:rsid w:val="0011651C"/>
    <w:rsid w:val="00116B93"/>
    <w:rsid w:val="00120067"/>
    <w:rsid w:val="001201A8"/>
    <w:rsid w:val="00121EB7"/>
    <w:rsid w:val="00121F4B"/>
    <w:rsid w:val="00122103"/>
    <w:rsid w:val="00124891"/>
    <w:rsid w:val="00124DAE"/>
    <w:rsid w:val="0012550C"/>
    <w:rsid w:val="00126742"/>
    <w:rsid w:val="001267C9"/>
    <w:rsid w:val="00126809"/>
    <w:rsid w:val="00126B02"/>
    <w:rsid w:val="00127BB9"/>
    <w:rsid w:val="00130800"/>
    <w:rsid w:val="0013092A"/>
    <w:rsid w:val="001309C4"/>
    <w:rsid w:val="001310D8"/>
    <w:rsid w:val="00131CC1"/>
    <w:rsid w:val="001322D6"/>
    <w:rsid w:val="00132545"/>
    <w:rsid w:val="00134710"/>
    <w:rsid w:val="00135492"/>
    <w:rsid w:val="00137B2B"/>
    <w:rsid w:val="00140B3F"/>
    <w:rsid w:val="001433AC"/>
    <w:rsid w:val="00143742"/>
    <w:rsid w:val="0014445A"/>
    <w:rsid w:val="00145AE6"/>
    <w:rsid w:val="00145C45"/>
    <w:rsid w:val="00145D19"/>
    <w:rsid w:val="0014625A"/>
    <w:rsid w:val="00146B62"/>
    <w:rsid w:val="00146E2E"/>
    <w:rsid w:val="00150A2F"/>
    <w:rsid w:val="0015101C"/>
    <w:rsid w:val="00152C21"/>
    <w:rsid w:val="001533A1"/>
    <w:rsid w:val="00153C9E"/>
    <w:rsid w:val="00153D34"/>
    <w:rsid w:val="001542AF"/>
    <w:rsid w:val="00156113"/>
    <w:rsid w:val="0015637F"/>
    <w:rsid w:val="00157438"/>
    <w:rsid w:val="00160DA5"/>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D64"/>
    <w:rsid w:val="00180CEB"/>
    <w:rsid w:val="001811E8"/>
    <w:rsid w:val="00181A56"/>
    <w:rsid w:val="00181B68"/>
    <w:rsid w:val="0018215B"/>
    <w:rsid w:val="00182645"/>
    <w:rsid w:val="00182F41"/>
    <w:rsid w:val="00183787"/>
    <w:rsid w:val="0018410F"/>
    <w:rsid w:val="00185D76"/>
    <w:rsid w:val="00186416"/>
    <w:rsid w:val="00186584"/>
    <w:rsid w:val="0018796B"/>
    <w:rsid w:val="001932E2"/>
    <w:rsid w:val="0019484B"/>
    <w:rsid w:val="00197502"/>
    <w:rsid w:val="00197C7C"/>
    <w:rsid w:val="00197D26"/>
    <w:rsid w:val="001A13ED"/>
    <w:rsid w:val="001A1B24"/>
    <w:rsid w:val="001A4749"/>
    <w:rsid w:val="001A47D1"/>
    <w:rsid w:val="001A59C1"/>
    <w:rsid w:val="001A6F1B"/>
    <w:rsid w:val="001A75B9"/>
    <w:rsid w:val="001A7B50"/>
    <w:rsid w:val="001A7FA2"/>
    <w:rsid w:val="001B1B96"/>
    <w:rsid w:val="001B427F"/>
    <w:rsid w:val="001B64A0"/>
    <w:rsid w:val="001B72D0"/>
    <w:rsid w:val="001B730A"/>
    <w:rsid w:val="001C01FF"/>
    <w:rsid w:val="001C2A5E"/>
    <w:rsid w:val="001C2A98"/>
    <w:rsid w:val="001C2C79"/>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962"/>
    <w:rsid w:val="001D1D64"/>
    <w:rsid w:val="001D4FBC"/>
    <w:rsid w:val="001D650B"/>
    <w:rsid w:val="001D7D7A"/>
    <w:rsid w:val="001E0925"/>
    <w:rsid w:val="001E1D54"/>
    <w:rsid w:val="001E51C5"/>
    <w:rsid w:val="001E52B9"/>
    <w:rsid w:val="001E53E3"/>
    <w:rsid w:val="001E5E1C"/>
    <w:rsid w:val="001E6C9B"/>
    <w:rsid w:val="001E717C"/>
    <w:rsid w:val="001F0458"/>
    <w:rsid w:val="001F0852"/>
    <w:rsid w:val="001F0888"/>
    <w:rsid w:val="001F0DE8"/>
    <w:rsid w:val="001F1553"/>
    <w:rsid w:val="001F1B82"/>
    <w:rsid w:val="001F42DC"/>
    <w:rsid w:val="001F6090"/>
    <w:rsid w:val="002002BD"/>
    <w:rsid w:val="00200E28"/>
    <w:rsid w:val="00200E7C"/>
    <w:rsid w:val="00201A37"/>
    <w:rsid w:val="00202895"/>
    <w:rsid w:val="00202B23"/>
    <w:rsid w:val="00206854"/>
    <w:rsid w:val="00207F17"/>
    <w:rsid w:val="0021285B"/>
    <w:rsid w:val="00212AAF"/>
    <w:rsid w:val="00212AEE"/>
    <w:rsid w:val="002136CD"/>
    <w:rsid w:val="00214348"/>
    <w:rsid w:val="002157AC"/>
    <w:rsid w:val="002162F4"/>
    <w:rsid w:val="00216A0B"/>
    <w:rsid w:val="002170BD"/>
    <w:rsid w:val="002174FD"/>
    <w:rsid w:val="00221C8C"/>
    <w:rsid w:val="00222265"/>
    <w:rsid w:val="00222296"/>
    <w:rsid w:val="0022545A"/>
    <w:rsid w:val="00225481"/>
    <w:rsid w:val="00225BC3"/>
    <w:rsid w:val="00225DC8"/>
    <w:rsid w:val="0022622F"/>
    <w:rsid w:val="0022734D"/>
    <w:rsid w:val="002278A9"/>
    <w:rsid w:val="00227EE8"/>
    <w:rsid w:val="00231E77"/>
    <w:rsid w:val="00232E64"/>
    <w:rsid w:val="00235EFE"/>
    <w:rsid w:val="002361E9"/>
    <w:rsid w:val="0023703F"/>
    <w:rsid w:val="00237F00"/>
    <w:rsid w:val="002422F5"/>
    <w:rsid w:val="002424F2"/>
    <w:rsid w:val="0024323F"/>
    <w:rsid w:val="00243D67"/>
    <w:rsid w:val="0024429E"/>
    <w:rsid w:val="00244311"/>
    <w:rsid w:val="00244F91"/>
    <w:rsid w:val="002455C6"/>
    <w:rsid w:val="00245CB6"/>
    <w:rsid w:val="00247052"/>
    <w:rsid w:val="00247458"/>
    <w:rsid w:val="00250828"/>
    <w:rsid w:val="00252130"/>
    <w:rsid w:val="00252E12"/>
    <w:rsid w:val="0025336E"/>
    <w:rsid w:val="0025385C"/>
    <w:rsid w:val="002539C2"/>
    <w:rsid w:val="002547BD"/>
    <w:rsid w:val="00256142"/>
    <w:rsid w:val="00256148"/>
    <w:rsid w:val="002574E1"/>
    <w:rsid w:val="00264259"/>
    <w:rsid w:val="00264B8C"/>
    <w:rsid w:val="00267E50"/>
    <w:rsid w:val="00270C1D"/>
    <w:rsid w:val="00272B80"/>
    <w:rsid w:val="00273FA5"/>
    <w:rsid w:val="0027408F"/>
    <w:rsid w:val="00274A55"/>
    <w:rsid w:val="00277CA3"/>
    <w:rsid w:val="002809E4"/>
    <w:rsid w:val="00281CE3"/>
    <w:rsid w:val="00282E11"/>
    <w:rsid w:val="00282EC8"/>
    <w:rsid w:val="0028395D"/>
    <w:rsid w:val="002856FC"/>
    <w:rsid w:val="0028677E"/>
    <w:rsid w:val="00287EBC"/>
    <w:rsid w:val="00290218"/>
    <w:rsid w:val="00291D87"/>
    <w:rsid w:val="002944D0"/>
    <w:rsid w:val="002960DC"/>
    <w:rsid w:val="00296579"/>
    <w:rsid w:val="00296898"/>
    <w:rsid w:val="002975A8"/>
    <w:rsid w:val="00297B55"/>
    <w:rsid w:val="00297B72"/>
    <w:rsid w:val="002A136E"/>
    <w:rsid w:val="002A2026"/>
    <w:rsid w:val="002A24B2"/>
    <w:rsid w:val="002A3855"/>
    <w:rsid w:val="002A4036"/>
    <w:rsid w:val="002A4C30"/>
    <w:rsid w:val="002A53A9"/>
    <w:rsid w:val="002A59ED"/>
    <w:rsid w:val="002A7C85"/>
    <w:rsid w:val="002B0C42"/>
    <w:rsid w:val="002B139E"/>
    <w:rsid w:val="002B1603"/>
    <w:rsid w:val="002B35F7"/>
    <w:rsid w:val="002B384D"/>
    <w:rsid w:val="002B590C"/>
    <w:rsid w:val="002B5917"/>
    <w:rsid w:val="002B6929"/>
    <w:rsid w:val="002B6E52"/>
    <w:rsid w:val="002B6F94"/>
    <w:rsid w:val="002C167B"/>
    <w:rsid w:val="002C21FC"/>
    <w:rsid w:val="002C2223"/>
    <w:rsid w:val="002C2ACD"/>
    <w:rsid w:val="002C2CF7"/>
    <w:rsid w:val="002C3EAB"/>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50CC"/>
    <w:rsid w:val="002D7F7D"/>
    <w:rsid w:val="002D7FD1"/>
    <w:rsid w:val="002E058C"/>
    <w:rsid w:val="002E1286"/>
    <w:rsid w:val="002E1742"/>
    <w:rsid w:val="002E261C"/>
    <w:rsid w:val="002E58B3"/>
    <w:rsid w:val="002E684D"/>
    <w:rsid w:val="002E6BD0"/>
    <w:rsid w:val="002E7F97"/>
    <w:rsid w:val="002F03A2"/>
    <w:rsid w:val="002F1C81"/>
    <w:rsid w:val="002F3FB9"/>
    <w:rsid w:val="002F41E0"/>
    <w:rsid w:val="002F6A0D"/>
    <w:rsid w:val="002F7D10"/>
    <w:rsid w:val="00300910"/>
    <w:rsid w:val="00301946"/>
    <w:rsid w:val="00301FE4"/>
    <w:rsid w:val="003024D6"/>
    <w:rsid w:val="00303006"/>
    <w:rsid w:val="00304418"/>
    <w:rsid w:val="00306AEA"/>
    <w:rsid w:val="0030795F"/>
    <w:rsid w:val="00310321"/>
    <w:rsid w:val="003104AF"/>
    <w:rsid w:val="003109E4"/>
    <w:rsid w:val="00312D21"/>
    <w:rsid w:val="00312D2B"/>
    <w:rsid w:val="003139C6"/>
    <w:rsid w:val="00313F9A"/>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2156"/>
    <w:rsid w:val="003323EF"/>
    <w:rsid w:val="00333B9D"/>
    <w:rsid w:val="00333BD4"/>
    <w:rsid w:val="0033446A"/>
    <w:rsid w:val="003351D9"/>
    <w:rsid w:val="00336523"/>
    <w:rsid w:val="003405BD"/>
    <w:rsid w:val="00341C1B"/>
    <w:rsid w:val="0034238E"/>
    <w:rsid w:val="00342BFA"/>
    <w:rsid w:val="00342D27"/>
    <w:rsid w:val="0034343D"/>
    <w:rsid w:val="00344C26"/>
    <w:rsid w:val="00346855"/>
    <w:rsid w:val="00346A47"/>
    <w:rsid w:val="00350420"/>
    <w:rsid w:val="0035067C"/>
    <w:rsid w:val="00351314"/>
    <w:rsid w:val="00351B58"/>
    <w:rsid w:val="00351CBA"/>
    <w:rsid w:val="00352066"/>
    <w:rsid w:val="00353960"/>
    <w:rsid w:val="00353A29"/>
    <w:rsid w:val="00353B3D"/>
    <w:rsid w:val="00355D98"/>
    <w:rsid w:val="00357B62"/>
    <w:rsid w:val="00357E4D"/>
    <w:rsid w:val="00357EEC"/>
    <w:rsid w:val="00360836"/>
    <w:rsid w:val="00360B0C"/>
    <w:rsid w:val="00360CFA"/>
    <w:rsid w:val="003636C1"/>
    <w:rsid w:val="0036385B"/>
    <w:rsid w:val="00363F17"/>
    <w:rsid w:val="00364041"/>
    <w:rsid w:val="00364C77"/>
    <w:rsid w:val="00364D0E"/>
    <w:rsid w:val="00364ED6"/>
    <w:rsid w:val="00370065"/>
    <w:rsid w:val="00371942"/>
    <w:rsid w:val="00371C0C"/>
    <w:rsid w:val="00372444"/>
    <w:rsid w:val="003739F8"/>
    <w:rsid w:val="00374F1B"/>
    <w:rsid w:val="00375183"/>
    <w:rsid w:val="00376596"/>
    <w:rsid w:val="0037667F"/>
    <w:rsid w:val="00376CF1"/>
    <w:rsid w:val="00381636"/>
    <w:rsid w:val="00383F33"/>
    <w:rsid w:val="003843D8"/>
    <w:rsid w:val="00385340"/>
    <w:rsid w:val="00385ED8"/>
    <w:rsid w:val="00387FC5"/>
    <w:rsid w:val="00390B30"/>
    <w:rsid w:val="00390D6F"/>
    <w:rsid w:val="00391276"/>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D5"/>
    <w:rsid w:val="003B30CE"/>
    <w:rsid w:val="003B4C18"/>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E0BD3"/>
    <w:rsid w:val="003E1C6F"/>
    <w:rsid w:val="003E2EA0"/>
    <w:rsid w:val="003E490A"/>
    <w:rsid w:val="003E4F7C"/>
    <w:rsid w:val="003E611B"/>
    <w:rsid w:val="003E64BD"/>
    <w:rsid w:val="003E74C1"/>
    <w:rsid w:val="003E7B12"/>
    <w:rsid w:val="003F05F6"/>
    <w:rsid w:val="003F0970"/>
    <w:rsid w:val="003F1603"/>
    <w:rsid w:val="003F17E9"/>
    <w:rsid w:val="003F40DD"/>
    <w:rsid w:val="003F4219"/>
    <w:rsid w:val="003F4811"/>
    <w:rsid w:val="003F576F"/>
    <w:rsid w:val="003F793E"/>
    <w:rsid w:val="003F7F99"/>
    <w:rsid w:val="004004FE"/>
    <w:rsid w:val="004028D8"/>
    <w:rsid w:val="00403BC4"/>
    <w:rsid w:val="00404396"/>
    <w:rsid w:val="004043DF"/>
    <w:rsid w:val="00405892"/>
    <w:rsid w:val="00406D2E"/>
    <w:rsid w:val="0041075B"/>
    <w:rsid w:val="004109A6"/>
    <w:rsid w:val="0041133E"/>
    <w:rsid w:val="00413A98"/>
    <w:rsid w:val="00413E85"/>
    <w:rsid w:val="004150E4"/>
    <w:rsid w:val="0041611B"/>
    <w:rsid w:val="00420453"/>
    <w:rsid w:val="00420A8F"/>
    <w:rsid w:val="00420AA6"/>
    <w:rsid w:val="004213EA"/>
    <w:rsid w:val="0042160E"/>
    <w:rsid w:val="00423270"/>
    <w:rsid w:val="00425FBF"/>
    <w:rsid w:val="00426C53"/>
    <w:rsid w:val="00427FBD"/>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4961"/>
    <w:rsid w:val="00446B8E"/>
    <w:rsid w:val="0044738B"/>
    <w:rsid w:val="00447BEC"/>
    <w:rsid w:val="00447F02"/>
    <w:rsid w:val="00450DCF"/>
    <w:rsid w:val="00452290"/>
    <w:rsid w:val="00452F36"/>
    <w:rsid w:val="0045383F"/>
    <w:rsid w:val="00453C24"/>
    <w:rsid w:val="00460E97"/>
    <w:rsid w:val="0046126D"/>
    <w:rsid w:val="00461B1F"/>
    <w:rsid w:val="00463B6D"/>
    <w:rsid w:val="0046485D"/>
    <w:rsid w:val="00464B8C"/>
    <w:rsid w:val="00466C77"/>
    <w:rsid w:val="00466DD6"/>
    <w:rsid w:val="00466E72"/>
    <w:rsid w:val="0046790B"/>
    <w:rsid w:val="00470B28"/>
    <w:rsid w:val="0047152C"/>
    <w:rsid w:val="00471C68"/>
    <w:rsid w:val="00472B83"/>
    <w:rsid w:val="00472F17"/>
    <w:rsid w:val="00473217"/>
    <w:rsid w:val="00474A41"/>
    <w:rsid w:val="004755C1"/>
    <w:rsid w:val="00476958"/>
    <w:rsid w:val="00477592"/>
    <w:rsid w:val="00477DD3"/>
    <w:rsid w:val="004808A1"/>
    <w:rsid w:val="004810F5"/>
    <w:rsid w:val="00481308"/>
    <w:rsid w:val="00481CDF"/>
    <w:rsid w:val="00483265"/>
    <w:rsid w:val="00483A66"/>
    <w:rsid w:val="00483F19"/>
    <w:rsid w:val="00484762"/>
    <w:rsid w:val="004855EC"/>
    <w:rsid w:val="004863CD"/>
    <w:rsid w:val="004869C0"/>
    <w:rsid w:val="004901A2"/>
    <w:rsid w:val="00490480"/>
    <w:rsid w:val="00490757"/>
    <w:rsid w:val="00491DF0"/>
    <w:rsid w:val="004921D8"/>
    <w:rsid w:val="0049307E"/>
    <w:rsid w:val="00496EDE"/>
    <w:rsid w:val="004973AE"/>
    <w:rsid w:val="004A42DB"/>
    <w:rsid w:val="004A4595"/>
    <w:rsid w:val="004A541C"/>
    <w:rsid w:val="004A548D"/>
    <w:rsid w:val="004A5D6C"/>
    <w:rsid w:val="004A61D8"/>
    <w:rsid w:val="004A6893"/>
    <w:rsid w:val="004B0F24"/>
    <w:rsid w:val="004B0FC7"/>
    <w:rsid w:val="004B1477"/>
    <w:rsid w:val="004B1854"/>
    <w:rsid w:val="004B2641"/>
    <w:rsid w:val="004B27A1"/>
    <w:rsid w:val="004B312F"/>
    <w:rsid w:val="004B3992"/>
    <w:rsid w:val="004B4639"/>
    <w:rsid w:val="004B60D1"/>
    <w:rsid w:val="004B689C"/>
    <w:rsid w:val="004B7385"/>
    <w:rsid w:val="004B7ED8"/>
    <w:rsid w:val="004C0043"/>
    <w:rsid w:val="004C0DDE"/>
    <w:rsid w:val="004C112B"/>
    <w:rsid w:val="004C294D"/>
    <w:rsid w:val="004C39D1"/>
    <w:rsid w:val="004C3B6F"/>
    <w:rsid w:val="004C49F1"/>
    <w:rsid w:val="004C4FC0"/>
    <w:rsid w:val="004C5E24"/>
    <w:rsid w:val="004C691F"/>
    <w:rsid w:val="004C73E8"/>
    <w:rsid w:val="004C7D88"/>
    <w:rsid w:val="004D0EE4"/>
    <w:rsid w:val="004D4D55"/>
    <w:rsid w:val="004D62BB"/>
    <w:rsid w:val="004D6769"/>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413B"/>
    <w:rsid w:val="004F5293"/>
    <w:rsid w:val="004F735E"/>
    <w:rsid w:val="004F73B9"/>
    <w:rsid w:val="004F7676"/>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B5F"/>
    <w:rsid w:val="00513FD1"/>
    <w:rsid w:val="005143DA"/>
    <w:rsid w:val="005151D1"/>
    <w:rsid w:val="00515880"/>
    <w:rsid w:val="00515EC0"/>
    <w:rsid w:val="005167F1"/>
    <w:rsid w:val="005168D3"/>
    <w:rsid w:val="00516B79"/>
    <w:rsid w:val="00521F05"/>
    <w:rsid w:val="00523F10"/>
    <w:rsid w:val="00524C18"/>
    <w:rsid w:val="0052509F"/>
    <w:rsid w:val="005251C8"/>
    <w:rsid w:val="00525E8B"/>
    <w:rsid w:val="00526456"/>
    <w:rsid w:val="00526554"/>
    <w:rsid w:val="00526D4F"/>
    <w:rsid w:val="00530C8E"/>
    <w:rsid w:val="00530D9D"/>
    <w:rsid w:val="00532FFF"/>
    <w:rsid w:val="005334EA"/>
    <w:rsid w:val="00533DAE"/>
    <w:rsid w:val="00534CFB"/>
    <w:rsid w:val="00535553"/>
    <w:rsid w:val="005367E2"/>
    <w:rsid w:val="00536DFB"/>
    <w:rsid w:val="00543844"/>
    <w:rsid w:val="0054384E"/>
    <w:rsid w:val="0054495D"/>
    <w:rsid w:val="00544C45"/>
    <w:rsid w:val="00544CF0"/>
    <w:rsid w:val="0054546A"/>
    <w:rsid w:val="00545BF4"/>
    <w:rsid w:val="00547B57"/>
    <w:rsid w:val="00551676"/>
    <w:rsid w:val="005517C6"/>
    <w:rsid w:val="00551F2F"/>
    <w:rsid w:val="005523C3"/>
    <w:rsid w:val="00552741"/>
    <w:rsid w:val="005540F2"/>
    <w:rsid w:val="00555254"/>
    <w:rsid w:val="005569B6"/>
    <w:rsid w:val="00556F5A"/>
    <w:rsid w:val="005601FF"/>
    <w:rsid w:val="0056048F"/>
    <w:rsid w:val="00560BCE"/>
    <w:rsid w:val="005610B7"/>
    <w:rsid w:val="0056169A"/>
    <w:rsid w:val="00561C9E"/>
    <w:rsid w:val="00564A6F"/>
    <w:rsid w:val="005656BF"/>
    <w:rsid w:val="00565CBC"/>
    <w:rsid w:val="00566084"/>
    <w:rsid w:val="0056658C"/>
    <w:rsid w:val="005672B4"/>
    <w:rsid w:val="00571E27"/>
    <w:rsid w:val="00573359"/>
    <w:rsid w:val="005734E9"/>
    <w:rsid w:val="0057391B"/>
    <w:rsid w:val="00575B58"/>
    <w:rsid w:val="0057687E"/>
    <w:rsid w:val="005770A9"/>
    <w:rsid w:val="005774F5"/>
    <w:rsid w:val="005779CE"/>
    <w:rsid w:val="00577B2B"/>
    <w:rsid w:val="00577EE1"/>
    <w:rsid w:val="005801E9"/>
    <w:rsid w:val="00581326"/>
    <w:rsid w:val="0058526A"/>
    <w:rsid w:val="00585457"/>
    <w:rsid w:val="00587593"/>
    <w:rsid w:val="00591488"/>
    <w:rsid w:val="005925BC"/>
    <w:rsid w:val="00592D96"/>
    <w:rsid w:val="005934D2"/>
    <w:rsid w:val="005946F9"/>
    <w:rsid w:val="005964B4"/>
    <w:rsid w:val="00597BD4"/>
    <w:rsid w:val="005A0A01"/>
    <w:rsid w:val="005A2C8D"/>
    <w:rsid w:val="005A321F"/>
    <w:rsid w:val="005A33D9"/>
    <w:rsid w:val="005A3A59"/>
    <w:rsid w:val="005A42EA"/>
    <w:rsid w:val="005A446D"/>
    <w:rsid w:val="005A4848"/>
    <w:rsid w:val="005A74FD"/>
    <w:rsid w:val="005A7F00"/>
    <w:rsid w:val="005B0290"/>
    <w:rsid w:val="005B08C9"/>
    <w:rsid w:val="005B1B4D"/>
    <w:rsid w:val="005B2217"/>
    <w:rsid w:val="005B2A52"/>
    <w:rsid w:val="005B30DC"/>
    <w:rsid w:val="005B3974"/>
    <w:rsid w:val="005B4FAB"/>
    <w:rsid w:val="005B505D"/>
    <w:rsid w:val="005B5360"/>
    <w:rsid w:val="005B5C01"/>
    <w:rsid w:val="005B6F3B"/>
    <w:rsid w:val="005B741B"/>
    <w:rsid w:val="005C2098"/>
    <w:rsid w:val="005C22B7"/>
    <w:rsid w:val="005C47AD"/>
    <w:rsid w:val="005C59A8"/>
    <w:rsid w:val="005C664B"/>
    <w:rsid w:val="005C7CD3"/>
    <w:rsid w:val="005D0AF9"/>
    <w:rsid w:val="005D1758"/>
    <w:rsid w:val="005D1E92"/>
    <w:rsid w:val="005D22B6"/>
    <w:rsid w:val="005D262F"/>
    <w:rsid w:val="005D273A"/>
    <w:rsid w:val="005D4241"/>
    <w:rsid w:val="005D4276"/>
    <w:rsid w:val="005D4B6E"/>
    <w:rsid w:val="005D5C55"/>
    <w:rsid w:val="005D6DEB"/>
    <w:rsid w:val="005D7924"/>
    <w:rsid w:val="005D7FC7"/>
    <w:rsid w:val="005E17D1"/>
    <w:rsid w:val="005E2376"/>
    <w:rsid w:val="005E24A4"/>
    <w:rsid w:val="005E2619"/>
    <w:rsid w:val="005E48E4"/>
    <w:rsid w:val="005E4D73"/>
    <w:rsid w:val="005E5EE6"/>
    <w:rsid w:val="005E6E39"/>
    <w:rsid w:val="005E6F86"/>
    <w:rsid w:val="005E708A"/>
    <w:rsid w:val="005F00BB"/>
    <w:rsid w:val="005F29B8"/>
    <w:rsid w:val="005F29C8"/>
    <w:rsid w:val="005F3A08"/>
    <w:rsid w:val="005F4469"/>
    <w:rsid w:val="005F5108"/>
    <w:rsid w:val="005F533E"/>
    <w:rsid w:val="005F6078"/>
    <w:rsid w:val="005F6358"/>
    <w:rsid w:val="00601F72"/>
    <w:rsid w:val="00601FE7"/>
    <w:rsid w:val="00602105"/>
    <w:rsid w:val="006023C6"/>
    <w:rsid w:val="0060299E"/>
    <w:rsid w:val="006033C4"/>
    <w:rsid w:val="0060386C"/>
    <w:rsid w:val="00603F3E"/>
    <w:rsid w:val="00605600"/>
    <w:rsid w:val="00605EB6"/>
    <w:rsid w:val="00606A14"/>
    <w:rsid w:val="00607FFD"/>
    <w:rsid w:val="00610806"/>
    <w:rsid w:val="006108DF"/>
    <w:rsid w:val="0061090D"/>
    <w:rsid w:val="006111CF"/>
    <w:rsid w:val="00611F0A"/>
    <w:rsid w:val="0061366D"/>
    <w:rsid w:val="0061505C"/>
    <w:rsid w:val="00615396"/>
    <w:rsid w:val="006206EC"/>
    <w:rsid w:val="00621CB2"/>
    <w:rsid w:val="0062248F"/>
    <w:rsid w:val="006231D4"/>
    <w:rsid w:val="00623662"/>
    <w:rsid w:val="00623E52"/>
    <w:rsid w:val="00624A07"/>
    <w:rsid w:val="00627146"/>
    <w:rsid w:val="00627778"/>
    <w:rsid w:val="00627C4D"/>
    <w:rsid w:val="006305A1"/>
    <w:rsid w:val="0063086A"/>
    <w:rsid w:val="006315B9"/>
    <w:rsid w:val="006338D4"/>
    <w:rsid w:val="006340BC"/>
    <w:rsid w:val="0064022D"/>
    <w:rsid w:val="00640F31"/>
    <w:rsid w:val="00640F5E"/>
    <w:rsid w:val="00641F89"/>
    <w:rsid w:val="00642421"/>
    <w:rsid w:val="0064271B"/>
    <w:rsid w:val="00642A60"/>
    <w:rsid w:val="006446FB"/>
    <w:rsid w:val="006448ED"/>
    <w:rsid w:val="00645C80"/>
    <w:rsid w:val="006463FC"/>
    <w:rsid w:val="006470B4"/>
    <w:rsid w:val="006475DA"/>
    <w:rsid w:val="00647F0E"/>
    <w:rsid w:val="00651A29"/>
    <w:rsid w:val="00651D09"/>
    <w:rsid w:val="00651D21"/>
    <w:rsid w:val="0065275C"/>
    <w:rsid w:val="00652DD1"/>
    <w:rsid w:val="006531F5"/>
    <w:rsid w:val="00653664"/>
    <w:rsid w:val="00653EBF"/>
    <w:rsid w:val="00654BA2"/>
    <w:rsid w:val="00655331"/>
    <w:rsid w:val="0065674B"/>
    <w:rsid w:val="00656A9C"/>
    <w:rsid w:val="0065781A"/>
    <w:rsid w:val="00657B05"/>
    <w:rsid w:val="00657F3A"/>
    <w:rsid w:val="0066156E"/>
    <w:rsid w:val="006621C6"/>
    <w:rsid w:val="006630E0"/>
    <w:rsid w:val="00663CEC"/>
    <w:rsid w:val="00664273"/>
    <w:rsid w:val="00670B9F"/>
    <w:rsid w:val="006715BF"/>
    <w:rsid w:val="006717DA"/>
    <w:rsid w:val="0067220C"/>
    <w:rsid w:val="00673D83"/>
    <w:rsid w:val="00674FB9"/>
    <w:rsid w:val="00676850"/>
    <w:rsid w:val="00676E29"/>
    <w:rsid w:val="00680B97"/>
    <w:rsid w:val="006811EE"/>
    <w:rsid w:val="006827BC"/>
    <w:rsid w:val="00683DFE"/>
    <w:rsid w:val="006863BC"/>
    <w:rsid w:val="006867B0"/>
    <w:rsid w:val="00686AFE"/>
    <w:rsid w:val="00687629"/>
    <w:rsid w:val="00690133"/>
    <w:rsid w:val="00691768"/>
    <w:rsid w:val="00691BD3"/>
    <w:rsid w:val="00694FEB"/>
    <w:rsid w:val="006950DF"/>
    <w:rsid w:val="00695EB7"/>
    <w:rsid w:val="00695ED8"/>
    <w:rsid w:val="006969CE"/>
    <w:rsid w:val="00697AB5"/>
    <w:rsid w:val="006A0A03"/>
    <w:rsid w:val="006A2907"/>
    <w:rsid w:val="006A4A4B"/>
    <w:rsid w:val="006A582D"/>
    <w:rsid w:val="006A5EF1"/>
    <w:rsid w:val="006A738A"/>
    <w:rsid w:val="006B11C1"/>
    <w:rsid w:val="006B1F3B"/>
    <w:rsid w:val="006B4490"/>
    <w:rsid w:val="006B4A2F"/>
    <w:rsid w:val="006C10F7"/>
    <w:rsid w:val="006C188F"/>
    <w:rsid w:val="006C547E"/>
    <w:rsid w:val="006C64E7"/>
    <w:rsid w:val="006C6921"/>
    <w:rsid w:val="006D0606"/>
    <w:rsid w:val="006D0D42"/>
    <w:rsid w:val="006D0D82"/>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329C"/>
    <w:rsid w:val="006E4156"/>
    <w:rsid w:val="006E66ED"/>
    <w:rsid w:val="006E7B93"/>
    <w:rsid w:val="006F04B9"/>
    <w:rsid w:val="006F0DB5"/>
    <w:rsid w:val="006F0E4B"/>
    <w:rsid w:val="006F2864"/>
    <w:rsid w:val="006F3C72"/>
    <w:rsid w:val="006F3D38"/>
    <w:rsid w:val="006F4477"/>
    <w:rsid w:val="006F4CB0"/>
    <w:rsid w:val="006F524A"/>
    <w:rsid w:val="006F5FC1"/>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3746"/>
    <w:rsid w:val="0071465E"/>
    <w:rsid w:val="00715E2D"/>
    <w:rsid w:val="0071645F"/>
    <w:rsid w:val="007164B6"/>
    <w:rsid w:val="0072139B"/>
    <w:rsid w:val="00721447"/>
    <w:rsid w:val="0072195E"/>
    <w:rsid w:val="00722F52"/>
    <w:rsid w:val="00724FC4"/>
    <w:rsid w:val="00724FFE"/>
    <w:rsid w:val="00725529"/>
    <w:rsid w:val="007258E5"/>
    <w:rsid w:val="00727B93"/>
    <w:rsid w:val="00727C26"/>
    <w:rsid w:val="00733A9F"/>
    <w:rsid w:val="00734DA2"/>
    <w:rsid w:val="007353FF"/>
    <w:rsid w:val="00735D0F"/>
    <w:rsid w:val="0073750D"/>
    <w:rsid w:val="0073763F"/>
    <w:rsid w:val="00737C26"/>
    <w:rsid w:val="00737EFD"/>
    <w:rsid w:val="007402D2"/>
    <w:rsid w:val="00740BA3"/>
    <w:rsid w:val="00740F8B"/>
    <w:rsid w:val="00741FEB"/>
    <w:rsid w:val="00742AB7"/>
    <w:rsid w:val="00743362"/>
    <w:rsid w:val="00743953"/>
    <w:rsid w:val="00744CC2"/>
    <w:rsid w:val="0074525F"/>
    <w:rsid w:val="00745506"/>
    <w:rsid w:val="00745802"/>
    <w:rsid w:val="00746FD7"/>
    <w:rsid w:val="00750298"/>
    <w:rsid w:val="00750A6A"/>
    <w:rsid w:val="00750C76"/>
    <w:rsid w:val="0075123F"/>
    <w:rsid w:val="0075192C"/>
    <w:rsid w:val="00754393"/>
    <w:rsid w:val="00754AA2"/>
    <w:rsid w:val="00754E0D"/>
    <w:rsid w:val="00755B6B"/>
    <w:rsid w:val="00760D70"/>
    <w:rsid w:val="00761866"/>
    <w:rsid w:val="007619DF"/>
    <w:rsid w:val="00762219"/>
    <w:rsid w:val="00762810"/>
    <w:rsid w:val="00763696"/>
    <w:rsid w:val="00766657"/>
    <w:rsid w:val="0076716E"/>
    <w:rsid w:val="007671BB"/>
    <w:rsid w:val="007676CC"/>
    <w:rsid w:val="00770A8D"/>
    <w:rsid w:val="00771556"/>
    <w:rsid w:val="007720BD"/>
    <w:rsid w:val="007746ED"/>
    <w:rsid w:val="00774F09"/>
    <w:rsid w:val="00776059"/>
    <w:rsid w:val="007775FF"/>
    <w:rsid w:val="007778D5"/>
    <w:rsid w:val="00780E2B"/>
    <w:rsid w:val="0078149A"/>
    <w:rsid w:val="00782CFC"/>
    <w:rsid w:val="00783067"/>
    <w:rsid w:val="0078330B"/>
    <w:rsid w:val="00783AA9"/>
    <w:rsid w:val="007851A7"/>
    <w:rsid w:val="0078750D"/>
    <w:rsid w:val="00790847"/>
    <w:rsid w:val="00790C4E"/>
    <w:rsid w:val="00791540"/>
    <w:rsid w:val="007917D9"/>
    <w:rsid w:val="007926F2"/>
    <w:rsid w:val="00792A75"/>
    <w:rsid w:val="00792E8C"/>
    <w:rsid w:val="007933BC"/>
    <w:rsid w:val="0079351F"/>
    <w:rsid w:val="00794586"/>
    <w:rsid w:val="007947A2"/>
    <w:rsid w:val="00795623"/>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F42"/>
    <w:rsid w:val="007C72BC"/>
    <w:rsid w:val="007D0FED"/>
    <w:rsid w:val="007D28AD"/>
    <w:rsid w:val="007D28F2"/>
    <w:rsid w:val="007D3A2F"/>
    <w:rsid w:val="007D43B1"/>
    <w:rsid w:val="007D46D9"/>
    <w:rsid w:val="007D4826"/>
    <w:rsid w:val="007D4A0B"/>
    <w:rsid w:val="007D51C9"/>
    <w:rsid w:val="007D5884"/>
    <w:rsid w:val="007D78E0"/>
    <w:rsid w:val="007E0B52"/>
    <w:rsid w:val="007E0C41"/>
    <w:rsid w:val="007E1F4C"/>
    <w:rsid w:val="007E2B40"/>
    <w:rsid w:val="007E485A"/>
    <w:rsid w:val="007E490C"/>
    <w:rsid w:val="007E590D"/>
    <w:rsid w:val="007E5F8C"/>
    <w:rsid w:val="007E6104"/>
    <w:rsid w:val="007F1537"/>
    <w:rsid w:val="007F301E"/>
    <w:rsid w:val="007F3107"/>
    <w:rsid w:val="007F4EC2"/>
    <w:rsid w:val="007F6DE3"/>
    <w:rsid w:val="007F7779"/>
    <w:rsid w:val="007F77CA"/>
    <w:rsid w:val="007F7F5B"/>
    <w:rsid w:val="0080018D"/>
    <w:rsid w:val="008006EB"/>
    <w:rsid w:val="00800AC2"/>
    <w:rsid w:val="008016EA"/>
    <w:rsid w:val="008026CF"/>
    <w:rsid w:val="00802CBB"/>
    <w:rsid w:val="00803847"/>
    <w:rsid w:val="00803D8E"/>
    <w:rsid w:val="00803E4D"/>
    <w:rsid w:val="00805571"/>
    <w:rsid w:val="00805D2A"/>
    <w:rsid w:val="00810DAD"/>
    <w:rsid w:val="00812F7C"/>
    <w:rsid w:val="00813970"/>
    <w:rsid w:val="00815372"/>
    <w:rsid w:val="00816771"/>
    <w:rsid w:val="0081686B"/>
    <w:rsid w:val="00817AF9"/>
    <w:rsid w:val="00820C78"/>
    <w:rsid w:val="00821EED"/>
    <w:rsid w:val="00823C53"/>
    <w:rsid w:val="00823E5E"/>
    <w:rsid w:val="00826729"/>
    <w:rsid w:val="00826BDE"/>
    <w:rsid w:val="00830E5D"/>
    <w:rsid w:val="00831441"/>
    <w:rsid w:val="00831E03"/>
    <w:rsid w:val="00834451"/>
    <w:rsid w:val="008348C4"/>
    <w:rsid w:val="0083653D"/>
    <w:rsid w:val="0083669B"/>
    <w:rsid w:val="008424C4"/>
    <w:rsid w:val="0084556C"/>
    <w:rsid w:val="008459C0"/>
    <w:rsid w:val="008464F8"/>
    <w:rsid w:val="00846D58"/>
    <w:rsid w:val="00850B9E"/>
    <w:rsid w:val="00850F89"/>
    <w:rsid w:val="00851859"/>
    <w:rsid w:val="00852306"/>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7524"/>
    <w:rsid w:val="00867534"/>
    <w:rsid w:val="0086766C"/>
    <w:rsid w:val="008708AC"/>
    <w:rsid w:val="00870D16"/>
    <w:rsid w:val="00871697"/>
    <w:rsid w:val="00873ED8"/>
    <w:rsid w:val="008741A3"/>
    <w:rsid w:val="008745A9"/>
    <w:rsid w:val="00876CE7"/>
    <w:rsid w:val="008803D1"/>
    <w:rsid w:val="00880920"/>
    <w:rsid w:val="00880B46"/>
    <w:rsid w:val="008874BC"/>
    <w:rsid w:val="00892817"/>
    <w:rsid w:val="0089390A"/>
    <w:rsid w:val="00893D27"/>
    <w:rsid w:val="00894BE1"/>
    <w:rsid w:val="00895C80"/>
    <w:rsid w:val="00895D18"/>
    <w:rsid w:val="00896CFB"/>
    <w:rsid w:val="00897169"/>
    <w:rsid w:val="008A0245"/>
    <w:rsid w:val="008A19BA"/>
    <w:rsid w:val="008A1AB9"/>
    <w:rsid w:val="008A1D19"/>
    <w:rsid w:val="008A4342"/>
    <w:rsid w:val="008A4A5F"/>
    <w:rsid w:val="008A65BE"/>
    <w:rsid w:val="008A6EC3"/>
    <w:rsid w:val="008B0001"/>
    <w:rsid w:val="008B2FD7"/>
    <w:rsid w:val="008B5C14"/>
    <w:rsid w:val="008B62F5"/>
    <w:rsid w:val="008B72D0"/>
    <w:rsid w:val="008B7307"/>
    <w:rsid w:val="008C02C5"/>
    <w:rsid w:val="008C19D4"/>
    <w:rsid w:val="008C250E"/>
    <w:rsid w:val="008C25A1"/>
    <w:rsid w:val="008C31D9"/>
    <w:rsid w:val="008C32C5"/>
    <w:rsid w:val="008C37EC"/>
    <w:rsid w:val="008C58DC"/>
    <w:rsid w:val="008C6DA7"/>
    <w:rsid w:val="008D1932"/>
    <w:rsid w:val="008D1FC8"/>
    <w:rsid w:val="008D2A32"/>
    <w:rsid w:val="008D408F"/>
    <w:rsid w:val="008D4697"/>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34B"/>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3645"/>
    <w:rsid w:val="00914F00"/>
    <w:rsid w:val="0091524F"/>
    <w:rsid w:val="00915486"/>
    <w:rsid w:val="00915B32"/>
    <w:rsid w:val="009160E4"/>
    <w:rsid w:val="009173A0"/>
    <w:rsid w:val="00920CF1"/>
    <w:rsid w:val="00921B46"/>
    <w:rsid w:val="00921FB4"/>
    <w:rsid w:val="00922E01"/>
    <w:rsid w:val="00923B3D"/>
    <w:rsid w:val="009245AD"/>
    <w:rsid w:val="009255B9"/>
    <w:rsid w:val="00926DE3"/>
    <w:rsid w:val="0093248F"/>
    <w:rsid w:val="00932702"/>
    <w:rsid w:val="00934D75"/>
    <w:rsid w:val="009359E2"/>
    <w:rsid w:val="009407ED"/>
    <w:rsid w:val="009410E0"/>
    <w:rsid w:val="00941AE2"/>
    <w:rsid w:val="00942BAA"/>
    <w:rsid w:val="009437C5"/>
    <w:rsid w:val="00946B3D"/>
    <w:rsid w:val="00947511"/>
    <w:rsid w:val="00947A59"/>
    <w:rsid w:val="00947F64"/>
    <w:rsid w:val="00950BB5"/>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490C"/>
    <w:rsid w:val="00965FC5"/>
    <w:rsid w:val="00966E4C"/>
    <w:rsid w:val="00966EEF"/>
    <w:rsid w:val="0096763C"/>
    <w:rsid w:val="00967AE9"/>
    <w:rsid w:val="00971549"/>
    <w:rsid w:val="00971743"/>
    <w:rsid w:val="009720EA"/>
    <w:rsid w:val="00972581"/>
    <w:rsid w:val="0097266B"/>
    <w:rsid w:val="009730D9"/>
    <w:rsid w:val="009734E0"/>
    <w:rsid w:val="009748BE"/>
    <w:rsid w:val="00974E89"/>
    <w:rsid w:val="00975ADD"/>
    <w:rsid w:val="00975F23"/>
    <w:rsid w:val="00980EEE"/>
    <w:rsid w:val="009812E4"/>
    <w:rsid w:val="009819A5"/>
    <w:rsid w:val="00981C08"/>
    <w:rsid w:val="00981C3C"/>
    <w:rsid w:val="009823D8"/>
    <w:rsid w:val="00983758"/>
    <w:rsid w:val="00984015"/>
    <w:rsid w:val="00984586"/>
    <w:rsid w:val="0098588F"/>
    <w:rsid w:val="00987ED5"/>
    <w:rsid w:val="00990006"/>
    <w:rsid w:val="00991536"/>
    <w:rsid w:val="0099271E"/>
    <w:rsid w:val="00992729"/>
    <w:rsid w:val="00993339"/>
    <w:rsid w:val="00994671"/>
    <w:rsid w:val="009948B6"/>
    <w:rsid w:val="00996549"/>
    <w:rsid w:val="009975F9"/>
    <w:rsid w:val="009A032A"/>
    <w:rsid w:val="009A0662"/>
    <w:rsid w:val="009A229D"/>
    <w:rsid w:val="009A2A1F"/>
    <w:rsid w:val="009A4628"/>
    <w:rsid w:val="009A59BF"/>
    <w:rsid w:val="009A60A0"/>
    <w:rsid w:val="009A681C"/>
    <w:rsid w:val="009A6921"/>
    <w:rsid w:val="009A7283"/>
    <w:rsid w:val="009A7490"/>
    <w:rsid w:val="009B09D9"/>
    <w:rsid w:val="009B0AF5"/>
    <w:rsid w:val="009B2E60"/>
    <w:rsid w:val="009B3FF1"/>
    <w:rsid w:val="009B4048"/>
    <w:rsid w:val="009B5FD8"/>
    <w:rsid w:val="009B6FE9"/>
    <w:rsid w:val="009C358A"/>
    <w:rsid w:val="009C4451"/>
    <w:rsid w:val="009C49D6"/>
    <w:rsid w:val="009C4E1C"/>
    <w:rsid w:val="009C5027"/>
    <w:rsid w:val="009C5287"/>
    <w:rsid w:val="009C530D"/>
    <w:rsid w:val="009C58F3"/>
    <w:rsid w:val="009C6A20"/>
    <w:rsid w:val="009C7F4F"/>
    <w:rsid w:val="009D00C8"/>
    <w:rsid w:val="009D19A8"/>
    <w:rsid w:val="009D30C4"/>
    <w:rsid w:val="009D3557"/>
    <w:rsid w:val="009D3578"/>
    <w:rsid w:val="009D5E9D"/>
    <w:rsid w:val="009D5F28"/>
    <w:rsid w:val="009E14F5"/>
    <w:rsid w:val="009E1A87"/>
    <w:rsid w:val="009E1F72"/>
    <w:rsid w:val="009E3312"/>
    <w:rsid w:val="009E35CF"/>
    <w:rsid w:val="009E3C3F"/>
    <w:rsid w:val="009E424F"/>
    <w:rsid w:val="009E464E"/>
    <w:rsid w:val="009E5B4C"/>
    <w:rsid w:val="009E669B"/>
    <w:rsid w:val="009E6A66"/>
    <w:rsid w:val="009E6CE2"/>
    <w:rsid w:val="009E7AF8"/>
    <w:rsid w:val="009F2270"/>
    <w:rsid w:val="009F453B"/>
    <w:rsid w:val="009F75A4"/>
    <w:rsid w:val="009F76AD"/>
    <w:rsid w:val="00A0033C"/>
    <w:rsid w:val="00A01C89"/>
    <w:rsid w:val="00A01D65"/>
    <w:rsid w:val="00A02724"/>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91B"/>
    <w:rsid w:val="00A2125C"/>
    <w:rsid w:val="00A21DE3"/>
    <w:rsid w:val="00A22F31"/>
    <w:rsid w:val="00A2404E"/>
    <w:rsid w:val="00A24DDE"/>
    <w:rsid w:val="00A24F4F"/>
    <w:rsid w:val="00A257A9"/>
    <w:rsid w:val="00A258CE"/>
    <w:rsid w:val="00A30CD9"/>
    <w:rsid w:val="00A314B8"/>
    <w:rsid w:val="00A319B7"/>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4C9A"/>
    <w:rsid w:val="00A44E3E"/>
    <w:rsid w:val="00A44EE2"/>
    <w:rsid w:val="00A45981"/>
    <w:rsid w:val="00A4676D"/>
    <w:rsid w:val="00A46CFC"/>
    <w:rsid w:val="00A5047A"/>
    <w:rsid w:val="00A51FF1"/>
    <w:rsid w:val="00A539B2"/>
    <w:rsid w:val="00A53ACF"/>
    <w:rsid w:val="00A54773"/>
    <w:rsid w:val="00A55E17"/>
    <w:rsid w:val="00A56CC7"/>
    <w:rsid w:val="00A60821"/>
    <w:rsid w:val="00A61D37"/>
    <w:rsid w:val="00A67848"/>
    <w:rsid w:val="00A707D6"/>
    <w:rsid w:val="00A7380D"/>
    <w:rsid w:val="00A74AA9"/>
    <w:rsid w:val="00A750FE"/>
    <w:rsid w:val="00A75D5D"/>
    <w:rsid w:val="00A7680D"/>
    <w:rsid w:val="00A76912"/>
    <w:rsid w:val="00A76FFB"/>
    <w:rsid w:val="00A77273"/>
    <w:rsid w:val="00A80C76"/>
    <w:rsid w:val="00A81926"/>
    <w:rsid w:val="00A825F4"/>
    <w:rsid w:val="00A83630"/>
    <w:rsid w:val="00A83869"/>
    <w:rsid w:val="00A847F7"/>
    <w:rsid w:val="00A84908"/>
    <w:rsid w:val="00A9026C"/>
    <w:rsid w:val="00A90CE1"/>
    <w:rsid w:val="00A91682"/>
    <w:rsid w:val="00A91B3F"/>
    <w:rsid w:val="00A922FC"/>
    <w:rsid w:val="00A924F1"/>
    <w:rsid w:val="00A931C3"/>
    <w:rsid w:val="00A935CF"/>
    <w:rsid w:val="00A937DC"/>
    <w:rsid w:val="00A952A7"/>
    <w:rsid w:val="00A960FD"/>
    <w:rsid w:val="00AA0718"/>
    <w:rsid w:val="00AA1156"/>
    <w:rsid w:val="00AA1715"/>
    <w:rsid w:val="00AA1C8C"/>
    <w:rsid w:val="00AA29C5"/>
    <w:rsid w:val="00AA3276"/>
    <w:rsid w:val="00AA3FD3"/>
    <w:rsid w:val="00AA47C0"/>
    <w:rsid w:val="00AA4AD1"/>
    <w:rsid w:val="00AA50DA"/>
    <w:rsid w:val="00AA738B"/>
    <w:rsid w:val="00AA73CA"/>
    <w:rsid w:val="00AB1FE8"/>
    <w:rsid w:val="00AB22BE"/>
    <w:rsid w:val="00AB2FB9"/>
    <w:rsid w:val="00AB486F"/>
    <w:rsid w:val="00AB6047"/>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47DA"/>
    <w:rsid w:val="00AE4E53"/>
    <w:rsid w:val="00AE5769"/>
    <w:rsid w:val="00AE6EA9"/>
    <w:rsid w:val="00AE7DC8"/>
    <w:rsid w:val="00AF027B"/>
    <w:rsid w:val="00AF0DFD"/>
    <w:rsid w:val="00AF1350"/>
    <w:rsid w:val="00AF1935"/>
    <w:rsid w:val="00AF3FA6"/>
    <w:rsid w:val="00AF4C5B"/>
    <w:rsid w:val="00AF4CA4"/>
    <w:rsid w:val="00AF4D68"/>
    <w:rsid w:val="00AF54F7"/>
    <w:rsid w:val="00AF577B"/>
    <w:rsid w:val="00AF681D"/>
    <w:rsid w:val="00AF7058"/>
    <w:rsid w:val="00AF79A7"/>
    <w:rsid w:val="00AF7AB5"/>
    <w:rsid w:val="00B0054C"/>
    <w:rsid w:val="00B005F1"/>
    <w:rsid w:val="00B0155C"/>
    <w:rsid w:val="00B01739"/>
    <w:rsid w:val="00B01AE9"/>
    <w:rsid w:val="00B0369F"/>
    <w:rsid w:val="00B03EF5"/>
    <w:rsid w:val="00B04D69"/>
    <w:rsid w:val="00B060B1"/>
    <w:rsid w:val="00B07EB9"/>
    <w:rsid w:val="00B07F9E"/>
    <w:rsid w:val="00B10026"/>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2DB"/>
    <w:rsid w:val="00B3075B"/>
    <w:rsid w:val="00B322CC"/>
    <w:rsid w:val="00B32540"/>
    <w:rsid w:val="00B346C7"/>
    <w:rsid w:val="00B35721"/>
    <w:rsid w:val="00B35AC5"/>
    <w:rsid w:val="00B3685F"/>
    <w:rsid w:val="00B37019"/>
    <w:rsid w:val="00B374FF"/>
    <w:rsid w:val="00B415BD"/>
    <w:rsid w:val="00B422D7"/>
    <w:rsid w:val="00B430F1"/>
    <w:rsid w:val="00B447D8"/>
    <w:rsid w:val="00B44D94"/>
    <w:rsid w:val="00B472E8"/>
    <w:rsid w:val="00B500E3"/>
    <w:rsid w:val="00B50B0E"/>
    <w:rsid w:val="00B50FF2"/>
    <w:rsid w:val="00B519E6"/>
    <w:rsid w:val="00B52A74"/>
    <w:rsid w:val="00B531A1"/>
    <w:rsid w:val="00B53939"/>
    <w:rsid w:val="00B5396E"/>
    <w:rsid w:val="00B53D64"/>
    <w:rsid w:val="00B54EFA"/>
    <w:rsid w:val="00B5691D"/>
    <w:rsid w:val="00B6015C"/>
    <w:rsid w:val="00B6090E"/>
    <w:rsid w:val="00B62188"/>
    <w:rsid w:val="00B63BF4"/>
    <w:rsid w:val="00B648DA"/>
    <w:rsid w:val="00B64AFE"/>
    <w:rsid w:val="00B65014"/>
    <w:rsid w:val="00B658F8"/>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B86"/>
    <w:rsid w:val="00B8624D"/>
    <w:rsid w:val="00B8684C"/>
    <w:rsid w:val="00B86B5B"/>
    <w:rsid w:val="00B9119D"/>
    <w:rsid w:val="00B93AD9"/>
    <w:rsid w:val="00B93DC8"/>
    <w:rsid w:val="00B94617"/>
    <w:rsid w:val="00B95457"/>
    <w:rsid w:val="00B96588"/>
    <w:rsid w:val="00B96733"/>
    <w:rsid w:val="00BA0031"/>
    <w:rsid w:val="00BA15B5"/>
    <w:rsid w:val="00BA1F0D"/>
    <w:rsid w:val="00BA2849"/>
    <w:rsid w:val="00BA2FCA"/>
    <w:rsid w:val="00BA40AB"/>
    <w:rsid w:val="00BA5F3B"/>
    <w:rsid w:val="00BA695A"/>
    <w:rsid w:val="00BA6E5E"/>
    <w:rsid w:val="00BA7681"/>
    <w:rsid w:val="00BB54EF"/>
    <w:rsid w:val="00BB58E2"/>
    <w:rsid w:val="00BB63A6"/>
    <w:rsid w:val="00BB6A5D"/>
    <w:rsid w:val="00BB6CFF"/>
    <w:rsid w:val="00BC1D87"/>
    <w:rsid w:val="00BC2D66"/>
    <w:rsid w:val="00BC4B27"/>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CF3"/>
    <w:rsid w:val="00BE1600"/>
    <w:rsid w:val="00BE2C26"/>
    <w:rsid w:val="00BE3E71"/>
    <w:rsid w:val="00BE4971"/>
    <w:rsid w:val="00BF03C0"/>
    <w:rsid w:val="00BF167A"/>
    <w:rsid w:val="00BF1ECF"/>
    <w:rsid w:val="00BF2072"/>
    <w:rsid w:val="00BF217B"/>
    <w:rsid w:val="00BF3133"/>
    <w:rsid w:val="00BF356E"/>
    <w:rsid w:val="00BF46F5"/>
    <w:rsid w:val="00BF4F89"/>
    <w:rsid w:val="00BF5A42"/>
    <w:rsid w:val="00BF5CEB"/>
    <w:rsid w:val="00BF5DAC"/>
    <w:rsid w:val="00BF6717"/>
    <w:rsid w:val="00C006F9"/>
    <w:rsid w:val="00C00DFB"/>
    <w:rsid w:val="00C00FAB"/>
    <w:rsid w:val="00C010D6"/>
    <w:rsid w:val="00C02744"/>
    <w:rsid w:val="00C0378B"/>
    <w:rsid w:val="00C03D85"/>
    <w:rsid w:val="00C04A78"/>
    <w:rsid w:val="00C055CF"/>
    <w:rsid w:val="00C05A58"/>
    <w:rsid w:val="00C06E4A"/>
    <w:rsid w:val="00C076BF"/>
    <w:rsid w:val="00C10573"/>
    <w:rsid w:val="00C10EC0"/>
    <w:rsid w:val="00C118B1"/>
    <w:rsid w:val="00C1360F"/>
    <w:rsid w:val="00C13FD1"/>
    <w:rsid w:val="00C15066"/>
    <w:rsid w:val="00C154AA"/>
    <w:rsid w:val="00C159F8"/>
    <w:rsid w:val="00C17843"/>
    <w:rsid w:val="00C20527"/>
    <w:rsid w:val="00C20818"/>
    <w:rsid w:val="00C24073"/>
    <w:rsid w:val="00C24428"/>
    <w:rsid w:val="00C2689B"/>
    <w:rsid w:val="00C27E85"/>
    <w:rsid w:val="00C302D4"/>
    <w:rsid w:val="00C30BD1"/>
    <w:rsid w:val="00C3106D"/>
    <w:rsid w:val="00C313CB"/>
    <w:rsid w:val="00C31A7F"/>
    <w:rsid w:val="00C323C0"/>
    <w:rsid w:val="00C33EE9"/>
    <w:rsid w:val="00C345A6"/>
    <w:rsid w:val="00C347C7"/>
    <w:rsid w:val="00C348A7"/>
    <w:rsid w:val="00C358D7"/>
    <w:rsid w:val="00C361D9"/>
    <w:rsid w:val="00C37E1F"/>
    <w:rsid w:val="00C406A7"/>
    <w:rsid w:val="00C40CDD"/>
    <w:rsid w:val="00C40FA9"/>
    <w:rsid w:val="00C42081"/>
    <w:rsid w:val="00C42D37"/>
    <w:rsid w:val="00C4302D"/>
    <w:rsid w:val="00C43B42"/>
    <w:rsid w:val="00C44DD6"/>
    <w:rsid w:val="00C45108"/>
    <w:rsid w:val="00C46703"/>
    <w:rsid w:val="00C471D0"/>
    <w:rsid w:val="00C477E0"/>
    <w:rsid w:val="00C50BF5"/>
    <w:rsid w:val="00C51600"/>
    <w:rsid w:val="00C550F5"/>
    <w:rsid w:val="00C556BA"/>
    <w:rsid w:val="00C5667F"/>
    <w:rsid w:val="00C56AE9"/>
    <w:rsid w:val="00C57913"/>
    <w:rsid w:val="00C57B7C"/>
    <w:rsid w:val="00C604F8"/>
    <w:rsid w:val="00C60D83"/>
    <w:rsid w:val="00C62487"/>
    <w:rsid w:val="00C63667"/>
    <w:rsid w:val="00C63FEB"/>
    <w:rsid w:val="00C645C3"/>
    <w:rsid w:val="00C64B39"/>
    <w:rsid w:val="00C650C6"/>
    <w:rsid w:val="00C6577C"/>
    <w:rsid w:val="00C65A22"/>
    <w:rsid w:val="00C65DBE"/>
    <w:rsid w:val="00C6687A"/>
    <w:rsid w:val="00C66D20"/>
    <w:rsid w:val="00C67332"/>
    <w:rsid w:val="00C675F3"/>
    <w:rsid w:val="00C70242"/>
    <w:rsid w:val="00C705A0"/>
    <w:rsid w:val="00C708D4"/>
    <w:rsid w:val="00C70B47"/>
    <w:rsid w:val="00C71060"/>
    <w:rsid w:val="00C7119C"/>
    <w:rsid w:val="00C720FC"/>
    <w:rsid w:val="00C72F4B"/>
    <w:rsid w:val="00C750DB"/>
    <w:rsid w:val="00C77E71"/>
    <w:rsid w:val="00C80823"/>
    <w:rsid w:val="00C8196C"/>
    <w:rsid w:val="00C81C23"/>
    <w:rsid w:val="00C8580E"/>
    <w:rsid w:val="00C862C2"/>
    <w:rsid w:val="00C86F6F"/>
    <w:rsid w:val="00C87576"/>
    <w:rsid w:val="00C92F5F"/>
    <w:rsid w:val="00C93EF0"/>
    <w:rsid w:val="00C9608C"/>
    <w:rsid w:val="00C973E4"/>
    <w:rsid w:val="00CA0FB4"/>
    <w:rsid w:val="00CA1F86"/>
    <w:rsid w:val="00CA2952"/>
    <w:rsid w:val="00CA3285"/>
    <w:rsid w:val="00CA3639"/>
    <w:rsid w:val="00CA399B"/>
    <w:rsid w:val="00CA46A2"/>
    <w:rsid w:val="00CA52EC"/>
    <w:rsid w:val="00CA53BD"/>
    <w:rsid w:val="00CB14F5"/>
    <w:rsid w:val="00CB17D0"/>
    <w:rsid w:val="00CB25CB"/>
    <w:rsid w:val="00CB39E3"/>
    <w:rsid w:val="00CB510A"/>
    <w:rsid w:val="00CB6937"/>
    <w:rsid w:val="00CB7DCC"/>
    <w:rsid w:val="00CC28D4"/>
    <w:rsid w:val="00CC30FE"/>
    <w:rsid w:val="00CC356D"/>
    <w:rsid w:val="00CC4ABE"/>
    <w:rsid w:val="00CC5226"/>
    <w:rsid w:val="00CC5AC7"/>
    <w:rsid w:val="00CC65A4"/>
    <w:rsid w:val="00CC6FDE"/>
    <w:rsid w:val="00CC72EC"/>
    <w:rsid w:val="00CC7449"/>
    <w:rsid w:val="00CD0B99"/>
    <w:rsid w:val="00CD1323"/>
    <w:rsid w:val="00CD1407"/>
    <w:rsid w:val="00CD2309"/>
    <w:rsid w:val="00CD3413"/>
    <w:rsid w:val="00CD412F"/>
    <w:rsid w:val="00CD7AAE"/>
    <w:rsid w:val="00CE0A5D"/>
    <w:rsid w:val="00CE3361"/>
    <w:rsid w:val="00CE401A"/>
    <w:rsid w:val="00CE445F"/>
    <w:rsid w:val="00CE60D0"/>
    <w:rsid w:val="00CE629B"/>
    <w:rsid w:val="00CE6327"/>
    <w:rsid w:val="00CE6921"/>
    <w:rsid w:val="00CF06A7"/>
    <w:rsid w:val="00CF1C25"/>
    <w:rsid w:val="00CF3A3D"/>
    <w:rsid w:val="00CF3D0E"/>
    <w:rsid w:val="00CF3EAB"/>
    <w:rsid w:val="00CF41D5"/>
    <w:rsid w:val="00CF51C3"/>
    <w:rsid w:val="00CF7CCA"/>
    <w:rsid w:val="00D03761"/>
    <w:rsid w:val="00D03AA5"/>
    <w:rsid w:val="00D04259"/>
    <w:rsid w:val="00D07124"/>
    <w:rsid w:val="00D0717F"/>
    <w:rsid w:val="00D10D8C"/>
    <w:rsid w:val="00D10DD7"/>
    <w:rsid w:val="00D11F7F"/>
    <w:rsid w:val="00D13D6D"/>
    <w:rsid w:val="00D1465F"/>
    <w:rsid w:val="00D149BF"/>
    <w:rsid w:val="00D21EFF"/>
    <w:rsid w:val="00D227BB"/>
    <w:rsid w:val="00D25AFB"/>
    <w:rsid w:val="00D25C26"/>
    <w:rsid w:val="00D266EC"/>
    <w:rsid w:val="00D26E66"/>
    <w:rsid w:val="00D26F1A"/>
    <w:rsid w:val="00D32103"/>
    <w:rsid w:val="00D323D4"/>
    <w:rsid w:val="00D3588D"/>
    <w:rsid w:val="00D3604C"/>
    <w:rsid w:val="00D3626D"/>
    <w:rsid w:val="00D368D1"/>
    <w:rsid w:val="00D375C6"/>
    <w:rsid w:val="00D3770A"/>
    <w:rsid w:val="00D40BF5"/>
    <w:rsid w:val="00D40D0A"/>
    <w:rsid w:val="00D45510"/>
    <w:rsid w:val="00D45D76"/>
    <w:rsid w:val="00D461B9"/>
    <w:rsid w:val="00D4652D"/>
    <w:rsid w:val="00D50577"/>
    <w:rsid w:val="00D51EAD"/>
    <w:rsid w:val="00D52C10"/>
    <w:rsid w:val="00D54A0D"/>
    <w:rsid w:val="00D565E2"/>
    <w:rsid w:val="00D56B23"/>
    <w:rsid w:val="00D57950"/>
    <w:rsid w:val="00D60040"/>
    <w:rsid w:val="00D60655"/>
    <w:rsid w:val="00D60D4D"/>
    <w:rsid w:val="00D60D54"/>
    <w:rsid w:val="00D61272"/>
    <w:rsid w:val="00D61B1F"/>
    <w:rsid w:val="00D62E4E"/>
    <w:rsid w:val="00D64014"/>
    <w:rsid w:val="00D64469"/>
    <w:rsid w:val="00D65D6A"/>
    <w:rsid w:val="00D706AC"/>
    <w:rsid w:val="00D725DB"/>
    <w:rsid w:val="00D7362F"/>
    <w:rsid w:val="00D74365"/>
    <w:rsid w:val="00D74494"/>
    <w:rsid w:val="00D75A02"/>
    <w:rsid w:val="00D76699"/>
    <w:rsid w:val="00D80AD0"/>
    <w:rsid w:val="00D80E2E"/>
    <w:rsid w:val="00D80FB4"/>
    <w:rsid w:val="00D81438"/>
    <w:rsid w:val="00D82581"/>
    <w:rsid w:val="00D842CD"/>
    <w:rsid w:val="00D85A3F"/>
    <w:rsid w:val="00D87DDB"/>
    <w:rsid w:val="00D916A1"/>
    <w:rsid w:val="00D91791"/>
    <w:rsid w:val="00D921AE"/>
    <w:rsid w:val="00D93BC8"/>
    <w:rsid w:val="00D93E44"/>
    <w:rsid w:val="00D957E9"/>
    <w:rsid w:val="00D95AD0"/>
    <w:rsid w:val="00D95EF7"/>
    <w:rsid w:val="00D9640C"/>
    <w:rsid w:val="00D96EA8"/>
    <w:rsid w:val="00D97943"/>
    <w:rsid w:val="00DA05ED"/>
    <w:rsid w:val="00DA1BD3"/>
    <w:rsid w:val="00DA5110"/>
    <w:rsid w:val="00DA7E21"/>
    <w:rsid w:val="00DB016D"/>
    <w:rsid w:val="00DB1123"/>
    <w:rsid w:val="00DB1913"/>
    <w:rsid w:val="00DB1BE1"/>
    <w:rsid w:val="00DB42AD"/>
    <w:rsid w:val="00DB5462"/>
    <w:rsid w:val="00DB59B9"/>
    <w:rsid w:val="00DB6B45"/>
    <w:rsid w:val="00DC0AA4"/>
    <w:rsid w:val="00DC0CA4"/>
    <w:rsid w:val="00DC0F49"/>
    <w:rsid w:val="00DC12A2"/>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2EE0"/>
    <w:rsid w:val="00DD36CF"/>
    <w:rsid w:val="00DD3E33"/>
    <w:rsid w:val="00DD4F11"/>
    <w:rsid w:val="00DE0BD6"/>
    <w:rsid w:val="00DE11DC"/>
    <w:rsid w:val="00DE318D"/>
    <w:rsid w:val="00DE331F"/>
    <w:rsid w:val="00DE3A5F"/>
    <w:rsid w:val="00DE3ADC"/>
    <w:rsid w:val="00DE4166"/>
    <w:rsid w:val="00DE4977"/>
    <w:rsid w:val="00DE4EC8"/>
    <w:rsid w:val="00DE50A4"/>
    <w:rsid w:val="00DE5E61"/>
    <w:rsid w:val="00DE5F42"/>
    <w:rsid w:val="00DE614D"/>
    <w:rsid w:val="00DE618B"/>
    <w:rsid w:val="00DE63A5"/>
    <w:rsid w:val="00DF05D8"/>
    <w:rsid w:val="00DF2127"/>
    <w:rsid w:val="00DF324D"/>
    <w:rsid w:val="00DF35A9"/>
    <w:rsid w:val="00DF3B24"/>
    <w:rsid w:val="00DF3E33"/>
    <w:rsid w:val="00DF5244"/>
    <w:rsid w:val="00DF56CA"/>
    <w:rsid w:val="00DF5A92"/>
    <w:rsid w:val="00DF5D59"/>
    <w:rsid w:val="00DF687C"/>
    <w:rsid w:val="00DF6BD9"/>
    <w:rsid w:val="00DF73F3"/>
    <w:rsid w:val="00E00E36"/>
    <w:rsid w:val="00E020B2"/>
    <w:rsid w:val="00E0273F"/>
    <w:rsid w:val="00E05D09"/>
    <w:rsid w:val="00E0650F"/>
    <w:rsid w:val="00E06AEA"/>
    <w:rsid w:val="00E06C08"/>
    <w:rsid w:val="00E10FBF"/>
    <w:rsid w:val="00E13DEB"/>
    <w:rsid w:val="00E13EEC"/>
    <w:rsid w:val="00E145AC"/>
    <w:rsid w:val="00E14C6B"/>
    <w:rsid w:val="00E14E05"/>
    <w:rsid w:val="00E16125"/>
    <w:rsid w:val="00E200A2"/>
    <w:rsid w:val="00E213B4"/>
    <w:rsid w:val="00E222D9"/>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3671"/>
    <w:rsid w:val="00E34634"/>
    <w:rsid w:val="00E34822"/>
    <w:rsid w:val="00E405C7"/>
    <w:rsid w:val="00E40DA2"/>
    <w:rsid w:val="00E418A5"/>
    <w:rsid w:val="00E44761"/>
    <w:rsid w:val="00E45772"/>
    <w:rsid w:val="00E45B12"/>
    <w:rsid w:val="00E47101"/>
    <w:rsid w:val="00E47336"/>
    <w:rsid w:val="00E47CEB"/>
    <w:rsid w:val="00E50E1F"/>
    <w:rsid w:val="00E52976"/>
    <w:rsid w:val="00E53A5B"/>
    <w:rsid w:val="00E54034"/>
    <w:rsid w:val="00E6043C"/>
    <w:rsid w:val="00E60B40"/>
    <w:rsid w:val="00E620A0"/>
    <w:rsid w:val="00E63AB3"/>
    <w:rsid w:val="00E64448"/>
    <w:rsid w:val="00E64696"/>
    <w:rsid w:val="00E64D23"/>
    <w:rsid w:val="00E65928"/>
    <w:rsid w:val="00E65DB2"/>
    <w:rsid w:val="00E67CD8"/>
    <w:rsid w:val="00E67EA2"/>
    <w:rsid w:val="00E70B02"/>
    <w:rsid w:val="00E717A2"/>
    <w:rsid w:val="00E71B45"/>
    <w:rsid w:val="00E72455"/>
    <w:rsid w:val="00E72DCD"/>
    <w:rsid w:val="00E73892"/>
    <w:rsid w:val="00E75B4C"/>
    <w:rsid w:val="00E767E8"/>
    <w:rsid w:val="00E77F85"/>
    <w:rsid w:val="00E801F0"/>
    <w:rsid w:val="00E80F99"/>
    <w:rsid w:val="00E81A17"/>
    <w:rsid w:val="00E81D39"/>
    <w:rsid w:val="00E82EBD"/>
    <w:rsid w:val="00E82EC7"/>
    <w:rsid w:val="00E858D6"/>
    <w:rsid w:val="00E8633C"/>
    <w:rsid w:val="00E86D04"/>
    <w:rsid w:val="00E911FF"/>
    <w:rsid w:val="00E924E8"/>
    <w:rsid w:val="00E9313A"/>
    <w:rsid w:val="00E93162"/>
    <w:rsid w:val="00E93AD8"/>
    <w:rsid w:val="00E93ADB"/>
    <w:rsid w:val="00E96700"/>
    <w:rsid w:val="00EA02DC"/>
    <w:rsid w:val="00EA1693"/>
    <w:rsid w:val="00EA24C9"/>
    <w:rsid w:val="00EA3202"/>
    <w:rsid w:val="00EA3469"/>
    <w:rsid w:val="00EA53E6"/>
    <w:rsid w:val="00EB0021"/>
    <w:rsid w:val="00EB0E19"/>
    <w:rsid w:val="00EB1105"/>
    <w:rsid w:val="00EB197F"/>
    <w:rsid w:val="00EB4E14"/>
    <w:rsid w:val="00EB5012"/>
    <w:rsid w:val="00EB5CB3"/>
    <w:rsid w:val="00EB6094"/>
    <w:rsid w:val="00EB624F"/>
    <w:rsid w:val="00EC09A8"/>
    <w:rsid w:val="00EC27E7"/>
    <w:rsid w:val="00EC3891"/>
    <w:rsid w:val="00EC46AC"/>
    <w:rsid w:val="00EC5844"/>
    <w:rsid w:val="00EC6283"/>
    <w:rsid w:val="00ED1DEE"/>
    <w:rsid w:val="00ED2978"/>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A3B"/>
    <w:rsid w:val="00EF7140"/>
    <w:rsid w:val="00EF7863"/>
    <w:rsid w:val="00EF7F43"/>
    <w:rsid w:val="00F0030A"/>
    <w:rsid w:val="00F024F6"/>
    <w:rsid w:val="00F032BE"/>
    <w:rsid w:val="00F05030"/>
    <w:rsid w:val="00F0549A"/>
    <w:rsid w:val="00F05A92"/>
    <w:rsid w:val="00F0770D"/>
    <w:rsid w:val="00F11845"/>
    <w:rsid w:val="00F11EF5"/>
    <w:rsid w:val="00F130A9"/>
    <w:rsid w:val="00F13231"/>
    <w:rsid w:val="00F14772"/>
    <w:rsid w:val="00F148C0"/>
    <w:rsid w:val="00F14F73"/>
    <w:rsid w:val="00F156A8"/>
    <w:rsid w:val="00F15CD1"/>
    <w:rsid w:val="00F16C42"/>
    <w:rsid w:val="00F17B9A"/>
    <w:rsid w:val="00F206A2"/>
    <w:rsid w:val="00F20A59"/>
    <w:rsid w:val="00F20DBC"/>
    <w:rsid w:val="00F22B81"/>
    <w:rsid w:val="00F23A1F"/>
    <w:rsid w:val="00F23FBC"/>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3247"/>
    <w:rsid w:val="00F4328F"/>
    <w:rsid w:val="00F43570"/>
    <w:rsid w:val="00F46671"/>
    <w:rsid w:val="00F47637"/>
    <w:rsid w:val="00F50390"/>
    <w:rsid w:val="00F52213"/>
    <w:rsid w:val="00F557E0"/>
    <w:rsid w:val="00F5603D"/>
    <w:rsid w:val="00F56928"/>
    <w:rsid w:val="00F56D94"/>
    <w:rsid w:val="00F572F8"/>
    <w:rsid w:val="00F605D8"/>
    <w:rsid w:val="00F61B76"/>
    <w:rsid w:val="00F65F20"/>
    <w:rsid w:val="00F66151"/>
    <w:rsid w:val="00F662CD"/>
    <w:rsid w:val="00F6651A"/>
    <w:rsid w:val="00F701F0"/>
    <w:rsid w:val="00F71D41"/>
    <w:rsid w:val="00F72139"/>
    <w:rsid w:val="00F72A5C"/>
    <w:rsid w:val="00F73005"/>
    <w:rsid w:val="00F7376C"/>
    <w:rsid w:val="00F73D46"/>
    <w:rsid w:val="00F74C33"/>
    <w:rsid w:val="00F74FB5"/>
    <w:rsid w:val="00F756BC"/>
    <w:rsid w:val="00F76408"/>
    <w:rsid w:val="00F776C8"/>
    <w:rsid w:val="00F80796"/>
    <w:rsid w:val="00F83280"/>
    <w:rsid w:val="00F83F46"/>
    <w:rsid w:val="00F846A5"/>
    <w:rsid w:val="00F84A08"/>
    <w:rsid w:val="00F854BE"/>
    <w:rsid w:val="00F85D27"/>
    <w:rsid w:val="00F86A25"/>
    <w:rsid w:val="00F86A94"/>
    <w:rsid w:val="00F86ADA"/>
    <w:rsid w:val="00F91AAC"/>
    <w:rsid w:val="00F92CCE"/>
    <w:rsid w:val="00F93AA1"/>
    <w:rsid w:val="00F93C7F"/>
    <w:rsid w:val="00F94FCC"/>
    <w:rsid w:val="00FA2FF8"/>
    <w:rsid w:val="00FA479F"/>
    <w:rsid w:val="00FA555D"/>
    <w:rsid w:val="00FA58E9"/>
    <w:rsid w:val="00FA68E9"/>
    <w:rsid w:val="00FA6C03"/>
    <w:rsid w:val="00FA6FA4"/>
    <w:rsid w:val="00FA6FAD"/>
    <w:rsid w:val="00FA72CB"/>
    <w:rsid w:val="00FB0C72"/>
    <w:rsid w:val="00FB0F73"/>
    <w:rsid w:val="00FB2169"/>
    <w:rsid w:val="00FB22A8"/>
    <w:rsid w:val="00FB22AA"/>
    <w:rsid w:val="00FB2787"/>
    <w:rsid w:val="00FB2A4A"/>
    <w:rsid w:val="00FB309B"/>
    <w:rsid w:val="00FB389A"/>
    <w:rsid w:val="00FB3F55"/>
    <w:rsid w:val="00FB4100"/>
    <w:rsid w:val="00FB4C68"/>
    <w:rsid w:val="00FB5C67"/>
    <w:rsid w:val="00FB6696"/>
    <w:rsid w:val="00FB7ECD"/>
    <w:rsid w:val="00FC1D97"/>
    <w:rsid w:val="00FC297E"/>
    <w:rsid w:val="00FC2E46"/>
    <w:rsid w:val="00FC4345"/>
    <w:rsid w:val="00FC49BD"/>
    <w:rsid w:val="00FC53ED"/>
    <w:rsid w:val="00FC7C14"/>
    <w:rsid w:val="00FD1E7A"/>
    <w:rsid w:val="00FD2047"/>
    <w:rsid w:val="00FD2511"/>
    <w:rsid w:val="00FD3622"/>
    <w:rsid w:val="00FD4B28"/>
    <w:rsid w:val="00FD5726"/>
    <w:rsid w:val="00FD62AC"/>
    <w:rsid w:val="00FD6804"/>
    <w:rsid w:val="00FD72A9"/>
    <w:rsid w:val="00FD78E6"/>
    <w:rsid w:val="00FE0B94"/>
    <w:rsid w:val="00FE1935"/>
    <w:rsid w:val="00FE2710"/>
    <w:rsid w:val="00FE4618"/>
    <w:rsid w:val="00FE51FE"/>
    <w:rsid w:val="00FE542D"/>
    <w:rsid w:val="00FE5921"/>
    <w:rsid w:val="00FE60A8"/>
    <w:rsid w:val="00FE625F"/>
    <w:rsid w:val="00FE6669"/>
    <w:rsid w:val="00FE669E"/>
    <w:rsid w:val="00FE6744"/>
    <w:rsid w:val="00FE68B2"/>
    <w:rsid w:val="00FE7E03"/>
    <w:rsid w:val="00FF0284"/>
    <w:rsid w:val="00FF32E2"/>
    <w:rsid w:val="00FF3527"/>
    <w:rsid w:val="00FF37DB"/>
    <w:rsid w:val="00FF3DD4"/>
    <w:rsid w:val="00FF3F9C"/>
    <w:rsid w:val="00FF4845"/>
    <w:rsid w:val="00FF6085"/>
    <w:rsid w:val="00FF706B"/>
    <w:rsid w:val="00FF7393"/>
    <w:rsid w:val="036839EA"/>
    <w:rsid w:val="07504A7B"/>
    <w:rsid w:val="0A522CFE"/>
    <w:rsid w:val="0B470389"/>
    <w:rsid w:val="0B9C6976"/>
    <w:rsid w:val="0BC814CA"/>
    <w:rsid w:val="0C1B3CF0"/>
    <w:rsid w:val="0CAA0BCF"/>
    <w:rsid w:val="0F1720A3"/>
    <w:rsid w:val="140137CB"/>
    <w:rsid w:val="18463EA2"/>
    <w:rsid w:val="18FA59A9"/>
    <w:rsid w:val="1BC25F36"/>
    <w:rsid w:val="1C066B60"/>
    <w:rsid w:val="1F3A7021"/>
    <w:rsid w:val="204131A1"/>
    <w:rsid w:val="204F3B10"/>
    <w:rsid w:val="20F85F56"/>
    <w:rsid w:val="259D74CD"/>
    <w:rsid w:val="283A6E54"/>
    <w:rsid w:val="28B9421C"/>
    <w:rsid w:val="2B0D4CF3"/>
    <w:rsid w:val="2C4402A1"/>
    <w:rsid w:val="2F37233F"/>
    <w:rsid w:val="31692558"/>
    <w:rsid w:val="31D73965"/>
    <w:rsid w:val="3361798A"/>
    <w:rsid w:val="339361B9"/>
    <w:rsid w:val="35B31F66"/>
    <w:rsid w:val="36C00E6C"/>
    <w:rsid w:val="371231E8"/>
    <w:rsid w:val="38315F0F"/>
    <w:rsid w:val="39062584"/>
    <w:rsid w:val="3AB719C6"/>
    <w:rsid w:val="3B0D21A6"/>
    <w:rsid w:val="3D4867BE"/>
    <w:rsid w:val="3E5A4277"/>
    <w:rsid w:val="3EBC22DB"/>
    <w:rsid w:val="3EE768AB"/>
    <w:rsid w:val="43BE5DEC"/>
    <w:rsid w:val="43CF26EE"/>
    <w:rsid w:val="49B26D3A"/>
    <w:rsid w:val="4C26761E"/>
    <w:rsid w:val="4D935E0E"/>
    <w:rsid w:val="4DD93577"/>
    <w:rsid w:val="506F0781"/>
    <w:rsid w:val="543F566E"/>
    <w:rsid w:val="5563538C"/>
    <w:rsid w:val="57B64C93"/>
    <w:rsid w:val="5875165E"/>
    <w:rsid w:val="59C503C4"/>
    <w:rsid w:val="5A7F0572"/>
    <w:rsid w:val="5F3F6522"/>
    <w:rsid w:val="654A79CF"/>
    <w:rsid w:val="69CC49CA"/>
    <w:rsid w:val="6CA351A2"/>
    <w:rsid w:val="72CA00C1"/>
    <w:rsid w:val="75BB4C9A"/>
    <w:rsid w:val="75BC4246"/>
    <w:rsid w:val="7718792D"/>
    <w:rsid w:val="78B70070"/>
    <w:rsid w:val="7C5F1B5A"/>
    <w:rsid w:val="7DDBCC09"/>
    <w:rsid w:val="7E7E7CFE"/>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nhideWhenUsed="0" w:uiPriority="0" w:name="Body Text First Indent"/>
    <w:lsdException w:uiPriority="99" w:name="Body Text First Indent 2"/>
    <w:lsdException w:uiPriority="99" w:name="Note Heading"/>
    <w:lsdException w:qFormat="1" w:unhideWhenUsed="0" w:uiPriority="0" w:name="Body Text 2"/>
    <w:lsdException w:uiPriority="99" w:name="Body Text 3"/>
    <w:lsdException w:qFormat="1" w:unhideWhenUsed="0" w:uiPriority="0" w:name="Body Text Indent 2"/>
    <w:lsdException w:qFormat="1" w:unhideWhenUsed="0" w:uiPriority="0" w:name="Body Text Indent 3"/>
    <w:lsdException w:uiPriority="99"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qFormat/>
    <w:uiPriority w:val="0"/>
  </w:style>
  <w:style w:type="table" w:default="1" w:styleId="33">
    <w:name w:val="Normal Table"/>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0"/>
  </w:style>
  <w:style w:type="paragraph" w:styleId="12">
    <w:name w:val="Body Text"/>
    <w:basedOn w:val="1"/>
    <w:semiHidden/>
    <w:qFormat/>
    <w:uiPriority w:val="0"/>
    <w:rPr>
      <w:rFonts w:eastAsia="隶书"/>
      <w:sz w:val="52"/>
    </w:rPr>
  </w:style>
  <w:style w:type="paragraph" w:styleId="13">
    <w:name w:val="Body Text Indent"/>
    <w:basedOn w:val="1"/>
    <w:semiHidden/>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semiHidden/>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semiHidden/>
    <w:qFormat/>
    <w:uiPriority w:val="0"/>
    <w:pPr>
      <w:jc w:val="both"/>
    </w:pPr>
    <w:rPr>
      <w:rFonts w:ascii="楷体_GB2312" w:eastAsia="楷体_GB2312"/>
      <w:b/>
      <w:sz w:val="28"/>
    </w:rPr>
  </w:style>
  <w:style w:type="paragraph" w:styleId="19">
    <w:name w:val="Body Text Indent 2"/>
    <w:basedOn w:val="1"/>
    <w:semiHidden/>
    <w:qFormat/>
    <w:uiPriority w:val="0"/>
    <w:pPr>
      <w:spacing w:before="120" w:line="360" w:lineRule="auto"/>
      <w:ind w:left="600" w:firstLine="480"/>
    </w:pPr>
    <w:rPr>
      <w:rFonts w:ascii="楷体_GB2312" w:eastAsia="楷体_GB2312"/>
      <w:kern w:val="2"/>
      <w:sz w:val="28"/>
    </w:rPr>
  </w:style>
  <w:style w:type="paragraph" w:styleId="20">
    <w:name w:val="Balloon Text"/>
    <w:basedOn w:val="1"/>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lang w:val="en-US" w:eastAsia="zh-CN"/>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semiHidden/>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lang w:val="en-US" w:eastAsia="zh-CN"/>
    </w:rPr>
  </w:style>
  <w:style w:type="paragraph" w:styleId="28">
    <w:name w:val="toc 9"/>
    <w:basedOn w:val="1"/>
    <w:next w:val="1"/>
    <w:semiHidden/>
    <w:qFormat/>
    <w:uiPriority w:val="0"/>
    <w:pPr>
      <w:ind w:left="3360" w:leftChars="1600"/>
    </w:pPr>
  </w:style>
  <w:style w:type="paragraph" w:styleId="29">
    <w:name w:val="Body Text 2"/>
    <w:basedOn w:val="1"/>
    <w:semiHidden/>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semiHidden/>
    <w:qFormat/>
    <w:uiPriority w:val="0"/>
    <w:rPr>
      <w:b/>
      <w:bCs/>
    </w:rPr>
  </w:style>
  <w:style w:type="paragraph" w:styleId="32">
    <w:name w:val="Body Text First Indent"/>
    <w:basedOn w:val="12"/>
    <w:semiHidden/>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Strong"/>
    <w:qFormat/>
    <w:uiPriority w:val="22"/>
    <w:rPr>
      <w:b/>
      <w:bCs/>
    </w:rPr>
  </w:style>
  <w:style w:type="character" w:styleId="37">
    <w:name w:val="page number"/>
    <w:qFormat/>
    <w:uiPriority w:val="0"/>
  </w:style>
  <w:style w:type="character" w:styleId="38">
    <w:name w:val="FollowedHyperlink"/>
    <w:semiHidden/>
    <w:qFormat/>
    <w:uiPriority w:val="0"/>
    <w:rPr>
      <w:color w:val="800080"/>
      <w:u w:val="single"/>
    </w:rPr>
  </w:style>
  <w:style w:type="character" w:styleId="39">
    <w:name w:val="Hyperlink"/>
    <w:qFormat/>
    <w:uiPriority w:val="99"/>
    <w:rPr>
      <w:color w:val="0000FF"/>
      <w:u w:val="single"/>
    </w:rPr>
  </w:style>
  <w:style w:type="character" w:styleId="40">
    <w:name w:val="annotation reference"/>
    <w:semiHidden/>
    <w:qFormat/>
    <w:uiPriority w:val="99"/>
    <w:rPr>
      <w:sz w:val="21"/>
      <w:szCs w:val="21"/>
    </w:rPr>
  </w:style>
  <w:style w:type="character" w:customStyle="1" w:styleId="41">
    <w:name w:val="文档结构图 字符"/>
    <w:link w:val="10"/>
    <w:semiHidden/>
    <w:qFormat/>
    <w:uiPriority w:val="0"/>
    <w:rPr>
      <w:sz w:val="24"/>
      <w:shd w:val="clear" w:color="auto" w:fill="000080"/>
    </w:rPr>
  </w:style>
  <w:style w:type="character" w:customStyle="1" w:styleId="42">
    <w:name w:val="批注文字 字符"/>
    <w:link w:val="11"/>
    <w:qFormat/>
    <w:uiPriority w:val="0"/>
    <w:rPr>
      <w:sz w:val="24"/>
    </w:rPr>
  </w:style>
  <w:style w:type="character" w:customStyle="1" w:styleId="43">
    <w:name w:val="页脚 字符"/>
    <w:link w:val="21"/>
    <w:qFormat/>
    <w:uiPriority w:val="99"/>
    <w:rPr>
      <w:sz w:val="18"/>
    </w:rPr>
  </w:style>
  <w:style w:type="character" w:customStyle="1" w:styleId="44">
    <w:name w:val="页眉 字符"/>
    <w:link w:val="22"/>
    <w:qFormat/>
    <w:uiPriority w:val="99"/>
    <w:rPr>
      <w:sz w:val="18"/>
    </w:rPr>
  </w:style>
  <w:style w:type="character" w:customStyle="1" w:styleId="45">
    <w:name w:val="无间隔 字符"/>
    <w:link w:val="46"/>
    <w:qFormat/>
    <w:uiPriority w:val="1"/>
    <w:rPr>
      <w:rFonts w:ascii="Calibri" w:hAnsi="Calibri"/>
      <w:sz w:val="22"/>
      <w:szCs w:val="22"/>
      <w:lang w:bidi="ar-SA"/>
    </w:rPr>
  </w:style>
  <w:style w:type="paragraph" w:styleId="46">
    <w:name w:val="No Spacing"/>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styleId="54">
    <w:name w:val="List Paragraph"/>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Normal"/>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paragraph" w:customStyle="1" w:styleId="65">
    <w:name w:val="LO-Normal"/>
    <w:qFormat/>
    <w:uiPriority w:val="0"/>
    <w:pPr>
      <w:widowControl w:val="0"/>
      <w:spacing w:line="360" w:lineRule="atLeast"/>
      <w:textAlignment w:val="baseline"/>
    </w:pPr>
    <w:rPr>
      <w:rFonts w:ascii="宋体;SimSun" w:hAnsi="宋体;SimSun" w:eastAsia="宋体;SimSun" w:cs="Times New Roman"/>
      <w:sz w:val="34"/>
      <w:lang w:val="en-US" w:eastAsia="zh-CN" w:bidi="ar-SA"/>
    </w:rPr>
  </w:style>
  <w:style w:type="paragraph" w:customStyle="1" w:styleId="66">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7">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23.jpe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chart" Target="charts/chart2.xml"/><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chart" Target="charts/chart1.xml"/><Relationship Id="rId22" Type="http://schemas.openxmlformats.org/officeDocument/2006/relationships/image" Target="media/image2.png"/><Relationship Id="rId21" Type="http://schemas.openxmlformats.org/officeDocument/2006/relationships/theme" Target="theme/theme1.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f86bfd0e-8b27-4a8b-9c32-2799b83042b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69b6f17-9e72-40a2-9270-5f64ba887eb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铜牛集团地.dot</Template>
  <Company>Microsoft</Company>
  <Pages>80</Pages>
  <Words>5357</Words>
  <Characters>6055</Characters>
  <Lines>353</Lines>
  <Paragraphs>99</Paragraphs>
  <TotalTime>2</TotalTime>
  <ScaleCrop>false</ScaleCrop>
  <LinksUpToDate>false</LinksUpToDate>
  <CharactersWithSpaces>6176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2025-10-30T03:58:00Z</dcterms:created>
  <dc:creator>djg</dc:creator>
  <cp:lastModifiedBy>诗霖</cp:lastModifiedBy>
  <cp:lastPrinted>2022-08-02T08:20:00Z</cp:lastPrinted>
  <dcterms:modified xsi:type="dcterms:W3CDTF">2025-10-30T05:25:26Z</dcterms:modified>
  <dc:title>电 话：82253558  传真：82253565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DE9101F97B314A94982FA45D19E09593_13</vt:lpwstr>
  </property>
</Properties>
</file>