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048853" w14:textId="77777777" w:rsidR="00000000" w:rsidRDefault="00000000">
      <w:pPr>
        <w:spacing w:line="300" w:lineRule="exact"/>
        <w:jc w:val="center"/>
        <w:rPr>
          <w:rFonts w:ascii="Arial" w:hAnsi="Arial" w:hint="eastAsia"/>
        </w:rPr>
      </w:pPr>
    </w:p>
    <w:p w14:paraId="7AEEB2F6" w14:textId="77777777" w:rsidR="00000000" w:rsidRDefault="00000000">
      <w:pPr>
        <w:spacing w:line="300" w:lineRule="exact"/>
        <w:rPr>
          <w:rFonts w:ascii="Arial" w:hAnsi="Arial"/>
        </w:rPr>
      </w:pPr>
    </w:p>
    <w:p w14:paraId="32548D44" w14:textId="77777777" w:rsidR="00000000" w:rsidRDefault="00000000">
      <w:pPr>
        <w:spacing w:line="300" w:lineRule="exact"/>
        <w:rPr>
          <w:rFonts w:ascii="Arial" w:hAnsi="Arial"/>
        </w:rPr>
      </w:pPr>
    </w:p>
    <w:p w14:paraId="70BC33F4" w14:textId="77777777" w:rsidR="00000000" w:rsidRDefault="00000000">
      <w:pPr>
        <w:spacing w:line="300" w:lineRule="exact"/>
        <w:rPr>
          <w:rFonts w:ascii="Arial" w:hAnsi="Arial"/>
        </w:rPr>
      </w:pPr>
    </w:p>
    <w:p w14:paraId="7F221810" w14:textId="77777777" w:rsidR="00000000" w:rsidRDefault="00000000">
      <w:pPr>
        <w:spacing w:line="300" w:lineRule="exact"/>
        <w:rPr>
          <w:rFonts w:ascii="Arial" w:hAnsi="Arial"/>
        </w:rPr>
      </w:pPr>
    </w:p>
    <w:p w14:paraId="5A022AE7" w14:textId="77777777" w:rsidR="00000000" w:rsidRDefault="00000000">
      <w:pPr>
        <w:spacing w:line="300" w:lineRule="exact"/>
        <w:rPr>
          <w:rFonts w:ascii="Arial" w:hAnsi="Arial"/>
        </w:rPr>
      </w:pPr>
    </w:p>
    <w:p w14:paraId="2034BAF5" w14:textId="77777777" w:rsidR="00000000" w:rsidRDefault="00000000">
      <w:pPr>
        <w:spacing w:line="300" w:lineRule="exact"/>
        <w:rPr>
          <w:rFonts w:ascii="Arial" w:hAnsi="Arial"/>
        </w:rPr>
      </w:pPr>
    </w:p>
    <w:p w14:paraId="21F51715" w14:textId="77777777" w:rsidR="00000000" w:rsidRDefault="00000000">
      <w:pPr>
        <w:spacing w:line="300" w:lineRule="exact"/>
        <w:rPr>
          <w:rFonts w:ascii="Arial" w:hAnsi="Arial"/>
        </w:rPr>
      </w:pPr>
    </w:p>
    <w:p w14:paraId="52833E72" w14:textId="77777777" w:rsidR="00000000" w:rsidRDefault="00000000">
      <w:pPr>
        <w:spacing w:line="300" w:lineRule="exact"/>
        <w:rPr>
          <w:rFonts w:ascii="Arial" w:hAnsi="Arial"/>
        </w:rPr>
      </w:pPr>
    </w:p>
    <w:p w14:paraId="0FFF6FA3" w14:textId="77777777" w:rsidR="00000000" w:rsidRDefault="00000000">
      <w:pPr>
        <w:spacing w:line="300" w:lineRule="exact"/>
        <w:rPr>
          <w:rFonts w:ascii="Arial" w:hAnsi="Arial"/>
        </w:rPr>
      </w:pPr>
    </w:p>
    <w:p w14:paraId="556A79FC" w14:textId="77777777" w:rsidR="00000000" w:rsidRDefault="00000000">
      <w:pPr>
        <w:snapToGrid w:val="0"/>
        <w:spacing w:line="360" w:lineRule="auto"/>
        <w:jc w:val="center"/>
        <w:rPr>
          <w:rFonts w:ascii="Arial" w:hAnsi="Arial"/>
          <w:sz w:val="52"/>
          <w:szCs w:val="52"/>
        </w:rPr>
      </w:pPr>
      <w:r>
        <w:rPr>
          <w:rFonts w:ascii="Arial" w:hAnsi="Arial"/>
          <w:sz w:val="52"/>
          <w:szCs w:val="52"/>
        </w:rPr>
        <w:t>房地产估价报告</w:t>
      </w:r>
    </w:p>
    <w:p w14:paraId="70D6941B" w14:textId="77777777" w:rsidR="00000000" w:rsidRDefault="00000000">
      <w:pPr>
        <w:spacing w:line="300" w:lineRule="exact"/>
        <w:rPr>
          <w:rFonts w:ascii="Arial" w:hAnsi="Arial"/>
        </w:rPr>
      </w:pPr>
    </w:p>
    <w:p w14:paraId="72FCCEA9" w14:textId="77777777" w:rsidR="00000000" w:rsidRDefault="00000000">
      <w:pPr>
        <w:spacing w:line="300" w:lineRule="exact"/>
        <w:rPr>
          <w:rFonts w:ascii="Arial" w:hAnsi="Arial"/>
        </w:rPr>
      </w:pPr>
    </w:p>
    <w:p w14:paraId="6791172A" w14:textId="77777777" w:rsidR="00000000" w:rsidRDefault="00000000">
      <w:pPr>
        <w:spacing w:line="300" w:lineRule="exact"/>
        <w:rPr>
          <w:rFonts w:ascii="Arial" w:hAnsi="Arial"/>
        </w:rPr>
      </w:pPr>
    </w:p>
    <w:p w14:paraId="44328425" w14:textId="77777777" w:rsidR="00000000" w:rsidRDefault="00000000">
      <w:pPr>
        <w:spacing w:line="300" w:lineRule="exact"/>
        <w:rPr>
          <w:rFonts w:ascii="Arial" w:hAnsi="Arial"/>
        </w:rPr>
      </w:pPr>
    </w:p>
    <w:p w14:paraId="610449C5" w14:textId="77777777" w:rsidR="00000000" w:rsidRDefault="00000000">
      <w:pPr>
        <w:spacing w:line="300" w:lineRule="exact"/>
        <w:rPr>
          <w:rFonts w:ascii="Arial" w:hAnsi="Arial"/>
        </w:rPr>
      </w:pPr>
    </w:p>
    <w:p w14:paraId="7C8EEB98" w14:textId="77777777" w:rsidR="00000000" w:rsidRDefault="00000000">
      <w:pPr>
        <w:spacing w:line="300" w:lineRule="exact"/>
        <w:rPr>
          <w:rFonts w:ascii="Arial" w:hAnsi="Arial"/>
        </w:rPr>
      </w:pPr>
    </w:p>
    <w:p w14:paraId="11F12F0A" w14:textId="77777777" w:rsidR="00000000" w:rsidRDefault="00000000">
      <w:pPr>
        <w:spacing w:line="300" w:lineRule="exact"/>
        <w:rPr>
          <w:rFonts w:ascii="Arial" w:hAnsi="Arial" w:hint="eastAsia"/>
        </w:rPr>
      </w:pPr>
    </w:p>
    <w:p w14:paraId="6CA6602E" w14:textId="77777777" w:rsidR="00000000" w:rsidRDefault="00000000">
      <w:pPr>
        <w:spacing w:line="300" w:lineRule="exact"/>
        <w:rPr>
          <w:rFonts w:ascii="Arial" w:hAnsi="Arial" w:hint="eastAsia"/>
        </w:rPr>
      </w:pPr>
    </w:p>
    <w:p w14:paraId="45C4C4D7" w14:textId="77777777" w:rsidR="00000000" w:rsidRDefault="00000000">
      <w:pPr>
        <w:spacing w:line="300" w:lineRule="exact"/>
        <w:rPr>
          <w:rFonts w:ascii="Arial" w:hAnsi="Arial" w:hint="eastAsia"/>
        </w:rPr>
      </w:pPr>
    </w:p>
    <w:p w14:paraId="28C036F6" w14:textId="77777777" w:rsidR="00000000" w:rsidRDefault="00000000">
      <w:pPr>
        <w:spacing w:line="300" w:lineRule="exact"/>
        <w:rPr>
          <w:rFonts w:ascii="Arial" w:hAnsi="Arial" w:hint="eastAsia"/>
        </w:rPr>
      </w:pPr>
    </w:p>
    <w:p w14:paraId="71094073" w14:textId="77777777" w:rsidR="00000000" w:rsidRDefault="00000000">
      <w:pPr>
        <w:spacing w:line="300" w:lineRule="exact"/>
        <w:rPr>
          <w:rFonts w:ascii="Arial" w:hAnsi="Arial"/>
        </w:rPr>
      </w:pPr>
    </w:p>
    <w:p w14:paraId="0AFA67C1" w14:textId="77777777" w:rsidR="00000000" w:rsidRDefault="00000000">
      <w:pPr>
        <w:spacing w:line="300" w:lineRule="exact"/>
        <w:rPr>
          <w:rFonts w:ascii="Arial" w:hAnsi="Arial"/>
        </w:rPr>
      </w:pPr>
    </w:p>
    <w:p w14:paraId="436B00D9" w14:textId="77777777" w:rsidR="00000000" w:rsidRDefault="00000000">
      <w:pPr>
        <w:spacing w:line="300" w:lineRule="exact"/>
        <w:rPr>
          <w:rFonts w:ascii="Arial" w:hAnsi="Arial" w:hint="eastAsia"/>
        </w:rPr>
      </w:pPr>
    </w:p>
    <w:p w14:paraId="7B0C6556" w14:textId="77777777" w:rsidR="00000000" w:rsidRDefault="00000000">
      <w:pPr>
        <w:pStyle w:val="afd"/>
        <w:numPr>
          <w:ilvl w:val="0"/>
          <w:numId w:val="4"/>
        </w:numPr>
        <w:spacing w:line="300" w:lineRule="exact"/>
        <w:ind w:right="-93" w:firstLineChars="0"/>
        <w:jc w:val="both"/>
        <w:outlineLvl w:val="0"/>
        <w:rPr>
          <w:rFonts w:ascii="Arial" w:eastAsia="方正黑体简体" w:hAnsi="Arial" w:cs="Arial" w:hint="eastAsia"/>
          <w:b/>
          <w:bCs/>
          <w:sz w:val="21"/>
          <w:szCs w:val="21"/>
        </w:rPr>
      </w:pPr>
      <w:r>
        <w:rPr>
          <w:rFonts w:ascii="Arial" w:eastAsia="方正黑体简体" w:hAnsi="Arial" w:cs="Arial" w:hint="eastAsia"/>
          <w:b/>
          <w:bCs/>
          <w:sz w:val="21"/>
          <w:szCs w:val="21"/>
        </w:rPr>
        <w:t>估价项目名称：</w:t>
      </w:r>
    </w:p>
    <w:p w14:paraId="259892A6" w14:textId="77777777" w:rsidR="00000000" w:rsidRDefault="00000000">
      <w:pPr>
        <w:pStyle w:val="afd"/>
        <w:spacing w:line="300" w:lineRule="exact"/>
        <w:ind w:left="360" w:firstLineChars="0" w:firstLine="0"/>
        <w:jc w:val="both"/>
        <w:rPr>
          <w:rFonts w:ascii="Arial" w:eastAsia="方正黑体简体" w:hAnsi="Arial" w:cs="Arial" w:hint="eastAsia"/>
          <w:sz w:val="21"/>
          <w:szCs w:val="21"/>
        </w:rPr>
      </w:pPr>
      <w:r>
        <w:rPr>
          <w:rFonts w:ascii="Arial" w:eastAsia="方正黑体简体" w:hAnsi="Arial" w:cs="Arial"/>
          <w:sz w:val="21"/>
          <w:szCs w:val="21"/>
        </w:rPr>
        <w:t>北京市</w:t>
      </w:r>
      <w:r>
        <w:rPr>
          <w:rFonts w:ascii="Arial" w:eastAsia="方正黑体简体" w:hAnsi="Arial" w:cs="Arial" w:hint="eastAsia"/>
          <w:sz w:val="21"/>
          <w:szCs w:val="21"/>
        </w:rPr>
        <w:t>北京经济技术开发区博兴九路</w:t>
      </w:r>
      <w:r>
        <w:rPr>
          <w:rFonts w:ascii="Arial" w:eastAsia="方正黑体简体" w:hAnsi="Arial" w:cs="Arial" w:hint="eastAsia"/>
          <w:sz w:val="21"/>
          <w:szCs w:val="21"/>
        </w:rPr>
        <w:t>19</w:t>
      </w:r>
      <w:r>
        <w:rPr>
          <w:rFonts w:ascii="Arial" w:eastAsia="方正黑体简体" w:hAnsi="Arial" w:cs="Arial" w:hint="eastAsia"/>
          <w:sz w:val="21"/>
          <w:szCs w:val="21"/>
        </w:rPr>
        <w:t>号院一区</w:t>
      </w:r>
      <w:r>
        <w:rPr>
          <w:rFonts w:ascii="Arial" w:eastAsia="方正黑体简体" w:hAnsi="Arial" w:cs="Arial" w:hint="eastAsia"/>
          <w:sz w:val="21"/>
          <w:szCs w:val="21"/>
        </w:rPr>
        <w:t>1</w:t>
      </w:r>
      <w:r>
        <w:rPr>
          <w:rFonts w:ascii="Arial" w:eastAsia="方正黑体简体" w:hAnsi="Arial" w:cs="Arial" w:hint="eastAsia"/>
          <w:sz w:val="21"/>
          <w:szCs w:val="21"/>
        </w:rPr>
        <w:t>号楼等</w:t>
      </w:r>
      <w:r>
        <w:rPr>
          <w:rFonts w:ascii="Arial" w:eastAsia="方正黑体简体" w:hAnsi="Arial" w:cs="Arial" w:hint="eastAsia"/>
          <w:sz w:val="21"/>
          <w:szCs w:val="21"/>
        </w:rPr>
        <w:t>5</w:t>
      </w:r>
      <w:r>
        <w:rPr>
          <w:rFonts w:ascii="Arial" w:eastAsia="方正黑体简体" w:hAnsi="Arial" w:cs="Arial" w:hint="eastAsia"/>
          <w:sz w:val="21"/>
          <w:szCs w:val="21"/>
        </w:rPr>
        <w:t>幢（</w:t>
      </w:r>
      <w:r>
        <w:rPr>
          <w:rFonts w:ascii="Arial" w:eastAsia="方正黑体简体" w:hAnsi="Arial" w:cs="Arial" w:hint="eastAsia"/>
          <w:sz w:val="21"/>
          <w:szCs w:val="21"/>
        </w:rPr>
        <w:t>X13</w:t>
      </w:r>
      <w:r>
        <w:rPr>
          <w:rFonts w:ascii="Arial" w:eastAsia="方正黑体简体" w:hAnsi="Arial" w:cs="Arial" w:hint="eastAsia"/>
          <w:sz w:val="21"/>
          <w:szCs w:val="21"/>
        </w:rPr>
        <w:t>海棠苑）共</w:t>
      </w:r>
      <w:r>
        <w:rPr>
          <w:rFonts w:ascii="Arial" w:eastAsia="方正黑体简体" w:hAnsi="Arial" w:cs="Arial" w:hint="eastAsia"/>
          <w:sz w:val="21"/>
          <w:szCs w:val="21"/>
        </w:rPr>
        <w:t>1487</w:t>
      </w:r>
      <w:r>
        <w:rPr>
          <w:rFonts w:ascii="Arial" w:eastAsia="方正黑体简体" w:hAnsi="Arial" w:cs="Arial" w:hint="eastAsia"/>
          <w:sz w:val="21"/>
          <w:szCs w:val="21"/>
        </w:rPr>
        <w:t>套、北京经济技术开发区鹿海园五里</w:t>
      </w:r>
      <w:r>
        <w:rPr>
          <w:rFonts w:ascii="Arial" w:eastAsia="方正黑体简体" w:hAnsi="Arial" w:cs="Arial" w:hint="eastAsia"/>
          <w:sz w:val="21"/>
          <w:szCs w:val="21"/>
        </w:rPr>
        <w:t>1</w:t>
      </w:r>
      <w:r>
        <w:rPr>
          <w:rFonts w:ascii="Arial" w:eastAsia="方正黑体简体" w:hAnsi="Arial" w:cs="Arial" w:hint="eastAsia"/>
          <w:sz w:val="21"/>
          <w:szCs w:val="21"/>
        </w:rPr>
        <w:t>号楼等</w:t>
      </w:r>
      <w:r>
        <w:rPr>
          <w:rFonts w:ascii="Arial" w:eastAsia="方正黑体简体" w:hAnsi="Arial" w:cs="Arial" w:hint="eastAsia"/>
          <w:sz w:val="21"/>
          <w:szCs w:val="21"/>
        </w:rPr>
        <w:t>13</w:t>
      </w:r>
      <w:r>
        <w:rPr>
          <w:rFonts w:ascii="Arial" w:eastAsia="方正黑体简体" w:hAnsi="Arial" w:cs="Arial" w:hint="eastAsia"/>
          <w:sz w:val="21"/>
          <w:szCs w:val="21"/>
        </w:rPr>
        <w:t>幢（</w:t>
      </w:r>
      <w:r>
        <w:rPr>
          <w:rFonts w:ascii="Arial" w:eastAsia="方正黑体简体" w:hAnsi="Arial" w:cs="Arial" w:hint="eastAsia"/>
          <w:sz w:val="21"/>
          <w:szCs w:val="21"/>
        </w:rPr>
        <w:t>X38</w:t>
      </w:r>
      <w:r>
        <w:rPr>
          <w:rFonts w:ascii="Arial" w:eastAsia="方正黑体简体" w:hAnsi="Arial" w:cs="Arial" w:hint="eastAsia"/>
          <w:sz w:val="21"/>
          <w:szCs w:val="21"/>
        </w:rPr>
        <w:t>鹿海园五里）共</w:t>
      </w:r>
      <w:r>
        <w:rPr>
          <w:rFonts w:ascii="Arial" w:eastAsia="方正黑体简体" w:hAnsi="Arial" w:cs="Arial" w:hint="eastAsia"/>
          <w:sz w:val="21"/>
          <w:szCs w:val="21"/>
        </w:rPr>
        <w:t>1231</w:t>
      </w:r>
      <w:r>
        <w:rPr>
          <w:rFonts w:ascii="Arial" w:eastAsia="方正黑体简体" w:hAnsi="Arial" w:cs="Arial" w:hint="eastAsia"/>
          <w:sz w:val="21"/>
          <w:szCs w:val="21"/>
        </w:rPr>
        <w:t>套</w:t>
      </w:r>
      <w:r>
        <w:rPr>
          <w:rFonts w:ascii="Arial" w:eastAsia="方正黑体简体" w:hAnsi="Arial" w:cs="Arial"/>
          <w:sz w:val="21"/>
          <w:szCs w:val="21"/>
        </w:rPr>
        <w:t>公共租赁住房</w:t>
      </w:r>
      <w:r>
        <w:rPr>
          <w:rFonts w:ascii="Arial" w:eastAsia="方正黑体简体" w:hAnsi="Arial" w:cs="Arial" w:hint="eastAsia"/>
          <w:sz w:val="21"/>
          <w:szCs w:val="21"/>
        </w:rPr>
        <w:t>项目</w:t>
      </w:r>
      <w:r>
        <w:rPr>
          <w:rFonts w:ascii="Arial" w:eastAsia="方正黑体简体" w:hAnsi="Arial" w:cs="Arial"/>
          <w:sz w:val="21"/>
          <w:szCs w:val="21"/>
        </w:rPr>
        <w:t>市场租金评估</w:t>
      </w:r>
    </w:p>
    <w:p w14:paraId="693EAE43" w14:textId="77777777" w:rsidR="00000000" w:rsidRDefault="00000000">
      <w:pPr>
        <w:spacing w:line="300" w:lineRule="exact"/>
        <w:rPr>
          <w:rFonts w:ascii="Arial" w:eastAsia="方正黑体简体" w:hAnsi="Arial" w:cs="Arial" w:hint="eastAsia"/>
          <w:b/>
          <w:bCs/>
          <w:sz w:val="21"/>
          <w:szCs w:val="21"/>
        </w:rPr>
      </w:pPr>
    </w:p>
    <w:p w14:paraId="24B036E1" w14:textId="77777777" w:rsidR="00000000" w:rsidRDefault="00000000">
      <w:pPr>
        <w:pStyle w:val="afd"/>
        <w:numPr>
          <w:ilvl w:val="0"/>
          <w:numId w:val="4"/>
        </w:numPr>
        <w:spacing w:line="300" w:lineRule="exact"/>
        <w:ind w:firstLineChars="0"/>
        <w:jc w:val="both"/>
        <w:outlineLvl w:val="0"/>
        <w:rPr>
          <w:rFonts w:ascii="Arial" w:eastAsia="方正黑体简体" w:hAnsi="Arial" w:cs="Arial" w:hint="eastAsia"/>
          <w:b/>
          <w:sz w:val="21"/>
          <w:szCs w:val="21"/>
        </w:rPr>
      </w:pPr>
      <w:r>
        <w:rPr>
          <w:rFonts w:ascii="Arial" w:eastAsia="方正黑体简体" w:hAnsi="Arial" w:cs="Arial" w:hint="eastAsia"/>
          <w:b/>
          <w:sz w:val="21"/>
          <w:szCs w:val="21"/>
        </w:rPr>
        <w:t>估价委托人：</w:t>
      </w:r>
    </w:p>
    <w:p w14:paraId="173616DB" w14:textId="77777777" w:rsidR="00000000" w:rsidRDefault="00000000">
      <w:pPr>
        <w:pStyle w:val="afd"/>
        <w:spacing w:line="300" w:lineRule="exact"/>
        <w:ind w:left="360" w:firstLineChars="0" w:firstLine="0"/>
        <w:jc w:val="both"/>
        <w:rPr>
          <w:rFonts w:ascii="Arial" w:eastAsia="方正黑体简体" w:hAnsi="Arial" w:cs="Arial" w:hint="eastAsia"/>
          <w:sz w:val="21"/>
          <w:szCs w:val="21"/>
        </w:rPr>
      </w:pPr>
      <w:r>
        <w:rPr>
          <w:rFonts w:ascii="Arial" w:eastAsia="方正黑体简体" w:hAnsi="Arial" w:cs="Arial" w:hint="eastAsia"/>
          <w:sz w:val="21"/>
          <w:szCs w:val="21"/>
        </w:rPr>
        <w:t>北京博大新元房地产开发有限公司</w:t>
      </w:r>
    </w:p>
    <w:p w14:paraId="11177D1E" w14:textId="77777777" w:rsidR="00000000" w:rsidRDefault="00000000">
      <w:pPr>
        <w:pStyle w:val="afd"/>
        <w:spacing w:line="300" w:lineRule="exact"/>
        <w:ind w:left="360" w:firstLineChars="0" w:firstLine="0"/>
        <w:jc w:val="both"/>
        <w:rPr>
          <w:rFonts w:ascii="Arial" w:eastAsia="方正黑体简体" w:hAnsi="Arial" w:cs="Arial" w:hint="eastAsia"/>
          <w:sz w:val="21"/>
          <w:szCs w:val="21"/>
        </w:rPr>
      </w:pPr>
    </w:p>
    <w:p w14:paraId="4D27AC28" w14:textId="77777777" w:rsidR="00000000" w:rsidRDefault="00000000">
      <w:pPr>
        <w:pStyle w:val="afd"/>
        <w:numPr>
          <w:ilvl w:val="0"/>
          <w:numId w:val="4"/>
        </w:numPr>
        <w:spacing w:line="300" w:lineRule="exact"/>
        <w:ind w:firstLineChars="0"/>
        <w:jc w:val="both"/>
        <w:outlineLvl w:val="0"/>
        <w:rPr>
          <w:rFonts w:ascii="Arial" w:eastAsia="方正黑体简体" w:hAnsi="Arial" w:cs="Arial" w:hint="eastAsia"/>
          <w:b/>
          <w:sz w:val="21"/>
          <w:szCs w:val="21"/>
        </w:rPr>
      </w:pPr>
      <w:r>
        <w:rPr>
          <w:rFonts w:ascii="Arial" w:eastAsia="方正黑体简体" w:hAnsi="Arial" w:cs="Arial" w:hint="eastAsia"/>
          <w:b/>
          <w:sz w:val="21"/>
          <w:szCs w:val="21"/>
        </w:rPr>
        <w:t>房地产估价机构：</w:t>
      </w:r>
    </w:p>
    <w:p w14:paraId="06046695" w14:textId="77777777" w:rsidR="00000000" w:rsidRDefault="00000000">
      <w:pPr>
        <w:pStyle w:val="afd"/>
        <w:spacing w:line="300" w:lineRule="exact"/>
        <w:ind w:left="360" w:firstLineChars="0" w:firstLine="0"/>
        <w:jc w:val="both"/>
        <w:rPr>
          <w:rFonts w:ascii="Arial" w:eastAsia="方正黑体简体" w:hAnsi="Arial" w:cs="Arial" w:hint="eastAsia"/>
          <w:sz w:val="21"/>
          <w:szCs w:val="21"/>
        </w:rPr>
      </w:pPr>
      <w:r>
        <w:rPr>
          <w:rFonts w:ascii="Arial" w:eastAsia="方正黑体简体" w:hAnsi="Arial" w:cs="Arial" w:hint="eastAsia"/>
          <w:sz w:val="21"/>
          <w:szCs w:val="21"/>
        </w:rPr>
        <w:t>北京康正宏基房地产评估有限公司</w:t>
      </w:r>
    </w:p>
    <w:p w14:paraId="71E012C1" w14:textId="77777777" w:rsidR="00000000" w:rsidRDefault="00000000">
      <w:pPr>
        <w:spacing w:line="300" w:lineRule="exact"/>
        <w:jc w:val="both"/>
        <w:rPr>
          <w:rFonts w:ascii="Arial" w:eastAsia="方正黑体简体" w:hAnsi="Arial" w:cs="Arial" w:hint="eastAsia"/>
          <w:b/>
          <w:sz w:val="21"/>
          <w:szCs w:val="21"/>
        </w:rPr>
      </w:pPr>
    </w:p>
    <w:p w14:paraId="3C3C71E5" w14:textId="77777777" w:rsidR="00000000" w:rsidRDefault="00000000">
      <w:pPr>
        <w:pStyle w:val="afd"/>
        <w:numPr>
          <w:ilvl w:val="0"/>
          <w:numId w:val="4"/>
        </w:numPr>
        <w:spacing w:line="300" w:lineRule="exact"/>
        <w:ind w:firstLineChars="0"/>
        <w:jc w:val="both"/>
        <w:outlineLvl w:val="0"/>
        <w:rPr>
          <w:rFonts w:ascii="Arial" w:eastAsia="方正黑体简体" w:hAnsi="Arial" w:cs="Arial" w:hint="eastAsia"/>
          <w:b/>
          <w:sz w:val="21"/>
          <w:szCs w:val="21"/>
        </w:rPr>
      </w:pPr>
      <w:r>
        <w:rPr>
          <w:rFonts w:ascii="Arial" w:eastAsia="方正黑体简体" w:hAnsi="Arial" w:cs="Arial" w:hint="eastAsia"/>
          <w:b/>
          <w:sz w:val="21"/>
          <w:szCs w:val="21"/>
        </w:rPr>
        <w:t>注册房地产估价师：</w:t>
      </w:r>
    </w:p>
    <w:p w14:paraId="75EA3ABA" w14:textId="77777777" w:rsidR="00000000" w:rsidRDefault="00000000">
      <w:pPr>
        <w:pStyle w:val="afd"/>
        <w:spacing w:line="300" w:lineRule="exact"/>
        <w:ind w:left="360" w:firstLineChars="0" w:firstLine="0"/>
        <w:jc w:val="both"/>
        <w:rPr>
          <w:rFonts w:ascii="Arial" w:eastAsia="方正黑体简体" w:hAnsi="Arial" w:cs="Arial"/>
          <w:sz w:val="21"/>
          <w:szCs w:val="21"/>
        </w:rPr>
      </w:pPr>
      <w:commentRangeStart w:id="0"/>
      <w:r>
        <w:rPr>
          <w:rFonts w:ascii="Arial" w:eastAsia="方正黑体简体" w:hAnsi="Arial" w:cs="Arial" w:hint="eastAsia"/>
          <w:sz w:val="21"/>
          <w:szCs w:val="21"/>
        </w:rPr>
        <w:t>陈</w:t>
      </w:r>
      <w:r>
        <w:rPr>
          <w:rFonts w:ascii="Arial" w:eastAsia="方正黑体简体" w:hAnsi="Arial" w:cs="Arial" w:hint="eastAsia"/>
          <w:sz w:val="21"/>
          <w:szCs w:val="21"/>
        </w:rPr>
        <w:t xml:space="preserve">  </w:t>
      </w:r>
      <w:r>
        <w:rPr>
          <w:rFonts w:ascii="Arial" w:eastAsia="方正黑体简体" w:hAnsi="Arial" w:cs="Arial" w:hint="eastAsia"/>
          <w:sz w:val="21"/>
          <w:szCs w:val="21"/>
        </w:rPr>
        <w:t>颖（注册号：</w:t>
      </w:r>
      <w:r>
        <w:rPr>
          <w:rFonts w:ascii="Arial" w:eastAsia="方正黑体简体" w:hAnsi="Arial" w:cs="Arial" w:hint="eastAsia"/>
          <w:sz w:val="21"/>
          <w:szCs w:val="21"/>
        </w:rPr>
        <w:t>1120060040</w:t>
      </w:r>
      <w:r>
        <w:rPr>
          <w:rFonts w:ascii="Arial" w:eastAsia="方正黑体简体" w:hAnsi="Arial" w:cs="Arial" w:hint="eastAsia"/>
          <w:sz w:val="21"/>
          <w:szCs w:val="21"/>
        </w:rPr>
        <w:t>）、</w:t>
      </w:r>
      <w:r>
        <w:rPr>
          <w:rFonts w:ascii="Arial" w:eastAsia="方正黑体简体" w:hAnsi="Arial" w:hint="eastAsia"/>
          <w:sz w:val="21"/>
          <w:szCs w:val="21"/>
        </w:rPr>
        <w:t>刘朝阳</w:t>
      </w:r>
      <w:r>
        <w:rPr>
          <w:rFonts w:ascii="Arial" w:eastAsia="方正黑体简体" w:hAnsi="Arial"/>
          <w:sz w:val="21"/>
          <w:szCs w:val="21"/>
        </w:rPr>
        <w:t>（注册号：</w:t>
      </w:r>
      <w:r>
        <w:rPr>
          <w:rFonts w:ascii="Arial" w:eastAsia="方正黑体简体" w:hAnsi="Arial"/>
          <w:sz w:val="21"/>
          <w:szCs w:val="21"/>
        </w:rPr>
        <w:t>1120060041</w:t>
      </w:r>
      <w:r>
        <w:rPr>
          <w:rFonts w:ascii="Arial" w:eastAsia="方正黑体简体" w:hAnsi="Arial" w:hint="eastAsia"/>
          <w:sz w:val="21"/>
          <w:szCs w:val="21"/>
        </w:rPr>
        <w:t>）</w:t>
      </w:r>
      <w:commentRangeEnd w:id="0"/>
      <w:r w:rsidR="002B5917">
        <w:rPr>
          <w:rStyle w:val="afa"/>
        </w:rPr>
        <w:commentReference w:id="0"/>
      </w:r>
    </w:p>
    <w:p w14:paraId="35DBD7EC" w14:textId="77777777" w:rsidR="00000000" w:rsidRDefault="00000000">
      <w:pPr>
        <w:spacing w:line="300" w:lineRule="exact"/>
        <w:jc w:val="both"/>
        <w:rPr>
          <w:rFonts w:ascii="Arial" w:eastAsia="方正黑体简体" w:hAnsi="Arial" w:cs="Arial"/>
          <w:b/>
          <w:sz w:val="21"/>
          <w:szCs w:val="21"/>
        </w:rPr>
      </w:pPr>
    </w:p>
    <w:p w14:paraId="4DF7575E" w14:textId="77777777" w:rsidR="00000000" w:rsidRDefault="00000000">
      <w:pPr>
        <w:pStyle w:val="afd"/>
        <w:numPr>
          <w:ilvl w:val="0"/>
          <w:numId w:val="4"/>
        </w:numPr>
        <w:spacing w:line="300" w:lineRule="exact"/>
        <w:ind w:firstLineChars="0"/>
        <w:jc w:val="both"/>
        <w:outlineLvl w:val="0"/>
        <w:rPr>
          <w:rFonts w:ascii="Arial" w:eastAsia="方正黑体简体" w:hAnsi="Arial" w:cs="Arial"/>
          <w:b/>
          <w:sz w:val="21"/>
          <w:szCs w:val="21"/>
        </w:rPr>
      </w:pPr>
      <w:r>
        <w:rPr>
          <w:rFonts w:ascii="Arial" w:eastAsia="方正黑体简体" w:hAnsi="Arial" w:cs="Arial"/>
          <w:b/>
          <w:sz w:val="21"/>
          <w:szCs w:val="21"/>
        </w:rPr>
        <w:t>估价报告出具日期：</w:t>
      </w:r>
    </w:p>
    <w:p w14:paraId="24DF9ACD" w14:textId="77777777" w:rsidR="00000000" w:rsidRDefault="00000000">
      <w:pPr>
        <w:pStyle w:val="afd"/>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w:t>
      </w:r>
      <w:r>
        <w:rPr>
          <w:rFonts w:ascii="Arial" w:eastAsia="方正黑体简体" w:hAnsi="Arial" w:cs="Arial" w:hint="eastAsia"/>
          <w:sz w:val="21"/>
          <w:szCs w:val="21"/>
        </w:rPr>
        <w:t>5</w:t>
      </w:r>
      <w:r>
        <w:rPr>
          <w:rFonts w:ascii="Arial" w:eastAsia="方正黑体简体" w:hAnsi="Arial" w:cs="Arial"/>
          <w:sz w:val="21"/>
          <w:szCs w:val="21"/>
        </w:rPr>
        <w:t>年</w:t>
      </w:r>
      <w:r>
        <w:rPr>
          <w:rFonts w:ascii="Arial" w:eastAsia="方正黑体简体" w:hAnsi="Arial" w:cs="Arial" w:hint="eastAsia"/>
          <w:sz w:val="21"/>
          <w:szCs w:val="21"/>
        </w:rPr>
        <w:t>11</w:t>
      </w:r>
      <w:r>
        <w:rPr>
          <w:rFonts w:ascii="Arial" w:eastAsia="方正黑体简体" w:hAnsi="Arial" w:cs="Arial"/>
          <w:sz w:val="21"/>
          <w:szCs w:val="21"/>
        </w:rPr>
        <w:t>月</w:t>
      </w:r>
      <w:r>
        <w:rPr>
          <w:rFonts w:ascii="Arial" w:eastAsia="方正黑体简体" w:hAnsi="Arial" w:cs="Arial"/>
          <w:sz w:val="21"/>
          <w:szCs w:val="21"/>
        </w:rPr>
        <w:t>1</w:t>
      </w:r>
      <w:r>
        <w:rPr>
          <w:rFonts w:ascii="Arial" w:eastAsia="方正黑体简体" w:hAnsi="Arial" w:cs="Arial"/>
          <w:sz w:val="21"/>
          <w:szCs w:val="21"/>
        </w:rPr>
        <w:t>日</w:t>
      </w:r>
    </w:p>
    <w:p w14:paraId="3142624C" w14:textId="77777777" w:rsidR="00000000" w:rsidRDefault="00000000">
      <w:pPr>
        <w:spacing w:line="300" w:lineRule="exact"/>
        <w:jc w:val="both"/>
        <w:rPr>
          <w:rFonts w:ascii="Arial" w:eastAsia="方正黑体简体" w:hAnsi="Arial" w:cs="Arial" w:hint="eastAsia"/>
          <w:b/>
          <w:sz w:val="21"/>
          <w:szCs w:val="21"/>
        </w:rPr>
      </w:pPr>
    </w:p>
    <w:p w14:paraId="5AC1BD72" w14:textId="77777777" w:rsidR="00000000" w:rsidRDefault="00000000">
      <w:pPr>
        <w:pStyle w:val="afd"/>
        <w:numPr>
          <w:ilvl w:val="0"/>
          <w:numId w:val="4"/>
        </w:numPr>
        <w:spacing w:line="300" w:lineRule="exact"/>
        <w:ind w:firstLineChars="0"/>
        <w:jc w:val="both"/>
        <w:outlineLvl w:val="0"/>
        <w:rPr>
          <w:rFonts w:ascii="Arial" w:eastAsia="方正黑体简体" w:hAnsi="Arial" w:cs="Arial" w:hint="eastAsia"/>
          <w:sz w:val="21"/>
          <w:szCs w:val="21"/>
        </w:rPr>
      </w:pPr>
      <w:r>
        <w:rPr>
          <w:rFonts w:ascii="Arial" w:eastAsia="方正黑体简体" w:hAnsi="Arial" w:cs="Arial" w:hint="eastAsia"/>
          <w:b/>
          <w:sz w:val="21"/>
          <w:szCs w:val="21"/>
        </w:rPr>
        <w:t>估价报告编号：</w:t>
      </w:r>
    </w:p>
    <w:p w14:paraId="558DB553" w14:textId="77777777" w:rsidR="00000000" w:rsidRDefault="00000000">
      <w:pPr>
        <w:pStyle w:val="afd"/>
        <w:spacing w:line="300" w:lineRule="exact"/>
        <w:ind w:left="360" w:firstLineChars="0" w:firstLine="0"/>
        <w:jc w:val="both"/>
        <w:rPr>
          <w:rFonts w:ascii="Arial" w:eastAsia="方正黑体简体" w:hAnsi="Arial" w:cs="Arial" w:hint="eastAsia"/>
          <w:sz w:val="21"/>
          <w:szCs w:val="21"/>
        </w:rPr>
        <w:sectPr w:rsidR="00000000">
          <w:headerReference w:type="even" r:id="rId10"/>
          <w:headerReference w:type="default" r:id="rId11"/>
          <w:footerReference w:type="even" r:id="rId12"/>
          <w:footerReference w:type="default" r:id="rId13"/>
          <w:headerReference w:type="first" r:id="rId14"/>
          <w:footerReference w:type="first" r:id="rId15"/>
          <w:type w:val="continuous"/>
          <w:pgSz w:w="11907" w:h="16840"/>
          <w:pgMar w:top="1843" w:right="1134" w:bottom="1134" w:left="1134" w:header="850" w:footer="1134" w:gutter="340"/>
          <w:cols w:space="720"/>
          <w:titlePg/>
          <w:docGrid w:linePitch="326"/>
        </w:sectPr>
      </w:pPr>
      <w:r>
        <w:rPr>
          <w:rFonts w:ascii="Arial" w:eastAsia="方正黑体简体" w:hAnsi="Arial" w:cs="Arial" w:hint="eastAsia"/>
          <w:sz w:val="21"/>
          <w:szCs w:val="21"/>
        </w:rPr>
        <w:t>康正评字</w:t>
      </w:r>
      <w:r>
        <w:rPr>
          <w:rFonts w:ascii="Arial" w:eastAsia="方正黑体简体" w:hAnsi="Arial" w:cs="Arial" w:hint="eastAsia"/>
          <w:sz w:val="21"/>
          <w:szCs w:val="21"/>
        </w:rPr>
        <w:t>2025-1-0802-F01ZLGJ6</w:t>
      </w:r>
      <w:r>
        <w:rPr>
          <w:rFonts w:ascii="Arial" w:eastAsia="方正黑体简体" w:hAnsi="Arial" w:cs="Arial" w:hint="eastAsia"/>
          <w:sz w:val="21"/>
          <w:szCs w:val="21"/>
        </w:rPr>
        <w:t>号</w:t>
      </w:r>
    </w:p>
    <w:p w14:paraId="3872151C" w14:textId="77777777" w:rsidR="00000000" w:rsidRDefault="00000000">
      <w:pPr>
        <w:pStyle w:val="1"/>
        <w:spacing w:line="480" w:lineRule="auto"/>
        <w:jc w:val="center"/>
        <w:rPr>
          <w:rFonts w:eastAsia="方正黑体简体"/>
          <w:b w:val="0"/>
          <w:color w:val="000000"/>
          <w:kern w:val="2"/>
          <w:sz w:val="32"/>
          <w:szCs w:val="32"/>
        </w:rPr>
      </w:pPr>
      <w:bookmarkStart w:id="1" w:name="_Toc477252437"/>
      <w:bookmarkStart w:id="2" w:name="_Toc379795040"/>
      <w:bookmarkStart w:id="3" w:name="_Toc22020"/>
      <w:r>
        <w:rPr>
          <w:rFonts w:eastAsia="方正黑体简体"/>
          <w:b w:val="0"/>
          <w:color w:val="000000"/>
          <w:kern w:val="2"/>
          <w:sz w:val="32"/>
          <w:szCs w:val="32"/>
        </w:rPr>
        <w:lastRenderedPageBreak/>
        <w:t>致估价委托人函</w:t>
      </w:r>
      <w:bookmarkEnd w:id="1"/>
      <w:bookmarkEnd w:id="2"/>
      <w:bookmarkEnd w:id="3"/>
    </w:p>
    <w:p w14:paraId="0BA0927D" w14:textId="77777777" w:rsidR="00000000" w:rsidRDefault="00000000">
      <w:pPr>
        <w:overflowPunct w:val="0"/>
        <w:spacing w:beforeLines="50" w:before="120" w:line="480" w:lineRule="auto"/>
        <w:jc w:val="both"/>
        <w:textAlignment w:val="auto"/>
        <w:rPr>
          <w:rFonts w:ascii="Arial" w:hAnsi="Arial" w:cs="Arial"/>
          <w:b/>
          <w:bCs/>
          <w:sz w:val="21"/>
          <w:szCs w:val="21"/>
        </w:rPr>
      </w:pPr>
      <w:r>
        <w:rPr>
          <w:rFonts w:ascii="Arial" w:hAnsi="Arial" w:cs="Arial" w:hint="eastAsia"/>
          <w:b/>
          <w:bCs/>
          <w:sz w:val="21"/>
          <w:szCs w:val="21"/>
        </w:rPr>
        <w:t>北京博大新元房地产开发有限公司</w:t>
      </w:r>
      <w:r>
        <w:rPr>
          <w:rFonts w:ascii="Arial" w:hAnsi="Arial" w:cs="Arial"/>
          <w:b/>
          <w:bCs/>
          <w:sz w:val="21"/>
          <w:szCs w:val="21"/>
        </w:rPr>
        <w:t>：</w:t>
      </w:r>
    </w:p>
    <w:p w14:paraId="2A208B8B" w14:textId="77777777" w:rsidR="00000000" w:rsidRDefault="00000000">
      <w:pPr>
        <w:overflowPunct w:val="0"/>
        <w:spacing w:line="480" w:lineRule="auto"/>
        <w:ind w:firstLineChars="200" w:firstLine="420"/>
        <w:jc w:val="both"/>
        <w:textAlignment w:val="auto"/>
        <w:rPr>
          <w:rFonts w:ascii="Arial" w:hAnsi="Arial" w:cs="Arial" w:hint="eastAsia"/>
          <w:sz w:val="21"/>
          <w:szCs w:val="21"/>
        </w:rPr>
      </w:pPr>
      <w:r>
        <w:rPr>
          <w:rFonts w:ascii="Arial" w:hAnsi="Arial" w:cs="Arial"/>
          <w:kern w:val="2"/>
          <w:sz w:val="21"/>
          <w:szCs w:val="21"/>
        </w:rPr>
        <w:t>受贵单位委托，我公司对</w:t>
      </w:r>
      <w:r>
        <w:rPr>
          <w:rFonts w:ascii="Arial" w:hAnsi="Arial" w:cs="Arial" w:hint="eastAsia"/>
          <w:kern w:val="2"/>
          <w:sz w:val="21"/>
          <w:szCs w:val="21"/>
        </w:rPr>
        <w:t>北京市北京经济技术开发区博兴九路</w:t>
      </w:r>
      <w:r>
        <w:rPr>
          <w:rFonts w:ascii="Arial" w:hAnsi="Arial" w:cs="Arial" w:hint="eastAsia"/>
          <w:kern w:val="2"/>
          <w:sz w:val="21"/>
          <w:szCs w:val="21"/>
        </w:rPr>
        <w:t>19</w:t>
      </w:r>
      <w:r>
        <w:rPr>
          <w:rFonts w:ascii="Arial" w:hAnsi="Arial" w:cs="Arial" w:hint="eastAsia"/>
          <w:kern w:val="2"/>
          <w:sz w:val="21"/>
          <w:szCs w:val="21"/>
        </w:rPr>
        <w:t>号院一区</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5</w:t>
      </w:r>
      <w:r>
        <w:rPr>
          <w:rFonts w:ascii="Arial" w:hAnsi="Arial" w:cs="Arial" w:hint="eastAsia"/>
          <w:kern w:val="2"/>
          <w:sz w:val="21"/>
          <w:szCs w:val="21"/>
        </w:rPr>
        <w:t>幢（</w:t>
      </w:r>
      <w:r>
        <w:rPr>
          <w:rFonts w:ascii="Arial" w:hAnsi="Arial" w:cs="Arial" w:hint="eastAsia"/>
          <w:kern w:val="2"/>
          <w:sz w:val="21"/>
          <w:szCs w:val="21"/>
        </w:rPr>
        <w:t>X13</w:t>
      </w:r>
      <w:r>
        <w:rPr>
          <w:rFonts w:ascii="Arial" w:hAnsi="Arial" w:cs="Arial" w:hint="eastAsia"/>
          <w:kern w:val="2"/>
          <w:sz w:val="21"/>
          <w:szCs w:val="21"/>
        </w:rPr>
        <w:t>海棠苑）共</w:t>
      </w:r>
      <w:r>
        <w:rPr>
          <w:rFonts w:ascii="Arial" w:hAnsi="Arial" w:cs="Arial" w:hint="eastAsia"/>
          <w:kern w:val="2"/>
          <w:sz w:val="21"/>
          <w:szCs w:val="21"/>
        </w:rPr>
        <w:t>1487</w:t>
      </w:r>
      <w:r>
        <w:rPr>
          <w:rFonts w:ascii="Arial" w:hAnsi="Arial" w:cs="Arial" w:hint="eastAsia"/>
          <w:kern w:val="2"/>
          <w:sz w:val="21"/>
          <w:szCs w:val="21"/>
        </w:rPr>
        <w:t>套、北京经济技术开发区鹿海园五里</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13</w:t>
      </w:r>
      <w:r>
        <w:rPr>
          <w:rFonts w:ascii="Arial" w:hAnsi="Arial" w:cs="Arial" w:hint="eastAsia"/>
          <w:kern w:val="2"/>
          <w:sz w:val="21"/>
          <w:szCs w:val="21"/>
        </w:rPr>
        <w:t>幢（</w:t>
      </w:r>
      <w:r>
        <w:rPr>
          <w:rFonts w:ascii="Arial" w:hAnsi="Arial" w:cs="Arial" w:hint="eastAsia"/>
          <w:kern w:val="2"/>
          <w:sz w:val="21"/>
          <w:szCs w:val="21"/>
        </w:rPr>
        <w:t>X38</w:t>
      </w:r>
      <w:r>
        <w:rPr>
          <w:rFonts w:ascii="Arial" w:hAnsi="Arial" w:cs="Arial" w:hint="eastAsia"/>
          <w:kern w:val="2"/>
          <w:sz w:val="21"/>
          <w:szCs w:val="21"/>
        </w:rPr>
        <w:t>鹿海园五里）共</w:t>
      </w:r>
      <w:r>
        <w:rPr>
          <w:rFonts w:ascii="Arial" w:hAnsi="Arial" w:cs="Arial" w:hint="eastAsia"/>
          <w:kern w:val="2"/>
          <w:sz w:val="21"/>
          <w:szCs w:val="21"/>
        </w:rPr>
        <w:t>1231</w:t>
      </w:r>
      <w:r>
        <w:rPr>
          <w:rFonts w:ascii="Arial" w:hAnsi="Arial" w:cs="Arial" w:hint="eastAsia"/>
          <w:kern w:val="2"/>
          <w:sz w:val="21"/>
          <w:szCs w:val="21"/>
        </w:rPr>
        <w:t>套</w:t>
      </w:r>
      <w:r>
        <w:rPr>
          <w:rFonts w:ascii="Arial" w:hAnsi="Arial" w:cs="Arial"/>
          <w:kern w:val="2"/>
          <w:sz w:val="21"/>
          <w:szCs w:val="21"/>
        </w:rPr>
        <w:t>公共租赁住房</w:t>
      </w:r>
      <w:r>
        <w:rPr>
          <w:rFonts w:ascii="Arial" w:hAnsi="Arial" w:cs="Arial" w:hint="eastAsia"/>
          <w:kern w:val="2"/>
          <w:sz w:val="21"/>
          <w:szCs w:val="21"/>
        </w:rPr>
        <w:t>的市场租金</w:t>
      </w:r>
      <w:r>
        <w:rPr>
          <w:rFonts w:ascii="Arial" w:hAnsi="Arial" w:cs="Arial"/>
          <w:kern w:val="2"/>
          <w:sz w:val="21"/>
          <w:szCs w:val="21"/>
        </w:rPr>
        <w:t>进行</w:t>
      </w:r>
      <w:r>
        <w:rPr>
          <w:rFonts w:ascii="Arial" w:hAnsi="Arial" w:cs="Arial"/>
          <w:sz w:val="21"/>
          <w:szCs w:val="21"/>
        </w:rPr>
        <w:t>了评估</w:t>
      </w:r>
      <w:r>
        <w:rPr>
          <w:rFonts w:ascii="Arial" w:hAnsi="Arial" w:cs="Arial"/>
          <w:kern w:val="2"/>
          <w:sz w:val="21"/>
          <w:szCs w:val="21"/>
        </w:rPr>
        <w:t>。</w:t>
      </w:r>
    </w:p>
    <w:p w14:paraId="3D962DEF" w14:textId="77777777" w:rsidR="00000000" w:rsidRDefault="00000000">
      <w:pPr>
        <w:overflowPunct w:val="0"/>
        <w:spacing w:line="480" w:lineRule="auto"/>
        <w:ind w:firstLineChars="200" w:firstLine="422"/>
        <w:jc w:val="both"/>
        <w:textAlignment w:val="auto"/>
        <w:rPr>
          <w:rFonts w:ascii="Arial" w:hAnsi="Arial" w:cs="Arial"/>
          <w:sz w:val="21"/>
          <w:szCs w:val="21"/>
        </w:rPr>
      </w:pPr>
      <w:r>
        <w:rPr>
          <w:rFonts w:ascii="Arial" w:hAnsi="Arial" w:cs="Arial"/>
          <w:b/>
          <w:bCs/>
          <w:color w:val="000000"/>
          <w:sz w:val="21"/>
          <w:szCs w:val="21"/>
        </w:rPr>
        <w:t>估价目的：</w:t>
      </w:r>
      <w:r>
        <w:rPr>
          <w:rFonts w:ascii="Arial" w:hAnsi="Arial" w:cs="Arial" w:hint="eastAsia"/>
          <w:sz w:val="21"/>
          <w:szCs w:val="21"/>
        </w:rPr>
        <w:t>为估价委托人确定公共租赁住房项目市场租金提供价格参考依据</w:t>
      </w:r>
      <w:r>
        <w:rPr>
          <w:rFonts w:ascii="Arial" w:hAnsi="Arial" w:cs="Arial"/>
          <w:sz w:val="21"/>
          <w:szCs w:val="21"/>
        </w:rPr>
        <w:t>。</w:t>
      </w:r>
    </w:p>
    <w:p w14:paraId="456D0CE1" w14:textId="77777777" w:rsidR="00000000" w:rsidRDefault="00000000">
      <w:pPr>
        <w:overflowPunct w:val="0"/>
        <w:spacing w:line="480" w:lineRule="auto"/>
        <w:ind w:firstLineChars="200" w:firstLine="422"/>
        <w:jc w:val="both"/>
        <w:textAlignment w:val="auto"/>
        <w:rPr>
          <w:rFonts w:ascii="Arial" w:hAnsi="Arial" w:cs="Arial" w:hint="eastAsia"/>
          <w:kern w:val="2"/>
          <w:sz w:val="21"/>
          <w:szCs w:val="21"/>
        </w:rPr>
      </w:pPr>
      <w:r>
        <w:rPr>
          <w:rFonts w:ascii="Arial" w:hAnsi="Arial" w:cs="Arial"/>
          <w:b/>
          <w:bCs/>
          <w:sz w:val="21"/>
          <w:szCs w:val="21"/>
        </w:rPr>
        <w:t>估价对象：</w:t>
      </w:r>
      <w:r>
        <w:rPr>
          <w:rFonts w:ascii="Arial" w:hAnsi="Arial" w:cs="Arial"/>
          <w:bCs/>
          <w:color w:val="000000"/>
          <w:sz w:val="21"/>
          <w:szCs w:val="21"/>
        </w:rPr>
        <w:t>估价对象</w:t>
      </w:r>
      <w:r>
        <w:rPr>
          <w:rFonts w:ascii="Arial" w:hAnsi="Arial" w:cs="Arial" w:hint="eastAsia"/>
          <w:kern w:val="2"/>
          <w:sz w:val="21"/>
          <w:szCs w:val="21"/>
        </w:rPr>
        <w:t>公共租赁住房共计</w:t>
      </w:r>
      <w:r>
        <w:rPr>
          <w:rFonts w:ascii="Arial" w:hAnsi="Arial" w:cs="Arial"/>
          <w:kern w:val="2"/>
          <w:sz w:val="21"/>
          <w:szCs w:val="21"/>
        </w:rPr>
        <w:t>2718</w:t>
      </w:r>
      <w:r>
        <w:rPr>
          <w:rFonts w:ascii="Arial" w:hAnsi="Arial" w:cs="Arial" w:hint="eastAsia"/>
          <w:kern w:val="2"/>
          <w:sz w:val="21"/>
          <w:szCs w:val="21"/>
        </w:rPr>
        <w:t>套，总建筑面积</w:t>
      </w:r>
      <w:r>
        <w:rPr>
          <w:rFonts w:ascii="Arial" w:hAnsi="Arial" w:cs="Arial"/>
          <w:kern w:val="2"/>
          <w:sz w:val="21"/>
          <w:szCs w:val="21"/>
        </w:rPr>
        <w:t>202563.58</w:t>
      </w:r>
      <w:r>
        <w:rPr>
          <w:rFonts w:ascii="Arial" w:hAnsi="Arial" w:cs="Arial" w:hint="eastAsia"/>
          <w:kern w:val="2"/>
          <w:sz w:val="21"/>
          <w:szCs w:val="21"/>
        </w:rPr>
        <w:t>平方米。各公共租赁住房项目具体情况如下：</w:t>
      </w:r>
    </w:p>
    <w:p w14:paraId="0393F287" w14:textId="77777777" w:rsidR="00000000" w:rsidRDefault="00000000">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Pr>
          <w:rFonts w:ascii="Arial" w:hAnsi="Arial" w:cs="Arial" w:hint="eastAsia"/>
          <w:kern w:val="2"/>
          <w:sz w:val="21"/>
          <w:szCs w:val="21"/>
        </w:rPr>
        <w:t>北京市北京经济技术开发区博兴九路</w:t>
      </w:r>
      <w:r>
        <w:rPr>
          <w:rFonts w:ascii="Arial" w:hAnsi="Arial" w:cs="Arial" w:hint="eastAsia"/>
          <w:kern w:val="2"/>
          <w:sz w:val="21"/>
          <w:szCs w:val="21"/>
        </w:rPr>
        <w:t>19</w:t>
      </w:r>
      <w:r>
        <w:rPr>
          <w:rFonts w:ascii="Arial" w:hAnsi="Arial" w:cs="Arial" w:hint="eastAsia"/>
          <w:kern w:val="2"/>
          <w:sz w:val="21"/>
          <w:szCs w:val="21"/>
        </w:rPr>
        <w:t>号院一区</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5</w:t>
      </w:r>
      <w:r>
        <w:rPr>
          <w:rFonts w:ascii="Arial" w:hAnsi="Arial" w:cs="Arial" w:hint="eastAsia"/>
          <w:kern w:val="2"/>
          <w:sz w:val="21"/>
          <w:szCs w:val="21"/>
        </w:rPr>
        <w:t>幢（</w:t>
      </w:r>
      <w:r>
        <w:rPr>
          <w:rFonts w:ascii="Arial" w:hAnsi="Arial" w:cs="Arial" w:hint="eastAsia"/>
          <w:kern w:val="2"/>
          <w:sz w:val="21"/>
          <w:szCs w:val="21"/>
        </w:rPr>
        <w:t>X13</w:t>
      </w:r>
      <w:r>
        <w:rPr>
          <w:rFonts w:ascii="Arial" w:hAnsi="Arial" w:cs="Arial" w:hint="eastAsia"/>
          <w:kern w:val="2"/>
          <w:sz w:val="21"/>
          <w:szCs w:val="21"/>
        </w:rPr>
        <w:t>海棠苑）公共租赁住房项目，现状四至为东至博兴九路，西至博兴十路，南至泰河路，北至凉水河二街。根据估价委托人提供的《估价委托书》、</w:t>
      </w:r>
      <w:r>
        <w:rPr>
          <w:rFonts w:ascii="Arial" w:hAnsi="Arial" w:cs="Arial" w:hint="eastAsia"/>
          <w:sz w:val="21"/>
          <w:szCs w:val="21"/>
        </w:rPr>
        <w:t>《</w:t>
      </w:r>
      <w:r>
        <w:rPr>
          <w:rFonts w:ascii="Arial" w:hAnsi="Arial" w:cs="Arial" w:hint="eastAsia"/>
          <w:kern w:val="2"/>
          <w:sz w:val="21"/>
          <w:szCs w:val="21"/>
        </w:rPr>
        <w:t>X13</w:t>
      </w:r>
      <w:r>
        <w:rPr>
          <w:rFonts w:ascii="Arial" w:hAnsi="Arial" w:cs="Arial" w:hint="eastAsia"/>
          <w:kern w:val="2"/>
          <w:sz w:val="21"/>
          <w:szCs w:val="21"/>
        </w:rPr>
        <w:t>海棠苑房源明细表</w:t>
      </w:r>
      <w:r>
        <w:rPr>
          <w:rFonts w:ascii="Arial" w:hAnsi="Arial" w:cs="Arial" w:hint="eastAsia"/>
          <w:sz w:val="21"/>
          <w:szCs w:val="21"/>
        </w:rPr>
        <w:t>》、</w:t>
      </w:r>
      <w:r>
        <w:rPr>
          <w:rFonts w:ascii="Arial" w:hAnsi="Arial" w:cs="Arial" w:hint="eastAsia"/>
          <w:kern w:val="2"/>
          <w:sz w:val="21"/>
          <w:szCs w:val="21"/>
        </w:rPr>
        <w:t>《房屋收购协议》</w:t>
      </w:r>
      <w:r>
        <w:rPr>
          <w:rFonts w:ascii="Arial" w:hAnsi="Arial" w:cs="Arial" w:hint="eastAsia"/>
          <w:kern w:val="2"/>
          <w:sz w:val="21"/>
          <w:szCs w:val="21"/>
        </w:rPr>
        <w:t>[</w:t>
      </w:r>
      <w:r>
        <w:rPr>
          <w:rFonts w:ascii="Arial" w:hAnsi="Arial" w:cs="Arial" w:hint="eastAsia"/>
          <w:kern w:val="2"/>
          <w:sz w:val="21"/>
          <w:szCs w:val="21"/>
        </w:rPr>
        <w:t>编号：</w:t>
      </w:r>
      <w:r>
        <w:rPr>
          <w:rFonts w:ascii="Arial" w:hAnsi="Arial" w:cs="Arial" w:hint="eastAsia"/>
          <w:kern w:val="2"/>
          <w:sz w:val="21"/>
          <w:szCs w:val="21"/>
        </w:rPr>
        <w:t>2</w:t>
      </w:r>
      <w:r>
        <w:rPr>
          <w:rFonts w:ascii="Arial" w:hAnsi="Arial" w:cs="Arial"/>
          <w:kern w:val="2"/>
          <w:sz w:val="21"/>
          <w:szCs w:val="21"/>
        </w:rPr>
        <w:t>020-</w:t>
      </w:r>
      <w:r>
        <w:rPr>
          <w:rFonts w:ascii="Arial" w:hAnsi="Arial" w:cs="Arial" w:hint="eastAsia"/>
          <w:kern w:val="2"/>
          <w:sz w:val="21"/>
          <w:szCs w:val="21"/>
        </w:rPr>
        <w:t>新元</w:t>
      </w:r>
      <w:r>
        <w:rPr>
          <w:rFonts w:ascii="Arial" w:hAnsi="Arial" w:cs="Arial" w:hint="eastAsia"/>
          <w:kern w:val="2"/>
          <w:sz w:val="21"/>
          <w:szCs w:val="21"/>
        </w:rPr>
        <w:t>-</w:t>
      </w:r>
      <w:r>
        <w:rPr>
          <w:rFonts w:ascii="Arial" w:hAnsi="Arial" w:cs="Arial" w:hint="eastAsia"/>
          <w:kern w:val="2"/>
          <w:sz w:val="21"/>
          <w:szCs w:val="21"/>
        </w:rPr>
        <w:t>综合</w:t>
      </w:r>
      <w:r>
        <w:rPr>
          <w:rFonts w:ascii="Arial" w:hAnsi="Arial" w:cs="Arial" w:hint="eastAsia"/>
          <w:kern w:val="2"/>
          <w:sz w:val="21"/>
          <w:szCs w:val="21"/>
        </w:rPr>
        <w:t>-</w:t>
      </w:r>
      <w:r>
        <w:rPr>
          <w:rFonts w:ascii="Arial" w:hAnsi="Arial" w:cs="Arial"/>
          <w:kern w:val="2"/>
          <w:sz w:val="21"/>
          <w:szCs w:val="21"/>
        </w:rPr>
        <w:t>17]</w:t>
      </w:r>
      <w:r>
        <w:rPr>
          <w:rFonts w:ascii="Arial" w:hAnsi="Arial" w:cs="Arial" w:hint="eastAsia"/>
          <w:kern w:val="2"/>
          <w:sz w:val="21"/>
          <w:szCs w:val="21"/>
        </w:rPr>
        <w:t>及其</w:t>
      </w:r>
      <w:r>
        <w:rPr>
          <w:rFonts w:ascii="Arial" w:hAnsi="Arial" w:cs="Arial" w:hint="eastAsia"/>
          <w:sz w:val="21"/>
          <w:szCs w:val="21"/>
        </w:rPr>
        <w:t>介绍</w:t>
      </w:r>
      <w:r>
        <w:rPr>
          <w:rFonts w:ascii="Arial" w:hAnsi="Arial" w:cs="Arial" w:hint="eastAsia"/>
          <w:kern w:val="2"/>
          <w:sz w:val="21"/>
          <w:szCs w:val="21"/>
        </w:rPr>
        <w:t>，本次评估的</w:t>
      </w:r>
      <w:r>
        <w:rPr>
          <w:rFonts w:ascii="Arial" w:hAnsi="Arial" w:cs="Arial"/>
          <w:kern w:val="2"/>
          <w:sz w:val="21"/>
          <w:szCs w:val="21"/>
        </w:rPr>
        <w:t>1487</w:t>
      </w:r>
      <w:r>
        <w:rPr>
          <w:rFonts w:ascii="Arial" w:hAnsi="Arial" w:cs="Arial" w:hint="eastAsia"/>
          <w:kern w:val="2"/>
          <w:sz w:val="21"/>
          <w:szCs w:val="21"/>
        </w:rPr>
        <w:t>套公共租赁住房所属宗地土地用途为住宅，由北京首开住总房地产开发有限公司开发建设，北京博大新元房地产开发有限公司持有并经营，总建筑面积</w:t>
      </w:r>
      <w:r>
        <w:rPr>
          <w:rFonts w:ascii="Arial" w:hAnsi="Arial" w:cs="Arial"/>
          <w:kern w:val="2"/>
          <w:sz w:val="21"/>
          <w:szCs w:val="21"/>
        </w:rPr>
        <w:t>80734.26</w:t>
      </w:r>
      <w:r>
        <w:rPr>
          <w:rFonts w:ascii="Arial" w:hAnsi="Arial" w:cs="Arial" w:hint="eastAsia"/>
          <w:kern w:val="2"/>
          <w:sz w:val="21"/>
          <w:szCs w:val="21"/>
        </w:rPr>
        <w:t>平方米。</w:t>
      </w:r>
      <w:r>
        <w:rPr>
          <w:rFonts w:ascii="Arial" w:hAnsi="Arial" w:cs="Arial" w:hint="eastAsia"/>
          <w:sz w:val="21"/>
          <w:szCs w:val="21"/>
        </w:rPr>
        <w:t>具体情况如下：</w:t>
      </w:r>
    </w:p>
    <w:tbl>
      <w:tblPr>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7"/>
        <w:gridCol w:w="2716"/>
        <w:gridCol w:w="1265"/>
        <w:gridCol w:w="2896"/>
        <w:gridCol w:w="1325"/>
      </w:tblGrid>
      <w:tr w:rsidR="00000000" w14:paraId="2C17D9AD" w14:textId="77777777">
        <w:trPr>
          <w:trHeight w:val="340"/>
          <w:jc w:val="center"/>
        </w:trPr>
        <w:tc>
          <w:tcPr>
            <w:tcW w:w="585" w:type="pct"/>
            <w:vAlign w:val="center"/>
          </w:tcPr>
          <w:p w14:paraId="5DCBCFE7"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户</w:t>
            </w:r>
            <w:r>
              <w:rPr>
                <w:rFonts w:ascii="华文细黑" w:eastAsia="华文细黑" w:hAnsi="华文细黑" w:cs="Arial"/>
                <w:kern w:val="2"/>
                <w:sz w:val="18"/>
                <w:szCs w:val="18"/>
              </w:rPr>
              <w:t>型</w:t>
            </w:r>
          </w:p>
        </w:tc>
        <w:tc>
          <w:tcPr>
            <w:tcW w:w="1462" w:type="pct"/>
            <w:vAlign w:val="center"/>
          </w:tcPr>
          <w:p w14:paraId="6EF3A6DC"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各套建筑面积（㎡）</w:t>
            </w:r>
          </w:p>
        </w:tc>
        <w:tc>
          <w:tcPr>
            <w:tcW w:w="681" w:type="pct"/>
            <w:vAlign w:val="center"/>
          </w:tcPr>
          <w:p w14:paraId="14552CE0"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套数</w:t>
            </w:r>
          </w:p>
        </w:tc>
        <w:tc>
          <w:tcPr>
            <w:tcW w:w="1559" w:type="pct"/>
            <w:vAlign w:val="center"/>
          </w:tcPr>
          <w:p w14:paraId="22A75708"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总建筑面积（㎡）</w:t>
            </w:r>
          </w:p>
        </w:tc>
        <w:tc>
          <w:tcPr>
            <w:tcW w:w="713" w:type="pct"/>
            <w:vAlign w:val="center"/>
          </w:tcPr>
          <w:p w14:paraId="08C29697"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朝向</w:t>
            </w:r>
          </w:p>
        </w:tc>
      </w:tr>
      <w:tr w:rsidR="00000000" w14:paraId="752631AE" w14:textId="77777777">
        <w:trPr>
          <w:trHeight w:val="340"/>
          <w:jc w:val="center"/>
        </w:trPr>
        <w:tc>
          <w:tcPr>
            <w:tcW w:w="585" w:type="pct"/>
            <w:vAlign w:val="center"/>
          </w:tcPr>
          <w:p w14:paraId="2A068BE1" w14:textId="77777777" w:rsidR="00000000" w:rsidRDefault="00000000">
            <w:pPr>
              <w:overflowPunct w:val="0"/>
              <w:spacing w:line="240"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开间</w:t>
            </w:r>
          </w:p>
        </w:tc>
        <w:tc>
          <w:tcPr>
            <w:tcW w:w="1462" w:type="pct"/>
            <w:vAlign w:val="center"/>
          </w:tcPr>
          <w:p w14:paraId="5830FBE5" w14:textId="77777777" w:rsidR="00000000" w:rsidRDefault="00000000">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25.44-50.91</w:t>
            </w:r>
          </w:p>
        </w:tc>
        <w:tc>
          <w:tcPr>
            <w:tcW w:w="681" w:type="pct"/>
            <w:vAlign w:val="center"/>
          </w:tcPr>
          <w:p w14:paraId="6A3C7321" w14:textId="77777777" w:rsidR="00000000" w:rsidRDefault="00000000">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201</w:t>
            </w:r>
          </w:p>
        </w:tc>
        <w:tc>
          <w:tcPr>
            <w:tcW w:w="1559" w:type="pct"/>
            <w:vAlign w:val="center"/>
          </w:tcPr>
          <w:p w14:paraId="2C19AB41" w14:textId="77777777" w:rsidR="00000000" w:rsidRDefault="00000000">
            <w:pPr>
              <w:widowControl/>
              <w:spacing w:line="240" w:lineRule="atLeast"/>
              <w:jc w:val="center"/>
              <w:rPr>
                <w:rFonts w:ascii="Arial" w:eastAsia="华文细黑" w:hAnsi="Arial" w:cs="Arial"/>
                <w:color w:val="000000"/>
                <w:sz w:val="18"/>
                <w:szCs w:val="18"/>
              </w:rPr>
            </w:pPr>
            <w:r>
              <w:rPr>
                <w:rFonts w:ascii="Arial" w:eastAsia="华文细黑" w:hAnsi="Arial" w:cs="Arial" w:hint="eastAsia"/>
                <w:color w:val="000000"/>
                <w:sz w:val="18"/>
                <w:szCs w:val="18"/>
              </w:rPr>
              <w:t>9227.08</w:t>
            </w:r>
          </w:p>
        </w:tc>
        <w:tc>
          <w:tcPr>
            <w:tcW w:w="713" w:type="pct"/>
            <w:vAlign w:val="center"/>
          </w:tcPr>
          <w:p w14:paraId="6FCBB686" w14:textId="77777777" w:rsidR="00000000" w:rsidRDefault="00000000">
            <w:pPr>
              <w:widowControl/>
              <w:adjustRightInd/>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南</w:t>
            </w:r>
          </w:p>
        </w:tc>
      </w:tr>
      <w:tr w:rsidR="00000000" w14:paraId="4CC28455" w14:textId="77777777">
        <w:trPr>
          <w:trHeight w:val="340"/>
          <w:jc w:val="center"/>
        </w:trPr>
        <w:tc>
          <w:tcPr>
            <w:tcW w:w="585" w:type="pct"/>
            <w:vMerge w:val="restart"/>
            <w:vAlign w:val="center"/>
          </w:tcPr>
          <w:p w14:paraId="554CDBEB"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一</w:t>
            </w:r>
            <w:r>
              <w:rPr>
                <w:rFonts w:ascii="华文细黑" w:eastAsia="华文细黑" w:hAnsi="华文细黑" w:cs="Arial"/>
                <w:kern w:val="2"/>
                <w:sz w:val="18"/>
                <w:szCs w:val="18"/>
              </w:rPr>
              <w:t>居</w:t>
            </w:r>
          </w:p>
        </w:tc>
        <w:tc>
          <w:tcPr>
            <w:tcW w:w="1462" w:type="pct"/>
            <w:vAlign w:val="center"/>
          </w:tcPr>
          <w:p w14:paraId="009D9C05"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50.91-62.94</w:t>
            </w:r>
          </w:p>
        </w:tc>
        <w:tc>
          <w:tcPr>
            <w:tcW w:w="681" w:type="pct"/>
            <w:vAlign w:val="center"/>
          </w:tcPr>
          <w:p w14:paraId="39771088"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427</w:t>
            </w:r>
          </w:p>
        </w:tc>
        <w:tc>
          <w:tcPr>
            <w:tcW w:w="1559" w:type="pct"/>
            <w:vAlign w:val="center"/>
          </w:tcPr>
          <w:p w14:paraId="27C20B66"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24126.11</w:t>
            </w:r>
          </w:p>
        </w:tc>
        <w:tc>
          <w:tcPr>
            <w:tcW w:w="713" w:type="pct"/>
            <w:vAlign w:val="center"/>
          </w:tcPr>
          <w:p w14:paraId="5A3C0CC3"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东</w:t>
            </w:r>
          </w:p>
        </w:tc>
      </w:tr>
      <w:tr w:rsidR="00000000" w14:paraId="3F9023F3" w14:textId="77777777">
        <w:trPr>
          <w:trHeight w:val="340"/>
          <w:jc w:val="center"/>
        </w:trPr>
        <w:tc>
          <w:tcPr>
            <w:tcW w:w="585" w:type="pct"/>
            <w:vMerge/>
            <w:vAlign w:val="center"/>
          </w:tcPr>
          <w:p w14:paraId="5D5B9582"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p>
        </w:tc>
        <w:tc>
          <w:tcPr>
            <w:tcW w:w="1462" w:type="pct"/>
            <w:vAlign w:val="center"/>
          </w:tcPr>
          <w:p w14:paraId="1D8373E5"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38.46-51.96</w:t>
            </w:r>
          </w:p>
        </w:tc>
        <w:tc>
          <w:tcPr>
            <w:tcW w:w="681" w:type="pct"/>
            <w:vAlign w:val="center"/>
          </w:tcPr>
          <w:p w14:paraId="5701DF99"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231</w:t>
            </w:r>
          </w:p>
        </w:tc>
        <w:tc>
          <w:tcPr>
            <w:tcW w:w="1559" w:type="pct"/>
            <w:vAlign w:val="center"/>
          </w:tcPr>
          <w:p w14:paraId="7DEBCE64"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11061.45</w:t>
            </w:r>
          </w:p>
        </w:tc>
        <w:tc>
          <w:tcPr>
            <w:tcW w:w="713" w:type="pct"/>
            <w:vAlign w:val="center"/>
          </w:tcPr>
          <w:p w14:paraId="5A59BC0D"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南</w:t>
            </w:r>
          </w:p>
        </w:tc>
      </w:tr>
      <w:tr w:rsidR="00000000" w14:paraId="0BFC85CA" w14:textId="77777777">
        <w:trPr>
          <w:trHeight w:val="340"/>
          <w:jc w:val="center"/>
        </w:trPr>
        <w:tc>
          <w:tcPr>
            <w:tcW w:w="585" w:type="pct"/>
            <w:vMerge/>
            <w:vAlign w:val="center"/>
          </w:tcPr>
          <w:p w14:paraId="17C00A54"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p>
        </w:tc>
        <w:tc>
          <w:tcPr>
            <w:tcW w:w="1462" w:type="pct"/>
            <w:vAlign w:val="center"/>
          </w:tcPr>
          <w:p w14:paraId="3D590551"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51.05-60.85</w:t>
            </w:r>
          </w:p>
        </w:tc>
        <w:tc>
          <w:tcPr>
            <w:tcW w:w="681" w:type="pct"/>
            <w:vAlign w:val="center"/>
          </w:tcPr>
          <w:p w14:paraId="1B2DD53C"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442</w:t>
            </w:r>
          </w:p>
        </w:tc>
        <w:tc>
          <w:tcPr>
            <w:tcW w:w="1559" w:type="pct"/>
            <w:vAlign w:val="center"/>
          </w:tcPr>
          <w:p w14:paraId="485A2C59"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24982.07</w:t>
            </w:r>
          </w:p>
        </w:tc>
        <w:tc>
          <w:tcPr>
            <w:tcW w:w="713" w:type="pct"/>
            <w:vAlign w:val="center"/>
          </w:tcPr>
          <w:p w14:paraId="46642C19"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西</w:t>
            </w:r>
          </w:p>
        </w:tc>
      </w:tr>
      <w:tr w:rsidR="00000000" w14:paraId="658FA226" w14:textId="77777777">
        <w:trPr>
          <w:trHeight w:val="340"/>
          <w:jc w:val="center"/>
        </w:trPr>
        <w:tc>
          <w:tcPr>
            <w:tcW w:w="2047" w:type="pct"/>
            <w:gridSpan w:val="2"/>
            <w:vAlign w:val="center"/>
          </w:tcPr>
          <w:p w14:paraId="71A54D87"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小计</w:t>
            </w:r>
          </w:p>
        </w:tc>
        <w:tc>
          <w:tcPr>
            <w:tcW w:w="681" w:type="pct"/>
            <w:vAlign w:val="center"/>
          </w:tcPr>
          <w:p w14:paraId="6D9C2841"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100</w:t>
            </w:r>
          </w:p>
        </w:tc>
        <w:tc>
          <w:tcPr>
            <w:tcW w:w="1559" w:type="pct"/>
            <w:vAlign w:val="center"/>
          </w:tcPr>
          <w:p w14:paraId="1AC13B54"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color w:val="000000"/>
                <w:sz w:val="18"/>
                <w:szCs w:val="18"/>
              </w:rPr>
              <w:t>60169.63</w:t>
            </w:r>
          </w:p>
        </w:tc>
        <w:tc>
          <w:tcPr>
            <w:tcW w:w="713" w:type="pct"/>
            <w:vAlign w:val="center"/>
          </w:tcPr>
          <w:p w14:paraId="020DC6C8"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w:t>
            </w:r>
          </w:p>
        </w:tc>
      </w:tr>
      <w:tr w:rsidR="00000000" w14:paraId="544D4C60" w14:textId="77777777">
        <w:trPr>
          <w:trHeight w:val="340"/>
          <w:jc w:val="center"/>
        </w:trPr>
        <w:tc>
          <w:tcPr>
            <w:tcW w:w="585" w:type="pct"/>
            <w:vMerge w:val="restart"/>
            <w:vAlign w:val="center"/>
          </w:tcPr>
          <w:p w14:paraId="524C6E30"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二</w:t>
            </w:r>
            <w:r>
              <w:rPr>
                <w:rFonts w:ascii="华文细黑" w:eastAsia="华文细黑" w:hAnsi="华文细黑" w:cs="Arial"/>
                <w:kern w:val="2"/>
                <w:sz w:val="18"/>
                <w:szCs w:val="18"/>
              </w:rPr>
              <w:t>居</w:t>
            </w:r>
          </w:p>
        </w:tc>
        <w:tc>
          <w:tcPr>
            <w:tcW w:w="1462" w:type="pct"/>
            <w:vAlign w:val="center"/>
          </w:tcPr>
          <w:p w14:paraId="592C04DF"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60.42-61.34</w:t>
            </w:r>
          </w:p>
        </w:tc>
        <w:tc>
          <w:tcPr>
            <w:tcW w:w="681" w:type="pct"/>
            <w:vAlign w:val="center"/>
          </w:tcPr>
          <w:p w14:paraId="08C3CC43"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92</w:t>
            </w:r>
          </w:p>
        </w:tc>
        <w:tc>
          <w:tcPr>
            <w:tcW w:w="1559" w:type="pct"/>
            <w:vAlign w:val="center"/>
          </w:tcPr>
          <w:p w14:paraId="5A7FD35F"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5608.43</w:t>
            </w:r>
          </w:p>
        </w:tc>
        <w:tc>
          <w:tcPr>
            <w:tcW w:w="713" w:type="pct"/>
            <w:vAlign w:val="center"/>
          </w:tcPr>
          <w:p w14:paraId="74DCC3B7"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东</w:t>
            </w:r>
          </w:p>
        </w:tc>
      </w:tr>
      <w:tr w:rsidR="00000000" w14:paraId="485B930D" w14:textId="77777777">
        <w:trPr>
          <w:trHeight w:val="340"/>
          <w:jc w:val="center"/>
        </w:trPr>
        <w:tc>
          <w:tcPr>
            <w:tcW w:w="585" w:type="pct"/>
            <w:vMerge/>
            <w:vAlign w:val="center"/>
          </w:tcPr>
          <w:p w14:paraId="3477D352"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p>
        </w:tc>
        <w:tc>
          <w:tcPr>
            <w:tcW w:w="1462" w:type="pct"/>
            <w:vAlign w:val="center"/>
          </w:tcPr>
          <w:p w14:paraId="73F2BF76"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60.42-61.34</w:t>
            </w:r>
          </w:p>
        </w:tc>
        <w:tc>
          <w:tcPr>
            <w:tcW w:w="681" w:type="pct"/>
            <w:vAlign w:val="center"/>
          </w:tcPr>
          <w:p w14:paraId="42A8076E"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94</w:t>
            </w:r>
          </w:p>
        </w:tc>
        <w:tc>
          <w:tcPr>
            <w:tcW w:w="1559" w:type="pct"/>
            <w:vAlign w:val="center"/>
          </w:tcPr>
          <w:p w14:paraId="4331E0A6"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5729.12</w:t>
            </w:r>
          </w:p>
        </w:tc>
        <w:tc>
          <w:tcPr>
            <w:tcW w:w="713" w:type="pct"/>
            <w:vAlign w:val="center"/>
          </w:tcPr>
          <w:p w14:paraId="6B842A67"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西</w:t>
            </w:r>
          </w:p>
        </w:tc>
      </w:tr>
      <w:tr w:rsidR="00000000" w14:paraId="49F53287" w14:textId="77777777">
        <w:trPr>
          <w:trHeight w:val="340"/>
          <w:jc w:val="center"/>
        </w:trPr>
        <w:tc>
          <w:tcPr>
            <w:tcW w:w="2047" w:type="pct"/>
            <w:gridSpan w:val="2"/>
            <w:vAlign w:val="center"/>
          </w:tcPr>
          <w:p w14:paraId="7C252745"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小计</w:t>
            </w:r>
          </w:p>
        </w:tc>
        <w:tc>
          <w:tcPr>
            <w:tcW w:w="681" w:type="pct"/>
            <w:vAlign w:val="center"/>
          </w:tcPr>
          <w:p w14:paraId="38608232"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86</w:t>
            </w:r>
          </w:p>
        </w:tc>
        <w:tc>
          <w:tcPr>
            <w:tcW w:w="1559" w:type="pct"/>
            <w:vAlign w:val="center"/>
          </w:tcPr>
          <w:p w14:paraId="696F8304"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1337.55</w:t>
            </w:r>
          </w:p>
        </w:tc>
        <w:tc>
          <w:tcPr>
            <w:tcW w:w="713" w:type="pct"/>
            <w:vAlign w:val="center"/>
          </w:tcPr>
          <w:p w14:paraId="76021BE6"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w:t>
            </w:r>
          </w:p>
        </w:tc>
      </w:tr>
      <w:tr w:rsidR="00000000" w14:paraId="7A07353C" w14:textId="77777777">
        <w:trPr>
          <w:trHeight w:val="340"/>
          <w:jc w:val="center"/>
        </w:trPr>
        <w:tc>
          <w:tcPr>
            <w:tcW w:w="2047" w:type="pct"/>
            <w:gridSpan w:val="2"/>
            <w:vAlign w:val="center"/>
          </w:tcPr>
          <w:p w14:paraId="5EA03524"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合计</w:t>
            </w:r>
          </w:p>
        </w:tc>
        <w:tc>
          <w:tcPr>
            <w:tcW w:w="681" w:type="pct"/>
            <w:vAlign w:val="center"/>
          </w:tcPr>
          <w:p w14:paraId="43238696"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1</w:t>
            </w:r>
            <w:r>
              <w:rPr>
                <w:rFonts w:ascii="Arial" w:eastAsia="华文细黑" w:hAnsi="Arial" w:cs="Arial"/>
                <w:color w:val="000000"/>
                <w:sz w:val="18"/>
                <w:szCs w:val="18"/>
              </w:rPr>
              <w:t>487</w:t>
            </w:r>
          </w:p>
        </w:tc>
        <w:tc>
          <w:tcPr>
            <w:tcW w:w="1559" w:type="pct"/>
            <w:vAlign w:val="center"/>
          </w:tcPr>
          <w:p w14:paraId="44EF0088"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8</w:t>
            </w:r>
            <w:r>
              <w:rPr>
                <w:rFonts w:ascii="Arial" w:eastAsia="华文细黑" w:hAnsi="Arial" w:cs="Arial"/>
                <w:color w:val="000000"/>
                <w:sz w:val="18"/>
                <w:szCs w:val="18"/>
              </w:rPr>
              <w:t>0734.26</w:t>
            </w:r>
          </w:p>
        </w:tc>
        <w:tc>
          <w:tcPr>
            <w:tcW w:w="713" w:type="pct"/>
            <w:vAlign w:val="center"/>
          </w:tcPr>
          <w:p w14:paraId="1FF44BA8"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w:t>
            </w:r>
          </w:p>
        </w:tc>
      </w:tr>
    </w:tbl>
    <w:p w14:paraId="01922A66" w14:textId="77777777" w:rsidR="00000000" w:rsidRDefault="00000000">
      <w:pPr>
        <w:overflowPunct w:val="0"/>
        <w:spacing w:beforeLines="100" w:before="240" w:line="480" w:lineRule="auto"/>
        <w:ind w:firstLineChars="200" w:firstLine="420"/>
        <w:jc w:val="both"/>
        <w:textAlignment w:val="auto"/>
        <w:rPr>
          <w:rFonts w:ascii="Arial" w:hAnsi="Arial" w:cs="Arial" w:hint="eastAsia"/>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）北京市</w:t>
      </w:r>
      <w:r>
        <w:rPr>
          <w:rFonts w:ascii="Arial" w:hAnsi="Arial" w:cs="Arial" w:hint="eastAsia"/>
          <w:kern w:val="2"/>
          <w:sz w:val="21"/>
          <w:szCs w:val="21"/>
        </w:rPr>
        <w:t>北京经济技术开发区鹿海园五里</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13</w:t>
      </w:r>
      <w:r>
        <w:rPr>
          <w:rFonts w:ascii="Arial" w:hAnsi="Arial" w:cs="Arial" w:hint="eastAsia"/>
          <w:kern w:val="2"/>
          <w:sz w:val="21"/>
          <w:szCs w:val="21"/>
        </w:rPr>
        <w:t>幢（</w:t>
      </w:r>
      <w:r>
        <w:rPr>
          <w:rFonts w:ascii="Arial" w:hAnsi="Arial" w:cs="Arial" w:hint="eastAsia"/>
          <w:kern w:val="2"/>
          <w:sz w:val="21"/>
          <w:szCs w:val="21"/>
        </w:rPr>
        <w:t>X38</w:t>
      </w:r>
      <w:r>
        <w:rPr>
          <w:rFonts w:ascii="Arial" w:hAnsi="Arial" w:cs="Arial" w:hint="eastAsia"/>
          <w:kern w:val="2"/>
          <w:sz w:val="21"/>
          <w:szCs w:val="21"/>
        </w:rPr>
        <w:t>鹿海园五里）</w:t>
      </w:r>
      <w:r>
        <w:rPr>
          <w:rFonts w:ascii="Arial" w:hAnsi="Arial" w:cs="Arial"/>
          <w:kern w:val="2"/>
          <w:sz w:val="21"/>
          <w:szCs w:val="21"/>
        </w:rPr>
        <w:t>公共租赁住房</w:t>
      </w:r>
      <w:r>
        <w:rPr>
          <w:rFonts w:ascii="Arial" w:hAnsi="Arial" w:cs="Arial" w:hint="eastAsia"/>
          <w:sz w:val="21"/>
          <w:szCs w:val="21"/>
        </w:rPr>
        <w:t>项目，</w:t>
      </w:r>
      <w:r>
        <w:rPr>
          <w:rFonts w:ascii="Arial" w:hAnsi="Arial" w:cs="Arial" w:hint="eastAsia"/>
          <w:kern w:val="2"/>
          <w:sz w:val="21"/>
          <w:szCs w:val="21"/>
        </w:rPr>
        <w:t>项目现状四至为东至博兴七路，西至博兴八路，南至泰河三街，北至泰河二街</w:t>
      </w:r>
      <w:r>
        <w:rPr>
          <w:rFonts w:ascii="Arial" w:hAnsi="Arial" w:cs="Arial" w:hint="eastAsia"/>
          <w:sz w:val="21"/>
          <w:szCs w:val="21"/>
        </w:rPr>
        <w:t>。根据估价委托人提供的</w:t>
      </w:r>
      <w:r>
        <w:rPr>
          <w:rFonts w:ascii="Arial" w:hAnsi="Arial" w:cs="Arial" w:hint="eastAsia"/>
          <w:kern w:val="2"/>
          <w:sz w:val="21"/>
          <w:szCs w:val="21"/>
        </w:rPr>
        <w:t>《估价委托书》、</w:t>
      </w:r>
      <w:bookmarkStart w:id="4" w:name="_Hlk111548273"/>
      <w:r>
        <w:rPr>
          <w:rFonts w:ascii="Arial" w:hAnsi="Arial" w:cs="Arial" w:hint="eastAsia"/>
          <w:sz w:val="21"/>
          <w:szCs w:val="21"/>
        </w:rPr>
        <w:t>《</w:t>
      </w:r>
      <w:r>
        <w:rPr>
          <w:rFonts w:ascii="Arial" w:hAnsi="Arial" w:cs="Arial" w:hint="eastAsia"/>
          <w:sz w:val="21"/>
          <w:szCs w:val="21"/>
        </w:rPr>
        <w:t>X38</w:t>
      </w:r>
      <w:r>
        <w:rPr>
          <w:rFonts w:ascii="Arial" w:hAnsi="Arial" w:cs="Arial" w:hint="eastAsia"/>
          <w:sz w:val="21"/>
          <w:szCs w:val="21"/>
        </w:rPr>
        <w:t>鹿海园五里</w:t>
      </w:r>
      <w:r>
        <w:rPr>
          <w:rFonts w:ascii="Arial" w:hAnsi="Arial" w:cs="Arial" w:hint="eastAsia"/>
          <w:kern w:val="2"/>
          <w:sz w:val="21"/>
          <w:szCs w:val="21"/>
        </w:rPr>
        <w:t>房源明细表</w:t>
      </w:r>
      <w:r>
        <w:rPr>
          <w:rFonts w:ascii="Arial" w:hAnsi="Arial" w:cs="Arial" w:hint="eastAsia"/>
          <w:sz w:val="21"/>
          <w:szCs w:val="21"/>
        </w:rPr>
        <w:t>》、</w:t>
      </w:r>
      <w:r>
        <w:rPr>
          <w:rFonts w:ascii="Arial" w:hAnsi="Arial" w:cs="Arial" w:hint="eastAsia"/>
          <w:kern w:val="2"/>
          <w:sz w:val="21"/>
          <w:szCs w:val="21"/>
        </w:rPr>
        <w:t>《房屋交接书》</w:t>
      </w:r>
      <w:bookmarkEnd w:id="4"/>
      <w:r>
        <w:rPr>
          <w:rFonts w:ascii="Arial" w:hAnsi="Arial" w:cs="Arial" w:hint="eastAsia"/>
          <w:sz w:val="21"/>
          <w:szCs w:val="21"/>
        </w:rPr>
        <w:t>及其介绍，</w:t>
      </w:r>
      <w:r>
        <w:rPr>
          <w:rFonts w:ascii="Arial" w:hAnsi="Arial" w:cs="Arial" w:hint="eastAsia"/>
          <w:kern w:val="2"/>
          <w:sz w:val="21"/>
          <w:szCs w:val="21"/>
        </w:rPr>
        <w:t>本次评估的</w:t>
      </w:r>
      <w:r>
        <w:rPr>
          <w:rFonts w:ascii="Arial" w:hAnsi="Arial" w:cs="Arial"/>
          <w:kern w:val="2"/>
          <w:sz w:val="21"/>
          <w:szCs w:val="21"/>
        </w:rPr>
        <w:t>1231</w:t>
      </w:r>
      <w:r>
        <w:rPr>
          <w:rFonts w:ascii="Arial" w:hAnsi="Arial" w:cs="Arial" w:hint="eastAsia"/>
          <w:kern w:val="2"/>
          <w:sz w:val="21"/>
          <w:szCs w:val="21"/>
        </w:rPr>
        <w:lastRenderedPageBreak/>
        <w:t>套</w:t>
      </w:r>
      <w:r>
        <w:rPr>
          <w:rFonts w:ascii="Arial" w:hAnsi="Arial" w:cs="Arial"/>
          <w:kern w:val="2"/>
          <w:sz w:val="21"/>
          <w:szCs w:val="21"/>
        </w:rPr>
        <w:t>公共租赁住房</w:t>
      </w:r>
      <w:r>
        <w:rPr>
          <w:rFonts w:ascii="Arial" w:hAnsi="Arial" w:cs="Arial" w:hint="eastAsia"/>
          <w:kern w:val="2"/>
          <w:sz w:val="21"/>
          <w:szCs w:val="21"/>
        </w:rPr>
        <w:t>由北京博大经开建设有限公司开发建设，北京博大新元房地产开发有限公司持有并经营，总建筑面积</w:t>
      </w:r>
      <w:r>
        <w:rPr>
          <w:rFonts w:ascii="Arial" w:hAnsi="Arial" w:cs="Arial"/>
          <w:kern w:val="2"/>
          <w:sz w:val="21"/>
          <w:szCs w:val="21"/>
        </w:rPr>
        <w:t>121829.32</w:t>
      </w:r>
      <w:r>
        <w:rPr>
          <w:rFonts w:ascii="Arial" w:hAnsi="Arial" w:cs="Arial" w:hint="eastAsia"/>
          <w:kern w:val="2"/>
          <w:sz w:val="21"/>
          <w:szCs w:val="21"/>
        </w:rPr>
        <w:t>平方米。</w:t>
      </w:r>
      <w:r>
        <w:rPr>
          <w:rFonts w:ascii="Arial" w:hAnsi="Arial" w:cs="Arial" w:hint="eastAsia"/>
          <w:sz w:val="21"/>
          <w:szCs w:val="21"/>
        </w:rPr>
        <w:t>具体情况如下：</w:t>
      </w:r>
    </w:p>
    <w:tbl>
      <w:tblPr>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7"/>
        <w:gridCol w:w="2716"/>
        <w:gridCol w:w="1265"/>
        <w:gridCol w:w="2896"/>
        <w:gridCol w:w="1325"/>
      </w:tblGrid>
      <w:tr w:rsidR="00000000" w14:paraId="229CBF4B" w14:textId="77777777">
        <w:trPr>
          <w:trHeight w:val="340"/>
          <w:tblHeader/>
          <w:jc w:val="center"/>
        </w:trPr>
        <w:tc>
          <w:tcPr>
            <w:tcW w:w="585" w:type="pct"/>
            <w:vAlign w:val="center"/>
          </w:tcPr>
          <w:p w14:paraId="5F71383C"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户</w:t>
            </w:r>
            <w:r>
              <w:rPr>
                <w:rFonts w:ascii="华文细黑" w:eastAsia="华文细黑" w:hAnsi="华文细黑" w:cs="Arial"/>
                <w:kern w:val="2"/>
                <w:sz w:val="18"/>
                <w:szCs w:val="18"/>
              </w:rPr>
              <w:t>型</w:t>
            </w:r>
          </w:p>
        </w:tc>
        <w:tc>
          <w:tcPr>
            <w:tcW w:w="1462" w:type="pct"/>
            <w:vAlign w:val="center"/>
          </w:tcPr>
          <w:p w14:paraId="158743F2"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各套建筑面积（㎡）</w:t>
            </w:r>
          </w:p>
        </w:tc>
        <w:tc>
          <w:tcPr>
            <w:tcW w:w="681" w:type="pct"/>
            <w:vAlign w:val="center"/>
          </w:tcPr>
          <w:p w14:paraId="01465A4F"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套数</w:t>
            </w:r>
          </w:p>
        </w:tc>
        <w:tc>
          <w:tcPr>
            <w:tcW w:w="1559" w:type="pct"/>
            <w:vAlign w:val="center"/>
          </w:tcPr>
          <w:p w14:paraId="03032F71"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总建筑面积（㎡）</w:t>
            </w:r>
          </w:p>
        </w:tc>
        <w:tc>
          <w:tcPr>
            <w:tcW w:w="713" w:type="pct"/>
            <w:vAlign w:val="center"/>
          </w:tcPr>
          <w:p w14:paraId="2C3FB202"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朝向</w:t>
            </w:r>
          </w:p>
        </w:tc>
      </w:tr>
      <w:tr w:rsidR="00000000" w14:paraId="69098884" w14:textId="77777777">
        <w:trPr>
          <w:trHeight w:val="340"/>
          <w:jc w:val="center"/>
        </w:trPr>
        <w:tc>
          <w:tcPr>
            <w:tcW w:w="585" w:type="pct"/>
            <w:vMerge w:val="restart"/>
            <w:vAlign w:val="center"/>
          </w:tcPr>
          <w:p w14:paraId="72637327" w14:textId="77777777" w:rsidR="00000000" w:rsidRDefault="00000000">
            <w:pPr>
              <w:overflowPunct w:val="0"/>
              <w:spacing w:line="240"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一</w:t>
            </w:r>
            <w:r>
              <w:rPr>
                <w:rFonts w:ascii="华文细黑" w:eastAsia="华文细黑" w:hAnsi="华文细黑" w:cs="Arial"/>
                <w:kern w:val="2"/>
                <w:sz w:val="18"/>
                <w:szCs w:val="18"/>
              </w:rPr>
              <w:t>居</w:t>
            </w:r>
          </w:p>
        </w:tc>
        <w:tc>
          <w:tcPr>
            <w:tcW w:w="1462" w:type="pct"/>
            <w:vAlign w:val="center"/>
          </w:tcPr>
          <w:p w14:paraId="6C458BA0"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51.15-71.3</w:t>
            </w:r>
          </w:p>
        </w:tc>
        <w:tc>
          <w:tcPr>
            <w:tcW w:w="681" w:type="pct"/>
            <w:vAlign w:val="center"/>
          </w:tcPr>
          <w:p w14:paraId="430A634C"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110</w:t>
            </w:r>
          </w:p>
        </w:tc>
        <w:tc>
          <w:tcPr>
            <w:tcW w:w="1559" w:type="pct"/>
            <w:vAlign w:val="center"/>
          </w:tcPr>
          <w:p w14:paraId="0090434A"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7338.79</w:t>
            </w:r>
          </w:p>
        </w:tc>
        <w:tc>
          <w:tcPr>
            <w:tcW w:w="713" w:type="pct"/>
          </w:tcPr>
          <w:p w14:paraId="397217D8"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东</w:t>
            </w:r>
          </w:p>
        </w:tc>
      </w:tr>
      <w:tr w:rsidR="00000000" w14:paraId="3AEF817B" w14:textId="77777777">
        <w:trPr>
          <w:trHeight w:val="340"/>
          <w:jc w:val="center"/>
        </w:trPr>
        <w:tc>
          <w:tcPr>
            <w:tcW w:w="585" w:type="pct"/>
            <w:vMerge/>
            <w:vAlign w:val="center"/>
          </w:tcPr>
          <w:p w14:paraId="2DC72D76" w14:textId="77777777" w:rsidR="00000000" w:rsidRDefault="00000000">
            <w:pPr>
              <w:overflowPunct w:val="0"/>
              <w:spacing w:line="240" w:lineRule="auto"/>
              <w:jc w:val="center"/>
              <w:textAlignment w:val="auto"/>
              <w:rPr>
                <w:rFonts w:ascii="华文细黑" w:eastAsia="华文细黑" w:hAnsi="华文细黑" w:cs="Arial" w:hint="eastAsia"/>
                <w:kern w:val="2"/>
                <w:sz w:val="18"/>
                <w:szCs w:val="18"/>
              </w:rPr>
            </w:pPr>
          </w:p>
        </w:tc>
        <w:tc>
          <w:tcPr>
            <w:tcW w:w="1462" w:type="pct"/>
            <w:vAlign w:val="center"/>
          </w:tcPr>
          <w:p w14:paraId="4D27C4DC"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70-71.05</w:t>
            </w:r>
          </w:p>
        </w:tc>
        <w:tc>
          <w:tcPr>
            <w:tcW w:w="681" w:type="pct"/>
            <w:vAlign w:val="center"/>
          </w:tcPr>
          <w:p w14:paraId="09B80038"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114</w:t>
            </w:r>
          </w:p>
        </w:tc>
        <w:tc>
          <w:tcPr>
            <w:tcW w:w="1559" w:type="pct"/>
            <w:vAlign w:val="center"/>
          </w:tcPr>
          <w:p w14:paraId="72ED2514"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8063.76</w:t>
            </w:r>
          </w:p>
        </w:tc>
        <w:tc>
          <w:tcPr>
            <w:tcW w:w="713" w:type="pct"/>
          </w:tcPr>
          <w:p w14:paraId="0EB46E13"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南</w:t>
            </w:r>
          </w:p>
        </w:tc>
      </w:tr>
      <w:tr w:rsidR="00000000" w14:paraId="4A9471BC" w14:textId="77777777">
        <w:trPr>
          <w:trHeight w:val="340"/>
          <w:jc w:val="center"/>
        </w:trPr>
        <w:tc>
          <w:tcPr>
            <w:tcW w:w="585" w:type="pct"/>
            <w:vMerge/>
            <w:vAlign w:val="center"/>
          </w:tcPr>
          <w:p w14:paraId="11471677" w14:textId="77777777" w:rsidR="00000000" w:rsidRDefault="00000000">
            <w:pPr>
              <w:overflowPunct w:val="0"/>
              <w:spacing w:line="240" w:lineRule="auto"/>
              <w:jc w:val="center"/>
              <w:textAlignment w:val="auto"/>
              <w:rPr>
                <w:rFonts w:ascii="华文细黑" w:eastAsia="华文细黑" w:hAnsi="华文细黑" w:cs="Arial" w:hint="eastAsia"/>
                <w:kern w:val="2"/>
                <w:sz w:val="18"/>
                <w:szCs w:val="18"/>
              </w:rPr>
            </w:pPr>
          </w:p>
        </w:tc>
        <w:tc>
          <w:tcPr>
            <w:tcW w:w="1462" w:type="pct"/>
            <w:vAlign w:val="center"/>
          </w:tcPr>
          <w:p w14:paraId="6F359158"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51.14-71.3</w:t>
            </w:r>
          </w:p>
        </w:tc>
        <w:tc>
          <w:tcPr>
            <w:tcW w:w="681" w:type="pct"/>
            <w:vAlign w:val="center"/>
          </w:tcPr>
          <w:p w14:paraId="7515CD0F"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110</w:t>
            </w:r>
          </w:p>
        </w:tc>
        <w:tc>
          <w:tcPr>
            <w:tcW w:w="1559" w:type="pct"/>
            <w:vAlign w:val="center"/>
          </w:tcPr>
          <w:p w14:paraId="6068AE76"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7307.39</w:t>
            </w:r>
          </w:p>
        </w:tc>
        <w:tc>
          <w:tcPr>
            <w:tcW w:w="713" w:type="pct"/>
          </w:tcPr>
          <w:p w14:paraId="2AF9C201"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西</w:t>
            </w:r>
          </w:p>
        </w:tc>
      </w:tr>
      <w:tr w:rsidR="00000000" w14:paraId="40C3BEDE" w14:textId="77777777">
        <w:trPr>
          <w:trHeight w:val="340"/>
          <w:jc w:val="center"/>
        </w:trPr>
        <w:tc>
          <w:tcPr>
            <w:tcW w:w="2047" w:type="pct"/>
            <w:gridSpan w:val="2"/>
            <w:vAlign w:val="center"/>
          </w:tcPr>
          <w:p w14:paraId="3BDC1D2D"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小计</w:t>
            </w:r>
          </w:p>
        </w:tc>
        <w:tc>
          <w:tcPr>
            <w:tcW w:w="681" w:type="pct"/>
            <w:vAlign w:val="center"/>
          </w:tcPr>
          <w:p w14:paraId="06582610"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334</w:t>
            </w:r>
          </w:p>
        </w:tc>
        <w:tc>
          <w:tcPr>
            <w:tcW w:w="1559" w:type="pct"/>
            <w:vAlign w:val="center"/>
          </w:tcPr>
          <w:p w14:paraId="7EB8D7B3"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22709.94</w:t>
            </w:r>
          </w:p>
        </w:tc>
        <w:tc>
          <w:tcPr>
            <w:tcW w:w="713" w:type="pct"/>
          </w:tcPr>
          <w:p w14:paraId="1437EE75"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w:t>
            </w:r>
          </w:p>
        </w:tc>
      </w:tr>
      <w:tr w:rsidR="00000000" w14:paraId="2CE3747A" w14:textId="77777777">
        <w:trPr>
          <w:trHeight w:val="390"/>
          <w:jc w:val="center"/>
        </w:trPr>
        <w:tc>
          <w:tcPr>
            <w:tcW w:w="585" w:type="pct"/>
            <w:vMerge w:val="restart"/>
            <w:vAlign w:val="center"/>
          </w:tcPr>
          <w:p w14:paraId="307E259D"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二</w:t>
            </w:r>
            <w:r>
              <w:rPr>
                <w:rFonts w:ascii="华文细黑" w:eastAsia="华文细黑" w:hAnsi="华文细黑" w:cs="Arial"/>
                <w:kern w:val="2"/>
                <w:sz w:val="18"/>
                <w:szCs w:val="18"/>
              </w:rPr>
              <w:t>居</w:t>
            </w:r>
          </w:p>
        </w:tc>
        <w:tc>
          <w:tcPr>
            <w:tcW w:w="1462" w:type="pct"/>
            <w:vAlign w:val="center"/>
          </w:tcPr>
          <w:p w14:paraId="7275BF24"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98.27-98.36</w:t>
            </w:r>
          </w:p>
        </w:tc>
        <w:tc>
          <w:tcPr>
            <w:tcW w:w="681" w:type="pct"/>
            <w:vAlign w:val="center"/>
          </w:tcPr>
          <w:p w14:paraId="2A32B061"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80</w:t>
            </w:r>
          </w:p>
        </w:tc>
        <w:tc>
          <w:tcPr>
            <w:tcW w:w="1559" w:type="pct"/>
            <w:vAlign w:val="center"/>
          </w:tcPr>
          <w:p w14:paraId="75A54D15"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7867.72</w:t>
            </w:r>
          </w:p>
        </w:tc>
        <w:tc>
          <w:tcPr>
            <w:tcW w:w="713" w:type="pct"/>
          </w:tcPr>
          <w:p w14:paraId="618B0248"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北</w:t>
            </w:r>
          </w:p>
        </w:tc>
      </w:tr>
      <w:tr w:rsidR="00000000" w14:paraId="1032947D" w14:textId="77777777">
        <w:trPr>
          <w:trHeight w:val="340"/>
          <w:jc w:val="center"/>
        </w:trPr>
        <w:tc>
          <w:tcPr>
            <w:tcW w:w="585" w:type="pct"/>
            <w:vMerge/>
            <w:vAlign w:val="center"/>
          </w:tcPr>
          <w:p w14:paraId="2CF82A83"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p>
        </w:tc>
        <w:tc>
          <w:tcPr>
            <w:tcW w:w="1462" w:type="pct"/>
            <w:vAlign w:val="center"/>
          </w:tcPr>
          <w:p w14:paraId="4783B44A"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94.39-110.57</w:t>
            </w:r>
          </w:p>
        </w:tc>
        <w:tc>
          <w:tcPr>
            <w:tcW w:w="681" w:type="pct"/>
            <w:vAlign w:val="center"/>
          </w:tcPr>
          <w:p w14:paraId="22A8466A"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501</w:t>
            </w:r>
          </w:p>
        </w:tc>
        <w:tc>
          <w:tcPr>
            <w:tcW w:w="1559" w:type="pct"/>
            <w:vAlign w:val="center"/>
          </w:tcPr>
          <w:p w14:paraId="2CA20795"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52828.51</w:t>
            </w:r>
          </w:p>
        </w:tc>
        <w:tc>
          <w:tcPr>
            <w:tcW w:w="713" w:type="pct"/>
          </w:tcPr>
          <w:p w14:paraId="5F09A602"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南北</w:t>
            </w:r>
          </w:p>
        </w:tc>
      </w:tr>
      <w:tr w:rsidR="00000000" w14:paraId="2EA50C26" w14:textId="77777777">
        <w:trPr>
          <w:trHeight w:val="340"/>
          <w:jc w:val="center"/>
        </w:trPr>
        <w:tc>
          <w:tcPr>
            <w:tcW w:w="585" w:type="pct"/>
            <w:vMerge/>
            <w:vAlign w:val="center"/>
          </w:tcPr>
          <w:p w14:paraId="7F773940"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p>
        </w:tc>
        <w:tc>
          <w:tcPr>
            <w:tcW w:w="1462" w:type="pct"/>
            <w:vAlign w:val="center"/>
          </w:tcPr>
          <w:p w14:paraId="1BDC5526"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91.83-92.52</w:t>
            </w:r>
          </w:p>
        </w:tc>
        <w:tc>
          <w:tcPr>
            <w:tcW w:w="681" w:type="pct"/>
            <w:vAlign w:val="center"/>
          </w:tcPr>
          <w:p w14:paraId="6EBB40E2"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75</w:t>
            </w:r>
          </w:p>
        </w:tc>
        <w:tc>
          <w:tcPr>
            <w:tcW w:w="1559" w:type="pct"/>
            <w:vAlign w:val="center"/>
          </w:tcPr>
          <w:p w14:paraId="20B51324"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6922.55</w:t>
            </w:r>
          </w:p>
        </w:tc>
        <w:tc>
          <w:tcPr>
            <w:tcW w:w="713" w:type="pct"/>
          </w:tcPr>
          <w:p w14:paraId="5DAC1B6D"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南</w:t>
            </w:r>
          </w:p>
        </w:tc>
      </w:tr>
      <w:tr w:rsidR="00000000" w14:paraId="582F96B8" w14:textId="77777777">
        <w:trPr>
          <w:trHeight w:val="340"/>
          <w:jc w:val="center"/>
        </w:trPr>
        <w:tc>
          <w:tcPr>
            <w:tcW w:w="2047" w:type="pct"/>
            <w:gridSpan w:val="2"/>
            <w:vAlign w:val="center"/>
          </w:tcPr>
          <w:p w14:paraId="0CCFE8B2"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小计</w:t>
            </w:r>
          </w:p>
        </w:tc>
        <w:tc>
          <w:tcPr>
            <w:tcW w:w="681" w:type="pct"/>
            <w:vAlign w:val="center"/>
          </w:tcPr>
          <w:p w14:paraId="1F1EB4CE"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656</w:t>
            </w:r>
          </w:p>
        </w:tc>
        <w:tc>
          <w:tcPr>
            <w:tcW w:w="1559" w:type="pct"/>
            <w:vAlign w:val="center"/>
          </w:tcPr>
          <w:p w14:paraId="780B08E4"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67618.78</w:t>
            </w:r>
          </w:p>
        </w:tc>
        <w:tc>
          <w:tcPr>
            <w:tcW w:w="713" w:type="pct"/>
          </w:tcPr>
          <w:p w14:paraId="5A610CA9"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w:t>
            </w:r>
          </w:p>
        </w:tc>
      </w:tr>
      <w:tr w:rsidR="00000000" w14:paraId="0EBE2AC8" w14:textId="77777777">
        <w:trPr>
          <w:trHeight w:val="340"/>
          <w:jc w:val="center"/>
        </w:trPr>
        <w:tc>
          <w:tcPr>
            <w:tcW w:w="585" w:type="pct"/>
            <w:vAlign w:val="center"/>
          </w:tcPr>
          <w:p w14:paraId="34B5FD31"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三</w:t>
            </w:r>
            <w:r>
              <w:rPr>
                <w:rFonts w:ascii="华文细黑" w:eastAsia="华文细黑" w:hAnsi="华文细黑" w:cs="Arial"/>
                <w:kern w:val="2"/>
                <w:sz w:val="18"/>
                <w:szCs w:val="18"/>
              </w:rPr>
              <w:t>居</w:t>
            </w:r>
          </w:p>
        </w:tc>
        <w:tc>
          <w:tcPr>
            <w:tcW w:w="1462" w:type="pct"/>
            <w:vAlign w:val="center"/>
          </w:tcPr>
          <w:p w14:paraId="44BF0D4D"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123.14-131.57</w:t>
            </w:r>
          </w:p>
        </w:tc>
        <w:tc>
          <w:tcPr>
            <w:tcW w:w="681" w:type="pct"/>
            <w:vAlign w:val="center"/>
          </w:tcPr>
          <w:p w14:paraId="706E2E44"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241</w:t>
            </w:r>
          </w:p>
        </w:tc>
        <w:tc>
          <w:tcPr>
            <w:tcW w:w="1559" w:type="pct"/>
            <w:vAlign w:val="center"/>
          </w:tcPr>
          <w:p w14:paraId="4DF1EB1A"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31500.6</w:t>
            </w:r>
          </w:p>
        </w:tc>
        <w:tc>
          <w:tcPr>
            <w:tcW w:w="713" w:type="pct"/>
          </w:tcPr>
          <w:p w14:paraId="54D51CC9"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南北</w:t>
            </w:r>
          </w:p>
        </w:tc>
      </w:tr>
      <w:tr w:rsidR="00000000" w14:paraId="678C4A49" w14:textId="77777777">
        <w:trPr>
          <w:trHeight w:val="340"/>
          <w:jc w:val="center"/>
        </w:trPr>
        <w:tc>
          <w:tcPr>
            <w:tcW w:w="2047" w:type="pct"/>
            <w:gridSpan w:val="2"/>
            <w:vAlign w:val="center"/>
          </w:tcPr>
          <w:p w14:paraId="307BF361"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合计</w:t>
            </w:r>
          </w:p>
        </w:tc>
        <w:tc>
          <w:tcPr>
            <w:tcW w:w="681" w:type="pct"/>
            <w:vAlign w:val="center"/>
          </w:tcPr>
          <w:p w14:paraId="1E3496F9"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1231</w:t>
            </w:r>
          </w:p>
        </w:tc>
        <w:tc>
          <w:tcPr>
            <w:tcW w:w="1559" w:type="pct"/>
            <w:vAlign w:val="center"/>
          </w:tcPr>
          <w:p w14:paraId="629093EA"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121829.32</w:t>
            </w:r>
          </w:p>
        </w:tc>
        <w:tc>
          <w:tcPr>
            <w:tcW w:w="713" w:type="pct"/>
            <w:vAlign w:val="center"/>
          </w:tcPr>
          <w:p w14:paraId="5F876075" w14:textId="77777777" w:rsidR="00000000" w:rsidRDefault="00000000">
            <w:pPr>
              <w:widowControl/>
              <w:spacing w:line="240" w:lineRule="atLeast"/>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w:t>
            </w:r>
          </w:p>
        </w:tc>
      </w:tr>
    </w:tbl>
    <w:p w14:paraId="0C0AADEF" w14:textId="77777777" w:rsidR="00000000" w:rsidRDefault="00000000">
      <w:pPr>
        <w:overflowPunct w:val="0"/>
        <w:spacing w:beforeLines="100" w:before="240" w:line="480" w:lineRule="auto"/>
        <w:ind w:firstLineChars="200" w:firstLine="420"/>
        <w:jc w:val="both"/>
        <w:textAlignment w:val="auto"/>
        <w:rPr>
          <w:rFonts w:ascii="Arial" w:hAnsi="Arial" w:cs="Arial" w:hint="eastAsia"/>
          <w:sz w:val="21"/>
          <w:szCs w:val="21"/>
        </w:rPr>
      </w:pPr>
      <w:r>
        <w:rPr>
          <w:rFonts w:ascii="Arial" w:hAnsi="Arial" w:cs="Arial" w:hint="eastAsia"/>
          <w:sz w:val="21"/>
          <w:szCs w:val="21"/>
        </w:rPr>
        <w:t>由于估价对象均未进行土地分摊测绘，故本次评估不列示估价对象分摊土地面积。</w:t>
      </w:r>
    </w:p>
    <w:p w14:paraId="10BF7462" w14:textId="77777777" w:rsidR="00000000" w:rsidRDefault="00000000">
      <w:pPr>
        <w:overflowPunct w:val="0"/>
        <w:spacing w:line="480" w:lineRule="auto"/>
        <w:ind w:firstLineChars="200" w:firstLine="422"/>
        <w:jc w:val="both"/>
        <w:textAlignment w:val="auto"/>
        <w:rPr>
          <w:rFonts w:ascii="Arial" w:hAnsi="Arial" w:cs="Arial" w:hint="eastAsia"/>
          <w:sz w:val="21"/>
          <w:szCs w:val="21"/>
        </w:rPr>
      </w:pPr>
      <w:r>
        <w:rPr>
          <w:rFonts w:ascii="Arial" w:hAnsi="Arial" w:cs="Arial"/>
          <w:b/>
          <w:bCs/>
          <w:sz w:val="21"/>
          <w:szCs w:val="21"/>
        </w:rPr>
        <w:t>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w:t>
      </w:r>
      <w:r>
        <w:rPr>
          <w:rFonts w:ascii="Arial" w:hAnsi="Arial" w:cs="Arial"/>
          <w:sz w:val="21"/>
          <w:szCs w:val="21"/>
        </w:rPr>
        <w:t>根据《估价委托书》确定</w:t>
      </w:r>
      <w:r>
        <w:rPr>
          <w:rFonts w:ascii="Arial" w:hAnsi="Arial" w:cs="Arial" w:hint="eastAsia"/>
          <w:sz w:val="21"/>
          <w:szCs w:val="21"/>
        </w:rPr>
        <w:t>）</w:t>
      </w:r>
    </w:p>
    <w:p w14:paraId="1BE07CD1" w14:textId="77777777" w:rsidR="00000000" w:rsidRDefault="00000000">
      <w:pPr>
        <w:overflowPunct w:val="0"/>
        <w:spacing w:line="480" w:lineRule="auto"/>
        <w:ind w:firstLineChars="200" w:firstLine="422"/>
        <w:jc w:val="both"/>
        <w:textAlignment w:val="auto"/>
        <w:rPr>
          <w:rFonts w:ascii="Arial" w:hAnsi="Arial" w:cs="Arial"/>
          <w:sz w:val="21"/>
          <w:szCs w:val="21"/>
        </w:rPr>
      </w:pPr>
      <w:r>
        <w:rPr>
          <w:rFonts w:ascii="Arial" w:hAnsi="Arial" w:cs="Arial" w:hint="eastAsia"/>
          <w:b/>
          <w:bCs/>
          <w:sz w:val="21"/>
          <w:szCs w:val="21"/>
        </w:rPr>
        <w:t>估价时段：</w:t>
      </w:r>
      <w:r>
        <w:rPr>
          <w:rFonts w:ascii="Arial" w:hAnsi="Arial" w:cs="Arial" w:hint="eastAsia"/>
          <w:sz w:val="21"/>
          <w:szCs w:val="21"/>
        </w:rPr>
        <w:t>于价值时点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日前一年内（</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w:t>
      </w:r>
    </w:p>
    <w:p w14:paraId="0E210DA9" w14:textId="77777777" w:rsidR="00000000" w:rsidRDefault="00000000">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价值类型：</w:t>
      </w:r>
      <w:r>
        <w:rPr>
          <w:rFonts w:ascii="Arial" w:hAnsi="Arial" w:cs="Arial" w:hint="eastAsia"/>
          <w:sz w:val="21"/>
          <w:szCs w:val="21"/>
        </w:rPr>
        <w:t>根据房地产评估的技术规程和本次估价目的，本次估价采用的是市场价值标准。估价结果中的房地产租金价格是指估价对象在估价时段（</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日）规划利用条件及下述设定条件下的市场平均租金价格：</w:t>
      </w:r>
      <w:r>
        <w:rPr>
          <w:rFonts w:ascii="Arial" w:hAnsi="Arial" w:cs="Arial"/>
          <w:sz w:val="21"/>
          <w:szCs w:val="21"/>
        </w:rPr>
        <w:t xml:space="preserve"> </w:t>
      </w:r>
    </w:p>
    <w:p w14:paraId="2515B48F" w14:textId="77777777" w:rsidR="00000000" w:rsidRDefault="00000000">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项目同地段、同类型的普通住房在估价时段的市场租赁平均价格，包括地租、房屋折旧、设备折旧、维修费、保险费、物业费、管理费、利息、利润等；不含供暖费、水电费、天然气费、通信费、有线电视费、上网宽带费和家具、家电租赁费及租赁税费等。</w:t>
      </w:r>
      <w:r>
        <w:rPr>
          <w:rFonts w:ascii="Arial" w:hAnsi="Arial" w:cs="Arial"/>
          <w:sz w:val="21"/>
          <w:szCs w:val="21"/>
        </w:rPr>
        <w:t xml:space="preserve"> </w:t>
      </w:r>
    </w:p>
    <w:p w14:paraId="4CBC9336" w14:textId="77777777" w:rsidR="00000000" w:rsidRDefault="00000000">
      <w:pPr>
        <w:overflowPunct w:val="0"/>
        <w:spacing w:line="480" w:lineRule="auto"/>
        <w:ind w:firstLine="420"/>
        <w:jc w:val="both"/>
      </w:pPr>
      <w:r>
        <w:rPr>
          <w:rFonts w:ascii="Arial" w:hAnsi="Arial" w:cs="Arial"/>
          <w:sz w:val="21"/>
          <w:szCs w:val="21"/>
        </w:rPr>
        <w:t>（</w:t>
      </w:r>
      <w:r>
        <w:rPr>
          <w:rFonts w:ascii="Arial" w:hAnsi="Arial" w:cs="Arial"/>
          <w:sz w:val="21"/>
          <w:szCs w:val="21"/>
        </w:rPr>
        <w:t>1</w:t>
      </w:r>
      <w:r>
        <w:rPr>
          <w:rFonts w:ascii="Arial" w:hAnsi="Arial" w:cs="Arial"/>
          <w:sz w:val="21"/>
          <w:szCs w:val="21"/>
        </w:rPr>
        <w:t>）同地段是指按照就近原则，能够满足租赁住房项目市场租金评估所需要的可比小区数量所形成的同质区域。</w:t>
      </w:r>
      <w:r>
        <w:rPr>
          <w:rFonts w:ascii="Arial" w:eastAsia="Arial" w:hAnsi="Arial" w:cs="Arial"/>
          <w:sz w:val="21"/>
          <w:szCs w:val="21"/>
        </w:rPr>
        <w:t xml:space="preserve"> </w:t>
      </w:r>
    </w:p>
    <w:p w14:paraId="79686078" w14:textId="77777777" w:rsidR="00000000" w:rsidRDefault="00000000">
      <w:pPr>
        <w:overflowPunct w:val="0"/>
        <w:spacing w:line="480" w:lineRule="auto"/>
        <w:ind w:firstLine="420"/>
        <w:jc w:val="both"/>
        <w:rPr>
          <w:rFonts w:ascii="Arial" w:hAnsi="Arial" w:cs="Arial"/>
          <w:sz w:val="21"/>
          <w:szCs w:val="21"/>
        </w:rPr>
      </w:pPr>
      <w:r>
        <w:rPr>
          <w:rFonts w:ascii="Arial" w:hAnsi="Arial" w:cs="Arial"/>
          <w:sz w:val="21"/>
          <w:szCs w:val="21"/>
        </w:rPr>
        <w:t>（</w:t>
      </w:r>
      <w:r>
        <w:rPr>
          <w:rFonts w:ascii="Arial" w:hAnsi="Arial" w:cs="Arial"/>
          <w:sz w:val="21"/>
          <w:szCs w:val="21"/>
        </w:rPr>
        <w:t>2</w:t>
      </w:r>
      <w:r>
        <w:rPr>
          <w:rFonts w:ascii="Arial" w:hAnsi="Arial" w:cs="Arial"/>
          <w:sz w:val="21"/>
          <w:szCs w:val="21"/>
        </w:rPr>
        <w:t>）同类型是指使用功能、建筑结构、面积、户型、装修、家具家电设备及周边环境与配套相同或相似的住房。</w:t>
      </w:r>
    </w:p>
    <w:p w14:paraId="3449E457" w14:textId="77777777" w:rsidR="00000000" w:rsidRDefault="00000000">
      <w:pPr>
        <w:overflowPunct w:val="0"/>
        <w:spacing w:line="480" w:lineRule="auto"/>
        <w:ind w:firstLineChars="200" w:firstLine="420"/>
        <w:jc w:val="both"/>
        <w:textAlignment w:val="auto"/>
        <w:rPr>
          <w:rFonts w:ascii="Arial" w:hAnsi="Arial" w:cs="Arial" w:hint="eastAsia"/>
          <w:sz w:val="21"/>
          <w:szCs w:val="21"/>
        </w:rPr>
      </w:pPr>
      <w:r>
        <w:rPr>
          <w:rFonts w:ascii="Arial" w:hAnsi="Arial" w:cs="Arial"/>
          <w:sz w:val="21"/>
          <w:szCs w:val="21"/>
        </w:rPr>
        <w:t>（</w:t>
      </w:r>
      <w:r>
        <w:rPr>
          <w:rFonts w:ascii="Arial" w:hAnsi="Arial" w:cs="Arial"/>
          <w:sz w:val="21"/>
          <w:szCs w:val="21"/>
        </w:rPr>
        <w:t>3</w:t>
      </w:r>
      <w:r>
        <w:rPr>
          <w:rFonts w:ascii="Arial" w:hAnsi="Arial" w:cs="Arial"/>
          <w:sz w:val="21"/>
          <w:szCs w:val="21"/>
        </w:rPr>
        <w:t>）估价时段是指价值时点前一年（</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w:t>
      </w:r>
      <w:r>
        <w:rPr>
          <w:rFonts w:ascii="Arial" w:hAnsi="Arial" w:cs="Arial"/>
          <w:sz w:val="21"/>
          <w:szCs w:val="21"/>
        </w:rPr>
        <w:t>）。</w:t>
      </w:r>
    </w:p>
    <w:p w14:paraId="11C9A41E" w14:textId="77777777" w:rsidR="00000000" w:rsidRDefault="00000000">
      <w:pPr>
        <w:overflowPunct w:val="0"/>
        <w:spacing w:line="480" w:lineRule="auto"/>
        <w:ind w:firstLineChars="200" w:firstLine="422"/>
        <w:jc w:val="both"/>
        <w:textAlignment w:val="auto"/>
        <w:rPr>
          <w:rFonts w:ascii="Arial" w:hAnsi="Arial" w:cs="Arial"/>
          <w:b/>
          <w:bCs/>
          <w:sz w:val="21"/>
          <w:szCs w:val="21"/>
        </w:rPr>
      </w:pPr>
      <w:r>
        <w:rPr>
          <w:rFonts w:ascii="Arial" w:hAnsi="Arial" w:cs="Arial"/>
          <w:b/>
          <w:bCs/>
          <w:sz w:val="21"/>
          <w:szCs w:val="21"/>
        </w:rPr>
        <w:t>估价方法：</w:t>
      </w:r>
      <w:r>
        <w:rPr>
          <w:rFonts w:ascii="Arial" w:hAnsi="Arial" w:cs="Arial"/>
          <w:bCs/>
          <w:color w:val="000000"/>
          <w:sz w:val="21"/>
          <w:szCs w:val="21"/>
        </w:rPr>
        <w:t>本次评估采用的估价方法为比较法</w:t>
      </w:r>
      <w:r>
        <w:rPr>
          <w:rFonts w:ascii="Arial" w:hAnsi="Arial" w:cs="Arial"/>
          <w:sz w:val="21"/>
          <w:szCs w:val="21"/>
        </w:rPr>
        <w:t>。</w:t>
      </w:r>
    </w:p>
    <w:p w14:paraId="7FA9C373" w14:textId="77777777" w:rsidR="00000000" w:rsidRDefault="00000000">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估价结果：</w:t>
      </w:r>
      <w:r>
        <w:rPr>
          <w:rFonts w:ascii="Arial" w:hAnsi="Arial" w:cs="Arial"/>
          <w:sz w:val="21"/>
          <w:szCs w:val="21"/>
        </w:rPr>
        <w:t>评估专业人员根据估价的目的，</w:t>
      </w:r>
      <w:r>
        <w:rPr>
          <w:rFonts w:ascii="Arial" w:hAnsi="Arial" w:cs="Arial" w:hint="eastAsia"/>
          <w:sz w:val="21"/>
          <w:szCs w:val="21"/>
        </w:rPr>
        <w:t>遵循估价原则，</w:t>
      </w:r>
      <w:r>
        <w:rPr>
          <w:rFonts w:ascii="Arial" w:hAnsi="Arial" w:cs="Arial"/>
          <w:sz w:val="21"/>
          <w:szCs w:val="21"/>
        </w:rPr>
        <w:t>按照估价的程序，采用科学的估价方</w:t>
      </w:r>
      <w:r>
        <w:rPr>
          <w:rFonts w:ascii="Arial" w:hAnsi="Arial" w:cs="Arial"/>
          <w:sz w:val="21"/>
          <w:szCs w:val="21"/>
        </w:rPr>
        <w:lastRenderedPageBreak/>
        <w:t>法，在认真分析现有资料的基础上，通过仔细测算和认真分析各种影响房地产</w:t>
      </w:r>
      <w:r>
        <w:rPr>
          <w:rFonts w:ascii="Arial" w:hAnsi="Arial" w:cs="Arial" w:hint="eastAsia"/>
          <w:sz w:val="21"/>
          <w:szCs w:val="21"/>
        </w:rPr>
        <w:t>租赁</w:t>
      </w:r>
      <w:r>
        <w:rPr>
          <w:rFonts w:ascii="Arial" w:hAnsi="Arial" w:cs="Arial"/>
          <w:sz w:val="21"/>
          <w:szCs w:val="21"/>
        </w:rPr>
        <w:t>价格的因素，</w:t>
      </w:r>
      <w:r>
        <w:rPr>
          <w:rFonts w:ascii="Arial" w:hAnsi="Arial" w:cs="Arial" w:hint="eastAsia"/>
          <w:sz w:val="21"/>
          <w:szCs w:val="21"/>
        </w:rPr>
        <w:t>最终</w:t>
      </w:r>
      <w:r>
        <w:rPr>
          <w:rFonts w:ascii="Arial" w:hAnsi="Arial" w:cs="Arial"/>
          <w:sz w:val="21"/>
          <w:szCs w:val="21"/>
        </w:rPr>
        <w:t>确定估价对象</w:t>
      </w:r>
      <w:r>
        <w:rPr>
          <w:rFonts w:ascii="Arial" w:hAnsi="Arial" w:cs="Arial" w:hint="eastAsia"/>
          <w:sz w:val="21"/>
          <w:szCs w:val="21"/>
        </w:rPr>
        <w:t>同地块、同类型普通住宅房地产于价值时点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日前一年内（</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日）平均市场租金水平为：</w:t>
      </w:r>
      <w:r>
        <w:rPr>
          <w:rFonts w:ascii="Arial" w:hAnsi="Arial" w:cs="Arial" w:hint="eastAsia"/>
          <w:sz w:val="21"/>
          <w:szCs w:val="21"/>
        </w:rPr>
        <w:t xml:space="preserve"> </w:t>
      </w:r>
    </w:p>
    <w:p w14:paraId="2EBC0798" w14:textId="77777777" w:rsidR="00000000" w:rsidRDefault="00000000">
      <w:pPr>
        <w:overflowPunct w:val="0"/>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区域租金单价：</w:t>
      </w:r>
      <w:r>
        <w:rPr>
          <w:rFonts w:ascii="Arial" w:hAnsi="Arial" w:cs="Arial" w:hint="eastAsia"/>
          <w:b/>
          <w:bCs/>
          <w:sz w:val="21"/>
          <w:szCs w:val="21"/>
        </w:rPr>
        <w:t xml:space="preserve"> X13</w:t>
      </w:r>
      <w:r>
        <w:rPr>
          <w:rFonts w:ascii="Arial" w:hAnsi="Arial" w:cs="Arial" w:hint="eastAsia"/>
          <w:b/>
          <w:bCs/>
          <w:sz w:val="21"/>
          <w:szCs w:val="21"/>
        </w:rPr>
        <w:t>海棠苑：</w:t>
      </w:r>
      <w:r>
        <w:rPr>
          <w:rFonts w:ascii="Arial" w:hAnsi="Arial" w:cs="Arial" w:hint="eastAsia"/>
          <w:b/>
          <w:bCs/>
          <w:sz w:val="21"/>
          <w:szCs w:val="21"/>
        </w:rPr>
        <w:t>54.53</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7E7C0C96" w14:textId="77777777" w:rsidR="00000000" w:rsidRDefault="00000000">
      <w:pPr>
        <w:overflowPunct w:val="0"/>
        <w:spacing w:line="480" w:lineRule="auto"/>
        <w:ind w:firstLineChars="900" w:firstLine="1897"/>
        <w:textAlignment w:val="auto"/>
        <w:rPr>
          <w:rFonts w:ascii="Arial" w:hAnsi="Arial" w:cs="Arial" w:hint="eastAsia"/>
          <w:b/>
          <w:bCs/>
          <w:sz w:val="21"/>
          <w:szCs w:val="21"/>
        </w:rPr>
      </w:pPr>
      <w:r>
        <w:rPr>
          <w:rFonts w:ascii="Arial" w:hAnsi="Arial" w:cs="Arial" w:hint="eastAsia"/>
          <w:b/>
          <w:bCs/>
          <w:sz w:val="21"/>
          <w:szCs w:val="21"/>
        </w:rPr>
        <w:t>X</w:t>
      </w:r>
      <w:r>
        <w:rPr>
          <w:rFonts w:ascii="Arial" w:hAnsi="Arial" w:cs="Arial"/>
          <w:b/>
          <w:bCs/>
          <w:sz w:val="21"/>
          <w:szCs w:val="21"/>
        </w:rPr>
        <w:t>38</w:t>
      </w:r>
      <w:r>
        <w:rPr>
          <w:rFonts w:ascii="Arial" w:hAnsi="Arial" w:cs="Arial" w:hint="eastAsia"/>
          <w:b/>
          <w:bCs/>
          <w:sz w:val="21"/>
          <w:szCs w:val="21"/>
        </w:rPr>
        <w:t>鹿海园五里：</w:t>
      </w:r>
      <w:r>
        <w:rPr>
          <w:rFonts w:ascii="Arial" w:hAnsi="Arial" w:cs="Arial" w:hint="eastAsia"/>
          <w:b/>
          <w:bCs/>
          <w:sz w:val="21"/>
          <w:szCs w:val="21"/>
        </w:rPr>
        <w:t>55.18</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77FBC36F" w14:textId="77777777" w:rsidR="00000000" w:rsidRDefault="00000000">
      <w:pPr>
        <w:overflowPunct w:val="0"/>
        <w:spacing w:line="480" w:lineRule="auto"/>
        <w:ind w:firstLineChars="200" w:firstLine="360"/>
        <w:jc w:val="both"/>
        <w:textAlignment w:val="auto"/>
        <w:rPr>
          <w:rFonts w:ascii="Arial" w:hAnsi="Arial" w:cs="Arial"/>
          <w:sz w:val="18"/>
          <w:szCs w:val="18"/>
        </w:rPr>
      </w:pPr>
      <w:r>
        <w:rPr>
          <w:rFonts w:ascii="Arial" w:hAnsi="Arial" w:cs="Arial"/>
          <w:sz w:val="18"/>
          <w:szCs w:val="18"/>
        </w:rPr>
        <w:t>注：</w:t>
      </w:r>
      <w:r>
        <w:rPr>
          <w:rFonts w:ascii="Arial" w:hAnsi="Arial" w:cs="Arial"/>
          <w:sz w:val="18"/>
          <w:szCs w:val="18"/>
        </w:rPr>
        <w:t>1</w:t>
      </w:r>
      <w:r>
        <w:rPr>
          <w:rFonts w:ascii="Arial" w:hAnsi="Arial" w:cs="Arial"/>
          <w:sz w:val="18"/>
          <w:szCs w:val="18"/>
        </w:rPr>
        <w:t>、</w:t>
      </w:r>
      <w:r>
        <w:rPr>
          <w:rFonts w:ascii="Arial" w:hAnsi="Arial" w:cs="Arial" w:hint="eastAsia"/>
          <w:sz w:val="18"/>
          <w:szCs w:val="18"/>
        </w:rPr>
        <w:t>评估的详细结果、过程及有关说明，详见《估价结果报告》、《估价技术报告》。</w:t>
      </w:r>
    </w:p>
    <w:p w14:paraId="10857DBA" w14:textId="77777777" w:rsidR="00000000" w:rsidRDefault="00000000">
      <w:pPr>
        <w:overflowPunct w:val="0"/>
        <w:spacing w:line="480" w:lineRule="auto"/>
        <w:ind w:leftChars="150" w:left="360"/>
        <w:jc w:val="both"/>
        <w:textAlignment w:val="auto"/>
        <w:rPr>
          <w:rFonts w:ascii="Arial" w:hAnsi="Arial" w:cs="Arial"/>
          <w:sz w:val="18"/>
          <w:szCs w:val="18"/>
        </w:rPr>
      </w:pPr>
      <w:r>
        <w:rPr>
          <w:rFonts w:ascii="Arial" w:hAnsi="Arial" w:cs="Arial"/>
          <w:sz w:val="18"/>
          <w:szCs w:val="18"/>
        </w:rPr>
        <w:t xml:space="preserve">    2</w:t>
      </w:r>
      <w:r>
        <w:rPr>
          <w:rFonts w:ascii="Arial" w:hAnsi="Arial" w:cs="Arial"/>
          <w:sz w:val="18"/>
          <w:szCs w:val="18"/>
        </w:rPr>
        <w:t>、</w:t>
      </w:r>
      <w:r>
        <w:rPr>
          <w:rFonts w:ascii="Arial" w:hAnsi="Arial" w:cs="Arial" w:hint="eastAsia"/>
          <w:sz w:val="18"/>
          <w:szCs w:val="18"/>
        </w:rPr>
        <w:t>估价结果为项目同地段、同类型普通住宅前</w:t>
      </w:r>
      <w:r>
        <w:rPr>
          <w:rFonts w:ascii="Arial" w:hAnsi="Arial" w:cs="Arial" w:hint="eastAsia"/>
          <w:sz w:val="18"/>
          <w:szCs w:val="18"/>
        </w:rPr>
        <w:t>12</w:t>
      </w:r>
      <w:r>
        <w:rPr>
          <w:rFonts w:ascii="Arial" w:hAnsi="Arial" w:cs="Arial" w:hint="eastAsia"/>
          <w:sz w:val="18"/>
          <w:szCs w:val="18"/>
        </w:rPr>
        <w:t>个月的市场平均月租金价格。</w:t>
      </w:r>
    </w:p>
    <w:p w14:paraId="6C34FA8C" w14:textId="77777777" w:rsidR="00000000" w:rsidRDefault="00000000">
      <w:pPr>
        <w:overflowPunct w:val="0"/>
        <w:spacing w:line="480" w:lineRule="auto"/>
        <w:ind w:leftChars="150" w:left="720" w:hangingChars="200" w:hanging="360"/>
        <w:jc w:val="both"/>
        <w:textAlignment w:val="auto"/>
        <w:rPr>
          <w:rFonts w:ascii="Arial" w:hAnsi="Arial" w:cs="Arial"/>
          <w:sz w:val="18"/>
          <w:szCs w:val="18"/>
        </w:rPr>
      </w:pPr>
      <w:r>
        <w:rPr>
          <w:rFonts w:ascii="Arial" w:hAnsi="Arial" w:cs="Arial"/>
          <w:sz w:val="18"/>
          <w:szCs w:val="18"/>
        </w:rPr>
        <w:t xml:space="preserve">    3</w:t>
      </w:r>
      <w:r>
        <w:rPr>
          <w:rFonts w:ascii="Arial" w:hAnsi="Arial" w:cs="Arial"/>
          <w:sz w:val="18"/>
          <w:szCs w:val="18"/>
        </w:rPr>
        <w:t>、本次估价采取标准房进行评估设定，标准房是指参照被评估公共租赁住房项目的户型、面积、朝向、楼层、装修及设备等因素按照众数原则设定的房屋状况。</w:t>
      </w:r>
      <w:r>
        <w:rPr>
          <w:rFonts w:ascii="Arial" w:hAnsi="Arial" w:cs="Arial"/>
          <w:sz w:val="18"/>
          <w:szCs w:val="18"/>
        </w:rPr>
        <w:t xml:space="preserve">  </w:t>
      </w:r>
      <w:bookmarkStart w:id="5" w:name="_Hlk104887094"/>
    </w:p>
    <w:bookmarkEnd w:id="5"/>
    <w:p w14:paraId="477CAC9E" w14:textId="77777777" w:rsidR="00000000" w:rsidRDefault="00000000">
      <w:pPr>
        <w:overflowPunct w:val="0"/>
        <w:spacing w:line="480" w:lineRule="auto"/>
        <w:ind w:leftChars="150" w:left="720" w:hangingChars="200" w:hanging="360"/>
        <w:jc w:val="both"/>
        <w:textAlignment w:val="auto"/>
        <w:rPr>
          <w:rFonts w:ascii="Arial" w:hAnsi="Arial" w:cs="Arial"/>
          <w:sz w:val="18"/>
          <w:szCs w:val="18"/>
        </w:rPr>
      </w:pPr>
      <w:r>
        <w:rPr>
          <w:rFonts w:ascii="Arial" w:hAnsi="Arial" w:cs="Arial"/>
          <w:sz w:val="18"/>
          <w:szCs w:val="18"/>
        </w:rPr>
        <w:t xml:space="preserve">    4</w:t>
      </w:r>
      <w:r>
        <w:rPr>
          <w:rFonts w:ascii="Arial" w:hAnsi="Arial" w:cs="Arial"/>
          <w:sz w:val="18"/>
          <w:szCs w:val="18"/>
        </w:rPr>
        <w:t>、估价结果</w:t>
      </w:r>
      <w:r>
        <w:rPr>
          <w:rFonts w:ascii="Arial" w:hAnsi="Arial" w:cs="Arial" w:hint="eastAsia"/>
          <w:sz w:val="18"/>
          <w:szCs w:val="18"/>
        </w:rPr>
        <w:t>包括地租、房屋折旧、设备折旧、维修费、保险费、物业费、管理费、利息、利润等；不含供暖费、水电费、天然气费、通信费、有线电视费、上网宽带费和家具、家电租赁费及租赁税费等</w:t>
      </w:r>
      <w:r>
        <w:rPr>
          <w:rFonts w:ascii="Arial" w:hAnsi="Arial" w:cs="Arial"/>
          <w:sz w:val="18"/>
          <w:szCs w:val="18"/>
        </w:rPr>
        <w:t>。</w:t>
      </w:r>
    </w:p>
    <w:p w14:paraId="14F708A3" w14:textId="77777777" w:rsidR="00000000" w:rsidRDefault="00000000">
      <w:pPr>
        <w:spacing w:line="480" w:lineRule="auto"/>
        <w:jc w:val="both"/>
        <w:rPr>
          <w:rFonts w:ascii="Arial" w:hAnsi="Arial" w:cs="Arial" w:hint="eastAsia"/>
          <w:sz w:val="21"/>
          <w:szCs w:val="21"/>
        </w:rPr>
      </w:pPr>
    </w:p>
    <w:p w14:paraId="64130385" w14:textId="77777777" w:rsidR="00000000" w:rsidRDefault="00000000">
      <w:pPr>
        <w:spacing w:line="480" w:lineRule="auto"/>
        <w:ind w:firstLineChars="2000" w:firstLine="4200"/>
        <w:jc w:val="both"/>
        <w:rPr>
          <w:rFonts w:ascii="Arial" w:hAnsi="Arial" w:cs="Arial"/>
          <w:sz w:val="21"/>
          <w:szCs w:val="21"/>
        </w:rPr>
      </w:pPr>
      <w:r>
        <w:rPr>
          <w:rFonts w:ascii="Arial" w:hAnsi="Arial" w:cs="Arial"/>
          <w:sz w:val="21"/>
          <w:szCs w:val="21"/>
        </w:rPr>
        <w:t>顺致</w:t>
      </w:r>
    </w:p>
    <w:p w14:paraId="487AE8E5" w14:textId="77777777" w:rsidR="00000000" w:rsidRDefault="00000000">
      <w:pPr>
        <w:spacing w:line="480" w:lineRule="auto"/>
        <w:ind w:firstLineChars="2000" w:firstLine="4200"/>
        <w:jc w:val="both"/>
        <w:rPr>
          <w:rFonts w:ascii="Arial" w:hAnsi="Arial" w:cs="Arial"/>
          <w:sz w:val="21"/>
          <w:szCs w:val="21"/>
        </w:rPr>
      </w:pPr>
    </w:p>
    <w:p w14:paraId="2E458264" w14:textId="77777777" w:rsidR="00000000" w:rsidRDefault="00000000">
      <w:pPr>
        <w:spacing w:line="480" w:lineRule="auto"/>
        <w:ind w:firstLineChars="200" w:firstLine="420"/>
        <w:jc w:val="both"/>
        <w:rPr>
          <w:rFonts w:ascii="Arial" w:hAnsi="Arial" w:cs="Arial"/>
          <w:sz w:val="21"/>
          <w:szCs w:val="21"/>
        </w:rPr>
      </w:pPr>
      <w:r>
        <w:rPr>
          <w:rFonts w:ascii="Arial" w:hAnsi="Arial" w:cs="Arial"/>
          <w:sz w:val="21"/>
          <w:szCs w:val="21"/>
        </w:rPr>
        <w:t>商祺</w:t>
      </w:r>
    </w:p>
    <w:p w14:paraId="3BA81111" w14:textId="77777777" w:rsidR="00000000" w:rsidRDefault="00000000">
      <w:pPr>
        <w:spacing w:line="480" w:lineRule="auto"/>
        <w:jc w:val="both"/>
        <w:rPr>
          <w:rFonts w:ascii="Arial" w:hAnsi="Arial" w:cs="Arial" w:hint="eastAsia"/>
          <w:sz w:val="21"/>
          <w:szCs w:val="21"/>
        </w:rPr>
      </w:pPr>
      <w:r>
        <w:rPr>
          <w:rFonts w:ascii="Arial" w:hAnsi="Arial" w:cs="Arial" w:hint="eastAsia"/>
          <w:sz w:val="21"/>
          <w:szCs w:val="21"/>
        </w:rPr>
        <w:t xml:space="preserve">                                               </w:t>
      </w:r>
    </w:p>
    <w:p w14:paraId="39A391BE" w14:textId="77777777" w:rsidR="00000000" w:rsidRDefault="00000000">
      <w:pPr>
        <w:spacing w:line="480" w:lineRule="auto"/>
        <w:jc w:val="both"/>
        <w:rPr>
          <w:rFonts w:ascii="Arial" w:hAnsi="Arial" w:cs="Arial" w:hint="eastAsia"/>
          <w:sz w:val="21"/>
          <w:szCs w:val="21"/>
        </w:rPr>
      </w:pPr>
    </w:p>
    <w:p w14:paraId="531AF453" w14:textId="77777777" w:rsidR="00000000" w:rsidRDefault="00000000">
      <w:pPr>
        <w:spacing w:line="480" w:lineRule="auto"/>
        <w:jc w:val="right"/>
        <w:rPr>
          <w:rFonts w:ascii="Arial" w:hAnsi="Arial" w:cs="Arial"/>
          <w:sz w:val="21"/>
          <w:szCs w:val="21"/>
        </w:rPr>
      </w:pPr>
      <w:r>
        <w:rPr>
          <w:rFonts w:ascii="Arial" w:hAnsi="Arial" w:cs="Arial" w:hint="eastAsia"/>
          <w:sz w:val="21"/>
          <w:szCs w:val="21"/>
        </w:rPr>
        <w:t xml:space="preserve"> </w:t>
      </w:r>
    </w:p>
    <w:tbl>
      <w:tblPr>
        <w:tblW w:w="0" w:type="auto"/>
        <w:tblInd w:w="5920" w:type="dxa"/>
        <w:tblLook w:val="0000" w:firstRow="0" w:lastRow="0" w:firstColumn="0" w:lastColumn="0" w:noHBand="0" w:noVBand="0"/>
      </w:tblPr>
      <w:tblGrid>
        <w:gridCol w:w="3379"/>
      </w:tblGrid>
      <w:tr w:rsidR="00000000" w14:paraId="6574E73B" w14:textId="77777777">
        <w:tc>
          <w:tcPr>
            <w:tcW w:w="3402" w:type="dxa"/>
          </w:tcPr>
          <w:p w14:paraId="4C1BE6DF" w14:textId="77777777" w:rsidR="00000000" w:rsidRDefault="00000000">
            <w:pPr>
              <w:spacing w:line="480" w:lineRule="auto"/>
              <w:rPr>
                <w:rFonts w:ascii="Arial" w:hAnsi="Arial" w:cs="Arial"/>
                <w:sz w:val="21"/>
                <w:szCs w:val="21"/>
              </w:rPr>
            </w:pPr>
            <w:r>
              <w:rPr>
                <w:rFonts w:ascii="Arial" w:hAnsi="Arial" w:cs="Arial"/>
                <w:sz w:val="21"/>
                <w:szCs w:val="21"/>
              </w:rPr>
              <w:t>北京康正宏基房地产评估有限公司</w:t>
            </w:r>
          </w:p>
        </w:tc>
      </w:tr>
      <w:tr w:rsidR="00000000" w14:paraId="7BAF8E4C" w14:textId="77777777">
        <w:trPr>
          <w:trHeight w:val="1431"/>
        </w:trPr>
        <w:tc>
          <w:tcPr>
            <w:tcW w:w="3402" w:type="dxa"/>
          </w:tcPr>
          <w:p w14:paraId="50D7A3B1" w14:textId="77777777" w:rsidR="00000000" w:rsidRDefault="00000000">
            <w:pPr>
              <w:spacing w:line="480" w:lineRule="auto"/>
              <w:rPr>
                <w:rFonts w:ascii="Arial" w:hAnsi="Arial" w:cs="Arial"/>
                <w:sz w:val="21"/>
                <w:szCs w:val="21"/>
              </w:rPr>
            </w:pPr>
            <w:r>
              <w:rPr>
                <w:rFonts w:ascii="Arial" w:hAnsi="Arial" w:cs="Arial"/>
                <w:sz w:val="21"/>
                <w:szCs w:val="21"/>
              </w:rPr>
              <w:t>法定代表人：</w:t>
            </w:r>
          </w:p>
        </w:tc>
      </w:tr>
      <w:tr w:rsidR="00000000" w14:paraId="38AEFD0B" w14:textId="77777777">
        <w:tc>
          <w:tcPr>
            <w:tcW w:w="3402" w:type="dxa"/>
          </w:tcPr>
          <w:p w14:paraId="18F2E103" w14:textId="77777777" w:rsidR="00000000" w:rsidRDefault="00000000">
            <w:pPr>
              <w:spacing w:line="480" w:lineRule="auto"/>
              <w:jc w:val="right"/>
              <w:rPr>
                <w:rFonts w:ascii="Arial" w:hAnsi="Arial" w:cs="Arial" w:hint="eastAsia"/>
                <w:sz w:val="21"/>
                <w:szCs w:val="21"/>
              </w:rPr>
            </w:pPr>
            <w:r>
              <w:rPr>
                <w:rFonts w:ascii="Arial" w:hAnsi="Arial" w:cs="Arial" w:hint="eastAsia"/>
                <w:sz w:val="21"/>
                <w:szCs w:val="21"/>
              </w:rPr>
              <w:t>二〇二五年十一月一日</w:t>
            </w:r>
          </w:p>
        </w:tc>
      </w:tr>
    </w:tbl>
    <w:p w14:paraId="2C2E5761" w14:textId="77777777" w:rsidR="00000000" w:rsidRDefault="00000000">
      <w:pPr>
        <w:spacing w:line="480" w:lineRule="auto"/>
        <w:jc w:val="right"/>
        <w:rPr>
          <w:rFonts w:ascii="Arial" w:hAnsi="Arial" w:cs="Arial"/>
          <w:sz w:val="21"/>
          <w:szCs w:val="21"/>
        </w:rPr>
      </w:pPr>
    </w:p>
    <w:p w14:paraId="08DAE98D" w14:textId="77777777" w:rsidR="00000000" w:rsidRDefault="00000000">
      <w:pPr>
        <w:spacing w:line="480" w:lineRule="auto"/>
        <w:rPr>
          <w:rFonts w:ascii="Arial" w:hAnsi="Arial" w:cs="Arial"/>
          <w:color w:val="E36C0A"/>
          <w:sz w:val="21"/>
          <w:szCs w:val="21"/>
        </w:rPr>
        <w:sectPr w:rsidR="00000000">
          <w:headerReference w:type="default" r:id="rId16"/>
          <w:pgSz w:w="11907" w:h="16840"/>
          <w:pgMar w:top="1843" w:right="1134" w:bottom="1134" w:left="1134" w:header="1134" w:footer="907" w:gutter="340"/>
          <w:pgNumType w:start="1"/>
          <w:cols w:space="720"/>
          <w:docGrid w:linePitch="326"/>
        </w:sectPr>
      </w:pPr>
    </w:p>
    <w:p w14:paraId="513E7A5F" w14:textId="77777777" w:rsidR="00000000" w:rsidRDefault="00000000">
      <w:pPr>
        <w:spacing w:line="480" w:lineRule="auto"/>
        <w:jc w:val="center"/>
        <w:outlineLvl w:val="0"/>
        <w:rPr>
          <w:rFonts w:ascii="Arial" w:eastAsia="方正黑体简体" w:hAnsi="Arial" w:cs="Arial" w:hint="eastAsia"/>
          <w:sz w:val="32"/>
          <w:szCs w:val="32"/>
        </w:rPr>
      </w:pPr>
      <w:r>
        <w:rPr>
          <w:rFonts w:ascii="Arial" w:eastAsia="方正黑体简体" w:hAnsi="Arial" w:cs="Arial" w:hint="eastAsia"/>
          <w:sz w:val="32"/>
          <w:szCs w:val="32"/>
        </w:rPr>
        <w:lastRenderedPageBreak/>
        <w:t>目</w:t>
      </w:r>
      <w:r>
        <w:rPr>
          <w:rFonts w:ascii="Arial" w:eastAsia="方正黑体简体" w:hAnsi="Arial" w:cs="Arial" w:hint="eastAsia"/>
          <w:sz w:val="32"/>
          <w:szCs w:val="32"/>
        </w:rPr>
        <w:t xml:space="preserve">   </w:t>
      </w:r>
      <w:r>
        <w:rPr>
          <w:rFonts w:ascii="Arial" w:eastAsia="方正黑体简体" w:hAnsi="Arial" w:cs="Arial" w:hint="eastAsia"/>
          <w:sz w:val="32"/>
          <w:szCs w:val="32"/>
        </w:rPr>
        <w:t>录</w:t>
      </w:r>
    </w:p>
    <w:p w14:paraId="64E97889" w14:textId="77777777" w:rsidR="00000000" w:rsidRDefault="00000000">
      <w:pPr>
        <w:pStyle w:val="TOC1"/>
        <w:tabs>
          <w:tab w:val="clear" w:pos="9072"/>
          <w:tab w:val="right" w:leader="dot" w:pos="9299"/>
        </w:tabs>
        <w:rPr>
          <w:sz w:val="24"/>
          <w:szCs w:val="24"/>
        </w:rPr>
      </w:pPr>
      <w:r>
        <w:rPr>
          <w:rFonts w:ascii="宋体" w:eastAsia="宋体" w:hAnsi="宋体" w:cs="Arial"/>
          <w:sz w:val="24"/>
          <w:szCs w:val="24"/>
        </w:rPr>
        <w:fldChar w:fldCharType="begin"/>
      </w:r>
      <w:r>
        <w:rPr>
          <w:rFonts w:ascii="宋体" w:eastAsia="宋体" w:hAnsi="宋体" w:cs="Arial"/>
          <w:sz w:val="24"/>
          <w:szCs w:val="24"/>
        </w:rPr>
        <w:instrText xml:space="preserve"> TOC \o "1-3" \h \z </w:instrText>
      </w:r>
      <w:r>
        <w:rPr>
          <w:rFonts w:ascii="宋体" w:eastAsia="宋体" w:hAnsi="宋体" w:cs="Arial"/>
          <w:sz w:val="24"/>
          <w:szCs w:val="24"/>
        </w:rPr>
        <w:fldChar w:fldCharType="separate"/>
      </w:r>
      <w:hyperlink w:anchor="_Toc22020" w:history="1">
        <w:r>
          <w:rPr>
            <w:rFonts w:eastAsia="方正黑体简体"/>
            <w:kern w:val="2"/>
            <w:sz w:val="24"/>
            <w:szCs w:val="24"/>
          </w:rPr>
          <w:t>致估价委托人函</w:t>
        </w:r>
        <w:r>
          <w:rPr>
            <w:sz w:val="24"/>
            <w:szCs w:val="24"/>
          </w:rPr>
          <w:tab/>
        </w:r>
        <w:r>
          <w:rPr>
            <w:sz w:val="24"/>
            <w:szCs w:val="24"/>
          </w:rPr>
          <w:fldChar w:fldCharType="begin"/>
        </w:r>
        <w:r>
          <w:rPr>
            <w:sz w:val="24"/>
            <w:szCs w:val="24"/>
          </w:rPr>
          <w:instrText xml:space="preserve"> PAGEREF _Toc22020 \h </w:instrText>
        </w:r>
        <w:r>
          <w:rPr>
            <w:sz w:val="24"/>
            <w:szCs w:val="24"/>
          </w:rPr>
          <w:fldChar w:fldCharType="separate"/>
        </w:r>
        <w:r>
          <w:rPr>
            <w:sz w:val="24"/>
            <w:szCs w:val="24"/>
          </w:rPr>
          <w:t>1</w:t>
        </w:r>
        <w:r>
          <w:rPr>
            <w:sz w:val="24"/>
            <w:szCs w:val="24"/>
          </w:rPr>
          <w:fldChar w:fldCharType="end"/>
        </w:r>
      </w:hyperlink>
    </w:p>
    <w:p w14:paraId="6BC1FA6E" w14:textId="77777777" w:rsidR="00000000" w:rsidRDefault="00000000">
      <w:pPr>
        <w:pStyle w:val="TOC1"/>
        <w:tabs>
          <w:tab w:val="clear" w:pos="9072"/>
          <w:tab w:val="right" w:leader="dot" w:pos="9299"/>
        </w:tabs>
        <w:rPr>
          <w:sz w:val="24"/>
          <w:szCs w:val="24"/>
        </w:rPr>
      </w:pPr>
      <w:hyperlink w:anchor="_Toc20279" w:history="1">
        <w:r>
          <w:rPr>
            <w:rFonts w:eastAsia="方正黑体简体" w:hint="eastAsia"/>
            <w:kern w:val="2"/>
            <w:sz w:val="24"/>
            <w:szCs w:val="24"/>
          </w:rPr>
          <w:t>估价师声明</w:t>
        </w:r>
        <w:r>
          <w:rPr>
            <w:sz w:val="24"/>
            <w:szCs w:val="24"/>
          </w:rPr>
          <w:tab/>
        </w:r>
        <w:r>
          <w:rPr>
            <w:sz w:val="24"/>
            <w:szCs w:val="24"/>
          </w:rPr>
          <w:fldChar w:fldCharType="begin"/>
        </w:r>
        <w:r>
          <w:rPr>
            <w:sz w:val="24"/>
            <w:szCs w:val="24"/>
          </w:rPr>
          <w:instrText xml:space="preserve"> PAGEREF _Toc20279 \h </w:instrText>
        </w:r>
        <w:r>
          <w:rPr>
            <w:sz w:val="24"/>
            <w:szCs w:val="24"/>
          </w:rPr>
          <w:fldChar w:fldCharType="separate"/>
        </w:r>
        <w:r>
          <w:rPr>
            <w:sz w:val="24"/>
            <w:szCs w:val="24"/>
          </w:rPr>
          <w:t>6</w:t>
        </w:r>
        <w:r>
          <w:rPr>
            <w:sz w:val="24"/>
            <w:szCs w:val="24"/>
          </w:rPr>
          <w:fldChar w:fldCharType="end"/>
        </w:r>
      </w:hyperlink>
    </w:p>
    <w:p w14:paraId="0BB145ED" w14:textId="77777777" w:rsidR="00000000" w:rsidRDefault="00000000">
      <w:pPr>
        <w:pStyle w:val="TOC1"/>
        <w:tabs>
          <w:tab w:val="clear" w:pos="9072"/>
          <w:tab w:val="right" w:leader="dot" w:pos="9299"/>
        </w:tabs>
        <w:rPr>
          <w:sz w:val="24"/>
          <w:szCs w:val="24"/>
        </w:rPr>
      </w:pPr>
      <w:hyperlink w:anchor="_Toc19765" w:history="1">
        <w:r>
          <w:rPr>
            <w:rFonts w:eastAsia="方正黑体简体" w:hint="eastAsia"/>
            <w:kern w:val="2"/>
            <w:sz w:val="24"/>
            <w:szCs w:val="24"/>
          </w:rPr>
          <w:t>估价假设和限制条件</w:t>
        </w:r>
        <w:r>
          <w:rPr>
            <w:sz w:val="24"/>
            <w:szCs w:val="24"/>
          </w:rPr>
          <w:tab/>
        </w:r>
        <w:r>
          <w:rPr>
            <w:sz w:val="24"/>
            <w:szCs w:val="24"/>
          </w:rPr>
          <w:fldChar w:fldCharType="begin"/>
        </w:r>
        <w:r>
          <w:rPr>
            <w:sz w:val="24"/>
            <w:szCs w:val="24"/>
          </w:rPr>
          <w:instrText xml:space="preserve"> PAGEREF _Toc19765 \h </w:instrText>
        </w:r>
        <w:r>
          <w:rPr>
            <w:sz w:val="24"/>
            <w:szCs w:val="24"/>
          </w:rPr>
          <w:fldChar w:fldCharType="separate"/>
        </w:r>
        <w:r>
          <w:rPr>
            <w:sz w:val="24"/>
            <w:szCs w:val="24"/>
          </w:rPr>
          <w:t>7</w:t>
        </w:r>
        <w:r>
          <w:rPr>
            <w:sz w:val="24"/>
            <w:szCs w:val="24"/>
          </w:rPr>
          <w:fldChar w:fldCharType="end"/>
        </w:r>
      </w:hyperlink>
    </w:p>
    <w:p w14:paraId="2AD4413B" w14:textId="77777777" w:rsidR="00000000" w:rsidRDefault="00000000">
      <w:pPr>
        <w:pStyle w:val="TOC1"/>
        <w:tabs>
          <w:tab w:val="clear" w:pos="9072"/>
          <w:tab w:val="right" w:leader="dot" w:pos="9299"/>
        </w:tabs>
      </w:pPr>
      <w:hyperlink w:anchor="_Toc16935" w:history="1">
        <w:r>
          <w:rPr>
            <w:rFonts w:eastAsia="方正黑体简体" w:hint="eastAsia"/>
            <w:kern w:val="2"/>
            <w:sz w:val="24"/>
            <w:szCs w:val="24"/>
          </w:rPr>
          <w:t>估价结果报告</w:t>
        </w:r>
        <w:r>
          <w:rPr>
            <w:sz w:val="24"/>
            <w:szCs w:val="24"/>
          </w:rPr>
          <w:tab/>
        </w:r>
        <w:r>
          <w:rPr>
            <w:sz w:val="24"/>
            <w:szCs w:val="24"/>
          </w:rPr>
          <w:fldChar w:fldCharType="begin"/>
        </w:r>
        <w:r>
          <w:rPr>
            <w:sz w:val="24"/>
            <w:szCs w:val="24"/>
          </w:rPr>
          <w:instrText xml:space="preserve"> PAGEREF _Toc16935 \h </w:instrText>
        </w:r>
        <w:r>
          <w:rPr>
            <w:sz w:val="24"/>
            <w:szCs w:val="24"/>
          </w:rPr>
          <w:fldChar w:fldCharType="separate"/>
        </w:r>
        <w:r>
          <w:rPr>
            <w:sz w:val="24"/>
            <w:szCs w:val="24"/>
          </w:rPr>
          <w:t>10</w:t>
        </w:r>
        <w:r>
          <w:rPr>
            <w:sz w:val="24"/>
            <w:szCs w:val="24"/>
          </w:rPr>
          <w:fldChar w:fldCharType="end"/>
        </w:r>
      </w:hyperlink>
    </w:p>
    <w:p w14:paraId="2BD74DC0" w14:textId="77777777" w:rsidR="00000000" w:rsidRDefault="00000000">
      <w:pPr>
        <w:pStyle w:val="TOC2"/>
        <w:tabs>
          <w:tab w:val="clear" w:pos="9072"/>
          <w:tab w:val="right" w:leader="dot" w:pos="9299"/>
        </w:tabs>
        <w:rPr>
          <w:sz w:val="22"/>
          <w:szCs w:val="18"/>
        </w:rPr>
      </w:pPr>
      <w:hyperlink w:anchor="_Toc21377" w:history="1">
        <w:r>
          <w:rPr>
            <w:rFonts w:eastAsia="宋体"/>
            <w:kern w:val="2"/>
            <w:sz w:val="22"/>
          </w:rPr>
          <w:t>一、估价委托人</w:t>
        </w:r>
        <w:r>
          <w:rPr>
            <w:sz w:val="22"/>
            <w:szCs w:val="18"/>
          </w:rPr>
          <w:tab/>
        </w:r>
        <w:r>
          <w:rPr>
            <w:sz w:val="22"/>
            <w:szCs w:val="18"/>
          </w:rPr>
          <w:fldChar w:fldCharType="begin"/>
        </w:r>
        <w:r>
          <w:rPr>
            <w:sz w:val="22"/>
            <w:szCs w:val="18"/>
          </w:rPr>
          <w:instrText xml:space="preserve"> PAGEREF _Toc21377 \h </w:instrText>
        </w:r>
        <w:r>
          <w:rPr>
            <w:sz w:val="22"/>
            <w:szCs w:val="18"/>
          </w:rPr>
          <w:fldChar w:fldCharType="separate"/>
        </w:r>
        <w:r>
          <w:rPr>
            <w:sz w:val="22"/>
            <w:szCs w:val="18"/>
          </w:rPr>
          <w:t>10</w:t>
        </w:r>
        <w:r>
          <w:rPr>
            <w:sz w:val="22"/>
            <w:szCs w:val="18"/>
          </w:rPr>
          <w:fldChar w:fldCharType="end"/>
        </w:r>
      </w:hyperlink>
    </w:p>
    <w:p w14:paraId="7DCE8601" w14:textId="77777777" w:rsidR="00000000" w:rsidRDefault="00000000">
      <w:pPr>
        <w:pStyle w:val="TOC2"/>
        <w:tabs>
          <w:tab w:val="clear" w:pos="9072"/>
          <w:tab w:val="right" w:leader="dot" w:pos="9299"/>
        </w:tabs>
        <w:rPr>
          <w:sz w:val="22"/>
          <w:szCs w:val="18"/>
        </w:rPr>
      </w:pPr>
      <w:hyperlink w:anchor="_Toc22547" w:history="1">
        <w:r>
          <w:rPr>
            <w:rFonts w:eastAsia="宋体"/>
            <w:kern w:val="2"/>
            <w:sz w:val="22"/>
          </w:rPr>
          <w:t>二、房地产估价机构</w:t>
        </w:r>
        <w:r>
          <w:rPr>
            <w:sz w:val="22"/>
            <w:szCs w:val="18"/>
          </w:rPr>
          <w:tab/>
        </w:r>
        <w:r>
          <w:rPr>
            <w:sz w:val="22"/>
            <w:szCs w:val="18"/>
          </w:rPr>
          <w:fldChar w:fldCharType="begin"/>
        </w:r>
        <w:r>
          <w:rPr>
            <w:sz w:val="22"/>
            <w:szCs w:val="18"/>
          </w:rPr>
          <w:instrText xml:space="preserve"> PAGEREF _Toc22547 \h </w:instrText>
        </w:r>
        <w:r>
          <w:rPr>
            <w:sz w:val="22"/>
            <w:szCs w:val="18"/>
          </w:rPr>
          <w:fldChar w:fldCharType="separate"/>
        </w:r>
        <w:r>
          <w:rPr>
            <w:sz w:val="22"/>
            <w:szCs w:val="18"/>
          </w:rPr>
          <w:t>10</w:t>
        </w:r>
        <w:r>
          <w:rPr>
            <w:sz w:val="22"/>
            <w:szCs w:val="18"/>
          </w:rPr>
          <w:fldChar w:fldCharType="end"/>
        </w:r>
      </w:hyperlink>
    </w:p>
    <w:p w14:paraId="76F7CA99" w14:textId="77777777" w:rsidR="00000000" w:rsidRDefault="00000000">
      <w:pPr>
        <w:pStyle w:val="TOC2"/>
        <w:tabs>
          <w:tab w:val="clear" w:pos="9072"/>
          <w:tab w:val="right" w:leader="dot" w:pos="9299"/>
        </w:tabs>
        <w:rPr>
          <w:sz w:val="22"/>
          <w:szCs w:val="18"/>
        </w:rPr>
      </w:pPr>
      <w:hyperlink w:anchor="_Toc17650" w:history="1">
        <w:r>
          <w:rPr>
            <w:rFonts w:eastAsia="宋体"/>
            <w:kern w:val="2"/>
            <w:sz w:val="22"/>
          </w:rPr>
          <w:t>三、估价目的</w:t>
        </w:r>
        <w:r>
          <w:rPr>
            <w:sz w:val="22"/>
            <w:szCs w:val="18"/>
          </w:rPr>
          <w:tab/>
        </w:r>
        <w:r>
          <w:rPr>
            <w:sz w:val="22"/>
            <w:szCs w:val="18"/>
          </w:rPr>
          <w:fldChar w:fldCharType="begin"/>
        </w:r>
        <w:r>
          <w:rPr>
            <w:sz w:val="22"/>
            <w:szCs w:val="18"/>
          </w:rPr>
          <w:instrText xml:space="preserve"> PAGEREF _Toc17650 \h </w:instrText>
        </w:r>
        <w:r>
          <w:rPr>
            <w:sz w:val="22"/>
            <w:szCs w:val="18"/>
          </w:rPr>
          <w:fldChar w:fldCharType="separate"/>
        </w:r>
        <w:r>
          <w:rPr>
            <w:sz w:val="22"/>
            <w:szCs w:val="18"/>
          </w:rPr>
          <w:t>10</w:t>
        </w:r>
        <w:r>
          <w:rPr>
            <w:sz w:val="22"/>
            <w:szCs w:val="18"/>
          </w:rPr>
          <w:fldChar w:fldCharType="end"/>
        </w:r>
      </w:hyperlink>
    </w:p>
    <w:p w14:paraId="1B2441B3" w14:textId="77777777" w:rsidR="00000000" w:rsidRDefault="00000000">
      <w:pPr>
        <w:pStyle w:val="TOC2"/>
        <w:tabs>
          <w:tab w:val="clear" w:pos="9072"/>
          <w:tab w:val="right" w:leader="dot" w:pos="9299"/>
        </w:tabs>
        <w:rPr>
          <w:sz w:val="22"/>
          <w:szCs w:val="18"/>
        </w:rPr>
      </w:pPr>
      <w:hyperlink w:anchor="_Toc24901" w:history="1">
        <w:r>
          <w:rPr>
            <w:rFonts w:eastAsia="宋体"/>
            <w:kern w:val="2"/>
            <w:sz w:val="22"/>
          </w:rPr>
          <w:t>四、估价对象</w:t>
        </w:r>
        <w:r>
          <w:rPr>
            <w:sz w:val="22"/>
            <w:szCs w:val="18"/>
          </w:rPr>
          <w:tab/>
        </w:r>
        <w:r>
          <w:rPr>
            <w:sz w:val="22"/>
            <w:szCs w:val="18"/>
          </w:rPr>
          <w:fldChar w:fldCharType="begin"/>
        </w:r>
        <w:r>
          <w:rPr>
            <w:sz w:val="22"/>
            <w:szCs w:val="18"/>
          </w:rPr>
          <w:instrText xml:space="preserve"> PAGEREF _Toc24901 \h </w:instrText>
        </w:r>
        <w:r>
          <w:rPr>
            <w:sz w:val="22"/>
            <w:szCs w:val="18"/>
          </w:rPr>
          <w:fldChar w:fldCharType="separate"/>
        </w:r>
        <w:r>
          <w:rPr>
            <w:sz w:val="22"/>
            <w:szCs w:val="18"/>
          </w:rPr>
          <w:t>10</w:t>
        </w:r>
        <w:r>
          <w:rPr>
            <w:sz w:val="22"/>
            <w:szCs w:val="18"/>
          </w:rPr>
          <w:fldChar w:fldCharType="end"/>
        </w:r>
      </w:hyperlink>
    </w:p>
    <w:p w14:paraId="58F93C14" w14:textId="77777777" w:rsidR="00000000" w:rsidRDefault="00000000">
      <w:pPr>
        <w:pStyle w:val="TOC2"/>
        <w:tabs>
          <w:tab w:val="clear" w:pos="9072"/>
          <w:tab w:val="right" w:leader="dot" w:pos="9299"/>
        </w:tabs>
        <w:rPr>
          <w:sz w:val="22"/>
          <w:szCs w:val="18"/>
        </w:rPr>
      </w:pPr>
      <w:hyperlink w:anchor="_Toc11111" w:history="1">
        <w:r>
          <w:rPr>
            <w:rFonts w:eastAsia="宋体"/>
            <w:kern w:val="2"/>
            <w:sz w:val="22"/>
          </w:rPr>
          <w:t>五、价值时点</w:t>
        </w:r>
        <w:r>
          <w:rPr>
            <w:sz w:val="22"/>
            <w:szCs w:val="18"/>
          </w:rPr>
          <w:tab/>
        </w:r>
        <w:r>
          <w:rPr>
            <w:sz w:val="22"/>
            <w:szCs w:val="18"/>
          </w:rPr>
          <w:fldChar w:fldCharType="begin"/>
        </w:r>
        <w:r>
          <w:rPr>
            <w:sz w:val="22"/>
            <w:szCs w:val="18"/>
          </w:rPr>
          <w:instrText xml:space="preserve"> PAGEREF _Toc11111 \h </w:instrText>
        </w:r>
        <w:r>
          <w:rPr>
            <w:sz w:val="22"/>
            <w:szCs w:val="18"/>
          </w:rPr>
          <w:fldChar w:fldCharType="separate"/>
        </w:r>
        <w:r>
          <w:rPr>
            <w:sz w:val="22"/>
            <w:szCs w:val="18"/>
          </w:rPr>
          <w:t>14</w:t>
        </w:r>
        <w:r>
          <w:rPr>
            <w:sz w:val="22"/>
            <w:szCs w:val="18"/>
          </w:rPr>
          <w:fldChar w:fldCharType="end"/>
        </w:r>
      </w:hyperlink>
    </w:p>
    <w:p w14:paraId="6C82B31D" w14:textId="77777777" w:rsidR="00000000" w:rsidRDefault="00000000">
      <w:pPr>
        <w:pStyle w:val="TOC2"/>
        <w:tabs>
          <w:tab w:val="clear" w:pos="9072"/>
          <w:tab w:val="right" w:leader="dot" w:pos="9299"/>
        </w:tabs>
        <w:rPr>
          <w:sz w:val="22"/>
          <w:szCs w:val="18"/>
        </w:rPr>
      </w:pPr>
      <w:hyperlink w:anchor="_Toc22494" w:history="1">
        <w:r>
          <w:rPr>
            <w:rFonts w:ascii="Arial" w:eastAsia="宋体;SimSun" w:hAnsi="Arial" w:cs="Arial"/>
            <w:bCs/>
            <w:kern w:val="2"/>
            <w:sz w:val="22"/>
          </w:rPr>
          <w:t>六、价值类型</w:t>
        </w:r>
        <w:r>
          <w:rPr>
            <w:sz w:val="22"/>
            <w:szCs w:val="18"/>
          </w:rPr>
          <w:tab/>
        </w:r>
        <w:r>
          <w:rPr>
            <w:sz w:val="22"/>
            <w:szCs w:val="18"/>
          </w:rPr>
          <w:fldChar w:fldCharType="begin"/>
        </w:r>
        <w:r>
          <w:rPr>
            <w:sz w:val="22"/>
            <w:szCs w:val="18"/>
          </w:rPr>
          <w:instrText xml:space="preserve"> PAGEREF _Toc22494 \h </w:instrText>
        </w:r>
        <w:r>
          <w:rPr>
            <w:sz w:val="22"/>
            <w:szCs w:val="18"/>
          </w:rPr>
          <w:fldChar w:fldCharType="separate"/>
        </w:r>
        <w:r>
          <w:rPr>
            <w:sz w:val="22"/>
            <w:szCs w:val="18"/>
          </w:rPr>
          <w:t>14</w:t>
        </w:r>
        <w:r>
          <w:rPr>
            <w:sz w:val="22"/>
            <w:szCs w:val="18"/>
          </w:rPr>
          <w:fldChar w:fldCharType="end"/>
        </w:r>
      </w:hyperlink>
    </w:p>
    <w:p w14:paraId="6D1E564B" w14:textId="77777777" w:rsidR="00000000" w:rsidRDefault="00000000">
      <w:pPr>
        <w:pStyle w:val="TOC2"/>
        <w:tabs>
          <w:tab w:val="clear" w:pos="9072"/>
          <w:tab w:val="right" w:leader="dot" w:pos="9299"/>
        </w:tabs>
        <w:rPr>
          <w:sz w:val="22"/>
          <w:szCs w:val="18"/>
        </w:rPr>
      </w:pPr>
      <w:hyperlink w:anchor="_Toc14680" w:history="1">
        <w:r>
          <w:rPr>
            <w:rFonts w:ascii="Arial" w:eastAsia="宋体;SimSun" w:hAnsi="Arial" w:cs="Arial" w:hint="eastAsia"/>
            <w:bCs/>
            <w:kern w:val="2"/>
            <w:sz w:val="22"/>
          </w:rPr>
          <w:t>（一）价值类型</w:t>
        </w:r>
        <w:r>
          <w:rPr>
            <w:sz w:val="22"/>
            <w:szCs w:val="18"/>
          </w:rPr>
          <w:tab/>
        </w:r>
        <w:r>
          <w:rPr>
            <w:sz w:val="22"/>
            <w:szCs w:val="18"/>
          </w:rPr>
          <w:fldChar w:fldCharType="begin"/>
        </w:r>
        <w:r>
          <w:rPr>
            <w:sz w:val="22"/>
            <w:szCs w:val="18"/>
          </w:rPr>
          <w:instrText xml:space="preserve"> PAGEREF _Toc14680 \h </w:instrText>
        </w:r>
        <w:r>
          <w:rPr>
            <w:sz w:val="22"/>
            <w:szCs w:val="18"/>
          </w:rPr>
          <w:fldChar w:fldCharType="separate"/>
        </w:r>
        <w:r>
          <w:rPr>
            <w:sz w:val="22"/>
            <w:szCs w:val="18"/>
          </w:rPr>
          <w:t>14</w:t>
        </w:r>
        <w:r>
          <w:rPr>
            <w:sz w:val="22"/>
            <w:szCs w:val="18"/>
          </w:rPr>
          <w:fldChar w:fldCharType="end"/>
        </w:r>
      </w:hyperlink>
    </w:p>
    <w:p w14:paraId="3FE177B4" w14:textId="77777777" w:rsidR="00000000" w:rsidRDefault="00000000">
      <w:pPr>
        <w:pStyle w:val="TOC2"/>
        <w:tabs>
          <w:tab w:val="clear" w:pos="9072"/>
          <w:tab w:val="right" w:leader="dot" w:pos="9299"/>
        </w:tabs>
        <w:rPr>
          <w:sz w:val="22"/>
          <w:szCs w:val="18"/>
        </w:rPr>
      </w:pPr>
      <w:hyperlink w:anchor="_Toc2558" w:history="1">
        <w:r>
          <w:rPr>
            <w:rFonts w:eastAsia="宋体"/>
            <w:kern w:val="2"/>
            <w:sz w:val="22"/>
          </w:rPr>
          <w:t>七、估价原则</w:t>
        </w:r>
        <w:r>
          <w:rPr>
            <w:sz w:val="22"/>
            <w:szCs w:val="18"/>
          </w:rPr>
          <w:tab/>
        </w:r>
        <w:r>
          <w:rPr>
            <w:sz w:val="22"/>
            <w:szCs w:val="18"/>
          </w:rPr>
          <w:fldChar w:fldCharType="begin"/>
        </w:r>
        <w:r>
          <w:rPr>
            <w:sz w:val="22"/>
            <w:szCs w:val="18"/>
          </w:rPr>
          <w:instrText xml:space="preserve"> PAGEREF _Toc2558 \h </w:instrText>
        </w:r>
        <w:r>
          <w:rPr>
            <w:sz w:val="22"/>
            <w:szCs w:val="18"/>
          </w:rPr>
          <w:fldChar w:fldCharType="separate"/>
        </w:r>
        <w:r>
          <w:rPr>
            <w:sz w:val="22"/>
            <w:szCs w:val="18"/>
          </w:rPr>
          <w:t>15</w:t>
        </w:r>
        <w:r>
          <w:rPr>
            <w:sz w:val="22"/>
            <w:szCs w:val="18"/>
          </w:rPr>
          <w:fldChar w:fldCharType="end"/>
        </w:r>
      </w:hyperlink>
    </w:p>
    <w:p w14:paraId="47BA02FE" w14:textId="77777777" w:rsidR="00000000" w:rsidRDefault="00000000">
      <w:pPr>
        <w:pStyle w:val="TOC2"/>
        <w:tabs>
          <w:tab w:val="clear" w:pos="9072"/>
          <w:tab w:val="right" w:leader="dot" w:pos="9299"/>
        </w:tabs>
        <w:rPr>
          <w:sz w:val="22"/>
          <w:szCs w:val="18"/>
        </w:rPr>
      </w:pPr>
      <w:hyperlink w:anchor="_Toc31679" w:history="1">
        <w:r>
          <w:rPr>
            <w:rFonts w:eastAsia="宋体"/>
            <w:kern w:val="2"/>
            <w:sz w:val="22"/>
          </w:rPr>
          <w:t>八、估价依据</w:t>
        </w:r>
        <w:r>
          <w:rPr>
            <w:sz w:val="22"/>
            <w:szCs w:val="18"/>
          </w:rPr>
          <w:tab/>
        </w:r>
        <w:r>
          <w:rPr>
            <w:sz w:val="22"/>
            <w:szCs w:val="18"/>
          </w:rPr>
          <w:fldChar w:fldCharType="begin"/>
        </w:r>
        <w:r>
          <w:rPr>
            <w:sz w:val="22"/>
            <w:szCs w:val="18"/>
          </w:rPr>
          <w:instrText xml:space="preserve"> PAGEREF _Toc31679 \h </w:instrText>
        </w:r>
        <w:r>
          <w:rPr>
            <w:sz w:val="22"/>
            <w:szCs w:val="18"/>
          </w:rPr>
          <w:fldChar w:fldCharType="separate"/>
        </w:r>
        <w:r>
          <w:rPr>
            <w:sz w:val="22"/>
            <w:szCs w:val="18"/>
          </w:rPr>
          <w:t>17</w:t>
        </w:r>
        <w:r>
          <w:rPr>
            <w:sz w:val="22"/>
            <w:szCs w:val="18"/>
          </w:rPr>
          <w:fldChar w:fldCharType="end"/>
        </w:r>
      </w:hyperlink>
    </w:p>
    <w:p w14:paraId="46119281" w14:textId="77777777" w:rsidR="00000000" w:rsidRDefault="00000000">
      <w:pPr>
        <w:pStyle w:val="TOC2"/>
        <w:tabs>
          <w:tab w:val="clear" w:pos="9072"/>
          <w:tab w:val="right" w:leader="dot" w:pos="9299"/>
        </w:tabs>
        <w:rPr>
          <w:sz w:val="22"/>
          <w:szCs w:val="18"/>
        </w:rPr>
      </w:pPr>
      <w:hyperlink w:anchor="_Toc29328" w:history="1">
        <w:r>
          <w:rPr>
            <w:rFonts w:eastAsia="宋体"/>
            <w:kern w:val="2"/>
            <w:sz w:val="22"/>
          </w:rPr>
          <w:t>九、</w:t>
        </w:r>
        <w:r>
          <w:rPr>
            <w:rFonts w:eastAsia="宋体"/>
            <w:kern w:val="2"/>
            <w:sz w:val="22"/>
          </w:rPr>
          <w:t xml:space="preserve"> </w:t>
        </w:r>
        <w:r>
          <w:rPr>
            <w:rFonts w:eastAsia="宋体"/>
            <w:kern w:val="2"/>
            <w:sz w:val="22"/>
          </w:rPr>
          <w:t>估价方法</w:t>
        </w:r>
        <w:r>
          <w:rPr>
            <w:sz w:val="22"/>
            <w:szCs w:val="18"/>
          </w:rPr>
          <w:tab/>
        </w:r>
        <w:r>
          <w:rPr>
            <w:sz w:val="22"/>
            <w:szCs w:val="18"/>
          </w:rPr>
          <w:fldChar w:fldCharType="begin"/>
        </w:r>
        <w:r>
          <w:rPr>
            <w:sz w:val="22"/>
            <w:szCs w:val="18"/>
          </w:rPr>
          <w:instrText xml:space="preserve"> PAGEREF _Toc29328 \h </w:instrText>
        </w:r>
        <w:r>
          <w:rPr>
            <w:sz w:val="22"/>
            <w:szCs w:val="18"/>
          </w:rPr>
          <w:fldChar w:fldCharType="separate"/>
        </w:r>
        <w:r>
          <w:rPr>
            <w:sz w:val="22"/>
            <w:szCs w:val="18"/>
          </w:rPr>
          <w:t>19</w:t>
        </w:r>
        <w:r>
          <w:rPr>
            <w:sz w:val="22"/>
            <w:szCs w:val="18"/>
          </w:rPr>
          <w:fldChar w:fldCharType="end"/>
        </w:r>
      </w:hyperlink>
    </w:p>
    <w:p w14:paraId="2B2E3C9A" w14:textId="77777777" w:rsidR="00000000" w:rsidRDefault="00000000">
      <w:pPr>
        <w:pStyle w:val="TOC2"/>
        <w:tabs>
          <w:tab w:val="clear" w:pos="9072"/>
          <w:tab w:val="right" w:leader="dot" w:pos="9299"/>
        </w:tabs>
        <w:rPr>
          <w:sz w:val="22"/>
          <w:szCs w:val="18"/>
        </w:rPr>
      </w:pPr>
      <w:hyperlink w:anchor="_Toc1105" w:history="1">
        <w:r>
          <w:rPr>
            <w:rFonts w:eastAsia="宋体"/>
            <w:kern w:val="2"/>
            <w:sz w:val="22"/>
          </w:rPr>
          <w:t>十、估价结果</w:t>
        </w:r>
        <w:r>
          <w:rPr>
            <w:sz w:val="22"/>
            <w:szCs w:val="18"/>
          </w:rPr>
          <w:tab/>
        </w:r>
        <w:r>
          <w:rPr>
            <w:sz w:val="22"/>
            <w:szCs w:val="18"/>
          </w:rPr>
          <w:fldChar w:fldCharType="begin"/>
        </w:r>
        <w:r>
          <w:rPr>
            <w:sz w:val="22"/>
            <w:szCs w:val="18"/>
          </w:rPr>
          <w:instrText xml:space="preserve"> PAGEREF _Toc1105 \h </w:instrText>
        </w:r>
        <w:r>
          <w:rPr>
            <w:sz w:val="22"/>
            <w:szCs w:val="18"/>
          </w:rPr>
          <w:fldChar w:fldCharType="separate"/>
        </w:r>
        <w:r>
          <w:rPr>
            <w:sz w:val="22"/>
            <w:szCs w:val="18"/>
          </w:rPr>
          <w:t>21</w:t>
        </w:r>
        <w:r>
          <w:rPr>
            <w:sz w:val="22"/>
            <w:szCs w:val="18"/>
          </w:rPr>
          <w:fldChar w:fldCharType="end"/>
        </w:r>
      </w:hyperlink>
    </w:p>
    <w:p w14:paraId="27D79C57" w14:textId="77777777" w:rsidR="00000000" w:rsidRDefault="00000000">
      <w:pPr>
        <w:pStyle w:val="TOC2"/>
        <w:tabs>
          <w:tab w:val="clear" w:pos="9072"/>
          <w:tab w:val="right" w:leader="dot" w:pos="9299"/>
        </w:tabs>
        <w:rPr>
          <w:sz w:val="22"/>
          <w:szCs w:val="18"/>
        </w:rPr>
      </w:pPr>
      <w:hyperlink w:anchor="_Toc7458" w:history="1">
        <w:r>
          <w:rPr>
            <w:rFonts w:eastAsia="宋体"/>
            <w:kern w:val="2"/>
            <w:sz w:val="22"/>
          </w:rPr>
          <w:t>十一、参与本次估价工作的</w:t>
        </w:r>
        <w:r>
          <w:rPr>
            <w:rFonts w:eastAsia="宋体" w:hint="eastAsia"/>
            <w:kern w:val="2"/>
            <w:sz w:val="22"/>
          </w:rPr>
          <w:t>评估专业</w:t>
        </w:r>
        <w:r>
          <w:rPr>
            <w:rFonts w:eastAsia="宋体"/>
            <w:kern w:val="2"/>
            <w:sz w:val="22"/>
          </w:rPr>
          <w:t>人员</w:t>
        </w:r>
        <w:r>
          <w:rPr>
            <w:sz w:val="22"/>
            <w:szCs w:val="18"/>
          </w:rPr>
          <w:tab/>
        </w:r>
        <w:r>
          <w:rPr>
            <w:sz w:val="22"/>
            <w:szCs w:val="18"/>
          </w:rPr>
          <w:fldChar w:fldCharType="begin"/>
        </w:r>
        <w:r>
          <w:rPr>
            <w:sz w:val="22"/>
            <w:szCs w:val="18"/>
          </w:rPr>
          <w:instrText xml:space="preserve"> PAGEREF _Toc7458 \h </w:instrText>
        </w:r>
        <w:r>
          <w:rPr>
            <w:sz w:val="22"/>
            <w:szCs w:val="18"/>
          </w:rPr>
          <w:fldChar w:fldCharType="separate"/>
        </w:r>
        <w:r>
          <w:rPr>
            <w:sz w:val="22"/>
            <w:szCs w:val="18"/>
          </w:rPr>
          <w:t>23</w:t>
        </w:r>
        <w:r>
          <w:rPr>
            <w:sz w:val="22"/>
            <w:szCs w:val="18"/>
          </w:rPr>
          <w:fldChar w:fldCharType="end"/>
        </w:r>
      </w:hyperlink>
    </w:p>
    <w:p w14:paraId="15957885" w14:textId="77777777" w:rsidR="00000000" w:rsidRDefault="00000000">
      <w:pPr>
        <w:pStyle w:val="TOC2"/>
        <w:tabs>
          <w:tab w:val="clear" w:pos="9072"/>
          <w:tab w:val="right" w:leader="dot" w:pos="9299"/>
        </w:tabs>
        <w:rPr>
          <w:sz w:val="22"/>
          <w:szCs w:val="18"/>
        </w:rPr>
      </w:pPr>
      <w:hyperlink w:anchor="_Toc5734" w:history="1">
        <w:r>
          <w:rPr>
            <w:rFonts w:eastAsia="宋体"/>
            <w:kern w:val="2"/>
            <w:sz w:val="22"/>
          </w:rPr>
          <w:t>十二、实地查勘期</w:t>
        </w:r>
        <w:r>
          <w:rPr>
            <w:sz w:val="22"/>
            <w:szCs w:val="18"/>
          </w:rPr>
          <w:tab/>
        </w:r>
        <w:r>
          <w:rPr>
            <w:sz w:val="22"/>
            <w:szCs w:val="18"/>
          </w:rPr>
          <w:fldChar w:fldCharType="begin"/>
        </w:r>
        <w:r>
          <w:rPr>
            <w:sz w:val="22"/>
            <w:szCs w:val="18"/>
          </w:rPr>
          <w:instrText xml:space="preserve"> PAGEREF _Toc5734 \h </w:instrText>
        </w:r>
        <w:r>
          <w:rPr>
            <w:sz w:val="22"/>
            <w:szCs w:val="18"/>
          </w:rPr>
          <w:fldChar w:fldCharType="separate"/>
        </w:r>
        <w:r>
          <w:rPr>
            <w:sz w:val="22"/>
            <w:szCs w:val="18"/>
          </w:rPr>
          <w:t>23</w:t>
        </w:r>
        <w:r>
          <w:rPr>
            <w:sz w:val="22"/>
            <w:szCs w:val="18"/>
          </w:rPr>
          <w:fldChar w:fldCharType="end"/>
        </w:r>
      </w:hyperlink>
    </w:p>
    <w:p w14:paraId="223D41A9" w14:textId="77777777" w:rsidR="00000000" w:rsidRDefault="00000000">
      <w:pPr>
        <w:pStyle w:val="TOC2"/>
        <w:tabs>
          <w:tab w:val="clear" w:pos="9072"/>
          <w:tab w:val="right" w:leader="dot" w:pos="9299"/>
        </w:tabs>
      </w:pPr>
      <w:hyperlink w:anchor="_Toc5537" w:history="1">
        <w:r>
          <w:rPr>
            <w:rFonts w:eastAsia="宋体"/>
            <w:kern w:val="2"/>
            <w:sz w:val="22"/>
          </w:rPr>
          <w:t>十三、估价作业期</w:t>
        </w:r>
        <w:r>
          <w:rPr>
            <w:sz w:val="22"/>
            <w:szCs w:val="18"/>
          </w:rPr>
          <w:tab/>
        </w:r>
        <w:r>
          <w:rPr>
            <w:sz w:val="22"/>
            <w:szCs w:val="18"/>
          </w:rPr>
          <w:fldChar w:fldCharType="begin"/>
        </w:r>
        <w:r>
          <w:rPr>
            <w:sz w:val="22"/>
            <w:szCs w:val="18"/>
          </w:rPr>
          <w:instrText xml:space="preserve"> PAGEREF _Toc5537 \h </w:instrText>
        </w:r>
        <w:r>
          <w:rPr>
            <w:sz w:val="22"/>
            <w:szCs w:val="18"/>
          </w:rPr>
          <w:fldChar w:fldCharType="separate"/>
        </w:r>
        <w:r>
          <w:rPr>
            <w:sz w:val="22"/>
            <w:szCs w:val="18"/>
          </w:rPr>
          <w:t>23</w:t>
        </w:r>
        <w:r>
          <w:rPr>
            <w:sz w:val="22"/>
            <w:szCs w:val="18"/>
          </w:rPr>
          <w:fldChar w:fldCharType="end"/>
        </w:r>
      </w:hyperlink>
    </w:p>
    <w:p w14:paraId="230CC4D7" w14:textId="77777777" w:rsidR="00000000" w:rsidRDefault="00000000">
      <w:pPr>
        <w:pStyle w:val="TOC1"/>
        <w:tabs>
          <w:tab w:val="clear" w:pos="9072"/>
          <w:tab w:val="right" w:leader="dot" w:pos="9299"/>
        </w:tabs>
        <w:rPr>
          <w:sz w:val="24"/>
          <w:szCs w:val="24"/>
        </w:rPr>
      </w:pPr>
      <w:hyperlink w:anchor="_Toc29767" w:history="1">
        <w:r>
          <w:rPr>
            <w:rFonts w:eastAsia="方正黑体简体" w:hint="eastAsia"/>
            <w:kern w:val="2"/>
            <w:sz w:val="24"/>
            <w:szCs w:val="24"/>
          </w:rPr>
          <w:t>估价技术报告</w:t>
        </w:r>
        <w:r>
          <w:rPr>
            <w:sz w:val="24"/>
            <w:szCs w:val="24"/>
          </w:rPr>
          <w:tab/>
        </w:r>
        <w:r>
          <w:rPr>
            <w:sz w:val="24"/>
            <w:szCs w:val="24"/>
          </w:rPr>
          <w:fldChar w:fldCharType="begin"/>
        </w:r>
        <w:r>
          <w:rPr>
            <w:sz w:val="24"/>
            <w:szCs w:val="24"/>
          </w:rPr>
          <w:instrText xml:space="preserve"> PAGEREF _Toc29767 \h </w:instrText>
        </w:r>
        <w:r>
          <w:rPr>
            <w:sz w:val="24"/>
            <w:szCs w:val="24"/>
          </w:rPr>
          <w:fldChar w:fldCharType="separate"/>
        </w:r>
        <w:r>
          <w:rPr>
            <w:sz w:val="24"/>
            <w:szCs w:val="24"/>
          </w:rPr>
          <w:t>24</w:t>
        </w:r>
        <w:r>
          <w:rPr>
            <w:sz w:val="24"/>
            <w:szCs w:val="24"/>
          </w:rPr>
          <w:fldChar w:fldCharType="end"/>
        </w:r>
      </w:hyperlink>
    </w:p>
    <w:p w14:paraId="3BE83AC8" w14:textId="77777777" w:rsidR="00000000" w:rsidRDefault="00000000">
      <w:pPr>
        <w:pStyle w:val="TOC2"/>
        <w:tabs>
          <w:tab w:val="clear" w:pos="9072"/>
          <w:tab w:val="right" w:leader="dot" w:pos="9299"/>
        </w:tabs>
        <w:rPr>
          <w:sz w:val="22"/>
          <w:szCs w:val="18"/>
        </w:rPr>
      </w:pPr>
      <w:hyperlink w:anchor="_Toc11012" w:history="1">
        <w:r>
          <w:rPr>
            <w:rFonts w:eastAsia="宋体"/>
            <w:kern w:val="2"/>
            <w:sz w:val="22"/>
          </w:rPr>
          <w:t>一、估价对象描述与分析</w:t>
        </w:r>
        <w:r>
          <w:rPr>
            <w:sz w:val="22"/>
            <w:szCs w:val="18"/>
          </w:rPr>
          <w:tab/>
        </w:r>
        <w:r>
          <w:rPr>
            <w:sz w:val="22"/>
            <w:szCs w:val="18"/>
          </w:rPr>
          <w:fldChar w:fldCharType="begin"/>
        </w:r>
        <w:r>
          <w:rPr>
            <w:sz w:val="22"/>
            <w:szCs w:val="18"/>
          </w:rPr>
          <w:instrText xml:space="preserve"> PAGEREF _Toc11012 \h </w:instrText>
        </w:r>
        <w:r>
          <w:rPr>
            <w:sz w:val="22"/>
            <w:szCs w:val="18"/>
          </w:rPr>
          <w:fldChar w:fldCharType="separate"/>
        </w:r>
        <w:r>
          <w:rPr>
            <w:sz w:val="22"/>
            <w:szCs w:val="18"/>
          </w:rPr>
          <w:t>24</w:t>
        </w:r>
        <w:r>
          <w:rPr>
            <w:sz w:val="22"/>
            <w:szCs w:val="18"/>
          </w:rPr>
          <w:fldChar w:fldCharType="end"/>
        </w:r>
      </w:hyperlink>
    </w:p>
    <w:p w14:paraId="5723D9DB" w14:textId="77777777" w:rsidR="00000000" w:rsidRDefault="00000000">
      <w:pPr>
        <w:pStyle w:val="TOC2"/>
        <w:tabs>
          <w:tab w:val="clear" w:pos="9072"/>
          <w:tab w:val="right" w:leader="dot" w:pos="9299"/>
        </w:tabs>
        <w:rPr>
          <w:sz w:val="22"/>
          <w:szCs w:val="18"/>
        </w:rPr>
      </w:pPr>
      <w:hyperlink w:anchor="_Toc6068" w:history="1">
        <w:r>
          <w:rPr>
            <w:rFonts w:eastAsia="宋体"/>
            <w:kern w:val="2"/>
            <w:sz w:val="22"/>
          </w:rPr>
          <w:t>（</w:t>
        </w:r>
        <w:r>
          <w:rPr>
            <w:rFonts w:eastAsia="宋体" w:hint="eastAsia"/>
            <w:kern w:val="2"/>
            <w:sz w:val="22"/>
          </w:rPr>
          <w:t>一</w:t>
        </w:r>
        <w:r>
          <w:rPr>
            <w:rFonts w:eastAsia="宋体"/>
            <w:kern w:val="2"/>
            <w:sz w:val="22"/>
          </w:rPr>
          <w:t>）区位状况分析</w:t>
        </w:r>
        <w:r>
          <w:rPr>
            <w:sz w:val="22"/>
            <w:szCs w:val="18"/>
          </w:rPr>
          <w:tab/>
        </w:r>
        <w:r>
          <w:rPr>
            <w:sz w:val="22"/>
            <w:szCs w:val="18"/>
          </w:rPr>
          <w:fldChar w:fldCharType="begin"/>
        </w:r>
        <w:r>
          <w:rPr>
            <w:sz w:val="22"/>
            <w:szCs w:val="18"/>
          </w:rPr>
          <w:instrText xml:space="preserve"> PAGEREF _Toc6068 \h </w:instrText>
        </w:r>
        <w:r>
          <w:rPr>
            <w:sz w:val="22"/>
            <w:szCs w:val="18"/>
          </w:rPr>
          <w:fldChar w:fldCharType="separate"/>
        </w:r>
        <w:r>
          <w:rPr>
            <w:sz w:val="22"/>
            <w:szCs w:val="18"/>
          </w:rPr>
          <w:t>24</w:t>
        </w:r>
        <w:r>
          <w:rPr>
            <w:sz w:val="22"/>
            <w:szCs w:val="18"/>
          </w:rPr>
          <w:fldChar w:fldCharType="end"/>
        </w:r>
      </w:hyperlink>
    </w:p>
    <w:p w14:paraId="1569802D" w14:textId="77777777" w:rsidR="00000000" w:rsidRDefault="00000000">
      <w:pPr>
        <w:pStyle w:val="TOC2"/>
        <w:tabs>
          <w:tab w:val="clear" w:pos="9072"/>
          <w:tab w:val="right" w:leader="dot" w:pos="9299"/>
        </w:tabs>
        <w:rPr>
          <w:sz w:val="22"/>
          <w:szCs w:val="18"/>
        </w:rPr>
      </w:pPr>
      <w:hyperlink w:anchor="_Toc17437" w:history="1">
        <w:r>
          <w:rPr>
            <w:rFonts w:eastAsia="宋体"/>
            <w:kern w:val="2"/>
            <w:sz w:val="22"/>
          </w:rPr>
          <w:t>（</w:t>
        </w:r>
        <w:r>
          <w:rPr>
            <w:rFonts w:eastAsia="宋体" w:hint="eastAsia"/>
            <w:kern w:val="2"/>
            <w:sz w:val="22"/>
          </w:rPr>
          <w:t>二</w:t>
        </w:r>
        <w:r>
          <w:rPr>
            <w:rFonts w:eastAsia="宋体"/>
            <w:kern w:val="2"/>
            <w:sz w:val="22"/>
          </w:rPr>
          <w:t>）实物状况分析</w:t>
        </w:r>
        <w:r>
          <w:rPr>
            <w:sz w:val="22"/>
            <w:szCs w:val="18"/>
          </w:rPr>
          <w:tab/>
        </w:r>
        <w:r>
          <w:rPr>
            <w:sz w:val="22"/>
            <w:szCs w:val="18"/>
          </w:rPr>
          <w:fldChar w:fldCharType="begin"/>
        </w:r>
        <w:r>
          <w:rPr>
            <w:sz w:val="22"/>
            <w:szCs w:val="18"/>
          </w:rPr>
          <w:instrText xml:space="preserve"> PAGEREF _Toc17437 \h </w:instrText>
        </w:r>
        <w:r>
          <w:rPr>
            <w:sz w:val="22"/>
            <w:szCs w:val="18"/>
          </w:rPr>
          <w:fldChar w:fldCharType="separate"/>
        </w:r>
        <w:r>
          <w:rPr>
            <w:sz w:val="22"/>
            <w:szCs w:val="18"/>
          </w:rPr>
          <w:t>26</w:t>
        </w:r>
        <w:r>
          <w:rPr>
            <w:sz w:val="22"/>
            <w:szCs w:val="18"/>
          </w:rPr>
          <w:fldChar w:fldCharType="end"/>
        </w:r>
      </w:hyperlink>
    </w:p>
    <w:p w14:paraId="0B66FB1E" w14:textId="77777777" w:rsidR="00000000" w:rsidRDefault="00000000">
      <w:pPr>
        <w:pStyle w:val="TOC2"/>
        <w:tabs>
          <w:tab w:val="clear" w:pos="9072"/>
          <w:tab w:val="right" w:leader="dot" w:pos="9299"/>
        </w:tabs>
        <w:rPr>
          <w:sz w:val="22"/>
          <w:szCs w:val="18"/>
        </w:rPr>
      </w:pPr>
      <w:hyperlink w:anchor="_Toc14311" w:history="1">
        <w:r>
          <w:rPr>
            <w:rFonts w:eastAsia="宋体"/>
            <w:kern w:val="2"/>
            <w:sz w:val="22"/>
          </w:rPr>
          <w:t>（</w:t>
        </w:r>
        <w:r>
          <w:rPr>
            <w:rFonts w:eastAsia="宋体" w:hint="eastAsia"/>
            <w:kern w:val="2"/>
            <w:sz w:val="22"/>
          </w:rPr>
          <w:t>三</w:t>
        </w:r>
        <w:r>
          <w:rPr>
            <w:rFonts w:eastAsia="宋体"/>
            <w:kern w:val="2"/>
            <w:sz w:val="22"/>
          </w:rPr>
          <w:t>）权益状况分析</w:t>
        </w:r>
        <w:r>
          <w:rPr>
            <w:sz w:val="22"/>
            <w:szCs w:val="18"/>
          </w:rPr>
          <w:tab/>
        </w:r>
        <w:r>
          <w:rPr>
            <w:sz w:val="22"/>
            <w:szCs w:val="18"/>
          </w:rPr>
          <w:fldChar w:fldCharType="begin"/>
        </w:r>
        <w:r>
          <w:rPr>
            <w:sz w:val="22"/>
            <w:szCs w:val="18"/>
          </w:rPr>
          <w:instrText xml:space="preserve"> PAGEREF _Toc14311 \h </w:instrText>
        </w:r>
        <w:r>
          <w:rPr>
            <w:sz w:val="22"/>
            <w:szCs w:val="18"/>
          </w:rPr>
          <w:fldChar w:fldCharType="separate"/>
        </w:r>
        <w:r>
          <w:rPr>
            <w:sz w:val="22"/>
            <w:szCs w:val="18"/>
          </w:rPr>
          <w:t>29</w:t>
        </w:r>
        <w:r>
          <w:rPr>
            <w:sz w:val="22"/>
            <w:szCs w:val="18"/>
          </w:rPr>
          <w:fldChar w:fldCharType="end"/>
        </w:r>
      </w:hyperlink>
    </w:p>
    <w:p w14:paraId="08BC6D4B" w14:textId="77777777" w:rsidR="00000000" w:rsidRDefault="00000000">
      <w:pPr>
        <w:pStyle w:val="TOC2"/>
        <w:tabs>
          <w:tab w:val="clear" w:pos="9072"/>
          <w:tab w:val="right" w:leader="dot" w:pos="9299"/>
        </w:tabs>
        <w:rPr>
          <w:sz w:val="22"/>
          <w:szCs w:val="18"/>
        </w:rPr>
      </w:pPr>
      <w:hyperlink w:anchor="_Toc16429" w:history="1">
        <w:r>
          <w:rPr>
            <w:rFonts w:eastAsia="宋体"/>
            <w:kern w:val="2"/>
            <w:sz w:val="22"/>
          </w:rPr>
          <w:t>二、市场背景描述与分析</w:t>
        </w:r>
        <w:r>
          <w:rPr>
            <w:sz w:val="22"/>
            <w:szCs w:val="18"/>
          </w:rPr>
          <w:tab/>
        </w:r>
        <w:r>
          <w:rPr>
            <w:sz w:val="22"/>
            <w:szCs w:val="18"/>
          </w:rPr>
          <w:fldChar w:fldCharType="begin"/>
        </w:r>
        <w:r>
          <w:rPr>
            <w:sz w:val="22"/>
            <w:szCs w:val="18"/>
          </w:rPr>
          <w:instrText xml:space="preserve"> PAGEREF _Toc16429 \h </w:instrText>
        </w:r>
        <w:r>
          <w:rPr>
            <w:sz w:val="22"/>
            <w:szCs w:val="18"/>
          </w:rPr>
          <w:fldChar w:fldCharType="separate"/>
        </w:r>
        <w:r>
          <w:rPr>
            <w:sz w:val="22"/>
            <w:szCs w:val="18"/>
          </w:rPr>
          <w:t>30</w:t>
        </w:r>
        <w:r>
          <w:rPr>
            <w:sz w:val="22"/>
            <w:szCs w:val="18"/>
          </w:rPr>
          <w:fldChar w:fldCharType="end"/>
        </w:r>
      </w:hyperlink>
    </w:p>
    <w:p w14:paraId="3FB97CFC" w14:textId="77777777" w:rsidR="00000000" w:rsidRDefault="00000000">
      <w:pPr>
        <w:pStyle w:val="TOC2"/>
        <w:tabs>
          <w:tab w:val="clear" w:pos="9072"/>
          <w:tab w:val="right" w:leader="dot" w:pos="9299"/>
        </w:tabs>
        <w:rPr>
          <w:sz w:val="22"/>
          <w:szCs w:val="18"/>
        </w:rPr>
      </w:pPr>
      <w:hyperlink w:anchor="_Toc20572" w:history="1">
        <w:r>
          <w:rPr>
            <w:rFonts w:eastAsia="宋体"/>
            <w:kern w:val="2"/>
            <w:sz w:val="22"/>
          </w:rPr>
          <w:t>三、最高最佳利用分析</w:t>
        </w:r>
        <w:r>
          <w:rPr>
            <w:sz w:val="22"/>
            <w:szCs w:val="18"/>
          </w:rPr>
          <w:tab/>
        </w:r>
        <w:r>
          <w:rPr>
            <w:sz w:val="22"/>
            <w:szCs w:val="18"/>
          </w:rPr>
          <w:fldChar w:fldCharType="begin"/>
        </w:r>
        <w:r>
          <w:rPr>
            <w:sz w:val="22"/>
            <w:szCs w:val="18"/>
          </w:rPr>
          <w:instrText xml:space="preserve"> PAGEREF _Toc20572 \h </w:instrText>
        </w:r>
        <w:r>
          <w:rPr>
            <w:sz w:val="22"/>
            <w:szCs w:val="18"/>
          </w:rPr>
          <w:fldChar w:fldCharType="separate"/>
        </w:r>
        <w:r>
          <w:rPr>
            <w:sz w:val="22"/>
            <w:szCs w:val="18"/>
          </w:rPr>
          <w:t>46</w:t>
        </w:r>
        <w:r>
          <w:rPr>
            <w:sz w:val="22"/>
            <w:szCs w:val="18"/>
          </w:rPr>
          <w:fldChar w:fldCharType="end"/>
        </w:r>
      </w:hyperlink>
    </w:p>
    <w:p w14:paraId="49FCA5DD" w14:textId="77777777" w:rsidR="00000000" w:rsidRDefault="00000000">
      <w:pPr>
        <w:pStyle w:val="TOC2"/>
        <w:tabs>
          <w:tab w:val="clear" w:pos="9072"/>
          <w:tab w:val="right" w:leader="dot" w:pos="9299"/>
        </w:tabs>
        <w:rPr>
          <w:sz w:val="22"/>
          <w:szCs w:val="18"/>
        </w:rPr>
      </w:pPr>
      <w:hyperlink w:anchor="_Toc26871" w:history="1">
        <w:r>
          <w:rPr>
            <w:rFonts w:eastAsia="宋体"/>
            <w:kern w:val="2"/>
            <w:sz w:val="22"/>
          </w:rPr>
          <w:t>四、</w:t>
        </w:r>
        <w:r>
          <w:rPr>
            <w:rFonts w:eastAsia="宋体"/>
            <w:kern w:val="2"/>
            <w:sz w:val="22"/>
          </w:rPr>
          <w:t xml:space="preserve"> </w:t>
        </w:r>
        <w:r>
          <w:rPr>
            <w:rFonts w:eastAsia="宋体"/>
            <w:kern w:val="2"/>
            <w:sz w:val="22"/>
          </w:rPr>
          <w:t>估价方法适用性分析</w:t>
        </w:r>
        <w:r>
          <w:rPr>
            <w:sz w:val="22"/>
            <w:szCs w:val="18"/>
          </w:rPr>
          <w:tab/>
        </w:r>
        <w:r>
          <w:rPr>
            <w:sz w:val="22"/>
            <w:szCs w:val="18"/>
          </w:rPr>
          <w:fldChar w:fldCharType="begin"/>
        </w:r>
        <w:r>
          <w:rPr>
            <w:sz w:val="22"/>
            <w:szCs w:val="18"/>
          </w:rPr>
          <w:instrText xml:space="preserve"> PAGEREF _Toc26871 \h </w:instrText>
        </w:r>
        <w:r>
          <w:rPr>
            <w:sz w:val="22"/>
            <w:szCs w:val="18"/>
          </w:rPr>
          <w:fldChar w:fldCharType="separate"/>
        </w:r>
        <w:r>
          <w:rPr>
            <w:sz w:val="22"/>
            <w:szCs w:val="18"/>
          </w:rPr>
          <w:t>47</w:t>
        </w:r>
        <w:r>
          <w:rPr>
            <w:sz w:val="22"/>
            <w:szCs w:val="18"/>
          </w:rPr>
          <w:fldChar w:fldCharType="end"/>
        </w:r>
      </w:hyperlink>
    </w:p>
    <w:p w14:paraId="7C73F2B6" w14:textId="77777777" w:rsidR="00000000" w:rsidRDefault="00000000">
      <w:pPr>
        <w:pStyle w:val="TOC2"/>
        <w:tabs>
          <w:tab w:val="clear" w:pos="9072"/>
          <w:tab w:val="right" w:leader="dot" w:pos="9299"/>
        </w:tabs>
        <w:rPr>
          <w:sz w:val="22"/>
          <w:szCs w:val="18"/>
        </w:rPr>
      </w:pPr>
      <w:hyperlink w:anchor="_Toc14116" w:history="1">
        <w:r>
          <w:rPr>
            <w:rFonts w:eastAsia="宋体"/>
            <w:kern w:val="2"/>
            <w:sz w:val="22"/>
          </w:rPr>
          <w:t>五、估价测算过程</w:t>
        </w:r>
        <w:r>
          <w:rPr>
            <w:sz w:val="22"/>
            <w:szCs w:val="18"/>
          </w:rPr>
          <w:tab/>
        </w:r>
        <w:r>
          <w:rPr>
            <w:sz w:val="22"/>
            <w:szCs w:val="18"/>
          </w:rPr>
          <w:fldChar w:fldCharType="begin"/>
        </w:r>
        <w:r>
          <w:rPr>
            <w:sz w:val="22"/>
            <w:szCs w:val="18"/>
          </w:rPr>
          <w:instrText xml:space="preserve"> PAGEREF _Toc14116 \h </w:instrText>
        </w:r>
        <w:r>
          <w:rPr>
            <w:sz w:val="22"/>
            <w:szCs w:val="18"/>
          </w:rPr>
          <w:fldChar w:fldCharType="separate"/>
        </w:r>
        <w:r>
          <w:rPr>
            <w:sz w:val="22"/>
            <w:szCs w:val="18"/>
          </w:rPr>
          <w:t>51</w:t>
        </w:r>
        <w:r>
          <w:rPr>
            <w:sz w:val="22"/>
            <w:szCs w:val="18"/>
          </w:rPr>
          <w:fldChar w:fldCharType="end"/>
        </w:r>
      </w:hyperlink>
    </w:p>
    <w:p w14:paraId="073331BF" w14:textId="77777777" w:rsidR="00000000" w:rsidRDefault="00000000">
      <w:pPr>
        <w:pStyle w:val="TOC2"/>
        <w:tabs>
          <w:tab w:val="clear" w:pos="9072"/>
          <w:tab w:val="right" w:leader="dot" w:pos="9299"/>
        </w:tabs>
      </w:pPr>
      <w:hyperlink w:anchor="_Toc27218" w:history="1">
        <w:r>
          <w:rPr>
            <w:rFonts w:eastAsia="宋体"/>
            <w:kern w:val="2"/>
            <w:sz w:val="22"/>
          </w:rPr>
          <w:t>六、估价结果确定</w:t>
        </w:r>
        <w:r>
          <w:rPr>
            <w:sz w:val="22"/>
            <w:szCs w:val="18"/>
          </w:rPr>
          <w:tab/>
        </w:r>
        <w:r>
          <w:rPr>
            <w:sz w:val="22"/>
            <w:szCs w:val="18"/>
          </w:rPr>
          <w:fldChar w:fldCharType="begin"/>
        </w:r>
        <w:r>
          <w:rPr>
            <w:sz w:val="22"/>
            <w:szCs w:val="18"/>
          </w:rPr>
          <w:instrText xml:space="preserve"> PAGEREF _Toc27218 \h </w:instrText>
        </w:r>
        <w:r>
          <w:rPr>
            <w:sz w:val="22"/>
            <w:szCs w:val="18"/>
          </w:rPr>
          <w:fldChar w:fldCharType="separate"/>
        </w:r>
        <w:r>
          <w:rPr>
            <w:sz w:val="22"/>
            <w:szCs w:val="18"/>
          </w:rPr>
          <w:t>67</w:t>
        </w:r>
        <w:r>
          <w:rPr>
            <w:sz w:val="22"/>
            <w:szCs w:val="18"/>
          </w:rPr>
          <w:fldChar w:fldCharType="end"/>
        </w:r>
      </w:hyperlink>
    </w:p>
    <w:p w14:paraId="52082927" w14:textId="77777777" w:rsidR="00000000" w:rsidRDefault="00000000">
      <w:pPr>
        <w:pStyle w:val="TOC1"/>
        <w:tabs>
          <w:tab w:val="clear" w:pos="9072"/>
          <w:tab w:val="right" w:leader="dot" w:pos="9299"/>
        </w:tabs>
        <w:rPr>
          <w:sz w:val="24"/>
          <w:szCs w:val="24"/>
        </w:rPr>
      </w:pPr>
      <w:hyperlink w:anchor="_Toc1683" w:history="1">
        <w:r>
          <w:rPr>
            <w:rFonts w:eastAsia="方正黑体简体" w:hint="eastAsia"/>
            <w:kern w:val="2"/>
            <w:sz w:val="24"/>
            <w:szCs w:val="24"/>
          </w:rPr>
          <w:t>附</w:t>
        </w:r>
        <w:r>
          <w:rPr>
            <w:rFonts w:eastAsia="方正黑体简体" w:hint="eastAsia"/>
            <w:kern w:val="2"/>
            <w:sz w:val="24"/>
            <w:szCs w:val="24"/>
          </w:rPr>
          <w:t xml:space="preserve">   </w:t>
        </w:r>
        <w:r>
          <w:rPr>
            <w:rFonts w:eastAsia="方正黑体简体" w:hint="eastAsia"/>
            <w:kern w:val="2"/>
            <w:sz w:val="24"/>
            <w:szCs w:val="24"/>
          </w:rPr>
          <w:t>件</w:t>
        </w:r>
        <w:r>
          <w:rPr>
            <w:sz w:val="24"/>
            <w:szCs w:val="24"/>
          </w:rPr>
          <w:tab/>
        </w:r>
        <w:r>
          <w:rPr>
            <w:sz w:val="24"/>
            <w:szCs w:val="24"/>
          </w:rPr>
          <w:fldChar w:fldCharType="begin"/>
        </w:r>
        <w:r>
          <w:rPr>
            <w:sz w:val="24"/>
            <w:szCs w:val="24"/>
          </w:rPr>
          <w:instrText xml:space="preserve"> PAGEREF _Toc1683 \h </w:instrText>
        </w:r>
        <w:r>
          <w:rPr>
            <w:sz w:val="24"/>
            <w:szCs w:val="24"/>
          </w:rPr>
          <w:fldChar w:fldCharType="separate"/>
        </w:r>
        <w:r>
          <w:rPr>
            <w:sz w:val="24"/>
            <w:szCs w:val="24"/>
          </w:rPr>
          <w:t>68</w:t>
        </w:r>
        <w:r>
          <w:rPr>
            <w:sz w:val="24"/>
            <w:szCs w:val="24"/>
          </w:rPr>
          <w:fldChar w:fldCharType="end"/>
        </w:r>
      </w:hyperlink>
    </w:p>
    <w:p w14:paraId="1E1FA2EC" w14:textId="77777777" w:rsidR="00000000" w:rsidRDefault="00000000">
      <w:pPr>
        <w:numPr>
          <w:ilvl w:val="0"/>
          <w:numId w:val="5"/>
        </w:numPr>
        <w:spacing w:line="360" w:lineRule="auto"/>
        <w:jc w:val="both"/>
        <w:rPr>
          <w:rFonts w:ascii="Arial" w:hAnsi="Arial" w:cs="Arial"/>
          <w:sz w:val="21"/>
          <w:szCs w:val="21"/>
        </w:rPr>
      </w:pPr>
      <w:r>
        <w:rPr>
          <w:rFonts w:ascii="宋体" w:hAnsi="宋体" w:cs="Arial"/>
          <w:szCs w:val="24"/>
        </w:rPr>
        <w:fldChar w:fldCharType="end"/>
      </w:r>
      <w:r>
        <w:rPr>
          <w:rFonts w:ascii="Arial" w:hAnsi="Arial" w:cs="Arial" w:hint="eastAsia"/>
          <w:sz w:val="21"/>
          <w:szCs w:val="21"/>
        </w:rPr>
        <w:t>《估价委托书》复印件</w:t>
      </w:r>
    </w:p>
    <w:p w14:paraId="3EBA04D6" w14:textId="77777777" w:rsidR="00000000" w:rsidRDefault="00000000">
      <w:pPr>
        <w:numPr>
          <w:ilvl w:val="0"/>
          <w:numId w:val="5"/>
        </w:numPr>
        <w:spacing w:line="360" w:lineRule="auto"/>
        <w:jc w:val="both"/>
        <w:rPr>
          <w:rFonts w:ascii="Arial" w:hAnsi="Arial" w:cs="Arial"/>
          <w:sz w:val="21"/>
          <w:szCs w:val="21"/>
        </w:rPr>
      </w:pPr>
      <w:r>
        <w:rPr>
          <w:rFonts w:ascii="Arial" w:hAnsi="Arial" w:cs="Arial"/>
          <w:sz w:val="21"/>
          <w:szCs w:val="21"/>
        </w:rPr>
        <w:t>估价对象所在位置示意图</w:t>
      </w:r>
    </w:p>
    <w:p w14:paraId="01585C10" w14:textId="77777777" w:rsidR="00000000" w:rsidRDefault="00000000">
      <w:pPr>
        <w:numPr>
          <w:ilvl w:val="0"/>
          <w:numId w:val="5"/>
        </w:numPr>
        <w:spacing w:line="360" w:lineRule="auto"/>
        <w:jc w:val="both"/>
        <w:rPr>
          <w:rFonts w:ascii="Arial" w:hAnsi="Arial" w:cs="Arial"/>
          <w:sz w:val="21"/>
          <w:szCs w:val="21"/>
        </w:rPr>
      </w:pPr>
      <w:r>
        <w:rPr>
          <w:rFonts w:ascii="Arial" w:hAnsi="Arial" w:cs="Arial"/>
          <w:sz w:val="21"/>
          <w:szCs w:val="21"/>
        </w:rPr>
        <w:t>估价对象</w:t>
      </w:r>
      <w:r>
        <w:rPr>
          <w:rFonts w:ascii="Arial" w:hAnsi="Arial" w:cs="Arial" w:hint="eastAsia"/>
          <w:sz w:val="21"/>
          <w:szCs w:val="21"/>
        </w:rPr>
        <w:t>现状</w:t>
      </w:r>
      <w:r>
        <w:rPr>
          <w:rFonts w:ascii="Arial" w:hAnsi="Arial" w:cs="Arial"/>
          <w:sz w:val="21"/>
          <w:szCs w:val="21"/>
        </w:rPr>
        <w:t>照片</w:t>
      </w:r>
    </w:p>
    <w:p w14:paraId="35D08EE1" w14:textId="77777777" w:rsidR="00000000" w:rsidRDefault="00000000">
      <w:pPr>
        <w:numPr>
          <w:ilvl w:val="0"/>
          <w:numId w:val="5"/>
        </w:numPr>
        <w:spacing w:line="360" w:lineRule="auto"/>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X13</w:t>
      </w:r>
      <w:r>
        <w:rPr>
          <w:rFonts w:ascii="Arial" w:hAnsi="Arial" w:cs="Arial" w:hint="eastAsia"/>
          <w:sz w:val="21"/>
          <w:szCs w:val="21"/>
        </w:rPr>
        <w:t>海棠苑房源明细表》复印件</w:t>
      </w:r>
    </w:p>
    <w:p w14:paraId="1D062901" w14:textId="77777777" w:rsidR="00000000" w:rsidRDefault="00000000">
      <w:pPr>
        <w:numPr>
          <w:ilvl w:val="0"/>
          <w:numId w:val="5"/>
        </w:numPr>
        <w:spacing w:line="360" w:lineRule="auto"/>
        <w:jc w:val="both"/>
        <w:rPr>
          <w:rFonts w:ascii="Arial" w:hAnsi="Arial" w:cs="Arial" w:hint="eastAsia"/>
          <w:sz w:val="21"/>
          <w:szCs w:val="21"/>
        </w:rPr>
      </w:pPr>
      <w:r>
        <w:rPr>
          <w:rFonts w:ascii="Arial" w:hAnsi="Arial" w:cs="Arial" w:hint="eastAsia"/>
          <w:sz w:val="21"/>
          <w:szCs w:val="21"/>
        </w:rPr>
        <w:t>《</w:t>
      </w:r>
      <w:r>
        <w:rPr>
          <w:rFonts w:ascii="Arial" w:hAnsi="Arial" w:cs="Arial" w:hint="eastAsia"/>
          <w:sz w:val="21"/>
          <w:szCs w:val="21"/>
        </w:rPr>
        <w:t>X38</w:t>
      </w:r>
      <w:r>
        <w:rPr>
          <w:rFonts w:ascii="Arial" w:hAnsi="Arial" w:cs="Arial" w:hint="eastAsia"/>
          <w:sz w:val="21"/>
          <w:szCs w:val="21"/>
        </w:rPr>
        <w:t>鹿海园五里房源明细表》复印件</w:t>
      </w:r>
    </w:p>
    <w:p w14:paraId="105FD373" w14:textId="77777777" w:rsidR="00000000" w:rsidRDefault="00000000">
      <w:pPr>
        <w:numPr>
          <w:ilvl w:val="0"/>
          <w:numId w:val="5"/>
        </w:numPr>
        <w:spacing w:line="360" w:lineRule="auto"/>
        <w:jc w:val="both"/>
        <w:rPr>
          <w:rFonts w:ascii="Arial" w:hAnsi="Arial" w:cs="Arial" w:hint="eastAsia"/>
          <w:sz w:val="21"/>
          <w:szCs w:val="21"/>
        </w:rPr>
      </w:pPr>
      <w:r>
        <w:rPr>
          <w:rFonts w:ascii="Arial" w:hAnsi="Arial" w:cs="Arial" w:hint="eastAsia"/>
          <w:sz w:val="21"/>
          <w:szCs w:val="21"/>
        </w:rPr>
        <w:t>《房屋收购协议》</w:t>
      </w:r>
      <w:r>
        <w:rPr>
          <w:rFonts w:ascii="Arial" w:hAnsi="Arial" w:cs="Arial" w:hint="eastAsia"/>
          <w:sz w:val="21"/>
          <w:szCs w:val="21"/>
        </w:rPr>
        <w:t>[</w:t>
      </w:r>
      <w:r>
        <w:rPr>
          <w:rFonts w:ascii="Arial" w:hAnsi="Arial" w:cs="Arial" w:hint="eastAsia"/>
          <w:sz w:val="21"/>
          <w:szCs w:val="21"/>
        </w:rPr>
        <w:t>编号：</w:t>
      </w:r>
      <w:r>
        <w:rPr>
          <w:rFonts w:ascii="Arial" w:hAnsi="Arial" w:cs="Arial" w:hint="eastAsia"/>
          <w:sz w:val="21"/>
          <w:szCs w:val="21"/>
        </w:rPr>
        <w:t>2020-</w:t>
      </w:r>
      <w:r>
        <w:rPr>
          <w:rFonts w:ascii="Arial" w:hAnsi="Arial" w:cs="Arial" w:hint="eastAsia"/>
          <w:sz w:val="21"/>
          <w:szCs w:val="21"/>
        </w:rPr>
        <w:t>新元</w:t>
      </w:r>
      <w:r>
        <w:rPr>
          <w:rFonts w:ascii="Arial" w:hAnsi="Arial" w:cs="Arial" w:hint="eastAsia"/>
          <w:sz w:val="21"/>
          <w:szCs w:val="21"/>
        </w:rPr>
        <w:t>-</w:t>
      </w:r>
      <w:r>
        <w:rPr>
          <w:rFonts w:ascii="Arial" w:hAnsi="Arial" w:cs="Arial" w:hint="eastAsia"/>
          <w:sz w:val="21"/>
          <w:szCs w:val="21"/>
        </w:rPr>
        <w:t>综合</w:t>
      </w:r>
      <w:r>
        <w:rPr>
          <w:rFonts w:ascii="Arial" w:hAnsi="Arial" w:cs="Arial" w:hint="eastAsia"/>
          <w:sz w:val="21"/>
          <w:szCs w:val="21"/>
        </w:rPr>
        <w:t>-17]</w:t>
      </w:r>
      <w:r>
        <w:rPr>
          <w:rFonts w:ascii="Arial" w:hAnsi="Arial" w:cs="Arial" w:hint="eastAsia"/>
          <w:sz w:val="21"/>
          <w:szCs w:val="21"/>
        </w:rPr>
        <w:t>复印件</w:t>
      </w:r>
    </w:p>
    <w:p w14:paraId="473F8C36" w14:textId="77777777" w:rsidR="00000000" w:rsidRDefault="00000000">
      <w:pPr>
        <w:numPr>
          <w:ilvl w:val="0"/>
          <w:numId w:val="5"/>
        </w:numPr>
        <w:spacing w:line="360" w:lineRule="auto"/>
        <w:jc w:val="both"/>
        <w:rPr>
          <w:rFonts w:ascii="Arial" w:hAnsi="Arial" w:cs="Arial"/>
          <w:sz w:val="21"/>
          <w:szCs w:val="21"/>
        </w:rPr>
      </w:pPr>
      <w:r>
        <w:rPr>
          <w:rFonts w:ascii="Arial" w:hAnsi="Arial" w:cs="Arial" w:hint="eastAsia"/>
          <w:kern w:val="2"/>
          <w:sz w:val="21"/>
          <w:szCs w:val="21"/>
        </w:rPr>
        <w:t>《房屋交接书》</w:t>
      </w:r>
      <w:r>
        <w:rPr>
          <w:rFonts w:ascii="Arial" w:hAnsi="Arial" w:cs="Arial"/>
          <w:sz w:val="21"/>
          <w:szCs w:val="21"/>
        </w:rPr>
        <w:t>复印件</w:t>
      </w:r>
    </w:p>
    <w:p w14:paraId="6BF2DE9D" w14:textId="77777777" w:rsidR="00000000" w:rsidRDefault="00000000">
      <w:pPr>
        <w:numPr>
          <w:ilvl w:val="0"/>
          <w:numId w:val="5"/>
        </w:numPr>
        <w:spacing w:line="360" w:lineRule="auto"/>
        <w:jc w:val="both"/>
        <w:rPr>
          <w:rFonts w:ascii="Arial" w:hAnsi="Arial" w:cs="Arial" w:hint="eastAsia"/>
          <w:sz w:val="21"/>
          <w:szCs w:val="21"/>
        </w:rPr>
      </w:pPr>
      <w:r>
        <w:rPr>
          <w:rFonts w:ascii="Arial" w:hAnsi="Arial" w:cs="Arial" w:hint="eastAsia"/>
          <w:sz w:val="21"/>
          <w:szCs w:val="21"/>
        </w:rPr>
        <w:t>估价委托人《营业执照（副本）》复印件</w:t>
      </w:r>
    </w:p>
    <w:p w14:paraId="5F53158F" w14:textId="77777777" w:rsidR="00000000" w:rsidRDefault="00000000">
      <w:pPr>
        <w:numPr>
          <w:ilvl w:val="0"/>
          <w:numId w:val="5"/>
        </w:numPr>
        <w:spacing w:line="360" w:lineRule="auto"/>
        <w:jc w:val="both"/>
        <w:rPr>
          <w:rFonts w:ascii="Arial" w:hAnsi="Arial" w:cs="Arial"/>
          <w:sz w:val="21"/>
          <w:szCs w:val="21"/>
        </w:rPr>
      </w:pPr>
      <w:r>
        <w:rPr>
          <w:rFonts w:ascii="Arial" w:hAnsi="Arial" w:cs="Arial"/>
          <w:color w:val="000000"/>
          <w:sz w:val="21"/>
          <w:szCs w:val="21"/>
        </w:rPr>
        <w:t>房地产估价机构《营业执照（副本）》</w:t>
      </w:r>
      <w:r>
        <w:rPr>
          <w:rFonts w:ascii="Arial" w:hAnsi="Arial" w:cs="Arial"/>
          <w:sz w:val="21"/>
          <w:szCs w:val="21"/>
        </w:rPr>
        <w:t>复印件</w:t>
      </w:r>
    </w:p>
    <w:p w14:paraId="116EF7C7" w14:textId="77777777" w:rsidR="00000000" w:rsidRDefault="00000000">
      <w:pPr>
        <w:numPr>
          <w:ilvl w:val="0"/>
          <w:numId w:val="5"/>
        </w:numPr>
        <w:spacing w:line="360" w:lineRule="auto"/>
        <w:jc w:val="both"/>
        <w:rPr>
          <w:rFonts w:ascii="Arial" w:hAnsi="Arial" w:cs="Arial"/>
          <w:sz w:val="21"/>
          <w:szCs w:val="21"/>
        </w:rPr>
      </w:pPr>
      <w:r>
        <w:rPr>
          <w:rFonts w:ascii="Arial" w:hAnsi="Arial" w:cs="Arial"/>
          <w:sz w:val="21"/>
          <w:szCs w:val="21"/>
        </w:rPr>
        <w:t>房地产估价机构资质证书复印件</w:t>
      </w:r>
    </w:p>
    <w:p w14:paraId="69244530" w14:textId="77777777" w:rsidR="00000000" w:rsidRDefault="00000000">
      <w:pPr>
        <w:numPr>
          <w:ilvl w:val="0"/>
          <w:numId w:val="5"/>
        </w:numPr>
        <w:spacing w:line="360" w:lineRule="auto"/>
        <w:jc w:val="both"/>
        <w:rPr>
          <w:rFonts w:ascii="Arial" w:hAnsi="Arial" w:cs="Arial"/>
          <w:sz w:val="21"/>
          <w:szCs w:val="21"/>
        </w:rPr>
      </w:pPr>
      <w:r>
        <w:rPr>
          <w:rFonts w:ascii="Arial" w:hAnsi="Arial" w:cs="Arial" w:hint="eastAsia"/>
          <w:sz w:val="21"/>
          <w:szCs w:val="21"/>
        </w:rPr>
        <w:t>评估专业人员</w:t>
      </w:r>
      <w:r>
        <w:rPr>
          <w:rFonts w:ascii="Arial" w:hAnsi="Arial" w:cs="Arial"/>
          <w:sz w:val="21"/>
          <w:szCs w:val="21"/>
        </w:rPr>
        <w:t>执业证书复印件</w:t>
      </w:r>
    </w:p>
    <w:p w14:paraId="2F7F2F9C" w14:textId="77777777" w:rsidR="00000000" w:rsidRDefault="00000000">
      <w:pPr>
        <w:spacing w:line="240" w:lineRule="auto"/>
        <w:jc w:val="both"/>
        <w:outlineLvl w:val="0"/>
        <w:rPr>
          <w:rFonts w:ascii="Arial" w:eastAsia="楷体_GB2312" w:hAnsi="Arial" w:cs="Arial"/>
          <w:i/>
          <w:color w:val="548DD4"/>
          <w:kern w:val="2"/>
          <w:sz w:val="28"/>
          <w:szCs w:val="28"/>
        </w:rPr>
        <w:sectPr w:rsidR="00000000">
          <w:headerReference w:type="default" r:id="rId17"/>
          <w:pgSz w:w="11907" w:h="16840"/>
          <w:pgMar w:top="1843" w:right="1134" w:bottom="1134" w:left="1134" w:header="1134" w:footer="907" w:gutter="340"/>
          <w:cols w:space="720"/>
          <w:docGrid w:linePitch="326"/>
        </w:sectPr>
      </w:pPr>
    </w:p>
    <w:p w14:paraId="3D524019" w14:textId="77777777" w:rsidR="00000000" w:rsidRDefault="00000000">
      <w:pPr>
        <w:pStyle w:val="1"/>
        <w:spacing w:line="480" w:lineRule="auto"/>
        <w:jc w:val="center"/>
        <w:rPr>
          <w:rFonts w:eastAsia="方正黑体简体" w:hint="eastAsia"/>
          <w:b w:val="0"/>
          <w:kern w:val="2"/>
          <w:sz w:val="32"/>
          <w:szCs w:val="32"/>
        </w:rPr>
      </w:pPr>
      <w:bookmarkStart w:id="6" w:name="_Toc379795041"/>
      <w:bookmarkStart w:id="7" w:name="_Toc20279"/>
      <w:r>
        <w:rPr>
          <w:rFonts w:eastAsia="方正黑体简体" w:hint="eastAsia"/>
          <w:b w:val="0"/>
          <w:kern w:val="2"/>
          <w:sz w:val="32"/>
          <w:szCs w:val="32"/>
        </w:rPr>
        <w:lastRenderedPageBreak/>
        <w:t>估价师声明</w:t>
      </w:r>
      <w:bookmarkEnd w:id="6"/>
      <w:bookmarkEnd w:id="7"/>
    </w:p>
    <w:p w14:paraId="1771E36A" w14:textId="77777777" w:rsidR="00000000" w:rsidRDefault="00000000">
      <w:pPr>
        <w:spacing w:line="480" w:lineRule="auto"/>
        <w:jc w:val="both"/>
        <w:outlineLvl w:val="0"/>
        <w:rPr>
          <w:rFonts w:ascii="Arial" w:hAnsi="Arial" w:cs="Arial" w:hint="eastAsia"/>
          <w:kern w:val="2"/>
          <w:sz w:val="21"/>
          <w:szCs w:val="21"/>
        </w:rPr>
      </w:pPr>
      <w:r>
        <w:rPr>
          <w:rFonts w:ascii="Arial" w:hAnsi="Arial" w:cs="Arial"/>
          <w:kern w:val="2"/>
          <w:sz w:val="21"/>
          <w:szCs w:val="21"/>
        </w:rPr>
        <w:t>注册房地产估价师郑重声明：</w:t>
      </w:r>
    </w:p>
    <w:p w14:paraId="072E154E" w14:textId="77777777" w:rsidR="00000000" w:rsidRDefault="00000000">
      <w:pPr>
        <w:spacing w:line="480" w:lineRule="auto"/>
        <w:jc w:val="both"/>
        <w:outlineLvl w:val="0"/>
        <w:rPr>
          <w:rFonts w:ascii="Arial" w:hAnsi="Arial" w:cs="Arial"/>
          <w:kern w:val="2"/>
          <w:sz w:val="21"/>
          <w:szCs w:val="21"/>
        </w:rPr>
      </w:pPr>
      <w:bookmarkStart w:id="8" w:name="_Toc168225811"/>
      <w:r>
        <w:rPr>
          <w:rFonts w:ascii="Arial" w:hAnsi="Arial" w:cs="Arial"/>
          <w:kern w:val="2"/>
          <w:sz w:val="21"/>
          <w:szCs w:val="21"/>
        </w:rPr>
        <w:t>（一）注册房地产估价师在本估价报告中对事实的说明是真实的和准确的，没有虚假记载、误导性陈述和重大遗漏。</w:t>
      </w:r>
    </w:p>
    <w:p w14:paraId="0DF402DE" w14:textId="77777777" w:rsidR="00000000" w:rsidRDefault="00000000">
      <w:pPr>
        <w:spacing w:line="480" w:lineRule="auto"/>
        <w:jc w:val="both"/>
        <w:outlineLvl w:val="0"/>
        <w:rPr>
          <w:rFonts w:ascii="Arial" w:hAnsi="Arial" w:cs="Arial"/>
          <w:kern w:val="2"/>
          <w:sz w:val="21"/>
          <w:szCs w:val="21"/>
        </w:rPr>
      </w:pPr>
      <w:r>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651EB498" w14:textId="77777777" w:rsidR="00000000" w:rsidRDefault="00000000">
      <w:pPr>
        <w:spacing w:line="480" w:lineRule="auto"/>
        <w:jc w:val="both"/>
        <w:outlineLvl w:val="0"/>
        <w:rPr>
          <w:rFonts w:ascii="Arial" w:hAnsi="Arial" w:cs="Arial"/>
          <w:kern w:val="2"/>
          <w:sz w:val="21"/>
          <w:szCs w:val="21"/>
        </w:rPr>
      </w:pPr>
      <w:r>
        <w:rPr>
          <w:rFonts w:ascii="Arial" w:hAnsi="Arial" w:cs="Arial"/>
          <w:kern w:val="2"/>
          <w:sz w:val="21"/>
          <w:szCs w:val="21"/>
        </w:rPr>
        <w:t>（三）</w:t>
      </w:r>
      <w:r>
        <w:rPr>
          <w:rFonts w:ascii="Arial" w:hAnsi="Arial" w:cs="Arial" w:hint="eastAsia"/>
          <w:kern w:val="2"/>
          <w:sz w:val="21"/>
          <w:szCs w:val="21"/>
        </w:rPr>
        <w:t>注册房地产估价师已于</w:t>
      </w:r>
      <w:r>
        <w:rPr>
          <w:rFonts w:ascii="Arial" w:hAnsi="Arial" w:cs="Arial" w:hint="eastAsia"/>
          <w:kern w:val="2"/>
          <w:sz w:val="21"/>
          <w:szCs w:val="21"/>
        </w:rPr>
        <w:t>2025</w:t>
      </w:r>
      <w:r>
        <w:rPr>
          <w:rFonts w:ascii="Arial" w:hAnsi="Arial" w:cs="Arial" w:hint="eastAsia"/>
          <w:kern w:val="2"/>
          <w:sz w:val="21"/>
          <w:szCs w:val="21"/>
        </w:rPr>
        <w:t>年</w:t>
      </w:r>
      <w:r>
        <w:rPr>
          <w:rFonts w:ascii="Arial" w:hAnsi="Arial" w:cs="Arial" w:hint="eastAsia"/>
          <w:kern w:val="2"/>
          <w:sz w:val="21"/>
          <w:szCs w:val="21"/>
        </w:rPr>
        <w:t>10</w:t>
      </w:r>
      <w:r>
        <w:rPr>
          <w:rFonts w:ascii="Arial" w:hAnsi="Arial" w:cs="Arial" w:hint="eastAsia"/>
          <w:kern w:val="2"/>
          <w:sz w:val="21"/>
          <w:szCs w:val="21"/>
        </w:rPr>
        <w:t>月</w:t>
      </w:r>
      <w:r>
        <w:rPr>
          <w:rFonts w:ascii="Arial" w:hAnsi="Arial" w:cs="Arial" w:hint="eastAsia"/>
          <w:kern w:val="2"/>
          <w:sz w:val="21"/>
          <w:szCs w:val="21"/>
        </w:rPr>
        <w:t>13</w:t>
      </w:r>
      <w:r>
        <w:rPr>
          <w:rFonts w:ascii="Arial" w:hAnsi="Arial" w:cs="Arial" w:hint="eastAsia"/>
          <w:kern w:val="2"/>
          <w:sz w:val="21"/>
          <w:szCs w:val="21"/>
        </w:rPr>
        <w:t>日对估价对象进行了实地查勘。我们</w:t>
      </w:r>
      <w:r>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66032307" w14:textId="77777777" w:rsidR="00000000" w:rsidRDefault="00000000">
      <w:pPr>
        <w:spacing w:line="480" w:lineRule="auto"/>
        <w:jc w:val="both"/>
        <w:outlineLvl w:val="0"/>
        <w:rPr>
          <w:rFonts w:ascii="Arial" w:hAnsi="Arial" w:cs="Arial"/>
          <w:kern w:val="2"/>
          <w:sz w:val="21"/>
          <w:szCs w:val="21"/>
        </w:rPr>
      </w:pPr>
      <w:r>
        <w:rPr>
          <w:rFonts w:ascii="Arial" w:hAnsi="Arial" w:cs="Arial"/>
          <w:kern w:val="2"/>
          <w:sz w:val="21"/>
          <w:szCs w:val="21"/>
        </w:rPr>
        <w:t>（四）注册房地产估价师依照中华人民共和国国家标准《房地产估价规范》</w:t>
      </w:r>
      <w:r>
        <w:rPr>
          <w:rFonts w:ascii="Arial" w:hAnsi="Arial" w:cs="Arial"/>
          <w:kern w:val="2"/>
          <w:sz w:val="21"/>
          <w:szCs w:val="21"/>
        </w:rPr>
        <w:t>[GB/T</w:t>
      </w:r>
      <w:r>
        <w:rPr>
          <w:rFonts w:ascii="Arial" w:hAnsi="Arial" w:cs="Arial" w:hint="eastAsia"/>
          <w:kern w:val="2"/>
          <w:sz w:val="21"/>
          <w:szCs w:val="21"/>
        </w:rPr>
        <w:t xml:space="preserve"> </w:t>
      </w:r>
      <w:r>
        <w:rPr>
          <w:rFonts w:ascii="Arial" w:hAnsi="Arial" w:cs="Arial"/>
          <w:kern w:val="2"/>
          <w:sz w:val="21"/>
          <w:szCs w:val="21"/>
        </w:rPr>
        <w:t>50291-2015]</w:t>
      </w:r>
      <w:r>
        <w:rPr>
          <w:rFonts w:ascii="Arial" w:hAnsi="Arial" w:cs="Arial" w:hint="eastAsia"/>
          <w:kern w:val="2"/>
          <w:sz w:val="21"/>
          <w:szCs w:val="21"/>
        </w:rPr>
        <w:t>、《</w:t>
      </w:r>
      <w:r>
        <w:rPr>
          <w:rFonts w:ascii="Arial" w:hAnsi="Arial" w:cs="Arial"/>
          <w:kern w:val="2"/>
          <w:sz w:val="21"/>
          <w:szCs w:val="21"/>
        </w:rPr>
        <w:t>房地产估价基本术语标</w:t>
      </w:r>
      <w:r>
        <w:rPr>
          <w:rFonts w:ascii="Arial" w:hAnsi="Arial" w:cs="Arial" w:hint="eastAsia"/>
          <w:kern w:val="2"/>
          <w:sz w:val="21"/>
          <w:szCs w:val="21"/>
        </w:rPr>
        <w:t>准》</w:t>
      </w:r>
      <w:r>
        <w:rPr>
          <w:rFonts w:ascii="Arial" w:hAnsi="Arial" w:cs="Arial"/>
          <w:kern w:val="2"/>
          <w:sz w:val="21"/>
          <w:szCs w:val="21"/>
        </w:rPr>
        <w:t>[GB/T</w:t>
      </w:r>
      <w:r>
        <w:rPr>
          <w:rFonts w:ascii="Arial" w:hAnsi="Arial" w:cs="Arial" w:hint="eastAsia"/>
          <w:kern w:val="2"/>
          <w:sz w:val="21"/>
          <w:szCs w:val="21"/>
        </w:rPr>
        <w:t xml:space="preserve"> </w:t>
      </w:r>
      <w:r>
        <w:rPr>
          <w:rFonts w:ascii="Arial" w:hAnsi="Arial" w:cs="Arial"/>
          <w:kern w:val="2"/>
          <w:sz w:val="21"/>
          <w:szCs w:val="21"/>
        </w:rPr>
        <w:t>50899-2013]</w:t>
      </w:r>
      <w:r>
        <w:rPr>
          <w:rFonts w:ascii="Arial" w:hAnsi="Arial" w:cs="Arial"/>
          <w:kern w:val="2"/>
          <w:sz w:val="21"/>
          <w:szCs w:val="21"/>
        </w:rPr>
        <w:t>以及相关房地产估价专项标准</w:t>
      </w:r>
      <w:r>
        <w:rPr>
          <w:rFonts w:ascii="Arial" w:hAnsi="Arial" w:cs="Arial" w:hint="eastAsia"/>
          <w:kern w:val="2"/>
          <w:sz w:val="21"/>
          <w:szCs w:val="21"/>
        </w:rPr>
        <w:t>，并参照</w:t>
      </w:r>
      <w:r>
        <w:rPr>
          <w:rFonts w:ascii="Arial" w:hAnsi="Arial" w:hint="eastAsia"/>
          <w:bCs/>
          <w:sz w:val="21"/>
        </w:rPr>
        <w:t>《</w:t>
      </w:r>
      <w:r>
        <w:rPr>
          <w:rFonts w:ascii="Arial" w:hAnsi="Arial" w:cs="Arial" w:hint="eastAsia"/>
          <w:kern w:val="2"/>
          <w:sz w:val="21"/>
          <w:szCs w:val="21"/>
        </w:rPr>
        <w:t>北京市公共租赁住房项目市场租金评估技术指引</w:t>
      </w:r>
      <w:r>
        <w:rPr>
          <w:rFonts w:ascii="Arial" w:hAnsi="Arial" w:hint="eastAsia"/>
          <w:bCs/>
          <w:sz w:val="21"/>
        </w:rPr>
        <w:t>》</w:t>
      </w:r>
      <w:r>
        <w:rPr>
          <w:rFonts w:ascii="Arial" w:hAnsi="Arial" w:cs="Arial"/>
          <w:kern w:val="2"/>
          <w:sz w:val="21"/>
          <w:szCs w:val="21"/>
        </w:rPr>
        <w:t>进行估价工作，撰写本估价报告。</w:t>
      </w:r>
    </w:p>
    <w:p w14:paraId="2163AE65" w14:textId="77777777" w:rsidR="00000000" w:rsidRDefault="00000000">
      <w:pPr>
        <w:spacing w:line="480" w:lineRule="auto"/>
        <w:jc w:val="both"/>
        <w:outlineLvl w:val="0"/>
        <w:rPr>
          <w:rFonts w:ascii="Arial" w:hAnsi="Arial" w:cs="Arial"/>
          <w:kern w:val="2"/>
          <w:sz w:val="21"/>
          <w:szCs w:val="21"/>
        </w:rPr>
      </w:pPr>
      <w:r>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08260CEC" w14:textId="77777777" w:rsidR="00000000" w:rsidRDefault="00000000">
      <w:pPr>
        <w:spacing w:line="480" w:lineRule="auto"/>
        <w:jc w:val="both"/>
        <w:outlineLvl w:val="0"/>
        <w:rPr>
          <w:rFonts w:ascii="Arial" w:eastAsia="楷体_GB2312" w:hAnsi="Arial" w:cs="Arial"/>
          <w:kern w:val="2"/>
          <w:sz w:val="28"/>
        </w:rPr>
      </w:pPr>
      <w:r>
        <w:rPr>
          <w:rFonts w:ascii="Arial" w:hAnsi="Arial" w:cs="Arial"/>
          <w:kern w:val="2"/>
          <w:sz w:val="21"/>
          <w:szCs w:val="21"/>
        </w:rPr>
        <w:t>（</w:t>
      </w:r>
      <w:r>
        <w:rPr>
          <w:rFonts w:ascii="Arial" w:hAnsi="Arial" w:cs="Arial" w:hint="eastAsia"/>
          <w:kern w:val="2"/>
          <w:sz w:val="21"/>
          <w:szCs w:val="21"/>
        </w:rPr>
        <w:t>六</w:t>
      </w:r>
      <w:r>
        <w:rPr>
          <w:rFonts w:ascii="Arial" w:hAnsi="Arial" w:cs="Arial"/>
          <w:kern w:val="2"/>
          <w:sz w:val="21"/>
          <w:szCs w:val="21"/>
        </w:rPr>
        <w:t>）本估价报告由北京康正宏基房地产评估有限公司负责解释。</w:t>
      </w:r>
    </w:p>
    <w:p w14:paraId="36CA5E00" w14:textId="77777777" w:rsidR="00000000" w:rsidRDefault="00000000">
      <w:pPr>
        <w:rPr>
          <w:rFonts w:ascii="Arial" w:eastAsia="楷体_GB2312" w:hAnsi="Arial" w:cs="Arial"/>
          <w:kern w:val="2"/>
          <w:sz w:val="28"/>
        </w:rPr>
        <w:sectPr w:rsidR="00000000">
          <w:headerReference w:type="default" r:id="rId18"/>
          <w:headerReference w:type="first" r:id="rId19"/>
          <w:footerReference w:type="first" r:id="rId20"/>
          <w:pgSz w:w="11907" w:h="16840"/>
          <w:pgMar w:top="1843" w:right="1134" w:bottom="1134" w:left="1134" w:header="1134" w:footer="907" w:gutter="340"/>
          <w:cols w:space="720"/>
          <w:docGrid w:linePitch="326"/>
        </w:sectPr>
      </w:pPr>
    </w:p>
    <w:p w14:paraId="0C84FC8C" w14:textId="77777777" w:rsidR="00000000" w:rsidRDefault="00000000">
      <w:pPr>
        <w:pStyle w:val="1"/>
        <w:spacing w:line="480" w:lineRule="auto"/>
        <w:jc w:val="center"/>
        <w:rPr>
          <w:rFonts w:eastAsia="方正黑体简体" w:hint="eastAsia"/>
          <w:b w:val="0"/>
          <w:kern w:val="2"/>
          <w:sz w:val="32"/>
          <w:szCs w:val="32"/>
        </w:rPr>
      </w:pPr>
      <w:bookmarkStart w:id="9" w:name="_Toc379795042"/>
      <w:bookmarkStart w:id="10" w:name="_Toc19765"/>
      <w:r>
        <w:rPr>
          <w:rFonts w:eastAsia="方正黑体简体" w:hint="eastAsia"/>
          <w:b w:val="0"/>
          <w:kern w:val="2"/>
          <w:sz w:val="32"/>
          <w:szCs w:val="32"/>
        </w:rPr>
        <w:lastRenderedPageBreak/>
        <w:t>估价假设和限制条件</w:t>
      </w:r>
      <w:bookmarkEnd w:id="9"/>
      <w:bookmarkEnd w:id="10"/>
    </w:p>
    <w:p w14:paraId="64D93277" w14:textId="77777777" w:rsidR="00000000" w:rsidRDefault="00000000">
      <w:pPr>
        <w:spacing w:line="480" w:lineRule="auto"/>
        <w:jc w:val="both"/>
        <w:outlineLvl w:val="0"/>
        <w:rPr>
          <w:rFonts w:ascii="Arial" w:hAnsi="Arial" w:cs="Arial"/>
          <w:b/>
          <w:kern w:val="2"/>
          <w:sz w:val="21"/>
          <w:szCs w:val="21"/>
        </w:rPr>
      </w:pPr>
      <w:r>
        <w:rPr>
          <w:rFonts w:ascii="Arial" w:hAnsi="Arial" w:cs="Arial"/>
          <w:b/>
          <w:kern w:val="2"/>
          <w:sz w:val="21"/>
          <w:szCs w:val="21"/>
        </w:rPr>
        <w:t>（一）</w:t>
      </w:r>
      <w:r>
        <w:rPr>
          <w:rFonts w:ascii="Arial" w:hAnsi="Arial" w:cs="Arial" w:hint="eastAsia"/>
          <w:b/>
          <w:kern w:val="2"/>
          <w:sz w:val="21"/>
          <w:szCs w:val="21"/>
        </w:rPr>
        <w:t>本次估价的一般假设</w:t>
      </w:r>
    </w:p>
    <w:p w14:paraId="7B71F47D" w14:textId="77777777" w:rsidR="00000000" w:rsidRDefault="00000000">
      <w:pPr>
        <w:spacing w:line="480" w:lineRule="auto"/>
        <w:ind w:firstLineChars="200" w:firstLine="420"/>
        <w:jc w:val="both"/>
        <w:rPr>
          <w:rFonts w:ascii="Arial" w:hAnsi="Arial" w:cs="Arial"/>
          <w:kern w:val="2"/>
          <w:sz w:val="21"/>
          <w:szCs w:val="21"/>
        </w:rPr>
      </w:pPr>
      <w:r>
        <w:rPr>
          <w:rFonts w:ascii="Arial" w:hAnsi="Arial" w:cs="Arial"/>
          <w:kern w:val="2"/>
          <w:sz w:val="21"/>
          <w:szCs w:val="21"/>
        </w:rPr>
        <w:t>1.</w:t>
      </w:r>
      <w:r>
        <w:rPr>
          <w:rFonts w:ascii="Arial" w:hAnsi="Arial" w:cs="Arial"/>
          <w:kern w:val="2"/>
          <w:sz w:val="21"/>
          <w:szCs w:val="21"/>
        </w:rPr>
        <w:t>在</w:t>
      </w:r>
      <w:r>
        <w:rPr>
          <w:rFonts w:ascii="Arial" w:hAnsi="Arial" w:cs="Arial" w:hint="eastAsia"/>
          <w:kern w:val="2"/>
          <w:sz w:val="21"/>
          <w:szCs w:val="21"/>
        </w:rPr>
        <w:t>估价时段</w:t>
      </w:r>
      <w:r>
        <w:rPr>
          <w:rFonts w:ascii="Arial" w:hAnsi="Arial" w:cs="Arial"/>
          <w:kern w:val="2"/>
          <w:sz w:val="21"/>
          <w:szCs w:val="21"/>
        </w:rPr>
        <w:t>的房地产</w:t>
      </w:r>
      <w:r>
        <w:rPr>
          <w:rFonts w:ascii="Arial" w:hAnsi="Arial" w:cs="Arial" w:hint="eastAsia"/>
          <w:kern w:val="2"/>
          <w:sz w:val="21"/>
          <w:szCs w:val="21"/>
        </w:rPr>
        <w:t>租赁</w:t>
      </w:r>
      <w:r>
        <w:rPr>
          <w:rFonts w:ascii="Arial" w:hAnsi="Arial" w:cs="Arial"/>
          <w:kern w:val="2"/>
          <w:sz w:val="21"/>
          <w:szCs w:val="21"/>
        </w:rPr>
        <w:t>市场为公开、平等、自愿的交易市场。</w:t>
      </w:r>
    </w:p>
    <w:p w14:paraId="5DBD69E0" w14:textId="77777777" w:rsidR="00000000" w:rsidRDefault="00000000">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2.</w:t>
      </w:r>
      <w:r>
        <w:rPr>
          <w:rFonts w:ascii="Arial" w:hAnsi="Arial" w:cs="Arial" w:hint="eastAsia"/>
          <w:kern w:val="2"/>
          <w:sz w:val="21"/>
          <w:szCs w:val="21"/>
        </w:rPr>
        <w:t>以估价对象符合规划设计条件，能够按规划公共租赁住房用途持续使用，对外出租为假设前提。</w:t>
      </w:r>
    </w:p>
    <w:p w14:paraId="4693A9FD" w14:textId="77777777" w:rsidR="00000000" w:rsidRDefault="00000000">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3</w:t>
      </w:r>
      <w:r>
        <w:rPr>
          <w:rFonts w:ascii="Arial" w:hAnsi="Arial" w:cs="Arial"/>
          <w:kern w:val="2"/>
          <w:sz w:val="21"/>
          <w:szCs w:val="21"/>
        </w:rPr>
        <w:t>.</w:t>
      </w:r>
      <w:r>
        <w:rPr>
          <w:rFonts w:ascii="Arial" w:hAnsi="Arial" w:cs="Arial"/>
          <w:kern w:val="2"/>
          <w:sz w:val="21"/>
          <w:szCs w:val="21"/>
        </w:rPr>
        <w:t>注册房地产估价师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29ED332A" w14:textId="77777777" w:rsidR="00000000" w:rsidRDefault="00000000">
      <w:pPr>
        <w:spacing w:line="480" w:lineRule="auto"/>
        <w:ind w:firstLineChars="200" w:firstLine="420"/>
        <w:jc w:val="both"/>
        <w:rPr>
          <w:rFonts w:ascii="Arial" w:hAnsi="Arial" w:cs="Arial" w:hint="eastAsia"/>
          <w:kern w:val="2"/>
          <w:sz w:val="21"/>
          <w:szCs w:val="21"/>
        </w:rPr>
      </w:pPr>
      <w:r>
        <w:rPr>
          <w:rFonts w:ascii="Arial" w:hAnsi="Arial" w:cs="Arial" w:hint="eastAsia"/>
          <w:kern w:val="2"/>
          <w:sz w:val="21"/>
          <w:szCs w:val="21"/>
        </w:rPr>
        <w:t>4.</w:t>
      </w:r>
      <w:r>
        <w:rPr>
          <w:rFonts w:ascii="Arial" w:hAnsi="Arial" w:cs="Arial" w:hint="eastAsia"/>
          <w:kern w:val="2"/>
          <w:sz w:val="21"/>
          <w:szCs w:val="21"/>
        </w:rPr>
        <w:t>本次估价结果是在满足全部假设与限制条件下，于价值时点</w:t>
      </w:r>
      <w:r>
        <w:rPr>
          <w:rFonts w:ascii="Arial" w:hAnsi="Arial" w:cs="Arial" w:hint="eastAsia"/>
          <w:kern w:val="2"/>
          <w:sz w:val="21"/>
          <w:szCs w:val="21"/>
        </w:rPr>
        <w:t>2025</w:t>
      </w:r>
      <w:r>
        <w:rPr>
          <w:rFonts w:ascii="Arial" w:hAnsi="Arial" w:cs="Arial" w:hint="eastAsia"/>
          <w:kern w:val="2"/>
          <w:sz w:val="21"/>
          <w:szCs w:val="21"/>
        </w:rPr>
        <w:t>年</w:t>
      </w:r>
      <w:r>
        <w:rPr>
          <w:rFonts w:ascii="Arial" w:hAnsi="Arial" w:cs="Arial" w:hint="eastAsia"/>
          <w:kern w:val="2"/>
          <w:sz w:val="21"/>
          <w:szCs w:val="21"/>
        </w:rPr>
        <w:t>10</w:t>
      </w:r>
      <w:r>
        <w:rPr>
          <w:rFonts w:ascii="Arial" w:hAnsi="Arial" w:cs="Arial" w:hint="eastAsia"/>
          <w:kern w:val="2"/>
          <w:sz w:val="21"/>
          <w:szCs w:val="21"/>
        </w:rPr>
        <w:t>月</w:t>
      </w:r>
      <w:r>
        <w:rPr>
          <w:rFonts w:ascii="Arial" w:hAnsi="Arial" w:cs="Arial" w:hint="eastAsia"/>
          <w:kern w:val="2"/>
          <w:sz w:val="21"/>
          <w:szCs w:val="21"/>
        </w:rPr>
        <w:t>1</w:t>
      </w:r>
      <w:r>
        <w:rPr>
          <w:rFonts w:ascii="Arial" w:hAnsi="Arial" w:cs="Arial" w:hint="eastAsia"/>
          <w:kern w:val="2"/>
          <w:sz w:val="21"/>
          <w:szCs w:val="21"/>
        </w:rPr>
        <w:t>日前一年内（</w:t>
      </w:r>
      <w:r>
        <w:rPr>
          <w:rFonts w:ascii="Arial" w:hAnsi="Arial" w:cs="Arial" w:hint="eastAsia"/>
          <w:kern w:val="2"/>
          <w:sz w:val="21"/>
          <w:szCs w:val="21"/>
        </w:rPr>
        <w:t>2024</w:t>
      </w:r>
      <w:r>
        <w:rPr>
          <w:rFonts w:ascii="Arial" w:hAnsi="Arial" w:cs="Arial" w:hint="eastAsia"/>
          <w:kern w:val="2"/>
          <w:sz w:val="21"/>
          <w:szCs w:val="21"/>
        </w:rPr>
        <w:t>年</w:t>
      </w:r>
      <w:r>
        <w:rPr>
          <w:rFonts w:ascii="Arial" w:hAnsi="Arial" w:cs="Arial" w:hint="eastAsia"/>
          <w:kern w:val="2"/>
          <w:sz w:val="21"/>
          <w:szCs w:val="21"/>
        </w:rPr>
        <w:t>10</w:t>
      </w:r>
      <w:r>
        <w:rPr>
          <w:rFonts w:ascii="Arial" w:hAnsi="Arial" w:cs="Arial" w:hint="eastAsia"/>
          <w:kern w:val="2"/>
          <w:sz w:val="21"/>
          <w:szCs w:val="21"/>
        </w:rPr>
        <w:t>月</w:t>
      </w:r>
      <w:r>
        <w:rPr>
          <w:rFonts w:ascii="Arial" w:hAnsi="Arial" w:cs="Arial" w:hint="eastAsia"/>
          <w:kern w:val="2"/>
          <w:sz w:val="21"/>
          <w:szCs w:val="21"/>
        </w:rPr>
        <w:t>1</w:t>
      </w:r>
      <w:r>
        <w:rPr>
          <w:rFonts w:ascii="Arial" w:hAnsi="Arial" w:cs="Arial" w:hint="eastAsia"/>
          <w:kern w:val="2"/>
          <w:sz w:val="21"/>
          <w:szCs w:val="21"/>
        </w:rPr>
        <w:t>日至</w:t>
      </w:r>
      <w:r>
        <w:rPr>
          <w:rFonts w:ascii="Arial" w:hAnsi="Arial" w:cs="Arial" w:hint="eastAsia"/>
          <w:kern w:val="2"/>
          <w:sz w:val="21"/>
          <w:szCs w:val="21"/>
        </w:rPr>
        <w:t>2025</w:t>
      </w:r>
      <w:r>
        <w:rPr>
          <w:rFonts w:ascii="Arial" w:hAnsi="Arial" w:cs="Arial" w:hint="eastAsia"/>
          <w:kern w:val="2"/>
          <w:sz w:val="21"/>
          <w:szCs w:val="21"/>
        </w:rPr>
        <w:t>年</w:t>
      </w:r>
      <w:r>
        <w:rPr>
          <w:rFonts w:ascii="Arial" w:hAnsi="Arial" w:cs="Arial" w:hint="eastAsia"/>
          <w:kern w:val="2"/>
          <w:sz w:val="21"/>
          <w:szCs w:val="21"/>
        </w:rPr>
        <w:t>9</w:t>
      </w:r>
      <w:r>
        <w:rPr>
          <w:rFonts w:ascii="Arial" w:hAnsi="Arial" w:cs="Arial" w:hint="eastAsia"/>
          <w:kern w:val="2"/>
          <w:sz w:val="21"/>
          <w:szCs w:val="21"/>
        </w:rPr>
        <w:t>月</w:t>
      </w:r>
      <w:r>
        <w:rPr>
          <w:rFonts w:ascii="Arial" w:hAnsi="Arial" w:cs="Arial" w:hint="eastAsia"/>
          <w:kern w:val="2"/>
          <w:sz w:val="21"/>
          <w:szCs w:val="21"/>
        </w:rPr>
        <w:t>30</w:t>
      </w:r>
      <w:r>
        <w:rPr>
          <w:rFonts w:ascii="Arial" w:hAnsi="Arial" w:cs="Arial" w:hint="eastAsia"/>
          <w:kern w:val="2"/>
          <w:sz w:val="21"/>
          <w:szCs w:val="21"/>
        </w:rPr>
        <w:t>日）估价对象所在区域同类型商品住房的市场平均租金价格水平，估价结果</w:t>
      </w:r>
      <w:r>
        <w:rPr>
          <w:rFonts w:ascii="Arial" w:hAnsi="Arial" w:cs="Arial" w:hint="eastAsia"/>
          <w:sz w:val="21"/>
          <w:szCs w:val="21"/>
        </w:rPr>
        <w:t>包括地租、房屋折旧、设备折旧、维修费、保险费、物业费、管理费、利息、利润等；不含供暖费、水电费、天然气费、通信费、有线电视费、上网宽带费和家具、家电租赁费及租赁税费等</w:t>
      </w:r>
      <w:r>
        <w:rPr>
          <w:rFonts w:ascii="Arial" w:hAnsi="Arial" w:cs="Arial" w:hint="eastAsia"/>
          <w:kern w:val="2"/>
          <w:sz w:val="21"/>
          <w:szCs w:val="21"/>
        </w:rPr>
        <w:t>。</w:t>
      </w:r>
    </w:p>
    <w:p w14:paraId="0BD0AD73" w14:textId="77777777" w:rsidR="00000000" w:rsidRDefault="00000000">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5.</w:t>
      </w:r>
      <w:r>
        <w:rPr>
          <w:rFonts w:ascii="Arial" w:hAnsi="Arial" w:cs="Arial"/>
          <w:kern w:val="2"/>
          <w:sz w:val="21"/>
          <w:szCs w:val="21"/>
        </w:rPr>
        <w:t>估价对象</w:t>
      </w:r>
      <w:r>
        <w:rPr>
          <w:rFonts w:ascii="Arial" w:hAnsi="Arial" w:cs="Arial" w:hint="eastAsia"/>
          <w:kern w:val="2"/>
          <w:sz w:val="21"/>
          <w:szCs w:val="21"/>
        </w:rPr>
        <w:t>户型、建筑面积、套数等情况均以估价委托人提供的《估价委托书》、</w:t>
      </w:r>
      <w:r>
        <w:rPr>
          <w:rFonts w:ascii="Arial" w:hAnsi="Arial" w:cs="Arial" w:hint="eastAsia"/>
          <w:sz w:val="21"/>
          <w:szCs w:val="21"/>
        </w:rPr>
        <w:t>《</w:t>
      </w:r>
      <w:r>
        <w:rPr>
          <w:rFonts w:ascii="Arial" w:hAnsi="Arial" w:cs="Arial" w:hint="eastAsia"/>
          <w:kern w:val="2"/>
          <w:sz w:val="21"/>
          <w:szCs w:val="21"/>
        </w:rPr>
        <w:t>X13</w:t>
      </w:r>
      <w:r>
        <w:rPr>
          <w:rFonts w:ascii="Arial" w:hAnsi="Arial" w:cs="Arial" w:hint="eastAsia"/>
          <w:kern w:val="2"/>
          <w:sz w:val="21"/>
          <w:szCs w:val="21"/>
        </w:rPr>
        <w:t>海棠苑房源明细表</w:t>
      </w:r>
      <w:r>
        <w:rPr>
          <w:rFonts w:ascii="Arial" w:hAnsi="Arial" w:cs="Arial" w:hint="eastAsia"/>
          <w:sz w:val="21"/>
          <w:szCs w:val="21"/>
        </w:rPr>
        <w:t>》、《</w:t>
      </w:r>
      <w:r>
        <w:rPr>
          <w:rFonts w:ascii="Arial" w:hAnsi="Arial" w:cs="Arial" w:hint="eastAsia"/>
          <w:sz w:val="21"/>
          <w:szCs w:val="21"/>
        </w:rPr>
        <w:t>X38</w:t>
      </w:r>
      <w:r>
        <w:rPr>
          <w:rFonts w:ascii="Arial" w:hAnsi="Arial" w:cs="Arial" w:hint="eastAsia"/>
          <w:sz w:val="21"/>
          <w:szCs w:val="21"/>
        </w:rPr>
        <w:t>鹿海园五里</w:t>
      </w:r>
      <w:r>
        <w:rPr>
          <w:rFonts w:ascii="Arial" w:hAnsi="Arial" w:cs="Arial" w:hint="eastAsia"/>
          <w:kern w:val="2"/>
          <w:sz w:val="21"/>
          <w:szCs w:val="21"/>
        </w:rPr>
        <w:t>房源明细表</w:t>
      </w:r>
      <w:r>
        <w:rPr>
          <w:rFonts w:ascii="Arial" w:hAnsi="Arial" w:cs="Arial" w:hint="eastAsia"/>
          <w:sz w:val="21"/>
          <w:szCs w:val="21"/>
        </w:rPr>
        <w:t>》、《房屋收购协议》</w:t>
      </w:r>
      <w:r>
        <w:rPr>
          <w:rFonts w:ascii="Arial" w:hAnsi="Arial" w:cs="Arial" w:hint="eastAsia"/>
          <w:sz w:val="21"/>
          <w:szCs w:val="21"/>
        </w:rPr>
        <w:t>[</w:t>
      </w:r>
      <w:r>
        <w:rPr>
          <w:rFonts w:ascii="Arial" w:hAnsi="Arial" w:cs="Arial" w:hint="eastAsia"/>
          <w:sz w:val="21"/>
          <w:szCs w:val="21"/>
        </w:rPr>
        <w:t>编号：</w:t>
      </w:r>
      <w:r>
        <w:rPr>
          <w:rFonts w:ascii="Arial" w:hAnsi="Arial" w:cs="Arial" w:hint="eastAsia"/>
          <w:sz w:val="21"/>
          <w:szCs w:val="21"/>
        </w:rPr>
        <w:t>2020-</w:t>
      </w:r>
      <w:r>
        <w:rPr>
          <w:rFonts w:ascii="Arial" w:hAnsi="Arial" w:cs="Arial" w:hint="eastAsia"/>
          <w:sz w:val="21"/>
          <w:szCs w:val="21"/>
        </w:rPr>
        <w:t>新元</w:t>
      </w:r>
      <w:r>
        <w:rPr>
          <w:rFonts w:ascii="Arial" w:hAnsi="Arial" w:cs="Arial" w:hint="eastAsia"/>
          <w:sz w:val="21"/>
          <w:szCs w:val="21"/>
        </w:rPr>
        <w:t>-</w:t>
      </w:r>
      <w:r>
        <w:rPr>
          <w:rFonts w:ascii="Arial" w:hAnsi="Arial" w:cs="Arial" w:hint="eastAsia"/>
          <w:sz w:val="21"/>
          <w:szCs w:val="21"/>
        </w:rPr>
        <w:t>综合</w:t>
      </w:r>
      <w:r>
        <w:rPr>
          <w:rFonts w:ascii="Arial" w:hAnsi="Arial" w:cs="Arial" w:hint="eastAsia"/>
          <w:sz w:val="21"/>
          <w:szCs w:val="21"/>
        </w:rPr>
        <w:t>-17]</w:t>
      </w:r>
      <w:r>
        <w:rPr>
          <w:rFonts w:ascii="Arial" w:hAnsi="Arial" w:cs="Arial" w:hint="eastAsia"/>
          <w:kern w:val="2"/>
          <w:sz w:val="21"/>
          <w:szCs w:val="21"/>
        </w:rPr>
        <w:t xml:space="preserve"> </w:t>
      </w:r>
      <w:r>
        <w:rPr>
          <w:rFonts w:ascii="Arial" w:hAnsi="Arial" w:cs="Arial" w:hint="eastAsia"/>
          <w:kern w:val="2"/>
          <w:sz w:val="21"/>
          <w:szCs w:val="21"/>
        </w:rPr>
        <w:t>及《房屋交接书》</w:t>
      </w:r>
      <w:r>
        <w:rPr>
          <w:rFonts w:ascii="Arial" w:hAnsi="Arial" w:cs="Arial"/>
          <w:kern w:val="2"/>
          <w:sz w:val="21"/>
          <w:szCs w:val="21"/>
        </w:rPr>
        <w:t>为</w:t>
      </w:r>
      <w:r>
        <w:rPr>
          <w:rFonts w:ascii="Arial" w:hAnsi="Arial" w:cs="Arial"/>
          <w:sz w:val="21"/>
          <w:szCs w:val="21"/>
        </w:rPr>
        <w:t>依据。</w:t>
      </w:r>
    </w:p>
    <w:p w14:paraId="5F9ACA6D" w14:textId="77777777" w:rsidR="00000000" w:rsidRDefault="00000000">
      <w:pPr>
        <w:spacing w:line="480" w:lineRule="auto"/>
        <w:ind w:firstLineChars="200" w:firstLine="420"/>
        <w:jc w:val="both"/>
        <w:rPr>
          <w:rFonts w:ascii="Arial" w:hAnsi="Arial" w:cs="Arial"/>
          <w:color w:val="000000"/>
          <w:kern w:val="2"/>
          <w:sz w:val="21"/>
          <w:szCs w:val="21"/>
        </w:rPr>
      </w:pPr>
      <w:r>
        <w:rPr>
          <w:rFonts w:ascii="Arial" w:hAnsi="Arial" w:cs="Arial" w:hint="eastAsia"/>
          <w:sz w:val="21"/>
          <w:szCs w:val="21"/>
        </w:rPr>
        <w:t>6</w:t>
      </w:r>
      <w:r>
        <w:rPr>
          <w:rFonts w:ascii="Arial" w:hAnsi="Arial" w:cs="Arial"/>
          <w:sz w:val="21"/>
          <w:szCs w:val="21"/>
        </w:rPr>
        <w:t>.</w:t>
      </w:r>
      <w:r>
        <w:rPr>
          <w:rFonts w:ascii="Arial" w:hAnsi="Arial" w:cs="Arial" w:hint="eastAsia"/>
          <w:kern w:val="2"/>
          <w:sz w:val="21"/>
          <w:szCs w:val="21"/>
        </w:rPr>
        <w:t>由于部分房屋已出租，评估专业人员未能进入全部房屋内部进行勘察，仅</w:t>
      </w:r>
      <w:r>
        <w:rPr>
          <w:rFonts w:ascii="Arial" w:hAnsi="Arial" w:cs="Arial"/>
          <w:color w:val="000000"/>
          <w:kern w:val="2"/>
          <w:sz w:val="21"/>
          <w:szCs w:val="21"/>
        </w:rPr>
        <w:t>评估专业人员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50549389" w14:textId="77777777" w:rsidR="00000000" w:rsidRDefault="00000000">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7</w:t>
      </w:r>
      <w:r>
        <w:rPr>
          <w:rFonts w:ascii="Arial" w:hAnsi="Arial" w:cs="Arial"/>
          <w:kern w:val="2"/>
          <w:sz w:val="21"/>
          <w:szCs w:val="21"/>
        </w:rPr>
        <w:t>.</w:t>
      </w:r>
      <w:r>
        <w:rPr>
          <w:rFonts w:ascii="Arial" w:hAnsi="Arial" w:cs="Arial"/>
          <w:kern w:val="2"/>
          <w:sz w:val="21"/>
          <w:szCs w:val="21"/>
        </w:rPr>
        <w:t>任何有关估价对象的运作方式、程序符合国家、地方的有关法律、法规。</w:t>
      </w:r>
    </w:p>
    <w:p w14:paraId="57ACC3BD" w14:textId="77777777" w:rsidR="00000000" w:rsidRDefault="00000000">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8</w:t>
      </w:r>
      <w:r>
        <w:rPr>
          <w:rFonts w:ascii="Arial" w:hAnsi="Arial" w:cs="Arial"/>
          <w:kern w:val="2"/>
          <w:sz w:val="21"/>
          <w:szCs w:val="21"/>
        </w:rPr>
        <w:t>.</w:t>
      </w:r>
      <w:r>
        <w:rPr>
          <w:rFonts w:ascii="Arial" w:hAnsi="Arial" w:cs="Arial"/>
          <w:kern w:val="2"/>
          <w:sz w:val="21"/>
          <w:szCs w:val="21"/>
        </w:rPr>
        <w:t>本次估价结果未考虑国家宏观政策发生重大变化以及遇有自然力和其他不可抗力对估价结果的影响。</w:t>
      </w:r>
    </w:p>
    <w:p w14:paraId="19DE02C1" w14:textId="77777777" w:rsidR="00000000" w:rsidRDefault="00000000">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9.</w:t>
      </w:r>
      <w:r>
        <w:rPr>
          <w:rFonts w:ascii="Arial" w:hAnsi="Arial" w:cs="Arial"/>
          <w:kern w:val="2"/>
          <w:sz w:val="21"/>
          <w:szCs w:val="21"/>
        </w:rPr>
        <w:t>估价结果未考虑估价对象及其运营企业已承担的债务、或有债务及经营决策失误或市场运作失当对其</w:t>
      </w:r>
      <w:r>
        <w:rPr>
          <w:rFonts w:ascii="Arial" w:hAnsi="Arial" w:cs="Arial" w:hint="eastAsia"/>
          <w:kern w:val="2"/>
          <w:sz w:val="21"/>
          <w:szCs w:val="21"/>
        </w:rPr>
        <w:t>租赁价格水平</w:t>
      </w:r>
      <w:r>
        <w:rPr>
          <w:rFonts w:ascii="Arial" w:hAnsi="Arial" w:cs="Arial"/>
          <w:kern w:val="2"/>
          <w:sz w:val="21"/>
          <w:szCs w:val="21"/>
        </w:rPr>
        <w:t>的影响。</w:t>
      </w:r>
    </w:p>
    <w:p w14:paraId="751C5876" w14:textId="77777777" w:rsidR="00000000" w:rsidRDefault="00000000">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10.</w:t>
      </w:r>
      <w:r>
        <w:rPr>
          <w:rFonts w:ascii="Arial" w:hAnsi="Arial" w:cs="Arial" w:hint="eastAsia"/>
          <w:kern w:val="2"/>
          <w:sz w:val="21"/>
          <w:szCs w:val="21"/>
        </w:rPr>
        <w:t>注册房地产估价师于</w:t>
      </w:r>
      <w:r>
        <w:rPr>
          <w:rFonts w:ascii="Arial" w:hAnsi="Arial" w:cs="Arial"/>
          <w:sz w:val="21"/>
          <w:szCs w:val="21"/>
        </w:rPr>
        <w:t>2025</w:t>
      </w:r>
      <w:r>
        <w:rPr>
          <w:rFonts w:ascii="Arial" w:hAnsi="Arial" w:cs="Arial"/>
          <w:sz w:val="21"/>
          <w:szCs w:val="21"/>
        </w:rPr>
        <w:t>年</w:t>
      </w:r>
      <w:r>
        <w:rPr>
          <w:rFonts w:ascii="Arial" w:hAnsi="Arial" w:cs="Arial" w:hint="eastAsia"/>
          <w:sz w:val="21"/>
          <w:szCs w:val="21"/>
        </w:rPr>
        <w:t>10</w:t>
      </w:r>
      <w:r>
        <w:rPr>
          <w:rFonts w:ascii="Arial" w:hAnsi="Arial" w:cs="Arial"/>
          <w:sz w:val="21"/>
          <w:szCs w:val="21"/>
        </w:rPr>
        <w:t>月</w:t>
      </w:r>
      <w:r>
        <w:rPr>
          <w:rFonts w:ascii="Arial" w:hAnsi="Arial" w:cs="Arial"/>
          <w:sz w:val="21"/>
          <w:szCs w:val="21"/>
        </w:rPr>
        <w:t>1</w:t>
      </w:r>
      <w:r>
        <w:rPr>
          <w:rFonts w:ascii="Arial" w:hAnsi="Arial" w:cs="Arial" w:hint="eastAsia"/>
          <w:sz w:val="21"/>
          <w:szCs w:val="21"/>
        </w:rPr>
        <w:t>3</w:t>
      </w:r>
      <w:r>
        <w:rPr>
          <w:rFonts w:ascii="Arial" w:hAnsi="Arial" w:cs="Arial"/>
          <w:sz w:val="21"/>
          <w:szCs w:val="21"/>
        </w:rPr>
        <w:t>日</w:t>
      </w:r>
      <w:r>
        <w:rPr>
          <w:rFonts w:ascii="Arial" w:hAnsi="Arial" w:cs="Arial" w:hint="eastAsia"/>
          <w:kern w:val="2"/>
          <w:sz w:val="21"/>
          <w:szCs w:val="21"/>
        </w:rPr>
        <w:t>对估价对象现状利用状况进行了实地查勘。</w:t>
      </w:r>
    </w:p>
    <w:p w14:paraId="5B7AA977" w14:textId="77777777" w:rsidR="00000000" w:rsidRDefault="00000000">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lastRenderedPageBreak/>
        <w:t>11.</w:t>
      </w:r>
      <w:r>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14:paraId="0BC42B27" w14:textId="77777777" w:rsidR="00000000" w:rsidRDefault="00000000">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二</w:t>
      </w:r>
      <w:r>
        <w:rPr>
          <w:rFonts w:ascii="Arial" w:hAnsi="Arial" w:cs="Arial"/>
          <w:b/>
          <w:kern w:val="2"/>
          <w:sz w:val="21"/>
          <w:szCs w:val="21"/>
        </w:rPr>
        <w:t>）</w:t>
      </w:r>
      <w:r>
        <w:rPr>
          <w:rFonts w:ascii="Arial" w:hAnsi="Arial" w:cs="Arial" w:hint="eastAsia"/>
          <w:b/>
          <w:kern w:val="2"/>
          <w:sz w:val="21"/>
          <w:szCs w:val="21"/>
        </w:rPr>
        <w:t>本次估价的未定事项假设</w:t>
      </w:r>
    </w:p>
    <w:p w14:paraId="7FB82060" w14:textId="77777777" w:rsidR="00000000" w:rsidRDefault="00000000">
      <w:pPr>
        <w:spacing w:line="480" w:lineRule="auto"/>
        <w:ind w:firstLineChars="200" w:firstLine="420"/>
        <w:jc w:val="both"/>
        <w:rPr>
          <w:rFonts w:ascii="Arial" w:hAnsi="Arial" w:cs="Arial" w:hint="eastAsia"/>
          <w:color w:val="000000"/>
          <w:sz w:val="21"/>
          <w:szCs w:val="21"/>
        </w:rPr>
      </w:pPr>
      <w:r>
        <w:rPr>
          <w:rFonts w:ascii="Arial" w:hAnsi="Arial" w:cs="Arial" w:hint="eastAsia"/>
          <w:color w:val="000000"/>
          <w:sz w:val="21"/>
          <w:szCs w:val="21"/>
        </w:rPr>
        <w:t>无未定事项假设。</w:t>
      </w:r>
    </w:p>
    <w:p w14:paraId="55BEFF54" w14:textId="77777777" w:rsidR="00000000" w:rsidRDefault="00000000">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三</w:t>
      </w:r>
      <w:r>
        <w:rPr>
          <w:rFonts w:ascii="Arial" w:hAnsi="Arial" w:cs="Arial"/>
          <w:b/>
          <w:kern w:val="2"/>
          <w:sz w:val="21"/>
          <w:szCs w:val="21"/>
        </w:rPr>
        <w:t>）</w:t>
      </w:r>
      <w:r>
        <w:rPr>
          <w:rFonts w:ascii="Arial" w:hAnsi="Arial" w:cs="Arial" w:hint="eastAsia"/>
          <w:b/>
          <w:kern w:val="2"/>
          <w:sz w:val="21"/>
          <w:szCs w:val="21"/>
        </w:rPr>
        <w:t>本次估价的背离事实假设</w:t>
      </w:r>
    </w:p>
    <w:p w14:paraId="1B562E7B" w14:textId="77777777" w:rsidR="00000000" w:rsidRDefault="00000000">
      <w:pPr>
        <w:spacing w:line="480" w:lineRule="auto"/>
        <w:ind w:firstLineChars="200" w:firstLine="420"/>
        <w:jc w:val="both"/>
        <w:rPr>
          <w:rFonts w:ascii="Arial" w:hAnsi="Arial" w:cs="Arial" w:hint="eastAsia"/>
          <w:kern w:val="2"/>
          <w:sz w:val="21"/>
          <w:szCs w:val="21"/>
        </w:rPr>
      </w:pPr>
      <w:r>
        <w:rPr>
          <w:rFonts w:ascii="Arial" w:hAnsi="Arial" w:cs="Arial" w:hint="eastAsia"/>
          <w:kern w:val="2"/>
          <w:sz w:val="21"/>
          <w:szCs w:val="21"/>
        </w:rPr>
        <w:t>根据估价委托人的介绍及评估专业人员实地查勘，于价值时点，估价对象部分已出租，结合本次估价目的，本次估价未考虑租约对估价结果的影响。</w:t>
      </w:r>
    </w:p>
    <w:p w14:paraId="5441ECEA" w14:textId="77777777" w:rsidR="00000000" w:rsidRDefault="00000000">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四</w:t>
      </w:r>
      <w:r>
        <w:rPr>
          <w:rFonts w:ascii="Arial" w:hAnsi="Arial" w:cs="Arial"/>
          <w:b/>
          <w:kern w:val="2"/>
          <w:sz w:val="21"/>
          <w:szCs w:val="21"/>
        </w:rPr>
        <w:t>）</w:t>
      </w:r>
      <w:r>
        <w:rPr>
          <w:rFonts w:ascii="Arial" w:hAnsi="Arial" w:cs="Arial" w:hint="eastAsia"/>
          <w:b/>
          <w:kern w:val="2"/>
          <w:sz w:val="21"/>
          <w:szCs w:val="21"/>
        </w:rPr>
        <w:t>本次估价的不相一致假设</w:t>
      </w:r>
    </w:p>
    <w:p w14:paraId="002AAABF" w14:textId="77777777" w:rsidR="00000000" w:rsidRDefault="00000000">
      <w:pPr>
        <w:spacing w:line="480" w:lineRule="auto"/>
        <w:ind w:firstLineChars="200" w:firstLine="420"/>
        <w:jc w:val="both"/>
        <w:rPr>
          <w:rFonts w:ascii="Arial" w:hAnsi="Arial" w:cs="Arial" w:hint="eastAsia"/>
          <w:kern w:val="2"/>
          <w:sz w:val="21"/>
          <w:szCs w:val="21"/>
        </w:rPr>
      </w:pPr>
      <w:r>
        <w:rPr>
          <w:rFonts w:ascii="Arial" w:hAnsi="Arial" w:cs="Arial" w:hint="eastAsia"/>
          <w:kern w:val="2"/>
          <w:sz w:val="21"/>
          <w:szCs w:val="21"/>
        </w:rPr>
        <w:t>本次评估</w:t>
      </w:r>
      <w:r>
        <w:rPr>
          <w:rFonts w:ascii="Arial" w:hAnsi="Arial" w:cs="Arial" w:hint="eastAsia"/>
          <w:sz w:val="21"/>
          <w:szCs w:val="21"/>
        </w:rPr>
        <w:t>注册房地产估价师</w:t>
      </w:r>
      <w:r>
        <w:rPr>
          <w:rFonts w:ascii="Arial" w:hAnsi="Arial" w:cs="Arial" w:hint="eastAsia"/>
          <w:kern w:val="2"/>
          <w:sz w:val="21"/>
          <w:szCs w:val="21"/>
        </w:rPr>
        <w:t>实地查勘日为</w:t>
      </w:r>
      <w:r>
        <w:rPr>
          <w:rFonts w:ascii="Arial" w:hAnsi="Arial" w:cs="Arial" w:hint="eastAsia"/>
          <w:kern w:val="2"/>
          <w:sz w:val="21"/>
          <w:szCs w:val="21"/>
        </w:rPr>
        <w:t>202</w:t>
      </w:r>
      <w:r>
        <w:rPr>
          <w:rFonts w:ascii="Arial" w:hAnsi="Arial" w:cs="Arial"/>
          <w:kern w:val="2"/>
          <w:sz w:val="21"/>
          <w:szCs w:val="21"/>
        </w:rPr>
        <w:t>5</w:t>
      </w:r>
      <w:r>
        <w:rPr>
          <w:rFonts w:ascii="Arial" w:hAnsi="Arial" w:cs="Arial" w:hint="eastAsia"/>
          <w:kern w:val="2"/>
          <w:sz w:val="21"/>
          <w:szCs w:val="21"/>
        </w:rPr>
        <w:t>年</w:t>
      </w:r>
      <w:r>
        <w:rPr>
          <w:rFonts w:ascii="Arial" w:hAnsi="Arial" w:cs="Arial" w:hint="eastAsia"/>
          <w:kern w:val="2"/>
          <w:sz w:val="21"/>
          <w:szCs w:val="21"/>
        </w:rPr>
        <w:t>10</w:t>
      </w:r>
      <w:r>
        <w:rPr>
          <w:rFonts w:ascii="Arial" w:hAnsi="Arial" w:cs="Arial" w:hint="eastAsia"/>
          <w:kern w:val="2"/>
          <w:sz w:val="21"/>
          <w:szCs w:val="21"/>
        </w:rPr>
        <w:t>月</w:t>
      </w:r>
      <w:r>
        <w:rPr>
          <w:rFonts w:ascii="Arial" w:hAnsi="Arial" w:cs="Arial"/>
          <w:kern w:val="2"/>
          <w:sz w:val="21"/>
          <w:szCs w:val="21"/>
        </w:rPr>
        <w:t>1</w:t>
      </w:r>
      <w:r>
        <w:rPr>
          <w:rFonts w:ascii="Arial" w:hAnsi="Arial" w:cs="Arial" w:hint="eastAsia"/>
          <w:kern w:val="2"/>
          <w:sz w:val="21"/>
          <w:szCs w:val="21"/>
        </w:rPr>
        <w:t>3</w:t>
      </w:r>
      <w:r>
        <w:rPr>
          <w:rFonts w:ascii="Arial" w:hAnsi="Arial" w:cs="Arial" w:hint="eastAsia"/>
          <w:kern w:val="2"/>
          <w:sz w:val="21"/>
          <w:szCs w:val="21"/>
        </w:rPr>
        <w:t>日，与价值时点</w:t>
      </w:r>
      <w:r>
        <w:rPr>
          <w:rFonts w:ascii="Arial" w:hAnsi="Arial" w:cs="Arial" w:hint="eastAsia"/>
          <w:kern w:val="2"/>
          <w:sz w:val="21"/>
          <w:szCs w:val="21"/>
        </w:rPr>
        <w:t>202</w:t>
      </w:r>
      <w:r>
        <w:rPr>
          <w:rFonts w:ascii="Arial" w:hAnsi="Arial" w:cs="Arial"/>
          <w:kern w:val="2"/>
          <w:sz w:val="21"/>
          <w:szCs w:val="21"/>
        </w:rPr>
        <w:t>5</w:t>
      </w:r>
      <w:r>
        <w:rPr>
          <w:rFonts w:ascii="Arial" w:hAnsi="Arial" w:cs="Arial" w:hint="eastAsia"/>
          <w:kern w:val="2"/>
          <w:sz w:val="21"/>
          <w:szCs w:val="21"/>
        </w:rPr>
        <w:t>年</w:t>
      </w:r>
      <w:r>
        <w:rPr>
          <w:rFonts w:ascii="Arial" w:hAnsi="Arial" w:cs="Arial" w:hint="eastAsia"/>
          <w:kern w:val="2"/>
          <w:sz w:val="21"/>
          <w:szCs w:val="21"/>
        </w:rPr>
        <w:t>10</w:t>
      </w:r>
      <w:r>
        <w:rPr>
          <w:rFonts w:ascii="Arial" w:hAnsi="Arial" w:cs="Arial" w:hint="eastAsia"/>
          <w:kern w:val="2"/>
          <w:sz w:val="21"/>
          <w:szCs w:val="21"/>
        </w:rPr>
        <w:t>月</w:t>
      </w:r>
      <w:r>
        <w:rPr>
          <w:rFonts w:ascii="Arial" w:hAnsi="Arial" w:cs="Arial" w:hint="eastAsia"/>
          <w:kern w:val="2"/>
          <w:sz w:val="21"/>
          <w:szCs w:val="21"/>
        </w:rPr>
        <w:t>1</w:t>
      </w:r>
      <w:r>
        <w:rPr>
          <w:rFonts w:ascii="Arial" w:hAnsi="Arial" w:cs="Arial" w:hint="eastAsia"/>
          <w:kern w:val="2"/>
          <w:sz w:val="21"/>
          <w:szCs w:val="21"/>
        </w:rPr>
        <w:t>日不一致，本次评估假设估价对象于价值时点的实物状况与实地查勘之日一致。在此提请报告使用者注意。</w:t>
      </w:r>
    </w:p>
    <w:p w14:paraId="7FE51DC6" w14:textId="77777777" w:rsidR="00000000" w:rsidRDefault="00000000">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五</w:t>
      </w:r>
      <w:r>
        <w:rPr>
          <w:rFonts w:ascii="Arial" w:hAnsi="Arial" w:cs="Arial"/>
          <w:b/>
          <w:kern w:val="2"/>
          <w:sz w:val="21"/>
          <w:szCs w:val="21"/>
        </w:rPr>
        <w:t>）</w:t>
      </w:r>
      <w:r>
        <w:rPr>
          <w:rFonts w:ascii="Arial" w:hAnsi="Arial" w:cs="Arial" w:hint="eastAsia"/>
          <w:b/>
          <w:kern w:val="2"/>
          <w:sz w:val="21"/>
          <w:szCs w:val="21"/>
        </w:rPr>
        <w:t>本次估价的依据不足假设</w:t>
      </w:r>
    </w:p>
    <w:p w14:paraId="13B44492" w14:textId="77777777" w:rsidR="00000000" w:rsidRDefault="00000000">
      <w:pPr>
        <w:spacing w:line="480" w:lineRule="auto"/>
        <w:ind w:firstLineChars="200" w:firstLine="420"/>
        <w:jc w:val="both"/>
        <w:rPr>
          <w:rFonts w:ascii="Arial" w:hAnsi="Arial" w:cs="Arial" w:hint="eastAsia"/>
          <w:kern w:val="2"/>
          <w:sz w:val="21"/>
          <w:szCs w:val="21"/>
        </w:rPr>
      </w:pPr>
      <w:r>
        <w:rPr>
          <w:rFonts w:ascii="Arial" w:hAnsi="Arial" w:cs="Arial" w:hint="eastAsia"/>
          <w:sz w:val="21"/>
          <w:szCs w:val="21"/>
        </w:rPr>
        <w:t>关于发布</w:t>
      </w:r>
      <w:r>
        <w:rPr>
          <w:rFonts w:ascii="Arial" w:hAnsi="Arial" w:cs="Arial" w:hint="eastAsia"/>
          <w:sz w:val="21"/>
          <w:szCs w:val="21"/>
        </w:rPr>
        <w:t>&lt;</w:t>
      </w:r>
      <w:r>
        <w:rPr>
          <w:rFonts w:ascii="Arial" w:hAnsi="Arial" w:cs="Arial" w:hint="eastAsia"/>
          <w:sz w:val="21"/>
          <w:szCs w:val="21"/>
        </w:rPr>
        <w:t>北京市公共租赁住房项目市场租金评估技术指引</w:t>
      </w:r>
      <w:r>
        <w:rPr>
          <w:rFonts w:ascii="Arial" w:hAnsi="Arial" w:cs="Arial" w:hint="eastAsia"/>
          <w:sz w:val="21"/>
          <w:szCs w:val="21"/>
        </w:rPr>
        <w:t>&gt;</w:t>
      </w:r>
      <w:r>
        <w:rPr>
          <w:rFonts w:ascii="Arial" w:hAnsi="Arial" w:cs="Arial" w:hint="eastAsia"/>
          <w:sz w:val="21"/>
          <w:szCs w:val="21"/>
        </w:rPr>
        <w:t>的通知》</w:t>
      </w:r>
      <w:r>
        <w:rPr>
          <w:rFonts w:ascii="Arial" w:hAnsi="Arial" w:cs="Arial" w:hint="eastAsia"/>
          <w:sz w:val="21"/>
          <w:szCs w:val="21"/>
        </w:rPr>
        <w:t>[</w:t>
      </w:r>
      <w:r>
        <w:rPr>
          <w:rFonts w:ascii="Arial" w:hAnsi="Arial" w:cs="Arial" w:hint="eastAsia"/>
          <w:sz w:val="21"/>
          <w:szCs w:val="21"/>
        </w:rPr>
        <w:t>北估秘</w:t>
      </w:r>
      <w:r>
        <w:rPr>
          <w:rFonts w:ascii="Arial" w:hAnsi="Arial" w:cs="Arial" w:hint="eastAsia"/>
          <w:sz w:val="21"/>
          <w:szCs w:val="21"/>
        </w:rPr>
        <w:t>[2019]02</w:t>
      </w:r>
      <w:r>
        <w:rPr>
          <w:rFonts w:ascii="Arial" w:hAnsi="Arial" w:cs="Arial"/>
          <w:sz w:val="21"/>
          <w:szCs w:val="21"/>
        </w:rPr>
        <w:t>0</w:t>
      </w:r>
      <w:r>
        <w:rPr>
          <w:rFonts w:ascii="Arial" w:hAnsi="Arial" w:cs="Arial" w:hint="eastAsia"/>
          <w:sz w:val="21"/>
          <w:szCs w:val="21"/>
        </w:rPr>
        <w:t>号</w:t>
      </w:r>
      <w:r>
        <w:rPr>
          <w:rFonts w:ascii="Arial" w:hAnsi="Arial" w:cs="Arial" w:hint="eastAsia"/>
          <w:sz w:val="21"/>
          <w:szCs w:val="21"/>
        </w:rPr>
        <w:t>]</w:t>
      </w:r>
      <w:r>
        <w:rPr>
          <w:rFonts w:ascii="Arial" w:hAnsi="Arial" w:cs="Arial" w:hint="eastAsia"/>
          <w:kern w:val="2"/>
          <w:sz w:val="21"/>
          <w:szCs w:val="21"/>
        </w:rPr>
        <w:t>自</w:t>
      </w:r>
      <w:r>
        <w:rPr>
          <w:rFonts w:ascii="Arial" w:hAnsi="Arial" w:cs="Arial" w:hint="eastAsia"/>
          <w:kern w:val="2"/>
          <w:sz w:val="21"/>
          <w:szCs w:val="21"/>
        </w:rPr>
        <w:t>2020</w:t>
      </w:r>
      <w:r>
        <w:rPr>
          <w:rFonts w:ascii="Arial" w:hAnsi="Arial" w:cs="Arial" w:hint="eastAsia"/>
          <w:kern w:val="2"/>
          <w:sz w:val="21"/>
          <w:szCs w:val="21"/>
        </w:rPr>
        <w:t>年</w:t>
      </w:r>
      <w:r>
        <w:rPr>
          <w:rFonts w:ascii="Arial" w:hAnsi="Arial" w:cs="Arial" w:hint="eastAsia"/>
          <w:kern w:val="2"/>
          <w:sz w:val="21"/>
          <w:szCs w:val="21"/>
        </w:rPr>
        <w:t>1</w:t>
      </w:r>
      <w:r>
        <w:rPr>
          <w:rFonts w:ascii="Arial" w:hAnsi="Arial" w:cs="Arial" w:hint="eastAsia"/>
          <w:kern w:val="2"/>
          <w:sz w:val="21"/>
          <w:szCs w:val="21"/>
        </w:rPr>
        <w:t>月</w:t>
      </w:r>
      <w:r>
        <w:rPr>
          <w:rFonts w:ascii="Arial" w:hAnsi="Arial" w:cs="Arial" w:hint="eastAsia"/>
          <w:kern w:val="2"/>
          <w:sz w:val="21"/>
          <w:szCs w:val="21"/>
        </w:rPr>
        <w:t>1</w:t>
      </w:r>
      <w:r>
        <w:rPr>
          <w:rFonts w:ascii="Arial" w:hAnsi="Arial" w:cs="Arial" w:hint="eastAsia"/>
          <w:kern w:val="2"/>
          <w:sz w:val="21"/>
          <w:szCs w:val="21"/>
        </w:rPr>
        <w:t>日起施行，有效期为三年，截至价值时点，评估技术指引已过有效期。考虑到新版技术指引尚未发布，且目前北京市公共租赁住房市场租金评估相关标准仍按技术指引执行，故本次评估参照</w:t>
      </w:r>
      <w:r>
        <w:rPr>
          <w:rFonts w:ascii="Arial" w:hAnsi="Arial" w:cs="Arial" w:hint="eastAsia"/>
          <w:sz w:val="21"/>
          <w:szCs w:val="21"/>
        </w:rPr>
        <w:t>《关于发布</w:t>
      </w:r>
      <w:r>
        <w:rPr>
          <w:rFonts w:ascii="Arial" w:hAnsi="Arial" w:cs="Arial" w:hint="eastAsia"/>
          <w:sz w:val="21"/>
          <w:szCs w:val="21"/>
        </w:rPr>
        <w:t>&lt;</w:t>
      </w:r>
      <w:r>
        <w:rPr>
          <w:rFonts w:ascii="Arial" w:hAnsi="Arial" w:cs="Arial" w:hint="eastAsia"/>
          <w:sz w:val="21"/>
          <w:szCs w:val="21"/>
        </w:rPr>
        <w:t>北京市公共租赁住房项目市场租金评估技术指引</w:t>
      </w:r>
      <w:r>
        <w:rPr>
          <w:rFonts w:ascii="Arial" w:hAnsi="Arial" w:cs="Arial" w:hint="eastAsia"/>
          <w:sz w:val="21"/>
          <w:szCs w:val="21"/>
        </w:rPr>
        <w:t>&gt;</w:t>
      </w:r>
      <w:r>
        <w:rPr>
          <w:rFonts w:ascii="Arial" w:hAnsi="Arial" w:cs="Arial" w:hint="eastAsia"/>
          <w:sz w:val="21"/>
          <w:szCs w:val="21"/>
        </w:rPr>
        <w:t>的通知》</w:t>
      </w:r>
      <w:r>
        <w:rPr>
          <w:rFonts w:ascii="Arial" w:hAnsi="Arial" w:cs="Arial" w:hint="eastAsia"/>
          <w:sz w:val="21"/>
          <w:szCs w:val="21"/>
        </w:rPr>
        <w:t>[</w:t>
      </w:r>
      <w:r>
        <w:rPr>
          <w:rFonts w:ascii="Arial" w:hAnsi="Arial" w:cs="Arial" w:hint="eastAsia"/>
          <w:sz w:val="21"/>
          <w:szCs w:val="21"/>
        </w:rPr>
        <w:t>北估秘</w:t>
      </w:r>
      <w:r>
        <w:rPr>
          <w:rFonts w:ascii="Arial" w:hAnsi="Arial" w:cs="Arial" w:hint="eastAsia"/>
          <w:sz w:val="21"/>
          <w:szCs w:val="21"/>
        </w:rPr>
        <w:t>[2019]02</w:t>
      </w:r>
      <w:r>
        <w:rPr>
          <w:rFonts w:ascii="Arial" w:hAnsi="Arial" w:cs="Arial"/>
          <w:sz w:val="21"/>
          <w:szCs w:val="21"/>
        </w:rPr>
        <w:t>0</w:t>
      </w:r>
      <w:r>
        <w:rPr>
          <w:rFonts w:ascii="Arial" w:hAnsi="Arial" w:cs="Arial" w:hint="eastAsia"/>
          <w:sz w:val="21"/>
          <w:szCs w:val="21"/>
        </w:rPr>
        <w:t>号</w:t>
      </w:r>
      <w:r>
        <w:rPr>
          <w:rFonts w:ascii="Arial" w:hAnsi="Arial" w:cs="Arial" w:hint="eastAsia"/>
          <w:sz w:val="21"/>
          <w:szCs w:val="21"/>
        </w:rPr>
        <w:t>]</w:t>
      </w:r>
      <w:r>
        <w:rPr>
          <w:rFonts w:ascii="Arial" w:hAnsi="Arial" w:cs="Arial" w:hint="eastAsia"/>
          <w:kern w:val="2"/>
          <w:sz w:val="21"/>
          <w:szCs w:val="21"/>
        </w:rPr>
        <w:t>进行评估，在此提请报告使用者注意。</w:t>
      </w:r>
    </w:p>
    <w:p w14:paraId="05B75ED9" w14:textId="77777777" w:rsidR="00000000" w:rsidRDefault="00000000">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六</w:t>
      </w:r>
      <w:r>
        <w:rPr>
          <w:rFonts w:ascii="Arial" w:hAnsi="Arial" w:cs="Arial"/>
          <w:b/>
          <w:kern w:val="2"/>
          <w:sz w:val="21"/>
          <w:szCs w:val="21"/>
        </w:rPr>
        <w:t>）</w:t>
      </w:r>
      <w:r>
        <w:rPr>
          <w:rFonts w:ascii="Arial" w:hAnsi="Arial" w:cs="Arial" w:hint="eastAsia"/>
          <w:b/>
          <w:kern w:val="2"/>
          <w:sz w:val="21"/>
          <w:szCs w:val="21"/>
        </w:rPr>
        <w:t>估价报告使用限制</w:t>
      </w:r>
    </w:p>
    <w:p w14:paraId="66BE5B15" w14:textId="77777777" w:rsidR="00000000" w:rsidRDefault="00000000">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1.</w:t>
      </w:r>
      <w:r>
        <w:rPr>
          <w:rFonts w:ascii="Arial" w:hAnsi="Arial" w:cs="Arial" w:hint="eastAsia"/>
          <w:kern w:val="2"/>
          <w:sz w:val="21"/>
          <w:szCs w:val="21"/>
        </w:rPr>
        <w:t>使用范围：本估价报告只能由估价报告载明的报告使用者使用，且只能用于本报告载明的唯一估价目的和用途。</w:t>
      </w:r>
    </w:p>
    <w:p w14:paraId="2FB933EF" w14:textId="77777777" w:rsidR="00000000" w:rsidRDefault="00000000">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2.</w:t>
      </w:r>
      <w:r>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估价委托人或者本估价报告使用人应按照法律规定和估价报告载明的使用范围使用本估价报告。估价委托人或者估价报告使用人违反前述规定使用本估价报告的，估价机构和注册房地产估价师不承担责任。</w:t>
      </w:r>
    </w:p>
    <w:p w14:paraId="6F0A229A" w14:textId="77777777" w:rsidR="00000000" w:rsidRDefault="00000000">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3.</w:t>
      </w:r>
      <w:r>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72DE526C" w14:textId="77777777" w:rsidR="00000000" w:rsidRDefault="00000000">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4.</w:t>
      </w:r>
      <w:r>
        <w:rPr>
          <w:rFonts w:ascii="Arial" w:hAnsi="Arial" w:cs="Arial" w:hint="eastAsia"/>
          <w:kern w:val="2"/>
          <w:sz w:val="21"/>
          <w:szCs w:val="21"/>
        </w:rPr>
        <w:t>估价报告使用人应当正确理解估价结论。估价结论不等同于估价对象可实现价格，估价结论不</w:t>
      </w:r>
      <w:r>
        <w:rPr>
          <w:rFonts w:ascii="Arial" w:hAnsi="Arial" w:cs="Arial" w:hint="eastAsia"/>
          <w:kern w:val="2"/>
          <w:sz w:val="21"/>
          <w:szCs w:val="21"/>
        </w:rPr>
        <w:lastRenderedPageBreak/>
        <w:t>应当被认为是对估价对象可实现价格的保证。</w:t>
      </w:r>
    </w:p>
    <w:p w14:paraId="560CE967" w14:textId="77777777" w:rsidR="00000000" w:rsidRDefault="00000000">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5.</w:t>
      </w:r>
      <w:r>
        <w:rPr>
          <w:rFonts w:ascii="Arial" w:hAnsi="Arial" w:cs="Arial"/>
          <w:kern w:val="2"/>
          <w:sz w:val="21"/>
          <w:szCs w:val="21"/>
        </w:rPr>
        <w:t>本</w:t>
      </w:r>
      <w:r>
        <w:rPr>
          <w:rFonts w:ascii="Arial" w:hAnsi="Arial" w:cs="Arial"/>
          <w:sz w:val="21"/>
          <w:szCs w:val="21"/>
        </w:rPr>
        <w:t>估价报告</w:t>
      </w:r>
      <w:r>
        <w:rPr>
          <w:rFonts w:ascii="Arial" w:hAnsi="Arial" w:cs="Arial"/>
          <w:kern w:val="2"/>
          <w:sz w:val="21"/>
          <w:szCs w:val="21"/>
        </w:rPr>
        <w:t>评估目的是</w:t>
      </w:r>
      <w:r>
        <w:rPr>
          <w:rFonts w:ascii="Arial" w:hAnsi="Arial" w:cs="Arial" w:hint="eastAsia"/>
          <w:sz w:val="21"/>
          <w:szCs w:val="21"/>
        </w:rPr>
        <w:t>为估价委托人确定公共租赁住房项目市场租金提供价格参考依据</w:t>
      </w:r>
      <w:r>
        <w:rPr>
          <w:rFonts w:ascii="Arial" w:hAnsi="Arial" w:cs="Arial"/>
          <w:kern w:val="2"/>
          <w:sz w:val="21"/>
          <w:szCs w:val="21"/>
        </w:rPr>
        <w:t>，不做其他评估目的之用。如果估价对象的评估条件或目的发生变化，需重新进行评估。</w:t>
      </w:r>
    </w:p>
    <w:p w14:paraId="4862EB1C" w14:textId="77777777" w:rsidR="00000000" w:rsidRDefault="00000000">
      <w:pPr>
        <w:spacing w:line="480" w:lineRule="auto"/>
        <w:ind w:firstLineChars="200" w:firstLine="420"/>
        <w:jc w:val="both"/>
        <w:rPr>
          <w:rFonts w:ascii="Arial" w:hAnsi="Arial" w:cs="Arial"/>
          <w:kern w:val="2"/>
          <w:sz w:val="21"/>
          <w:szCs w:val="21"/>
        </w:rPr>
      </w:pPr>
      <w:r>
        <w:rPr>
          <w:rFonts w:ascii="Arial" w:hAnsi="Arial" w:cs="Arial" w:hint="eastAsia"/>
          <w:sz w:val="21"/>
          <w:szCs w:val="21"/>
        </w:rPr>
        <w:t>6</w:t>
      </w:r>
      <w:r>
        <w:rPr>
          <w:rFonts w:ascii="Arial" w:hAnsi="Arial" w:cs="Arial"/>
          <w:sz w:val="21"/>
          <w:szCs w:val="21"/>
        </w:rPr>
        <w:t>.</w:t>
      </w:r>
      <w:r>
        <w:rPr>
          <w:rFonts w:ascii="Arial" w:hAnsi="Arial" w:cs="Arial" w:hint="eastAsia"/>
          <w:kern w:val="2"/>
          <w:sz w:val="21"/>
          <w:szCs w:val="21"/>
        </w:rPr>
        <w:t>估价委托人应对其提供的权属证明以及其他资料的真实性、完整性和合法性负责</w:t>
      </w:r>
      <w:r>
        <w:rPr>
          <w:rFonts w:ascii="Arial" w:hAnsi="Arial" w:cs="Arial"/>
          <w:kern w:val="2"/>
          <w:sz w:val="21"/>
          <w:szCs w:val="21"/>
        </w:rPr>
        <w:t>。如因资料失实或资料提供人有所隐匿而导致估价结果失真，估价机构不承担相应的责任。</w:t>
      </w:r>
    </w:p>
    <w:p w14:paraId="15E27115" w14:textId="77777777" w:rsidR="00000000" w:rsidRDefault="00000000">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7.</w:t>
      </w:r>
      <w:r>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公共租赁住房租金水平，由市、县人民政府统筹考虑住房市场租金水平和供应对象的支付能力等因素合理确定，并按年度实行动态调整。调整之前应委托评估机构再行评估。</w:t>
      </w:r>
    </w:p>
    <w:p w14:paraId="2B18F94A" w14:textId="77777777" w:rsidR="00000000" w:rsidRDefault="00000000">
      <w:pPr>
        <w:spacing w:line="480" w:lineRule="auto"/>
        <w:ind w:firstLineChars="200" w:firstLine="420"/>
        <w:jc w:val="both"/>
        <w:rPr>
          <w:rFonts w:ascii="Arial" w:hAnsi="Arial" w:cs="Arial"/>
          <w:sz w:val="21"/>
          <w:szCs w:val="21"/>
        </w:rPr>
      </w:pPr>
      <w:r>
        <w:rPr>
          <w:rFonts w:ascii="Arial" w:hAnsi="Arial" w:cs="Arial" w:hint="eastAsia"/>
          <w:sz w:val="21"/>
          <w:szCs w:val="21"/>
        </w:rPr>
        <w:t>8</w:t>
      </w:r>
      <w:r>
        <w:rPr>
          <w:rFonts w:ascii="Arial" w:hAnsi="Arial" w:cs="Arial"/>
          <w:sz w:val="21"/>
          <w:szCs w:val="21"/>
        </w:rPr>
        <w:t>.</w:t>
      </w:r>
      <w:r>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78204A5F" w14:textId="77777777" w:rsidR="00000000" w:rsidRDefault="00000000">
      <w:pPr>
        <w:spacing w:line="480" w:lineRule="auto"/>
        <w:ind w:firstLineChars="200" w:firstLine="420"/>
        <w:jc w:val="both"/>
        <w:rPr>
          <w:rFonts w:ascii="Arial" w:hAnsi="Arial" w:cs="Arial"/>
          <w:sz w:val="21"/>
          <w:szCs w:val="21"/>
        </w:rPr>
      </w:pPr>
      <w:r>
        <w:rPr>
          <w:rFonts w:ascii="Arial" w:hAnsi="Arial" w:cs="Arial" w:hint="eastAsia"/>
          <w:sz w:val="21"/>
          <w:szCs w:val="21"/>
        </w:rPr>
        <w:t>9</w:t>
      </w:r>
      <w:r>
        <w:rPr>
          <w:rFonts w:ascii="Arial" w:hAnsi="Arial" w:cs="Arial"/>
          <w:sz w:val="21"/>
          <w:szCs w:val="21"/>
        </w:rPr>
        <w:t>.</w:t>
      </w:r>
      <w:r>
        <w:rPr>
          <w:rFonts w:ascii="Arial" w:hAnsi="Arial" w:cs="Arial"/>
          <w:sz w:val="21"/>
          <w:szCs w:val="21"/>
        </w:rPr>
        <w:t>本估价报告在估价机构盖章和注册房地产估价师签字的条件下有效。</w:t>
      </w:r>
    </w:p>
    <w:p w14:paraId="09D20B16" w14:textId="77777777" w:rsidR="00000000" w:rsidRDefault="00000000">
      <w:pPr>
        <w:spacing w:line="480" w:lineRule="auto"/>
        <w:ind w:firstLineChars="200" w:firstLine="420"/>
        <w:jc w:val="both"/>
        <w:rPr>
          <w:rFonts w:ascii="Arial" w:hAnsi="Arial" w:cs="Arial"/>
          <w:sz w:val="21"/>
          <w:szCs w:val="21"/>
        </w:rPr>
      </w:pPr>
      <w:r>
        <w:rPr>
          <w:rFonts w:ascii="Arial" w:hAnsi="Arial" w:cs="Arial" w:hint="eastAsia"/>
          <w:kern w:val="2"/>
          <w:sz w:val="21"/>
          <w:szCs w:val="21"/>
        </w:rPr>
        <w:t>10</w:t>
      </w:r>
      <w:r>
        <w:rPr>
          <w:rFonts w:ascii="Arial" w:hAnsi="Arial" w:cs="Arial"/>
          <w:kern w:val="2"/>
          <w:sz w:val="21"/>
          <w:szCs w:val="21"/>
        </w:rPr>
        <w:t>.</w:t>
      </w:r>
      <w:r>
        <w:rPr>
          <w:rFonts w:ascii="Arial" w:hAnsi="Arial" w:cs="Arial"/>
          <w:sz w:val="21"/>
          <w:szCs w:val="21"/>
        </w:rPr>
        <w:t>价值时点后，估价报告有效期内估价对象的质量及价格标准发生变化，并对估价对象租赁价值产生明显影响时，不能直接使用本次估价结论</w:t>
      </w:r>
      <w:r>
        <w:rPr>
          <w:rFonts w:ascii="Arial" w:hAnsi="Arial" w:cs="Arial" w:hint="eastAsia"/>
          <w:sz w:val="21"/>
          <w:szCs w:val="21"/>
        </w:rPr>
        <w:t>。</w:t>
      </w:r>
    </w:p>
    <w:p w14:paraId="5A00061C" w14:textId="77777777" w:rsidR="00000000" w:rsidRDefault="00000000">
      <w:pPr>
        <w:spacing w:line="480" w:lineRule="auto"/>
        <w:ind w:firstLineChars="200" w:firstLine="420"/>
        <w:jc w:val="both"/>
        <w:rPr>
          <w:rFonts w:ascii="Arial" w:hAnsi="Arial" w:cs="Arial"/>
          <w:sz w:val="21"/>
          <w:szCs w:val="21"/>
        </w:rPr>
      </w:pPr>
      <w:r>
        <w:rPr>
          <w:rFonts w:ascii="Arial" w:hAnsi="Arial" w:cs="Arial" w:hint="eastAsia"/>
          <w:sz w:val="21"/>
          <w:szCs w:val="21"/>
        </w:rPr>
        <w:t>11.</w:t>
      </w:r>
      <w:r>
        <w:rPr>
          <w:rFonts w:ascii="Arial" w:hAnsi="Arial" w:cs="Arial"/>
          <w:sz w:val="21"/>
          <w:szCs w:val="21"/>
        </w:rPr>
        <w:t>本次估价未考虑特殊交易方式对估价结果的影响。</w:t>
      </w:r>
    </w:p>
    <w:p w14:paraId="4DF74613" w14:textId="77777777" w:rsidR="00000000" w:rsidRDefault="00000000">
      <w:pPr>
        <w:spacing w:line="480" w:lineRule="auto"/>
        <w:ind w:firstLineChars="200" w:firstLine="420"/>
        <w:jc w:val="both"/>
        <w:rPr>
          <w:rFonts w:ascii="Arial" w:hAnsi="Arial" w:cs="Arial"/>
          <w:sz w:val="21"/>
          <w:szCs w:val="21"/>
        </w:rPr>
      </w:pPr>
      <w:r>
        <w:rPr>
          <w:rFonts w:ascii="Arial" w:hAnsi="Arial" w:cs="Arial" w:hint="eastAsia"/>
          <w:sz w:val="21"/>
          <w:szCs w:val="21"/>
        </w:rPr>
        <w:t>12.</w:t>
      </w:r>
      <w:r>
        <w:rPr>
          <w:rFonts w:ascii="Arial" w:hAnsi="Arial" w:cs="Arial"/>
          <w:sz w:val="21"/>
          <w:szCs w:val="21"/>
        </w:rPr>
        <w:t>根据</w:t>
      </w:r>
      <w:r>
        <w:rPr>
          <w:rFonts w:ascii="Arial" w:hAnsi="Arial" w:cs="Arial" w:hint="eastAsia"/>
          <w:sz w:val="21"/>
          <w:szCs w:val="21"/>
        </w:rPr>
        <w:t>估价委托人</w:t>
      </w:r>
      <w:r>
        <w:rPr>
          <w:rFonts w:ascii="Arial" w:hAnsi="Arial" w:cs="Arial"/>
          <w:sz w:val="21"/>
          <w:szCs w:val="21"/>
        </w:rPr>
        <w:t>提供的资料，估价对象不存在抵押、担保等他项权利登记，本次估价不考虑抵押等他项权利及现利用状况对估价对象租金价格产生的影响。</w:t>
      </w:r>
    </w:p>
    <w:p w14:paraId="224821F1" w14:textId="77777777" w:rsidR="00000000" w:rsidRDefault="00000000">
      <w:pPr>
        <w:spacing w:line="480" w:lineRule="auto"/>
        <w:ind w:firstLineChars="200" w:firstLine="420"/>
        <w:jc w:val="both"/>
        <w:rPr>
          <w:rFonts w:ascii="Arial" w:hAnsi="Arial" w:cs="Arial"/>
          <w:color w:val="0070C0"/>
          <w:sz w:val="21"/>
          <w:szCs w:val="21"/>
        </w:rPr>
      </w:pPr>
      <w:r>
        <w:rPr>
          <w:rFonts w:ascii="Arial" w:hAnsi="Arial" w:cs="Arial" w:hint="eastAsia"/>
          <w:kern w:val="2"/>
          <w:sz w:val="21"/>
          <w:szCs w:val="21"/>
        </w:rPr>
        <w:t>13</w:t>
      </w:r>
      <w:r>
        <w:rPr>
          <w:rFonts w:ascii="Arial" w:hAnsi="Arial" w:cs="Arial"/>
          <w:kern w:val="2"/>
          <w:sz w:val="21"/>
          <w:szCs w:val="21"/>
        </w:rPr>
        <w:t>.</w:t>
      </w:r>
      <w:r>
        <w:rPr>
          <w:rFonts w:ascii="Arial" w:hAnsi="Arial" w:cs="Arial"/>
          <w:kern w:val="2"/>
          <w:sz w:val="21"/>
          <w:szCs w:val="21"/>
        </w:rPr>
        <w:t>本估价报告</w:t>
      </w:r>
      <w:r>
        <w:rPr>
          <w:rFonts w:ascii="Arial" w:hAnsi="Arial" w:cs="Arial" w:hint="eastAsia"/>
          <w:kern w:val="2"/>
          <w:sz w:val="21"/>
          <w:szCs w:val="21"/>
        </w:rPr>
        <w:t>自报告出具日起计算，自</w:t>
      </w:r>
      <w:r>
        <w:rPr>
          <w:rFonts w:ascii="Arial" w:hAnsi="Arial" w:cs="Arial"/>
          <w:kern w:val="2"/>
          <w:sz w:val="21"/>
          <w:szCs w:val="21"/>
        </w:rPr>
        <w:t>2025</w:t>
      </w:r>
      <w:r>
        <w:rPr>
          <w:rFonts w:ascii="Arial" w:hAnsi="Arial" w:cs="Arial"/>
          <w:kern w:val="2"/>
          <w:sz w:val="21"/>
          <w:szCs w:val="21"/>
        </w:rPr>
        <w:t>年</w:t>
      </w:r>
      <w:r>
        <w:rPr>
          <w:rFonts w:ascii="Arial" w:hAnsi="Arial" w:cs="Arial" w:hint="eastAsia"/>
          <w:kern w:val="2"/>
          <w:sz w:val="21"/>
          <w:szCs w:val="21"/>
        </w:rPr>
        <w:t>11</w:t>
      </w:r>
      <w:r>
        <w:rPr>
          <w:rFonts w:ascii="Arial" w:hAnsi="Arial" w:cs="Arial"/>
          <w:kern w:val="2"/>
          <w:sz w:val="21"/>
          <w:szCs w:val="21"/>
        </w:rPr>
        <w:t>月</w:t>
      </w:r>
      <w:r>
        <w:rPr>
          <w:rFonts w:ascii="Arial" w:hAnsi="Arial" w:cs="Arial" w:hint="eastAsia"/>
          <w:kern w:val="2"/>
          <w:sz w:val="21"/>
          <w:szCs w:val="21"/>
        </w:rPr>
        <w:t>1</w:t>
      </w:r>
      <w:r>
        <w:rPr>
          <w:rFonts w:ascii="Arial" w:hAnsi="Arial" w:cs="Arial"/>
          <w:kern w:val="2"/>
          <w:sz w:val="21"/>
          <w:szCs w:val="21"/>
        </w:rPr>
        <w:t>日</w:t>
      </w:r>
      <w:r>
        <w:rPr>
          <w:rFonts w:ascii="Arial" w:hAnsi="Arial" w:cs="Arial" w:hint="eastAsia"/>
          <w:kern w:val="2"/>
          <w:sz w:val="21"/>
          <w:szCs w:val="21"/>
        </w:rPr>
        <w:t>至</w:t>
      </w:r>
      <w:r>
        <w:rPr>
          <w:rFonts w:ascii="Arial" w:hAnsi="Arial" w:cs="Arial"/>
          <w:kern w:val="2"/>
          <w:sz w:val="21"/>
          <w:szCs w:val="21"/>
        </w:rPr>
        <w:t>202</w:t>
      </w:r>
      <w:r>
        <w:rPr>
          <w:rFonts w:ascii="Arial" w:hAnsi="Arial" w:cs="Arial" w:hint="eastAsia"/>
          <w:kern w:val="2"/>
          <w:sz w:val="21"/>
          <w:szCs w:val="21"/>
        </w:rPr>
        <w:t>6</w:t>
      </w:r>
      <w:r>
        <w:rPr>
          <w:rFonts w:ascii="Arial" w:hAnsi="Arial" w:cs="Arial"/>
          <w:kern w:val="2"/>
          <w:sz w:val="21"/>
          <w:szCs w:val="21"/>
        </w:rPr>
        <w:t>年</w:t>
      </w:r>
      <w:r>
        <w:rPr>
          <w:rFonts w:ascii="Arial" w:hAnsi="Arial" w:cs="Arial" w:hint="eastAsia"/>
          <w:kern w:val="2"/>
          <w:sz w:val="21"/>
          <w:szCs w:val="21"/>
        </w:rPr>
        <w:t>10</w:t>
      </w:r>
      <w:r>
        <w:rPr>
          <w:rFonts w:ascii="Arial" w:hAnsi="Arial" w:cs="Arial"/>
          <w:kern w:val="2"/>
          <w:sz w:val="21"/>
          <w:szCs w:val="21"/>
        </w:rPr>
        <w:t>月</w:t>
      </w:r>
      <w:r>
        <w:rPr>
          <w:rFonts w:ascii="Arial" w:hAnsi="Arial" w:cs="Arial" w:hint="eastAsia"/>
          <w:kern w:val="2"/>
          <w:sz w:val="21"/>
          <w:szCs w:val="21"/>
        </w:rPr>
        <w:t>31</w:t>
      </w:r>
      <w:r>
        <w:rPr>
          <w:rFonts w:ascii="Arial" w:hAnsi="Arial" w:cs="Arial"/>
          <w:kern w:val="2"/>
          <w:sz w:val="21"/>
          <w:szCs w:val="21"/>
        </w:rPr>
        <w:t>日</w:t>
      </w:r>
      <w:r>
        <w:rPr>
          <w:rFonts w:ascii="Arial" w:hAnsi="Arial" w:cs="Arial" w:hint="eastAsia"/>
          <w:kern w:val="2"/>
          <w:sz w:val="21"/>
          <w:szCs w:val="21"/>
        </w:rPr>
        <w:t>有效</w:t>
      </w:r>
      <w:r>
        <w:rPr>
          <w:rFonts w:ascii="Arial" w:hAnsi="Arial" w:cs="Arial"/>
          <w:kern w:val="2"/>
          <w:sz w:val="21"/>
          <w:szCs w:val="21"/>
        </w:rPr>
        <w:t>。</w:t>
      </w:r>
    </w:p>
    <w:bookmarkEnd w:id="8"/>
    <w:p w14:paraId="444AE8A0" w14:textId="77777777" w:rsidR="00000000" w:rsidRDefault="00000000">
      <w:pPr>
        <w:spacing w:line="480" w:lineRule="auto"/>
        <w:ind w:firstLine="560"/>
        <w:jc w:val="both"/>
        <w:rPr>
          <w:rFonts w:ascii="Arial" w:hAnsi="Arial" w:cs="Arial"/>
          <w:kern w:val="2"/>
          <w:sz w:val="21"/>
          <w:szCs w:val="21"/>
        </w:rPr>
        <w:sectPr w:rsidR="00000000">
          <w:pgSz w:w="11907" w:h="16840"/>
          <w:pgMar w:top="1843" w:right="1134" w:bottom="1134" w:left="1134" w:header="1134" w:footer="907" w:gutter="340"/>
          <w:cols w:space="720"/>
          <w:docGrid w:linePitch="326"/>
        </w:sectPr>
      </w:pPr>
    </w:p>
    <w:p w14:paraId="08CB264F" w14:textId="77777777" w:rsidR="00000000" w:rsidRDefault="00000000">
      <w:pPr>
        <w:pStyle w:val="1"/>
        <w:spacing w:line="360" w:lineRule="auto"/>
        <w:jc w:val="center"/>
        <w:rPr>
          <w:rFonts w:eastAsia="方正黑体简体" w:hint="eastAsia"/>
          <w:b w:val="0"/>
          <w:kern w:val="2"/>
          <w:sz w:val="32"/>
          <w:szCs w:val="32"/>
        </w:rPr>
      </w:pPr>
      <w:bookmarkStart w:id="11" w:name="_Toc168225812"/>
      <w:bookmarkStart w:id="12" w:name="_Toc16935"/>
      <w:r>
        <w:rPr>
          <w:rFonts w:eastAsia="方正黑体简体" w:hint="eastAsia"/>
          <w:b w:val="0"/>
          <w:kern w:val="2"/>
          <w:sz w:val="32"/>
          <w:szCs w:val="32"/>
        </w:rPr>
        <w:lastRenderedPageBreak/>
        <w:t>估价结果报告</w:t>
      </w:r>
      <w:bookmarkEnd w:id="11"/>
      <w:bookmarkEnd w:id="12"/>
    </w:p>
    <w:p w14:paraId="7489528D" w14:textId="77777777" w:rsidR="00000000" w:rsidRDefault="00000000">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13" w:name="_Toc216083223"/>
      <w:bookmarkStart w:id="14" w:name="_Toc21377"/>
      <w:r>
        <w:rPr>
          <w:rFonts w:eastAsia="宋体"/>
          <w:kern w:val="2"/>
          <w:sz w:val="21"/>
          <w:szCs w:val="21"/>
        </w:rPr>
        <w:t>一</w:t>
      </w:r>
      <w:bookmarkEnd w:id="13"/>
      <w:r>
        <w:rPr>
          <w:rFonts w:eastAsia="宋体"/>
          <w:kern w:val="2"/>
          <w:sz w:val="21"/>
          <w:szCs w:val="21"/>
        </w:rPr>
        <w:t>、估价委托人</w:t>
      </w:r>
      <w:bookmarkEnd w:id="14"/>
    </w:p>
    <w:p w14:paraId="5330F1B8" w14:textId="77777777" w:rsidR="00000000" w:rsidRDefault="00000000">
      <w:pPr>
        <w:overflowPunct w:val="0"/>
        <w:spacing w:line="480" w:lineRule="auto"/>
        <w:ind w:firstLine="420"/>
        <w:jc w:val="both"/>
        <w:textAlignment w:val="auto"/>
      </w:pPr>
      <w:r>
        <w:rPr>
          <w:rFonts w:ascii="Arial" w:hAnsi="Arial" w:cs="Arial"/>
          <w:sz w:val="21"/>
          <w:szCs w:val="21"/>
        </w:rPr>
        <w:t>估价委托人为北京博大新元房地产开发有限公司。</w:t>
      </w:r>
    </w:p>
    <w:p w14:paraId="17B5FB7C" w14:textId="77777777" w:rsidR="00000000" w:rsidRDefault="00000000">
      <w:pPr>
        <w:overflowPunct w:val="0"/>
        <w:spacing w:line="480" w:lineRule="auto"/>
        <w:ind w:firstLine="420"/>
        <w:jc w:val="both"/>
        <w:textAlignment w:val="auto"/>
        <w:rPr>
          <w:rFonts w:ascii="Arial" w:hAnsi="Arial" w:cs="Arial"/>
          <w:color w:val="E36C0A"/>
          <w:sz w:val="21"/>
          <w:szCs w:val="21"/>
        </w:rPr>
      </w:pPr>
      <w:r>
        <w:rPr>
          <w:rFonts w:ascii="Arial" w:hAnsi="Arial" w:cs="Arial"/>
          <w:sz w:val="21"/>
          <w:szCs w:val="21"/>
        </w:rPr>
        <w:t>单位名称：北京博大新元房地产开发有限公司</w:t>
      </w:r>
    </w:p>
    <w:p w14:paraId="3B7D7D25" w14:textId="77777777" w:rsidR="00000000"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地</w:t>
      </w:r>
      <w:r>
        <w:rPr>
          <w:rFonts w:ascii="Arial" w:eastAsia="Arial" w:hAnsi="Arial" w:cs="Arial"/>
          <w:sz w:val="21"/>
          <w:szCs w:val="21"/>
        </w:rPr>
        <w:t xml:space="preserve">    </w:t>
      </w:r>
      <w:r>
        <w:rPr>
          <w:rFonts w:ascii="Arial" w:hAnsi="Arial" w:cs="Arial"/>
          <w:sz w:val="21"/>
          <w:szCs w:val="21"/>
        </w:rPr>
        <w:t>址：</w:t>
      </w:r>
      <w:r>
        <w:rPr>
          <w:rFonts w:ascii="Arial" w:hAnsi="Arial" w:cs="Arial" w:hint="eastAsia"/>
          <w:sz w:val="21"/>
          <w:szCs w:val="21"/>
        </w:rPr>
        <w:t>北京市北京经济技术开发区荣华南路</w:t>
      </w:r>
      <w:r>
        <w:rPr>
          <w:rFonts w:ascii="Arial" w:hAnsi="Arial" w:cs="Arial" w:hint="eastAsia"/>
          <w:sz w:val="21"/>
          <w:szCs w:val="21"/>
        </w:rPr>
        <w:t>13</w:t>
      </w:r>
      <w:r>
        <w:rPr>
          <w:rFonts w:ascii="Arial" w:hAnsi="Arial" w:cs="Arial" w:hint="eastAsia"/>
          <w:sz w:val="21"/>
          <w:szCs w:val="21"/>
        </w:rPr>
        <w:t>号院</w:t>
      </w:r>
      <w:r>
        <w:rPr>
          <w:rFonts w:ascii="Arial" w:hAnsi="Arial" w:cs="Arial" w:hint="eastAsia"/>
          <w:sz w:val="21"/>
          <w:szCs w:val="21"/>
        </w:rPr>
        <w:t>7</w:t>
      </w:r>
      <w:r>
        <w:rPr>
          <w:rFonts w:ascii="Arial" w:hAnsi="Arial" w:cs="Arial" w:hint="eastAsia"/>
          <w:sz w:val="21"/>
          <w:szCs w:val="21"/>
        </w:rPr>
        <w:t>号楼</w:t>
      </w:r>
      <w:r>
        <w:rPr>
          <w:rFonts w:ascii="Arial" w:hAnsi="Arial" w:cs="Arial" w:hint="eastAsia"/>
          <w:sz w:val="21"/>
          <w:szCs w:val="21"/>
        </w:rPr>
        <w:t>7</w:t>
      </w:r>
      <w:r>
        <w:rPr>
          <w:rFonts w:ascii="Arial" w:hAnsi="Arial" w:cs="Arial" w:hint="eastAsia"/>
          <w:sz w:val="21"/>
          <w:szCs w:val="21"/>
        </w:rPr>
        <w:t>层</w:t>
      </w:r>
      <w:r>
        <w:rPr>
          <w:rFonts w:ascii="Arial" w:hAnsi="Arial" w:cs="Arial" w:hint="eastAsia"/>
          <w:sz w:val="21"/>
          <w:szCs w:val="21"/>
        </w:rPr>
        <w:t>701</w:t>
      </w:r>
      <w:r>
        <w:rPr>
          <w:rFonts w:ascii="Arial" w:hAnsi="Arial" w:cs="Arial" w:hint="eastAsia"/>
          <w:sz w:val="21"/>
          <w:szCs w:val="21"/>
        </w:rPr>
        <w:t>室</w:t>
      </w:r>
    </w:p>
    <w:p w14:paraId="5836B7A7"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联</w:t>
      </w:r>
      <w:r>
        <w:rPr>
          <w:rFonts w:ascii="Arial" w:eastAsia="Arial" w:hAnsi="Arial" w:cs="Arial"/>
          <w:sz w:val="21"/>
          <w:szCs w:val="21"/>
        </w:rPr>
        <w:t xml:space="preserve"> </w:t>
      </w:r>
      <w:r>
        <w:rPr>
          <w:rFonts w:ascii="Arial" w:hAnsi="Arial" w:cs="Arial"/>
          <w:sz w:val="21"/>
          <w:szCs w:val="21"/>
        </w:rPr>
        <w:t>系</w:t>
      </w:r>
      <w:r>
        <w:rPr>
          <w:rFonts w:ascii="Arial" w:eastAsia="Arial" w:hAnsi="Arial" w:cs="Arial"/>
          <w:sz w:val="21"/>
          <w:szCs w:val="21"/>
        </w:rPr>
        <w:t xml:space="preserve"> </w:t>
      </w:r>
      <w:r>
        <w:rPr>
          <w:rFonts w:ascii="Arial" w:hAnsi="Arial" w:cs="Arial"/>
          <w:sz w:val="21"/>
          <w:szCs w:val="21"/>
        </w:rPr>
        <w:t>人：陈莉萍</w:t>
      </w:r>
    </w:p>
    <w:p w14:paraId="463058E2"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p>
    <w:p w14:paraId="47CEC06D" w14:textId="77777777" w:rsidR="00000000" w:rsidRDefault="000000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15" w:name="_Toc168225814"/>
      <w:bookmarkStart w:id="16" w:name="_Toc22547"/>
      <w:r>
        <w:rPr>
          <w:rFonts w:eastAsia="宋体"/>
          <w:kern w:val="2"/>
          <w:sz w:val="21"/>
          <w:szCs w:val="21"/>
        </w:rPr>
        <w:t>二、房地产估价机构</w:t>
      </w:r>
      <w:bookmarkEnd w:id="15"/>
      <w:bookmarkEnd w:id="16"/>
    </w:p>
    <w:p w14:paraId="61B8E5C5" w14:textId="77777777" w:rsidR="00000000" w:rsidRDefault="00000000">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受托机构：北京康正宏基房地产评估有限公司</w:t>
      </w:r>
    </w:p>
    <w:p w14:paraId="0D539E0C" w14:textId="77777777" w:rsidR="00000000" w:rsidRDefault="00000000">
      <w:pPr>
        <w:wordWrap w:val="0"/>
        <w:overflowPunct w:val="0"/>
        <w:spacing w:line="480" w:lineRule="auto"/>
        <w:ind w:firstLineChars="200" w:firstLine="420"/>
        <w:jc w:val="both"/>
        <w:rPr>
          <w:rFonts w:ascii="Arial" w:hAnsi="Arial" w:cs="Arial" w:hint="eastAsia"/>
          <w:sz w:val="21"/>
          <w:szCs w:val="21"/>
        </w:rPr>
      </w:pPr>
      <w:r>
        <w:rPr>
          <w:rFonts w:ascii="Arial" w:hAnsi="Arial" w:cs="Arial" w:hint="eastAsia"/>
          <w:sz w:val="21"/>
          <w:szCs w:val="21"/>
        </w:rPr>
        <w:t>资质级别：壹级</w:t>
      </w:r>
    </w:p>
    <w:p w14:paraId="5BE2DFEA" w14:textId="77777777" w:rsidR="00000000" w:rsidRDefault="00000000">
      <w:pPr>
        <w:wordWrap w:val="0"/>
        <w:overflowPunct w:val="0"/>
        <w:spacing w:line="480" w:lineRule="auto"/>
        <w:ind w:firstLineChars="200" w:firstLine="420"/>
        <w:jc w:val="both"/>
        <w:rPr>
          <w:rFonts w:ascii="Arial" w:hAnsi="Arial" w:cs="Arial" w:hint="eastAsia"/>
          <w:sz w:val="21"/>
          <w:szCs w:val="21"/>
        </w:rPr>
      </w:pPr>
      <w:r>
        <w:rPr>
          <w:rFonts w:ascii="Arial" w:hAnsi="Arial" w:cs="Arial" w:hint="eastAsia"/>
          <w:sz w:val="21"/>
          <w:szCs w:val="21"/>
        </w:rPr>
        <w:t>资格证书号：建房估备字</w:t>
      </w:r>
      <w:r>
        <w:rPr>
          <w:rFonts w:ascii="Arial" w:hAnsi="Arial" w:cs="Arial" w:hint="eastAsia"/>
          <w:sz w:val="21"/>
          <w:szCs w:val="21"/>
        </w:rPr>
        <w:t>[2013]081</w:t>
      </w:r>
      <w:r>
        <w:rPr>
          <w:rFonts w:ascii="Arial" w:hAnsi="Arial" w:cs="Arial" w:hint="eastAsia"/>
          <w:sz w:val="21"/>
          <w:szCs w:val="21"/>
        </w:rPr>
        <w:t>号</w:t>
      </w:r>
    </w:p>
    <w:p w14:paraId="29B4FEA2" w14:textId="77777777" w:rsidR="00000000" w:rsidRDefault="00000000">
      <w:pPr>
        <w:wordWrap w:val="0"/>
        <w:overflowPunct w:val="0"/>
        <w:spacing w:line="480" w:lineRule="auto"/>
        <w:ind w:firstLineChars="200" w:firstLine="420"/>
        <w:jc w:val="both"/>
        <w:rPr>
          <w:rFonts w:ascii="Arial" w:hAnsi="Arial" w:cs="Arial" w:hint="eastAsia"/>
          <w:sz w:val="21"/>
          <w:szCs w:val="21"/>
        </w:rPr>
      </w:pPr>
      <w:r>
        <w:rPr>
          <w:rFonts w:ascii="Arial" w:hAnsi="Arial" w:cs="Arial" w:hint="eastAsia"/>
          <w:sz w:val="21"/>
          <w:szCs w:val="21"/>
        </w:rPr>
        <w:t>有效期限：</w:t>
      </w:r>
      <w:r>
        <w:rPr>
          <w:rFonts w:ascii="Arial" w:hAnsi="Arial"/>
          <w:sz w:val="21"/>
          <w:szCs w:val="21"/>
        </w:rPr>
        <w:t>20</w:t>
      </w:r>
      <w:r>
        <w:rPr>
          <w:rFonts w:ascii="Arial" w:hAnsi="Arial" w:hint="eastAsia"/>
          <w:sz w:val="21"/>
          <w:szCs w:val="21"/>
        </w:rPr>
        <w:t>2</w:t>
      </w:r>
      <w:r>
        <w:rPr>
          <w:rFonts w:ascii="Arial" w:hAnsi="Arial"/>
          <w:sz w:val="21"/>
          <w:szCs w:val="21"/>
        </w:rPr>
        <w:t>5</w:t>
      </w:r>
      <w:r>
        <w:rPr>
          <w:rFonts w:ascii="Arial" w:hAnsi="Arial" w:hint="eastAsia"/>
          <w:sz w:val="21"/>
          <w:szCs w:val="21"/>
        </w:rPr>
        <w:t>年</w:t>
      </w:r>
      <w:r>
        <w:rPr>
          <w:rFonts w:ascii="Arial" w:hAnsi="Arial" w:hint="eastAsia"/>
          <w:sz w:val="21"/>
          <w:szCs w:val="21"/>
        </w:rPr>
        <w:t>0</w:t>
      </w:r>
      <w:r>
        <w:rPr>
          <w:rFonts w:ascii="Arial" w:hAnsi="Arial"/>
          <w:sz w:val="21"/>
          <w:szCs w:val="21"/>
        </w:rPr>
        <w:t>7</w:t>
      </w:r>
      <w:r>
        <w:rPr>
          <w:rFonts w:ascii="Arial" w:hAnsi="Arial" w:hint="eastAsia"/>
          <w:sz w:val="21"/>
          <w:szCs w:val="21"/>
        </w:rPr>
        <w:t>月</w:t>
      </w:r>
      <w:r>
        <w:rPr>
          <w:rFonts w:ascii="Arial" w:hAnsi="Arial"/>
          <w:sz w:val="21"/>
          <w:szCs w:val="21"/>
        </w:rPr>
        <w:t>01</w:t>
      </w:r>
      <w:r>
        <w:rPr>
          <w:rFonts w:ascii="Arial" w:hAnsi="Arial" w:hint="eastAsia"/>
          <w:sz w:val="21"/>
          <w:szCs w:val="21"/>
        </w:rPr>
        <w:t>日至</w:t>
      </w:r>
      <w:r>
        <w:rPr>
          <w:rFonts w:ascii="Arial" w:hAnsi="Arial"/>
          <w:sz w:val="21"/>
          <w:szCs w:val="21"/>
        </w:rPr>
        <w:t>2028</w:t>
      </w:r>
      <w:r>
        <w:rPr>
          <w:rFonts w:ascii="Arial" w:hAnsi="Arial" w:hint="eastAsia"/>
          <w:sz w:val="21"/>
          <w:szCs w:val="21"/>
        </w:rPr>
        <w:t>年</w:t>
      </w:r>
      <w:r>
        <w:rPr>
          <w:rFonts w:ascii="Arial" w:hAnsi="Arial" w:hint="eastAsia"/>
          <w:sz w:val="21"/>
          <w:szCs w:val="21"/>
        </w:rPr>
        <w:t>0</w:t>
      </w:r>
      <w:r>
        <w:rPr>
          <w:rFonts w:ascii="Arial" w:hAnsi="Arial"/>
          <w:sz w:val="21"/>
          <w:szCs w:val="21"/>
        </w:rPr>
        <w:t>6</w:t>
      </w:r>
      <w:r>
        <w:rPr>
          <w:rFonts w:ascii="Arial" w:hAnsi="Arial" w:hint="eastAsia"/>
          <w:sz w:val="21"/>
          <w:szCs w:val="21"/>
        </w:rPr>
        <w:t>月</w:t>
      </w:r>
      <w:r>
        <w:rPr>
          <w:rFonts w:ascii="Arial" w:hAnsi="Arial"/>
          <w:sz w:val="21"/>
          <w:szCs w:val="21"/>
        </w:rPr>
        <w:t>30</w:t>
      </w:r>
      <w:r>
        <w:rPr>
          <w:rFonts w:ascii="Arial" w:hAnsi="Arial" w:hint="eastAsia"/>
          <w:sz w:val="21"/>
          <w:szCs w:val="21"/>
        </w:rPr>
        <w:t>日</w:t>
      </w:r>
    </w:p>
    <w:p w14:paraId="1F99528A" w14:textId="77777777" w:rsidR="00000000" w:rsidRDefault="00000000">
      <w:pPr>
        <w:wordWrap w:val="0"/>
        <w:overflowPunct w:val="0"/>
        <w:spacing w:line="480" w:lineRule="auto"/>
        <w:ind w:firstLineChars="200" w:firstLine="420"/>
        <w:jc w:val="both"/>
        <w:rPr>
          <w:rFonts w:ascii="Arial" w:hAnsi="Arial" w:cs="Arial" w:hint="eastAsia"/>
          <w:sz w:val="21"/>
          <w:szCs w:val="21"/>
        </w:rPr>
      </w:pPr>
      <w:r>
        <w:rPr>
          <w:rFonts w:ascii="Arial" w:hAnsi="Arial" w:cs="Arial" w:hint="eastAsia"/>
          <w:sz w:val="21"/>
          <w:szCs w:val="21"/>
        </w:rPr>
        <w:t>地</w:t>
      </w:r>
      <w:r>
        <w:rPr>
          <w:rFonts w:ascii="Arial" w:hAnsi="Arial" w:cs="Arial" w:hint="eastAsia"/>
          <w:sz w:val="21"/>
          <w:szCs w:val="21"/>
        </w:rPr>
        <w:t xml:space="preserve">    </w:t>
      </w:r>
      <w:r>
        <w:rPr>
          <w:rFonts w:ascii="Arial" w:hAnsi="Arial" w:cs="Arial" w:hint="eastAsia"/>
          <w:sz w:val="21"/>
          <w:szCs w:val="21"/>
        </w:rPr>
        <w:t>址：北京市朝阳区裕民路</w:t>
      </w:r>
      <w:r>
        <w:rPr>
          <w:rFonts w:ascii="Arial" w:hAnsi="Arial" w:cs="Arial" w:hint="eastAsia"/>
          <w:sz w:val="21"/>
          <w:szCs w:val="21"/>
        </w:rPr>
        <w:t>12</w:t>
      </w:r>
      <w:r>
        <w:rPr>
          <w:rFonts w:ascii="Arial" w:hAnsi="Arial" w:cs="Arial" w:hint="eastAsia"/>
          <w:sz w:val="21"/>
          <w:szCs w:val="21"/>
        </w:rPr>
        <w:t>号中国国际科技会展中心</w:t>
      </w:r>
      <w:r>
        <w:rPr>
          <w:rFonts w:ascii="Arial" w:hAnsi="Arial" w:cs="Arial" w:hint="eastAsia"/>
          <w:sz w:val="21"/>
          <w:szCs w:val="21"/>
        </w:rPr>
        <w:t>B</w:t>
      </w:r>
      <w:r>
        <w:rPr>
          <w:rFonts w:ascii="Arial" w:hAnsi="Arial" w:cs="Arial" w:hint="eastAsia"/>
          <w:sz w:val="21"/>
          <w:szCs w:val="21"/>
        </w:rPr>
        <w:t>座</w:t>
      </w:r>
      <w:r>
        <w:rPr>
          <w:rFonts w:ascii="Arial" w:hAnsi="Arial" w:cs="Arial" w:hint="eastAsia"/>
          <w:sz w:val="21"/>
          <w:szCs w:val="21"/>
        </w:rPr>
        <w:t>1003</w:t>
      </w:r>
    </w:p>
    <w:p w14:paraId="580028C3" w14:textId="77777777" w:rsidR="00000000" w:rsidRDefault="00000000">
      <w:pPr>
        <w:wordWrap w:val="0"/>
        <w:overflowPunct w:val="0"/>
        <w:spacing w:line="480" w:lineRule="auto"/>
        <w:ind w:firstLineChars="200" w:firstLine="420"/>
        <w:jc w:val="both"/>
        <w:rPr>
          <w:rFonts w:ascii="Arial" w:hAnsi="Arial" w:cs="Arial" w:hint="eastAsia"/>
          <w:sz w:val="21"/>
          <w:szCs w:val="21"/>
        </w:rPr>
      </w:pPr>
      <w:r>
        <w:rPr>
          <w:rFonts w:ascii="Arial" w:hAnsi="Arial" w:cs="Arial" w:hint="eastAsia"/>
          <w:sz w:val="21"/>
          <w:szCs w:val="21"/>
        </w:rPr>
        <w:t>法定代表人：齐宏</w:t>
      </w:r>
    </w:p>
    <w:p w14:paraId="19289643"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联</w:t>
      </w:r>
      <w:r>
        <w:rPr>
          <w:rFonts w:ascii="Arial" w:hAnsi="Arial" w:cs="Arial" w:hint="eastAsia"/>
          <w:sz w:val="21"/>
          <w:szCs w:val="21"/>
        </w:rPr>
        <w:t xml:space="preserve"> </w:t>
      </w:r>
      <w:r>
        <w:rPr>
          <w:rFonts w:ascii="Arial" w:hAnsi="Arial" w:cs="Arial"/>
          <w:sz w:val="21"/>
          <w:szCs w:val="21"/>
        </w:rPr>
        <w:t>系</w:t>
      </w:r>
      <w:r>
        <w:rPr>
          <w:rFonts w:ascii="Arial" w:hAnsi="Arial" w:cs="Arial" w:hint="eastAsia"/>
          <w:sz w:val="21"/>
          <w:szCs w:val="21"/>
        </w:rPr>
        <w:t xml:space="preserve"> </w:t>
      </w:r>
      <w:r>
        <w:rPr>
          <w:rFonts w:ascii="Arial" w:hAnsi="Arial" w:cs="Arial"/>
          <w:sz w:val="21"/>
          <w:szCs w:val="21"/>
        </w:rPr>
        <w:t>人：</w:t>
      </w:r>
      <w:r>
        <w:rPr>
          <w:rFonts w:ascii="Arial" w:hAnsi="Arial" w:cs="Arial" w:hint="eastAsia"/>
          <w:sz w:val="21"/>
          <w:szCs w:val="21"/>
        </w:rPr>
        <w:t>常畅</w:t>
      </w:r>
    </w:p>
    <w:p w14:paraId="45193E83" w14:textId="77777777" w:rsidR="00000000" w:rsidRDefault="00000000">
      <w:pPr>
        <w:wordWrap w:val="0"/>
        <w:overflowPunct w:val="0"/>
        <w:spacing w:line="480" w:lineRule="auto"/>
        <w:ind w:firstLineChars="200" w:firstLine="420"/>
        <w:jc w:val="both"/>
        <w:textAlignment w:val="auto"/>
        <w:rPr>
          <w:rFonts w:ascii="Arial" w:hAnsi="Arial" w:cs="Arial" w:hint="eastAsia"/>
          <w:sz w:val="21"/>
          <w:szCs w:val="21"/>
        </w:rPr>
      </w:pPr>
      <w:r>
        <w:rPr>
          <w:rFonts w:ascii="Arial" w:hAnsi="Arial" w:cs="Arial"/>
          <w:sz w:val="21"/>
          <w:szCs w:val="21"/>
        </w:rPr>
        <w:t>联系电话：</w:t>
      </w:r>
      <w:r>
        <w:rPr>
          <w:rFonts w:ascii="Arial" w:hAnsi="Arial" w:cs="Arial"/>
          <w:sz w:val="21"/>
          <w:szCs w:val="21"/>
        </w:rPr>
        <w:t>010-82253558</w:t>
      </w:r>
    </w:p>
    <w:p w14:paraId="74800DF0" w14:textId="77777777" w:rsidR="00000000" w:rsidRDefault="00000000">
      <w:pPr>
        <w:wordWrap w:val="0"/>
        <w:overflowPunct w:val="0"/>
        <w:spacing w:line="480" w:lineRule="auto"/>
        <w:ind w:firstLineChars="200" w:firstLine="420"/>
        <w:jc w:val="both"/>
        <w:textAlignment w:val="auto"/>
        <w:rPr>
          <w:rFonts w:ascii="Arial" w:hAnsi="Arial" w:cs="Arial"/>
          <w:kern w:val="2"/>
          <w:sz w:val="21"/>
          <w:szCs w:val="21"/>
        </w:rPr>
      </w:pPr>
    </w:p>
    <w:p w14:paraId="6FA3B508" w14:textId="77777777" w:rsidR="00000000" w:rsidRDefault="000000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17" w:name="_Toc168225815"/>
      <w:bookmarkStart w:id="18" w:name="_Toc17650"/>
      <w:r>
        <w:rPr>
          <w:rFonts w:eastAsia="宋体"/>
          <w:kern w:val="2"/>
          <w:sz w:val="21"/>
          <w:szCs w:val="21"/>
        </w:rPr>
        <w:t>三、估价目的</w:t>
      </w:r>
      <w:bookmarkEnd w:id="17"/>
      <w:bookmarkEnd w:id="18"/>
    </w:p>
    <w:p w14:paraId="7664F60E" w14:textId="77777777" w:rsidR="00000000" w:rsidRDefault="00000000">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sz w:val="21"/>
          <w:szCs w:val="21"/>
        </w:rPr>
        <w:t>为估价委托人确定公共租赁住房项目市场租金提供价格参考依据</w:t>
      </w:r>
      <w:r>
        <w:rPr>
          <w:rFonts w:ascii="Arial" w:hAnsi="Arial" w:cs="Arial" w:hint="eastAsia"/>
          <w:kern w:val="2"/>
          <w:sz w:val="21"/>
          <w:szCs w:val="21"/>
        </w:rPr>
        <w:t>。</w:t>
      </w:r>
      <w:r>
        <w:rPr>
          <w:rFonts w:ascii="Arial" w:hAnsi="Arial" w:cs="Arial"/>
          <w:kern w:val="2"/>
          <w:sz w:val="21"/>
          <w:szCs w:val="21"/>
        </w:rPr>
        <w:t xml:space="preserve"> </w:t>
      </w:r>
    </w:p>
    <w:p w14:paraId="1A40648F"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p>
    <w:p w14:paraId="335E83F6" w14:textId="77777777" w:rsidR="00000000" w:rsidRDefault="000000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19" w:name="_Toc168225816"/>
      <w:bookmarkStart w:id="20" w:name="_Toc24901"/>
      <w:r>
        <w:rPr>
          <w:rFonts w:eastAsia="宋体"/>
          <w:kern w:val="2"/>
          <w:sz w:val="21"/>
          <w:szCs w:val="21"/>
        </w:rPr>
        <w:t>四、估价对象</w:t>
      </w:r>
      <w:bookmarkEnd w:id="19"/>
      <w:bookmarkEnd w:id="20"/>
    </w:p>
    <w:p w14:paraId="4BF94F2E" w14:textId="77777777" w:rsidR="00000000" w:rsidRDefault="00000000">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（一）估价对象范围</w:t>
      </w:r>
    </w:p>
    <w:p w14:paraId="365F773F" w14:textId="77777777" w:rsidR="00000000" w:rsidRDefault="00000000">
      <w:pPr>
        <w:overflowPunct w:val="0"/>
        <w:spacing w:line="480" w:lineRule="auto"/>
        <w:ind w:firstLineChars="200" w:firstLine="420"/>
        <w:jc w:val="both"/>
        <w:textAlignment w:val="auto"/>
        <w:rPr>
          <w:rFonts w:ascii="Arial" w:hAnsi="Arial" w:cs="Arial" w:hint="eastAsia"/>
          <w:kern w:val="2"/>
          <w:sz w:val="21"/>
          <w:szCs w:val="21"/>
        </w:rPr>
      </w:pPr>
      <w:r>
        <w:rPr>
          <w:rFonts w:ascii="Arial" w:hAnsi="Arial" w:cs="Arial"/>
          <w:bCs/>
          <w:color w:val="000000"/>
          <w:sz w:val="21"/>
          <w:szCs w:val="21"/>
        </w:rPr>
        <w:t>估价对象</w:t>
      </w:r>
      <w:r>
        <w:rPr>
          <w:rFonts w:ascii="Arial" w:hAnsi="Arial" w:cs="Arial" w:hint="eastAsia"/>
          <w:bCs/>
          <w:color w:val="000000"/>
          <w:sz w:val="21"/>
          <w:szCs w:val="21"/>
        </w:rPr>
        <w:t>由</w:t>
      </w:r>
      <w:r>
        <w:rPr>
          <w:rFonts w:ascii="Arial" w:hAnsi="Arial" w:cs="Arial" w:hint="eastAsia"/>
          <w:kern w:val="2"/>
          <w:sz w:val="21"/>
          <w:szCs w:val="21"/>
        </w:rPr>
        <w:t>北京市北京经济技术开发区博兴九路</w:t>
      </w:r>
      <w:r>
        <w:rPr>
          <w:rFonts w:ascii="Arial" w:hAnsi="Arial" w:cs="Arial" w:hint="eastAsia"/>
          <w:kern w:val="2"/>
          <w:sz w:val="21"/>
          <w:szCs w:val="21"/>
        </w:rPr>
        <w:t>19</w:t>
      </w:r>
      <w:r>
        <w:rPr>
          <w:rFonts w:ascii="Arial" w:hAnsi="Arial" w:cs="Arial" w:hint="eastAsia"/>
          <w:kern w:val="2"/>
          <w:sz w:val="21"/>
          <w:szCs w:val="21"/>
        </w:rPr>
        <w:t>号院一区</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5</w:t>
      </w:r>
      <w:r>
        <w:rPr>
          <w:rFonts w:ascii="Arial" w:hAnsi="Arial" w:cs="Arial" w:hint="eastAsia"/>
          <w:kern w:val="2"/>
          <w:sz w:val="21"/>
          <w:szCs w:val="21"/>
        </w:rPr>
        <w:t>幢（</w:t>
      </w:r>
      <w:r>
        <w:rPr>
          <w:rFonts w:ascii="Arial" w:hAnsi="Arial" w:cs="Arial" w:hint="eastAsia"/>
          <w:kern w:val="2"/>
          <w:sz w:val="21"/>
          <w:szCs w:val="21"/>
        </w:rPr>
        <w:t>X13</w:t>
      </w:r>
      <w:r>
        <w:rPr>
          <w:rFonts w:ascii="Arial" w:hAnsi="Arial" w:cs="Arial" w:hint="eastAsia"/>
          <w:kern w:val="2"/>
          <w:sz w:val="21"/>
          <w:szCs w:val="21"/>
        </w:rPr>
        <w:t>海棠苑）共</w:t>
      </w:r>
      <w:r>
        <w:rPr>
          <w:rFonts w:ascii="Arial" w:hAnsi="Arial" w:cs="Arial" w:hint="eastAsia"/>
          <w:kern w:val="2"/>
          <w:sz w:val="21"/>
          <w:szCs w:val="21"/>
        </w:rPr>
        <w:t>1487</w:t>
      </w:r>
      <w:r>
        <w:rPr>
          <w:rFonts w:ascii="Arial" w:hAnsi="Arial" w:cs="Arial" w:hint="eastAsia"/>
          <w:kern w:val="2"/>
          <w:sz w:val="21"/>
          <w:szCs w:val="21"/>
        </w:rPr>
        <w:t>套、北京经济技术开发区鹿海园五里</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13</w:t>
      </w:r>
      <w:r>
        <w:rPr>
          <w:rFonts w:ascii="Arial" w:hAnsi="Arial" w:cs="Arial" w:hint="eastAsia"/>
          <w:kern w:val="2"/>
          <w:sz w:val="21"/>
          <w:szCs w:val="21"/>
        </w:rPr>
        <w:t>幢（</w:t>
      </w:r>
      <w:r>
        <w:rPr>
          <w:rFonts w:ascii="Arial" w:hAnsi="Arial" w:cs="Arial" w:hint="eastAsia"/>
          <w:kern w:val="2"/>
          <w:sz w:val="21"/>
          <w:szCs w:val="21"/>
        </w:rPr>
        <w:t>X38</w:t>
      </w:r>
      <w:r>
        <w:rPr>
          <w:rFonts w:ascii="Arial" w:hAnsi="Arial" w:cs="Arial" w:hint="eastAsia"/>
          <w:kern w:val="2"/>
          <w:sz w:val="21"/>
          <w:szCs w:val="21"/>
        </w:rPr>
        <w:t>鹿海园五里）共</w:t>
      </w:r>
      <w:r>
        <w:rPr>
          <w:rFonts w:ascii="Arial" w:hAnsi="Arial" w:cs="Arial" w:hint="eastAsia"/>
          <w:kern w:val="2"/>
          <w:sz w:val="21"/>
          <w:szCs w:val="21"/>
        </w:rPr>
        <w:t>1231</w:t>
      </w:r>
      <w:r>
        <w:rPr>
          <w:rFonts w:ascii="Arial" w:hAnsi="Arial" w:cs="Arial" w:hint="eastAsia"/>
          <w:kern w:val="2"/>
          <w:sz w:val="21"/>
          <w:szCs w:val="21"/>
        </w:rPr>
        <w:t>套组成，共</w:t>
      </w:r>
      <w:r>
        <w:rPr>
          <w:rFonts w:ascii="Arial" w:hAnsi="Arial" w:cs="Arial"/>
          <w:kern w:val="2"/>
          <w:sz w:val="21"/>
          <w:szCs w:val="21"/>
        </w:rPr>
        <w:t>2718</w:t>
      </w:r>
      <w:r>
        <w:rPr>
          <w:rFonts w:ascii="Arial" w:hAnsi="Arial" w:cs="Arial" w:hint="eastAsia"/>
          <w:kern w:val="2"/>
          <w:sz w:val="21"/>
          <w:szCs w:val="21"/>
        </w:rPr>
        <w:t>套公共租赁住房，总建筑面积</w:t>
      </w:r>
      <w:r>
        <w:rPr>
          <w:rFonts w:ascii="Arial" w:hAnsi="Arial" w:cs="Arial"/>
          <w:kern w:val="2"/>
          <w:sz w:val="21"/>
          <w:szCs w:val="21"/>
        </w:rPr>
        <w:t>202563.58</w:t>
      </w:r>
      <w:r>
        <w:rPr>
          <w:rFonts w:ascii="Arial" w:hAnsi="Arial" w:cs="Arial" w:hint="eastAsia"/>
          <w:kern w:val="2"/>
          <w:sz w:val="21"/>
          <w:szCs w:val="21"/>
        </w:rPr>
        <w:t>平方米。详见下表：</w:t>
      </w:r>
    </w:p>
    <w:tbl>
      <w:tblPr>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73"/>
        <w:gridCol w:w="1704"/>
        <w:gridCol w:w="3615"/>
        <w:gridCol w:w="1081"/>
        <w:gridCol w:w="2116"/>
      </w:tblGrid>
      <w:tr w:rsidR="00000000" w14:paraId="6BD1BAC0" w14:textId="77777777">
        <w:trPr>
          <w:trHeight w:val="227"/>
          <w:jc w:val="center"/>
        </w:trPr>
        <w:tc>
          <w:tcPr>
            <w:tcW w:w="416" w:type="pct"/>
            <w:vAlign w:val="center"/>
          </w:tcPr>
          <w:p w14:paraId="076E7612" w14:textId="77777777" w:rsidR="00000000" w:rsidRDefault="00000000">
            <w:pPr>
              <w:overflowPunct w:val="0"/>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lastRenderedPageBreak/>
              <w:t>序号</w:t>
            </w:r>
          </w:p>
        </w:tc>
        <w:tc>
          <w:tcPr>
            <w:tcW w:w="917" w:type="pct"/>
            <w:vAlign w:val="center"/>
          </w:tcPr>
          <w:p w14:paraId="33B43D46" w14:textId="77777777" w:rsidR="00000000" w:rsidRDefault="00000000">
            <w:pPr>
              <w:overflowPunct w:val="0"/>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项目名称</w:t>
            </w:r>
          </w:p>
        </w:tc>
        <w:tc>
          <w:tcPr>
            <w:tcW w:w="1946" w:type="pct"/>
            <w:vAlign w:val="center"/>
          </w:tcPr>
          <w:p w14:paraId="249F6AC4" w14:textId="77777777" w:rsidR="00000000" w:rsidRDefault="00000000">
            <w:pPr>
              <w:overflowPunct w:val="0"/>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坐落</w:t>
            </w:r>
          </w:p>
        </w:tc>
        <w:tc>
          <w:tcPr>
            <w:tcW w:w="582" w:type="pct"/>
            <w:vAlign w:val="center"/>
          </w:tcPr>
          <w:p w14:paraId="12CFADDC" w14:textId="77777777" w:rsidR="00000000" w:rsidRDefault="00000000">
            <w:pPr>
              <w:overflowPunct w:val="0"/>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套数（套）</w:t>
            </w:r>
          </w:p>
        </w:tc>
        <w:tc>
          <w:tcPr>
            <w:tcW w:w="1139" w:type="pct"/>
            <w:vAlign w:val="center"/>
          </w:tcPr>
          <w:p w14:paraId="444D7D6E" w14:textId="77777777" w:rsidR="00000000" w:rsidRDefault="00000000">
            <w:pPr>
              <w:overflowPunct w:val="0"/>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建筑面积（平方米）</w:t>
            </w:r>
          </w:p>
        </w:tc>
      </w:tr>
      <w:tr w:rsidR="00000000" w14:paraId="01056595" w14:textId="77777777">
        <w:trPr>
          <w:trHeight w:val="227"/>
          <w:jc w:val="center"/>
        </w:trPr>
        <w:tc>
          <w:tcPr>
            <w:tcW w:w="416" w:type="pct"/>
            <w:vAlign w:val="center"/>
          </w:tcPr>
          <w:p w14:paraId="67F65720" w14:textId="77777777" w:rsidR="00000000" w:rsidRDefault="00000000">
            <w:pPr>
              <w:overflowPunct w:val="0"/>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w:t>
            </w:r>
          </w:p>
        </w:tc>
        <w:tc>
          <w:tcPr>
            <w:tcW w:w="917" w:type="pct"/>
            <w:vAlign w:val="center"/>
          </w:tcPr>
          <w:p w14:paraId="70795EBB" w14:textId="77777777" w:rsidR="00000000" w:rsidRDefault="00000000">
            <w:pPr>
              <w:overflowPunct w:val="0"/>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X13海棠苑</w:t>
            </w:r>
          </w:p>
        </w:tc>
        <w:tc>
          <w:tcPr>
            <w:tcW w:w="1946" w:type="pct"/>
            <w:vAlign w:val="center"/>
          </w:tcPr>
          <w:p w14:paraId="7B3432A7" w14:textId="77777777" w:rsidR="00000000" w:rsidRDefault="00000000">
            <w:pPr>
              <w:overflowPunct w:val="0"/>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博兴九路19号院一区1号楼等5幢</w:t>
            </w:r>
          </w:p>
        </w:tc>
        <w:tc>
          <w:tcPr>
            <w:tcW w:w="582" w:type="pct"/>
            <w:vAlign w:val="center"/>
          </w:tcPr>
          <w:p w14:paraId="1C88214A" w14:textId="77777777" w:rsidR="00000000" w:rsidRDefault="00000000">
            <w:pPr>
              <w:overflowPunct w:val="0"/>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kern w:val="2"/>
                <w:sz w:val="18"/>
                <w:szCs w:val="18"/>
              </w:rPr>
              <w:t>1487</w:t>
            </w:r>
          </w:p>
        </w:tc>
        <w:tc>
          <w:tcPr>
            <w:tcW w:w="1139" w:type="pct"/>
            <w:vAlign w:val="center"/>
          </w:tcPr>
          <w:p w14:paraId="2D71C7A9" w14:textId="77777777" w:rsidR="00000000" w:rsidRDefault="00000000">
            <w:pPr>
              <w:overflowPunct w:val="0"/>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kern w:val="2"/>
                <w:sz w:val="18"/>
                <w:szCs w:val="18"/>
              </w:rPr>
              <w:t>80734.26</w:t>
            </w:r>
          </w:p>
        </w:tc>
      </w:tr>
      <w:tr w:rsidR="00000000" w14:paraId="3FA58ED2" w14:textId="77777777">
        <w:trPr>
          <w:trHeight w:val="227"/>
          <w:jc w:val="center"/>
        </w:trPr>
        <w:tc>
          <w:tcPr>
            <w:tcW w:w="416" w:type="pct"/>
            <w:vAlign w:val="center"/>
          </w:tcPr>
          <w:p w14:paraId="4716A7AC" w14:textId="77777777" w:rsidR="00000000" w:rsidRDefault="00000000">
            <w:pPr>
              <w:overflowPunct w:val="0"/>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c>
          <w:tcPr>
            <w:tcW w:w="917" w:type="pct"/>
            <w:vAlign w:val="center"/>
          </w:tcPr>
          <w:p w14:paraId="4B2B4135" w14:textId="77777777" w:rsidR="00000000" w:rsidRDefault="00000000">
            <w:pPr>
              <w:overflowPunct w:val="0"/>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X38鹿海园五里</w:t>
            </w:r>
          </w:p>
        </w:tc>
        <w:tc>
          <w:tcPr>
            <w:tcW w:w="1946" w:type="pct"/>
            <w:vAlign w:val="center"/>
          </w:tcPr>
          <w:p w14:paraId="55717DBF" w14:textId="77777777" w:rsidR="00000000" w:rsidRDefault="00000000">
            <w:pPr>
              <w:overflowPunct w:val="0"/>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鹿海园五里1号楼等13幢</w:t>
            </w:r>
          </w:p>
        </w:tc>
        <w:tc>
          <w:tcPr>
            <w:tcW w:w="582" w:type="pct"/>
            <w:vAlign w:val="center"/>
          </w:tcPr>
          <w:p w14:paraId="7DF1ED03" w14:textId="77777777" w:rsidR="00000000" w:rsidRDefault="00000000">
            <w:pPr>
              <w:overflowPunct w:val="0"/>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w:t>
            </w:r>
            <w:r>
              <w:rPr>
                <w:rFonts w:ascii="华文细黑" w:eastAsia="华文细黑" w:hAnsi="华文细黑" w:cs="Arial"/>
                <w:kern w:val="2"/>
                <w:sz w:val="18"/>
                <w:szCs w:val="18"/>
              </w:rPr>
              <w:t>231</w:t>
            </w:r>
          </w:p>
        </w:tc>
        <w:tc>
          <w:tcPr>
            <w:tcW w:w="1139" w:type="pct"/>
            <w:vAlign w:val="center"/>
          </w:tcPr>
          <w:p w14:paraId="451E8A1F" w14:textId="77777777" w:rsidR="00000000" w:rsidRDefault="00000000">
            <w:pPr>
              <w:overflowPunct w:val="0"/>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kern w:val="2"/>
                <w:sz w:val="18"/>
                <w:szCs w:val="18"/>
              </w:rPr>
              <w:t>121829.32</w:t>
            </w:r>
          </w:p>
        </w:tc>
      </w:tr>
      <w:tr w:rsidR="00000000" w14:paraId="095104E5" w14:textId="77777777">
        <w:trPr>
          <w:trHeight w:val="227"/>
          <w:jc w:val="center"/>
        </w:trPr>
        <w:tc>
          <w:tcPr>
            <w:tcW w:w="3279" w:type="pct"/>
            <w:gridSpan w:val="3"/>
            <w:vAlign w:val="center"/>
          </w:tcPr>
          <w:p w14:paraId="4D64D3AC" w14:textId="77777777" w:rsidR="00000000" w:rsidRDefault="00000000">
            <w:pPr>
              <w:overflowPunct w:val="0"/>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合计</w:t>
            </w:r>
          </w:p>
        </w:tc>
        <w:tc>
          <w:tcPr>
            <w:tcW w:w="582" w:type="pct"/>
            <w:vAlign w:val="center"/>
          </w:tcPr>
          <w:p w14:paraId="30194EF8" w14:textId="77777777" w:rsidR="00000000" w:rsidRDefault="00000000">
            <w:pPr>
              <w:overflowPunct w:val="0"/>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kern w:val="2"/>
                <w:sz w:val="18"/>
                <w:szCs w:val="18"/>
              </w:rPr>
              <w:t>2718</w:t>
            </w:r>
          </w:p>
        </w:tc>
        <w:tc>
          <w:tcPr>
            <w:tcW w:w="1139" w:type="pct"/>
            <w:vAlign w:val="center"/>
          </w:tcPr>
          <w:p w14:paraId="55F73FA2" w14:textId="77777777" w:rsidR="00000000" w:rsidRDefault="00000000">
            <w:pPr>
              <w:overflowPunct w:val="0"/>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kern w:val="2"/>
                <w:sz w:val="18"/>
                <w:szCs w:val="18"/>
              </w:rPr>
              <w:t>202563.58</w:t>
            </w:r>
          </w:p>
        </w:tc>
      </w:tr>
    </w:tbl>
    <w:p w14:paraId="04356CE8" w14:textId="77777777" w:rsidR="00000000" w:rsidRDefault="00000000">
      <w:pPr>
        <w:overflowPunct w:val="0"/>
        <w:spacing w:beforeLines="100" w:before="240" w:line="480" w:lineRule="auto"/>
        <w:ind w:firstLineChars="200" w:firstLine="420"/>
        <w:jc w:val="both"/>
        <w:textAlignment w:val="auto"/>
        <w:rPr>
          <w:rFonts w:ascii="Arial" w:hAnsi="Arial" w:cs="Arial" w:hint="eastAsia"/>
          <w:kern w:val="2"/>
          <w:sz w:val="21"/>
          <w:szCs w:val="21"/>
        </w:rPr>
      </w:pPr>
      <w:r>
        <w:rPr>
          <w:rFonts w:ascii="Arial" w:hAnsi="Arial" w:cs="Arial" w:hint="eastAsia"/>
          <w:kern w:val="2"/>
          <w:sz w:val="21"/>
          <w:szCs w:val="21"/>
        </w:rPr>
        <w:t>本次评估的</w:t>
      </w:r>
      <w:r>
        <w:rPr>
          <w:rFonts w:ascii="Arial" w:hAnsi="Arial" w:cs="Arial" w:hint="eastAsia"/>
          <w:kern w:val="2"/>
          <w:sz w:val="21"/>
          <w:szCs w:val="21"/>
        </w:rPr>
        <w:t>2</w:t>
      </w:r>
      <w:r>
        <w:rPr>
          <w:rFonts w:ascii="Arial" w:hAnsi="Arial" w:cs="Arial"/>
          <w:kern w:val="2"/>
          <w:sz w:val="21"/>
          <w:szCs w:val="21"/>
        </w:rPr>
        <w:t>718</w:t>
      </w:r>
      <w:r>
        <w:rPr>
          <w:rFonts w:ascii="Arial" w:hAnsi="Arial" w:cs="Arial" w:hint="eastAsia"/>
          <w:kern w:val="2"/>
          <w:sz w:val="21"/>
          <w:szCs w:val="21"/>
        </w:rPr>
        <w:t>套公共租赁住房房源是由估价委托人收购、代持经营，现拟作为公共租赁住房使用。</w:t>
      </w:r>
    </w:p>
    <w:p w14:paraId="109FBE1A" w14:textId="77777777" w:rsidR="00000000" w:rsidRDefault="00000000">
      <w:pPr>
        <w:overflowPunct w:val="0"/>
        <w:spacing w:line="480" w:lineRule="auto"/>
        <w:ind w:firstLineChars="200" w:firstLine="420"/>
        <w:jc w:val="both"/>
        <w:textAlignment w:val="auto"/>
        <w:rPr>
          <w:rFonts w:ascii="Arial" w:hAnsi="Arial" w:cs="Arial" w:hint="eastAsia"/>
          <w:color w:val="FF0000"/>
          <w:kern w:val="2"/>
          <w:sz w:val="21"/>
          <w:szCs w:val="21"/>
        </w:rPr>
      </w:pPr>
      <w:r>
        <w:rPr>
          <w:rFonts w:ascii="Arial" w:hAnsi="Arial" w:cs="Arial" w:hint="eastAsia"/>
          <w:kern w:val="2"/>
          <w:sz w:val="21"/>
          <w:szCs w:val="21"/>
        </w:rPr>
        <w:t>于价值时点，估价对象均已完工，室内装修情况均为普通装修。</w:t>
      </w:r>
    </w:p>
    <w:p w14:paraId="5B4C994D" w14:textId="77777777" w:rsidR="00000000" w:rsidRDefault="00000000">
      <w:pPr>
        <w:overflowPunct w:val="0"/>
        <w:spacing w:line="480" w:lineRule="auto"/>
        <w:jc w:val="center"/>
        <w:textAlignment w:val="auto"/>
        <w:rPr>
          <w:rFonts w:ascii="Arial" w:hAnsi="Arial" w:cs="Arial" w:hint="eastAsia"/>
          <w:kern w:val="2"/>
          <w:sz w:val="21"/>
          <w:szCs w:val="21"/>
        </w:rPr>
      </w:pPr>
      <w:r>
        <w:rPr>
          <w:rFonts w:ascii="Arial" w:hAnsi="Arial" w:cs="Arial" w:hint="eastAsia"/>
          <w:kern w:val="2"/>
          <w:sz w:val="21"/>
          <w:szCs w:val="21"/>
        </w:rPr>
        <w:t>估价对象位置示意图</w:t>
      </w:r>
    </w:p>
    <w:p w14:paraId="24A1FF1C" w14:textId="3211DA6B" w:rsidR="00000000" w:rsidRDefault="008F534B">
      <w:pPr>
        <w:overflowPunct w:val="0"/>
        <w:spacing w:line="480" w:lineRule="auto"/>
        <w:jc w:val="center"/>
        <w:textAlignment w:val="auto"/>
        <w:rPr>
          <w:rFonts w:hint="eastAsia"/>
          <w:lang w:val="en-US" w:eastAsia="zh-CN"/>
        </w:rPr>
      </w:pPr>
      <w:r>
        <w:rPr>
          <w:noProof/>
          <w:lang w:val="en-US" w:eastAsia="zh-CN"/>
        </w:rPr>
        <w:drawing>
          <wp:inline distT="0" distB="0" distL="0" distR="0" wp14:anchorId="55A25504" wp14:editId="421EC900">
            <wp:extent cx="4489450" cy="309880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89450" cy="3098800"/>
                    </a:xfrm>
                    <a:prstGeom prst="rect">
                      <a:avLst/>
                    </a:prstGeom>
                    <a:noFill/>
                    <a:ln>
                      <a:noFill/>
                    </a:ln>
                  </pic:spPr>
                </pic:pic>
              </a:graphicData>
            </a:graphic>
          </wp:inline>
        </w:drawing>
      </w:r>
    </w:p>
    <w:p w14:paraId="75C48A5E" w14:textId="77777777" w:rsidR="00000000" w:rsidRDefault="00000000">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（二）土地基本状况</w:t>
      </w:r>
    </w:p>
    <w:p w14:paraId="0FFD3701" w14:textId="77777777" w:rsidR="00000000" w:rsidRDefault="00000000">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sz w:val="21"/>
          <w:szCs w:val="21"/>
        </w:rPr>
        <w:t>1.</w:t>
      </w:r>
      <w:r>
        <w:rPr>
          <w:rFonts w:ascii="Arial" w:hAnsi="Arial" w:cs="Arial" w:hint="eastAsia"/>
          <w:color w:val="000000"/>
          <w:sz w:val="21"/>
          <w:szCs w:val="21"/>
        </w:rPr>
        <w:t>截至价值时点，估价委托人未提供</w:t>
      </w:r>
      <w:r>
        <w:rPr>
          <w:rFonts w:ascii="Arial" w:hAnsi="Arial" w:cs="Arial" w:hint="eastAsia"/>
          <w:kern w:val="2"/>
          <w:sz w:val="21"/>
          <w:szCs w:val="21"/>
        </w:rPr>
        <w:t>《不动产权证书》</w:t>
      </w:r>
      <w:r>
        <w:rPr>
          <w:rFonts w:ascii="Arial" w:hAnsi="Arial" w:cs="Arial" w:hint="eastAsia"/>
          <w:sz w:val="21"/>
          <w:szCs w:val="21"/>
        </w:rPr>
        <w:t>等权属证明文件</w:t>
      </w:r>
      <w:r>
        <w:rPr>
          <w:rFonts w:ascii="Arial" w:hAnsi="Arial" w:cs="Arial" w:hint="eastAsia"/>
          <w:kern w:val="2"/>
          <w:sz w:val="21"/>
          <w:szCs w:val="21"/>
        </w:rPr>
        <w:t>。根据估价委托人提供的《房屋收购协议》</w:t>
      </w:r>
      <w:r>
        <w:rPr>
          <w:rFonts w:ascii="Arial" w:hAnsi="Arial" w:cs="Arial" w:hint="eastAsia"/>
          <w:kern w:val="2"/>
          <w:sz w:val="21"/>
          <w:szCs w:val="21"/>
        </w:rPr>
        <w:t>[</w:t>
      </w:r>
      <w:r>
        <w:rPr>
          <w:rFonts w:ascii="Arial" w:hAnsi="Arial" w:cs="Arial" w:hint="eastAsia"/>
          <w:kern w:val="2"/>
          <w:sz w:val="21"/>
          <w:szCs w:val="21"/>
        </w:rPr>
        <w:t>编号：</w:t>
      </w:r>
      <w:r>
        <w:rPr>
          <w:rFonts w:ascii="Arial" w:hAnsi="Arial" w:cs="Arial" w:hint="eastAsia"/>
          <w:kern w:val="2"/>
          <w:sz w:val="21"/>
          <w:szCs w:val="21"/>
        </w:rPr>
        <w:t>2</w:t>
      </w:r>
      <w:r>
        <w:rPr>
          <w:rFonts w:ascii="Arial" w:hAnsi="Arial" w:cs="Arial"/>
          <w:kern w:val="2"/>
          <w:sz w:val="21"/>
          <w:szCs w:val="21"/>
        </w:rPr>
        <w:t>020-</w:t>
      </w:r>
      <w:r>
        <w:rPr>
          <w:rFonts w:ascii="Arial" w:hAnsi="Arial" w:cs="Arial" w:hint="eastAsia"/>
          <w:kern w:val="2"/>
          <w:sz w:val="21"/>
          <w:szCs w:val="21"/>
        </w:rPr>
        <w:t>新元</w:t>
      </w:r>
      <w:r>
        <w:rPr>
          <w:rFonts w:ascii="Arial" w:hAnsi="Arial" w:cs="Arial" w:hint="eastAsia"/>
          <w:kern w:val="2"/>
          <w:sz w:val="21"/>
          <w:szCs w:val="21"/>
        </w:rPr>
        <w:t>-</w:t>
      </w:r>
      <w:r>
        <w:rPr>
          <w:rFonts w:ascii="Arial" w:hAnsi="Arial" w:cs="Arial" w:hint="eastAsia"/>
          <w:kern w:val="2"/>
          <w:sz w:val="21"/>
          <w:szCs w:val="21"/>
        </w:rPr>
        <w:t>综合</w:t>
      </w:r>
      <w:r>
        <w:rPr>
          <w:rFonts w:ascii="Arial" w:hAnsi="Arial" w:cs="Arial" w:hint="eastAsia"/>
          <w:kern w:val="2"/>
          <w:sz w:val="21"/>
          <w:szCs w:val="21"/>
        </w:rPr>
        <w:t>-</w:t>
      </w:r>
      <w:r>
        <w:rPr>
          <w:rFonts w:ascii="Arial" w:hAnsi="Arial" w:cs="Arial"/>
          <w:kern w:val="2"/>
          <w:sz w:val="21"/>
          <w:szCs w:val="21"/>
        </w:rPr>
        <w:t>17]</w:t>
      </w:r>
      <w:r>
        <w:rPr>
          <w:rFonts w:ascii="Arial" w:hAnsi="Arial" w:cs="Arial" w:hint="eastAsia"/>
          <w:kern w:val="2"/>
          <w:sz w:val="21"/>
          <w:szCs w:val="21"/>
        </w:rPr>
        <w:t>及</w:t>
      </w:r>
      <w:r>
        <w:rPr>
          <w:rFonts w:ascii="Arial" w:hAnsi="Arial" w:cs="Arial" w:hint="eastAsia"/>
          <w:sz w:val="21"/>
          <w:szCs w:val="21"/>
        </w:rPr>
        <w:t>介绍，</w:t>
      </w:r>
      <w:r>
        <w:rPr>
          <w:rFonts w:ascii="Arial" w:hAnsi="Arial" w:cs="Arial" w:hint="eastAsia"/>
          <w:kern w:val="2"/>
          <w:sz w:val="21"/>
          <w:szCs w:val="21"/>
        </w:rPr>
        <w:t>北京市北京经济技术开发区博兴九路</w:t>
      </w:r>
      <w:r>
        <w:rPr>
          <w:rFonts w:ascii="Arial" w:hAnsi="Arial" w:cs="Arial" w:hint="eastAsia"/>
          <w:kern w:val="2"/>
          <w:sz w:val="21"/>
          <w:szCs w:val="21"/>
        </w:rPr>
        <w:t>19</w:t>
      </w:r>
      <w:r>
        <w:rPr>
          <w:rFonts w:ascii="Arial" w:hAnsi="Arial" w:cs="Arial" w:hint="eastAsia"/>
          <w:kern w:val="2"/>
          <w:sz w:val="21"/>
          <w:szCs w:val="21"/>
        </w:rPr>
        <w:t>号院一区</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5</w:t>
      </w:r>
      <w:r>
        <w:rPr>
          <w:rFonts w:ascii="Arial" w:hAnsi="Arial" w:cs="Arial" w:hint="eastAsia"/>
          <w:kern w:val="2"/>
          <w:sz w:val="21"/>
          <w:szCs w:val="21"/>
        </w:rPr>
        <w:t>幢（</w:t>
      </w:r>
      <w:r>
        <w:rPr>
          <w:rFonts w:ascii="Arial" w:hAnsi="Arial" w:cs="Arial" w:hint="eastAsia"/>
          <w:kern w:val="2"/>
          <w:sz w:val="21"/>
          <w:szCs w:val="21"/>
        </w:rPr>
        <w:t>X13</w:t>
      </w:r>
      <w:r>
        <w:rPr>
          <w:rFonts w:ascii="Arial" w:hAnsi="Arial" w:cs="Arial" w:hint="eastAsia"/>
          <w:kern w:val="2"/>
          <w:sz w:val="21"/>
          <w:szCs w:val="21"/>
        </w:rPr>
        <w:t>海棠苑）公共租赁住房项目所属宗地权利类型为国有建设用地使用权，</w:t>
      </w:r>
      <w:r>
        <w:rPr>
          <w:rFonts w:ascii="Arial" w:hAnsi="Arial" w:cs="Arial" w:hint="eastAsia"/>
          <w:sz w:val="21"/>
          <w:szCs w:val="21"/>
        </w:rPr>
        <w:t>用途为住宅，</w:t>
      </w:r>
      <w:r>
        <w:rPr>
          <w:rFonts w:ascii="Arial" w:hAnsi="Arial" w:cs="Arial" w:hint="eastAsia"/>
          <w:kern w:val="2"/>
          <w:sz w:val="21"/>
          <w:szCs w:val="21"/>
        </w:rPr>
        <w:t>由北京首开住总房地产开发有限公司以招拍挂方式取得。</w:t>
      </w:r>
      <w:r>
        <w:rPr>
          <w:rFonts w:ascii="Arial" w:hAnsi="Arial" w:cs="Arial"/>
          <w:sz w:val="21"/>
          <w:szCs w:val="21"/>
        </w:rPr>
        <w:t xml:space="preserve"> </w:t>
      </w:r>
    </w:p>
    <w:p w14:paraId="0033E8C6" w14:textId="77777777" w:rsidR="00000000" w:rsidRDefault="00000000">
      <w:pPr>
        <w:wordWrap w:val="0"/>
        <w:overflowPunct w:val="0"/>
        <w:spacing w:line="480" w:lineRule="auto"/>
        <w:ind w:firstLineChars="200" w:firstLine="420"/>
        <w:jc w:val="both"/>
        <w:textAlignment w:val="auto"/>
        <w:rPr>
          <w:rFonts w:ascii="Arial" w:hAnsi="Arial" w:cs="Arial" w:hint="eastAsia"/>
          <w:sz w:val="21"/>
          <w:szCs w:val="21"/>
        </w:rPr>
      </w:pPr>
      <w:r>
        <w:rPr>
          <w:rFonts w:ascii="Arial" w:hAnsi="Arial" w:cs="Arial" w:hint="eastAsia"/>
          <w:sz w:val="21"/>
          <w:szCs w:val="21"/>
        </w:rPr>
        <w:t>根据</w:t>
      </w:r>
      <w:r>
        <w:rPr>
          <w:rFonts w:ascii="Arial" w:hAnsi="Arial" w:cs="Arial" w:hint="eastAsia"/>
          <w:kern w:val="2"/>
          <w:sz w:val="21"/>
          <w:szCs w:val="21"/>
        </w:rPr>
        <w:t>估价委托人</w:t>
      </w:r>
      <w:r>
        <w:rPr>
          <w:rFonts w:ascii="Arial" w:hAnsi="Arial" w:cs="Arial" w:hint="eastAsia"/>
          <w:sz w:val="21"/>
          <w:szCs w:val="21"/>
        </w:rPr>
        <w:t>介绍，北京市</w:t>
      </w:r>
      <w:r>
        <w:rPr>
          <w:rFonts w:ascii="Arial" w:hAnsi="Arial" w:cs="Arial" w:hint="eastAsia"/>
          <w:kern w:val="2"/>
          <w:sz w:val="21"/>
          <w:szCs w:val="21"/>
        </w:rPr>
        <w:t>北京经济技术开发区鹿海园五里</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13</w:t>
      </w:r>
      <w:r>
        <w:rPr>
          <w:rFonts w:ascii="Arial" w:hAnsi="Arial" w:cs="Arial" w:hint="eastAsia"/>
          <w:kern w:val="2"/>
          <w:sz w:val="21"/>
          <w:szCs w:val="21"/>
        </w:rPr>
        <w:t>幢（</w:t>
      </w:r>
      <w:r>
        <w:rPr>
          <w:rFonts w:ascii="Arial" w:hAnsi="Arial" w:cs="Arial" w:hint="eastAsia"/>
          <w:kern w:val="2"/>
          <w:sz w:val="21"/>
          <w:szCs w:val="21"/>
        </w:rPr>
        <w:t>X38</w:t>
      </w:r>
      <w:r>
        <w:rPr>
          <w:rFonts w:ascii="Arial" w:hAnsi="Arial" w:cs="Arial" w:hint="eastAsia"/>
          <w:kern w:val="2"/>
          <w:sz w:val="21"/>
          <w:szCs w:val="21"/>
        </w:rPr>
        <w:t>鹿海园五里）</w:t>
      </w:r>
      <w:r>
        <w:rPr>
          <w:rFonts w:ascii="Arial" w:hAnsi="Arial" w:cs="Arial"/>
          <w:kern w:val="2"/>
          <w:sz w:val="21"/>
          <w:szCs w:val="21"/>
        </w:rPr>
        <w:t>公共租赁住房</w:t>
      </w:r>
      <w:r>
        <w:rPr>
          <w:rFonts w:ascii="Arial" w:hAnsi="Arial" w:cs="Arial" w:hint="eastAsia"/>
          <w:sz w:val="21"/>
          <w:szCs w:val="21"/>
        </w:rPr>
        <w:t>项目</w:t>
      </w:r>
      <w:r>
        <w:rPr>
          <w:rFonts w:ascii="Arial" w:hAnsi="Arial" w:cs="Arial" w:hint="eastAsia"/>
          <w:kern w:val="2"/>
          <w:sz w:val="21"/>
          <w:szCs w:val="21"/>
        </w:rPr>
        <w:t>所属宗地权利类型为国有建设用地使用权，权利性质为划拨</w:t>
      </w:r>
      <w:r>
        <w:rPr>
          <w:rFonts w:ascii="Arial" w:hAnsi="Arial" w:cs="Arial" w:hint="eastAsia"/>
          <w:sz w:val="21"/>
          <w:szCs w:val="21"/>
        </w:rPr>
        <w:t>。</w:t>
      </w:r>
    </w:p>
    <w:p w14:paraId="6275AB60"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2</w:t>
      </w:r>
      <w:r>
        <w:rPr>
          <w:rFonts w:ascii="Arial" w:hAnsi="Arial" w:cs="Arial"/>
          <w:sz w:val="21"/>
          <w:szCs w:val="21"/>
        </w:rPr>
        <w:t>.</w:t>
      </w:r>
      <w:r>
        <w:rPr>
          <w:rFonts w:ascii="Arial" w:hAnsi="Arial" w:cs="Arial"/>
          <w:sz w:val="21"/>
          <w:szCs w:val="21"/>
        </w:rPr>
        <w:t>估价对象所属项目</w:t>
      </w:r>
      <w:r>
        <w:rPr>
          <w:rFonts w:ascii="Arial" w:hAnsi="Arial" w:cs="Arial" w:hint="eastAsia"/>
          <w:sz w:val="21"/>
          <w:szCs w:val="21"/>
        </w:rPr>
        <w:t>现状</w:t>
      </w:r>
      <w:r>
        <w:rPr>
          <w:rFonts w:ascii="Arial" w:hAnsi="Arial" w:cs="Arial"/>
          <w:sz w:val="21"/>
          <w:szCs w:val="21"/>
        </w:rPr>
        <w:t>四至：</w:t>
      </w:r>
    </w:p>
    <w:p w14:paraId="573C6B99" w14:textId="77777777" w:rsidR="00000000" w:rsidRDefault="00000000">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北京市北京经济技术开发区博兴九路</w:t>
      </w:r>
      <w:r>
        <w:rPr>
          <w:rFonts w:ascii="Arial" w:hAnsi="Arial" w:cs="Arial" w:hint="eastAsia"/>
          <w:kern w:val="2"/>
          <w:sz w:val="21"/>
          <w:szCs w:val="21"/>
        </w:rPr>
        <w:t>19</w:t>
      </w:r>
      <w:r>
        <w:rPr>
          <w:rFonts w:ascii="Arial" w:hAnsi="Arial" w:cs="Arial" w:hint="eastAsia"/>
          <w:kern w:val="2"/>
          <w:sz w:val="21"/>
          <w:szCs w:val="21"/>
        </w:rPr>
        <w:t>号院一区</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5</w:t>
      </w:r>
      <w:r>
        <w:rPr>
          <w:rFonts w:ascii="Arial" w:hAnsi="Arial" w:cs="Arial" w:hint="eastAsia"/>
          <w:kern w:val="2"/>
          <w:sz w:val="21"/>
          <w:szCs w:val="21"/>
        </w:rPr>
        <w:t>幢（</w:t>
      </w:r>
      <w:r>
        <w:rPr>
          <w:rFonts w:ascii="Arial" w:hAnsi="Arial" w:cs="Arial" w:hint="eastAsia"/>
          <w:kern w:val="2"/>
          <w:sz w:val="21"/>
          <w:szCs w:val="21"/>
        </w:rPr>
        <w:t>X13</w:t>
      </w:r>
      <w:r>
        <w:rPr>
          <w:rFonts w:ascii="Arial" w:hAnsi="Arial" w:cs="Arial" w:hint="eastAsia"/>
          <w:kern w:val="2"/>
          <w:sz w:val="21"/>
          <w:szCs w:val="21"/>
        </w:rPr>
        <w:t>海棠苑）公共租赁住房项目，</w:t>
      </w:r>
      <w:r>
        <w:rPr>
          <w:rFonts w:ascii="Arial" w:hAnsi="Arial" w:cs="Arial" w:hint="eastAsia"/>
          <w:kern w:val="2"/>
          <w:sz w:val="21"/>
          <w:szCs w:val="21"/>
        </w:rPr>
        <w:lastRenderedPageBreak/>
        <w:t>现状四至为东至博兴九路，西至博兴十路，南至泰河路，北至凉水河二街。</w:t>
      </w:r>
    </w:p>
    <w:p w14:paraId="43F8C01F" w14:textId="77777777" w:rsidR="00000000" w:rsidRDefault="00000000">
      <w:pPr>
        <w:wordWrap w:val="0"/>
        <w:overflowPunct w:val="0"/>
        <w:spacing w:line="480" w:lineRule="auto"/>
        <w:ind w:firstLineChars="200" w:firstLine="420"/>
        <w:jc w:val="both"/>
        <w:textAlignment w:val="auto"/>
        <w:rPr>
          <w:rFonts w:ascii="Arial" w:hAnsi="Arial" w:cs="Arial" w:hint="eastAsia"/>
          <w:sz w:val="21"/>
          <w:szCs w:val="21"/>
        </w:rPr>
      </w:pPr>
      <w:r>
        <w:rPr>
          <w:rFonts w:ascii="Arial" w:hAnsi="Arial" w:cs="Arial" w:hint="eastAsia"/>
          <w:kern w:val="2"/>
          <w:sz w:val="21"/>
          <w:szCs w:val="21"/>
        </w:rPr>
        <w:t>北京市北京经济技术开发区鹿海园五里</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13</w:t>
      </w:r>
      <w:r>
        <w:rPr>
          <w:rFonts w:ascii="Arial" w:hAnsi="Arial" w:cs="Arial" w:hint="eastAsia"/>
          <w:kern w:val="2"/>
          <w:sz w:val="21"/>
          <w:szCs w:val="21"/>
        </w:rPr>
        <w:t>幢（</w:t>
      </w:r>
      <w:r>
        <w:rPr>
          <w:rFonts w:ascii="Arial" w:hAnsi="Arial" w:cs="Arial" w:hint="eastAsia"/>
          <w:kern w:val="2"/>
          <w:sz w:val="21"/>
          <w:szCs w:val="21"/>
        </w:rPr>
        <w:t>X38</w:t>
      </w:r>
      <w:r>
        <w:rPr>
          <w:rFonts w:ascii="Arial" w:hAnsi="Arial" w:cs="Arial" w:hint="eastAsia"/>
          <w:kern w:val="2"/>
          <w:sz w:val="21"/>
          <w:szCs w:val="21"/>
        </w:rPr>
        <w:t>鹿海园五里）</w:t>
      </w:r>
      <w:r>
        <w:rPr>
          <w:rFonts w:ascii="Arial" w:hAnsi="Arial" w:cs="Arial"/>
          <w:kern w:val="2"/>
          <w:sz w:val="21"/>
          <w:szCs w:val="21"/>
        </w:rPr>
        <w:t>公共租赁住房</w:t>
      </w:r>
      <w:r>
        <w:rPr>
          <w:rFonts w:ascii="Arial" w:hAnsi="Arial" w:cs="Arial" w:hint="eastAsia"/>
          <w:sz w:val="21"/>
          <w:szCs w:val="21"/>
        </w:rPr>
        <w:t>项目，</w:t>
      </w:r>
      <w:r>
        <w:rPr>
          <w:rFonts w:ascii="Arial" w:hAnsi="Arial" w:cs="Arial" w:hint="eastAsia"/>
          <w:kern w:val="2"/>
          <w:sz w:val="21"/>
          <w:szCs w:val="21"/>
        </w:rPr>
        <w:t>项目现状四至为东至博兴七路，西至博兴八路，南至泰河三街，北至泰河二街</w:t>
      </w:r>
      <w:r>
        <w:rPr>
          <w:rFonts w:ascii="Arial" w:hAnsi="Arial" w:cs="Arial" w:hint="eastAsia"/>
          <w:sz w:val="21"/>
          <w:szCs w:val="21"/>
        </w:rPr>
        <w:t>。</w:t>
      </w:r>
    </w:p>
    <w:p w14:paraId="38EF428C"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3</w:t>
      </w:r>
      <w:r>
        <w:rPr>
          <w:rFonts w:ascii="Arial" w:hAnsi="Arial" w:cs="Arial"/>
          <w:sz w:val="21"/>
          <w:szCs w:val="21"/>
        </w:rPr>
        <w:t>.</w:t>
      </w:r>
      <w:r>
        <w:rPr>
          <w:rFonts w:ascii="Arial" w:hAnsi="Arial" w:cs="Arial"/>
          <w:sz w:val="21"/>
          <w:szCs w:val="21"/>
        </w:rPr>
        <w:t>估价对象所属项目用地</w:t>
      </w:r>
      <w:r>
        <w:rPr>
          <w:rFonts w:ascii="Arial" w:hAnsi="Arial" w:cs="Arial" w:hint="eastAsia"/>
          <w:sz w:val="21"/>
          <w:szCs w:val="21"/>
        </w:rPr>
        <w:t>均</w:t>
      </w:r>
      <w:r>
        <w:rPr>
          <w:rFonts w:ascii="Arial" w:hAnsi="Arial" w:cs="Arial"/>
          <w:sz w:val="21"/>
          <w:szCs w:val="21"/>
        </w:rPr>
        <w:t>呈</w:t>
      </w:r>
      <w:r>
        <w:rPr>
          <w:rFonts w:ascii="Arial" w:hAnsi="Arial" w:cs="Arial" w:hint="eastAsia"/>
          <w:sz w:val="21"/>
          <w:szCs w:val="21"/>
        </w:rPr>
        <w:t>较</w:t>
      </w:r>
      <w:r>
        <w:rPr>
          <w:rFonts w:ascii="Arial" w:hAnsi="Arial" w:cs="Arial"/>
          <w:sz w:val="21"/>
          <w:szCs w:val="21"/>
        </w:rPr>
        <w:t>规则形状，</w:t>
      </w:r>
      <w:r>
        <w:rPr>
          <w:rFonts w:ascii="Arial" w:hAnsi="Arial" w:cs="Arial" w:hint="eastAsia"/>
          <w:sz w:val="21"/>
          <w:szCs w:val="21"/>
        </w:rPr>
        <w:t>对利用无不良影响，</w:t>
      </w:r>
      <w:r>
        <w:rPr>
          <w:rFonts w:ascii="Arial" w:hAnsi="Arial" w:cs="Arial"/>
          <w:sz w:val="21"/>
          <w:szCs w:val="21"/>
        </w:rPr>
        <w:t>场地</w:t>
      </w:r>
      <w:r>
        <w:rPr>
          <w:rFonts w:ascii="Arial" w:hAnsi="Arial" w:cs="Arial" w:hint="eastAsia"/>
          <w:sz w:val="21"/>
          <w:szCs w:val="21"/>
        </w:rPr>
        <w:t>呈</w:t>
      </w:r>
      <w:r>
        <w:rPr>
          <w:rFonts w:ascii="Arial" w:hAnsi="Arial" w:cs="Arial"/>
          <w:sz w:val="21"/>
          <w:szCs w:val="21"/>
        </w:rPr>
        <w:t>较平坦地势</w:t>
      </w:r>
      <w:r>
        <w:rPr>
          <w:rFonts w:ascii="Arial" w:hAnsi="Arial" w:cs="Arial" w:hint="eastAsia"/>
          <w:sz w:val="21"/>
          <w:szCs w:val="21"/>
        </w:rPr>
        <w:t>，工程地质条件良好，无不良地质现象</w:t>
      </w:r>
      <w:r>
        <w:rPr>
          <w:rFonts w:ascii="Arial" w:hAnsi="Arial" w:cs="Arial"/>
          <w:sz w:val="21"/>
          <w:szCs w:val="21"/>
        </w:rPr>
        <w:t>。</w:t>
      </w:r>
      <w:r>
        <w:rPr>
          <w:rFonts w:ascii="Arial" w:hAnsi="Arial" w:cs="Arial" w:hint="eastAsia"/>
          <w:sz w:val="21"/>
          <w:szCs w:val="21"/>
        </w:rPr>
        <w:t>估价对象现状均已完成开发建设，土地利用程度高。</w:t>
      </w:r>
    </w:p>
    <w:p w14:paraId="4DD8D42B"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4</w:t>
      </w:r>
      <w:r>
        <w:rPr>
          <w:rFonts w:ascii="Arial" w:hAnsi="Arial" w:cs="Arial"/>
          <w:sz w:val="21"/>
          <w:szCs w:val="21"/>
        </w:rPr>
        <w:t>.</w:t>
      </w:r>
      <w:r>
        <w:rPr>
          <w:rFonts w:ascii="Arial" w:hAnsi="Arial" w:cs="Arial" w:hint="eastAsia"/>
          <w:sz w:val="21"/>
          <w:szCs w:val="21"/>
        </w:rPr>
        <w:t>开发程度</w:t>
      </w:r>
      <w:r>
        <w:rPr>
          <w:rFonts w:ascii="Arial" w:hAnsi="Arial" w:cs="Arial"/>
          <w:sz w:val="21"/>
          <w:szCs w:val="21"/>
        </w:rPr>
        <w:t>：</w:t>
      </w:r>
    </w:p>
    <w:p w14:paraId="12505143" w14:textId="77777777" w:rsidR="00000000" w:rsidRDefault="00000000">
      <w:pPr>
        <w:wordWrap w:val="0"/>
        <w:overflowPunct w:val="0"/>
        <w:spacing w:line="480" w:lineRule="auto"/>
        <w:ind w:firstLineChars="200" w:firstLine="420"/>
        <w:jc w:val="both"/>
        <w:textAlignment w:val="auto"/>
        <w:rPr>
          <w:rFonts w:ascii="Arial" w:hAnsi="Arial" w:cs="Arial" w:hint="eastAsia"/>
          <w:kern w:val="2"/>
          <w:sz w:val="21"/>
          <w:szCs w:val="21"/>
        </w:rPr>
      </w:pPr>
      <w:r>
        <w:rPr>
          <w:rFonts w:ascii="Arial" w:hAnsi="Arial" w:cs="Arial"/>
          <w:kern w:val="2"/>
          <w:sz w:val="21"/>
          <w:szCs w:val="21"/>
        </w:rPr>
        <w:t>估价对象所在区域市政基础设施完备，为</w:t>
      </w:r>
      <w:r>
        <w:rPr>
          <w:rFonts w:ascii="Arial" w:hAnsi="Arial" w:cs="Arial"/>
          <w:kern w:val="2"/>
          <w:sz w:val="21"/>
          <w:szCs w:val="21"/>
        </w:rPr>
        <w:t>“</w:t>
      </w:r>
      <w:r>
        <w:rPr>
          <w:rFonts w:ascii="Arial" w:hAnsi="Arial" w:cs="Arial" w:hint="eastAsia"/>
          <w:kern w:val="2"/>
          <w:sz w:val="21"/>
          <w:szCs w:val="21"/>
        </w:rPr>
        <w:t>七</w:t>
      </w:r>
      <w:r>
        <w:rPr>
          <w:rFonts w:ascii="Arial" w:hAnsi="Arial" w:cs="Arial"/>
          <w:kern w:val="2"/>
          <w:sz w:val="21"/>
          <w:szCs w:val="21"/>
        </w:rPr>
        <w:t>通</w:t>
      </w:r>
      <w:r>
        <w:rPr>
          <w:rFonts w:ascii="Arial" w:hAnsi="Arial" w:cs="Arial"/>
          <w:kern w:val="2"/>
          <w:sz w:val="21"/>
          <w:szCs w:val="21"/>
        </w:rPr>
        <w:t>”</w:t>
      </w:r>
      <w:r>
        <w:rPr>
          <w:rFonts w:ascii="Arial" w:hAnsi="Arial" w:cs="Arial"/>
          <w:kern w:val="2"/>
          <w:sz w:val="21"/>
          <w:szCs w:val="21"/>
        </w:rPr>
        <w:t>（即通路、通电、通讯</w:t>
      </w:r>
      <w:r>
        <w:rPr>
          <w:rFonts w:ascii="Arial" w:hAnsi="Arial" w:cs="Arial" w:hint="eastAsia"/>
          <w:kern w:val="2"/>
          <w:sz w:val="21"/>
          <w:szCs w:val="21"/>
        </w:rPr>
        <w:t>、</w:t>
      </w:r>
      <w:r>
        <w:rPr>
          <w:rFonts w:ascii="Arial" w:hAnsi="Arial" w:cs="Arial"/>
          <w:kern w:val="2"/>
          <w:sz w:val="21"/>
          <w:szCs w:val="21"/>
        </w:rPr>
        <w:t>通上水、通下水、通燃气、通热力），且保证程度高。</w:t>
      </w:r>
    </w:p>
    <w:p w14:paraId="2E4A3070" w14:textId="77777777" w:rsidR="00000000" w:rsidRDefault="00000000">
      <w:pPr>
        <w:wordWrap w:val="0"/>
        <w:overflowPunct w:val="0"/>
        <w:spacing w:line="480" w:lineRule="auto"/>
        <w:ind w:firstLineChars="200" w:firstLine="420"/>
        <w:jc w:val="both"/>
        <w:textAlignment w:val="auto"/>
        <w:rPr>
          <w:rFonts w:ascii="Arial" w:hAnsi="Arial" w:cs="Arial" w:hint="eastAsia"/>
          <w:color w:val="E36C0A"/>
          <w:sz w:val="21"/>
          <w:szCs w:val="21"/>
        </w:rPr>
      </w:pPr>
      <w:r>
        <w:rPr>
          <w:rFonts w:ascii="Arial" w:hAnsi="Arial" w:cs="Arial" w:hint="eastAsia"/>
          <w:kern w:val="2"/>
          <w:sz w:val="21"/>
          <w:szCs w:val="21"/>
        </w:rPr>
        <w:t>综上所述，</w:t>
      </w:r>
      <w:r>
        <w:rPr>
          <w:rFonts w:ascii="Arial" w:hAnsi="Arial" w:cs="Arial"/>
          <w:kern w:val="2"/>
          <w:sz w:val="21"/>
          <w:szCs w:val="21"/>
        </w:rPr>
        <w:t>估价对象</w:t>
      </w:r>
      <w:r>
        <w:rPr>
          <w:rFonts w:ascii="Arial" w:hAnsi="Arial" w:cs="Arial" w:hint="eastAsia"/>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ascii="Arial" w:hAnsi="Arial" w:cs="Arial" w:hint="eastAsia"/>
          <w:sz w:val="21"/>
          <w:szCs w:val="21"/>
        </w:rPr>
        <w:t>。</w:t>
      </w:r>
    </w:p>
    <w:p w14:paraId="6F30FBE5" w14:textId="77777777" w:rsidR="00000000" w:rsidRDefault="00000000">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三</w:t>
      </w:r>
      <w:r>
        <w:rPr>
          <w:rFonts w:ascii="Arial" w:hAnsi="Arial" w:cs="Arial"/>
          <w:b/>
          <w:kern w:val="2"/>
          <w:sz w:val="21"/>
          <w:szCs w:val="21"/>
        </w:rPr>
        <w:t>）建筑物基本状况</w:t>
      </w:r>
    </w:p>
    <w:p w14:paraId="453C7DC5" w14:textId="77777777" w:rsidR="00000000" w:rsidRDefault="00000000">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sz w:val="21"/>
          <w:szCs w:val="21"/>
        </w:rPr>
        <w:t>1</w:t>
      </w:r>
      <w:r>
        <w:rPr>
          <w:rFonts w:ascii="Arial" w:hAnsi="Arial" w:cs="Arial" w:hint="eastAsia"/>
          <w:sz w:val="21"/>
          <w:szCs w:val="21"/>
        </w:rPr>
        <w:t>．建设规模：</w:t>
      </w:r>
      <w:r>
        <w:rPr>
          <w:rFonts w:ascii="Arial" w:hAnsi="Arial" w:cs="Arial"/>
          <w:bCs/>
          <w:color w:val="000000"/>
          <w:sz w:val="21"/>
          <w:szCs w:val="21"/>
        </w:rPr>
        <w:t>估价对象</w:t>
      </w:r>
      <w:r>
        <w:rPr>
          <w:rFonts w:ascii="Arial" w:hAnsi="Arial" w:cs="Arial" w:hint="eastAsia"/>
          <w:bCs/>
          <w:color w:val="000000"/>
          <w:sz w:val="21"/>
          <w:szCs w:val="21"/>
        </w:rPr>
        <w:t>由</w:t>
      </w:r>
      <w:r>
        <w:rPr>
          <w:rFonts w:ascii="Arial" w:hAnsi="Arial" w:cs="Arial" w:hint="eastAsia"/>
          <w:kern w:val="2"/>
          <w:sz w:val="21"/>
          <w:szCs w:val="21"/>
        </w:rPr>
        <w:t>北京市北京经济技术开发区博兴九路</w:t>
      </w:r>
      <w:r>
        <w:rPr>
          <w:rFonts w:ascii="Arial" w:hAnsi="Arial" w:cs="Arial" w:hint="eastAsia"/>
          <w:kern w:val="2"/>
          <w:sz w:val="21"/>
          <w:szCs w:val="21"/>
        </w:rPr>
        <w:t>19</w:t>
      </w:r>
      <w:r>
        <w:rPr>
          <w:rFonts w:ascii="Arial" w:hAnsi="Arial" w:cs="Arial" w:hint="eastAsia"/>
          <w:kern w:val="2"/>
          <w:sz w:val="21"/>
          <w:szCs w:val="21"/>
        </w:rPr>
        <w:t>号院一区</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5</w:t>
      </w:r>
      <w:r>
        <w:rPr>
          <w:rFonts w:ascii="Arial" w:hAnsi="Arial" w:cs="Arial" w:hint="eastAsia"/>
          <w:kern w:val="2"/>
          <w:sz w:val="21"/>
          <w:szCs w:val="21"/>
        </w:rPr>
        <w:t>幢（</w:t>
      </w:r>
      <w:r>
        <w:rPr>
          <w:rFonts w:ascii="Arial" w:hAnsi="Arial" w:cs="Arial" w:hint="eastAsia"/>
          <w:kern w:val="2"/>
          <w:sz w:val="21"/>
          <w:szCs w:val="21"/>
        </w:rPr>
        <w:t>X13</w:t>
      </w:r>
      <w:r>
        <w:rPr>
          <w:rFonts w:ascii="Arial" w:hAnsi="Arial" w:cs="Arial" w:hint="eastAsia"/>
          <w:kern w:val="2"/>
          <w:sz w:val="21"/>
          <w:szCs w:val="21"/>
        </w:rPr>
        <w:t>海棠苑）共</w:t>
      </w:r>
      <w:r>
        <w:rPr>
          <w:rFonts w:ascii="Arial" w:hAnsi="Arial" w:cs="Arial" w:hint="eastAsia"/>
          <w:kern w:val="2"/>
          <w:sz w:val="21"/>
          <w:szCs w:val="21"/>
        </w:rPr>
        <w:t>1487</w:t>
      </w:r>
      <w:r>
        <w:rPr>
          <w:rFonts w:ascii="Arial" w:hAnsi="Arial" w:cs="Arial" w:hint="eastAsia"/>
          <w:kern w:val="2"/>
          <w:sz w:val="21"/>
          <w:szCs w:val="21"/>
        </w:rPr>
        <w:t>套、北京经济技术开发区鹿海园五里</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13</w:t>
      </w:r>
      <w:r>
        <w:rPr>
          <w:rFonts w:ascii="Arial" w:hAnsi="Arial" w:cs="Arial" w:hint="eastAsia"/>
          <w:kern w:val="2"/>
          <w:sz w:val="21"/>
          <w:szCs w:val="21"/>
        </w:rPr>
        <w:t>幢（</w:t>
      </w:r>
      <w:r>
        <w:rPr>
          <w:rFonts w:ascii="Arial" w:hAnsi="Arial" w:cs="Arial" w:hint="eastAsia"/>
          <w:kern w:val="2"/>
          <w:sz w:val="21"/>
          <w:szCs w:val="21"/>
        </w:rPr>
        <w:t>X38</w:t>
      </w:r>
      <w:r>
        <w:rPr>
          <w:rFonts w:ascii="Arial" w:hAnsi="Arial" w:cs="Arial" w:hint="eastAsia"/>
          <w:kern w:val="2"/>
          <w:sz w:val="21"/>
          <w:szCs w:val="21"/>
        </w:rPr>
        <w:t>鹿海园五里）共</w:t>
      </w:r>
      <w:r>
        <w:rPr>
          <w:rFonts w:ascii="Arial" w:hAnsi="Arial" w:cs="Arial" w:hint="eastAsia"/>
          <w:kern w:val="2"/>
          <w:sz w:val="21"/>
          <w:szCs w:val="21"/>
        </w:rPr>
        <w:t>1231</w:t>
      </w:r>
      <w:r>
        <w:rPr>
          <w:rFonts w:ascii="Arial" w:hAnsi="Arial" w:cs="Arial" w:hint="eastAsia"/>
          <w:kern w:val="2"/>
          <w:sz w:val="21"/>
          <w:szCs w:val="21"/>
        </w:rPr>
        <w:t>套组成，共</w:t>
      </w:r>
      <w:r>
        <w:rPr>
          <w:rFonts w:ascii="Arial" w:hAnsi="Arial" w:cs="Arial"/>
          <w:kern w:val="2"/>
          <w:sz w:val="21"/>
          <w:szCs w:val="21"/>
        </w:rPr>
        <w:t>2718</w:t>
      </w:r>
      <w:r>
        <w:rPr>
          <w:rFonts w:ascii="Arial" w:hAnsi="Arial" w:cs="Arial" w:hint="eastAsia"/>
          <w:kern w:val="2"/>
          <w:sz w:val="21"/>
          <w:szCs w:val="21"/>
        </w:rPr>
        <w:t>套公共租赁住房，总建筑面积</w:t>
      </w:r>
      <w:r>
        <w:rPr>
          <w:rFonts w:ascii="Arial" w:hAnsi="Arial" w:cs="Arial"/>
          <w:kern w:val="2"/>
          <w:sz w:val="21"/>
          <w:szCs w:val="21"/>
        </w:rPr>
        <w:t>202563.58</w:t>
      </w:r>
      <w:r>
        <w:rPr>
          <w:rFonts w:ascii="Arial" w:hAnsi="Arial" w:cs="Arial" w:hint="eastAsia"/>
          <w:kern w:val="2"/>
          <w:sz w:val="21"/>
          <w:szCs w:val="21"/>
        </w:rPr>
        <w:t>平方米。</w:t>
      </w:r>
    </w:p>
    <w:p w14:paraId="3CB1D8E4" w14:textId="77777777" w:rsidR="00000000" w:rsidRDefault="00000000">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北京市北京经济技术开发区博兴九路</w:t>
      </w:r>
      <w:r>
        <w:rPr>
          <w:rFonts w:ascii="Arial" w:hAnsi="Arial" w:cs="Arial" w:hint="eastAsia"/>
          <w:kern w:val="2"/>
          <w:sz w:val="21"/>
          <w:szCs w:val="21"/>
        </w:rPr>
        <w:t>19</w:t>
      </w:r>
      <w:r>
        <w:rPr>
          <w:rFonts w:ascii="Arial" w:hAnsi="Arial" w:cs="Arial" w:hint="eastAsia"/>
          <w:kern w:val="2"/>
          <w:sz w:val="21"/>
          <w:szCs w:val="21"/>
        </w:rPr>
        <w:t>号院一区</w:t>
      </w:r>
      <w:r>
        <w:rPr>
          <w:rFonts w:ascii="Arial" w:hAnsi="Arial" w:cs="Arial" w:hint="eastAsia"/>
          <w:kern w:val="2"/>
          <w:sz w:val="21"/>
          <w:szCs w:val="21"/>
        </w:rPr>
        <w:t>1</w:t>
      </w:r>
      <w:r>
        <w:rPr>
          <w:rFonts w:ascii="Arial" w:hAnsi="Arial" w:cs="Arial"/>
          <w:kern w:val="2"/>
          <w:sz w:val="21"/>
          <w:szCs w:val="21"/>
        </w:rPr>
        <w:t>-5</w:t>
      </w:r>
      <w:r>
        <w:rPr>
          <w:rFonts w:ascii="Arial" w:hAnsi="Arial" w:cs="Arial" w:hint="eastAsia"/>
          <w:kern w:val="2"/>
          <w:sz w:val="21"/>
          <w:szCs w:val="21"/>
        </w:rPr>
        <w:t>号楼，建筑类型均为板塔结合，楼宇主体建筑结构为装配式剪力墙（钢混），建筑层数均为地上</w:t>
      </w:r>
      <w:r>
        <w:rPr>
          <w:rFonts w:ascii="Arial" w:hAnsi="Arial" w:cs="Arial" w:hint="eastAsia"/>
          <w:kern w:val="2"/>
          <w:sz w:val="21"/>
          <w:szCs w:val="21"/>
        </w:rPr>
        <w:t>1</w:t>
      </w:r>
      <w:r>
        <w:rPr>
          <w:rFonts w:ascii="Arial" w:hAnsi="Arial" w:cs="Arial"/>
          <w:kern w:val="2"/>
          <w:sz w:val="21"/>
          <w:szCs w:val="21"/>
        </w:rPr>
        <w:t>6</w:t>
      </w:r>
      <w:r>
        <w:rPr>
          <w:rFonts w:ascii="Arial" w:hAnsi="Arial" w:cs="Arial" w:hint="eastAsia"/>
          <w:kern w:val="2"/>
          <w:sz w:val="21"/>
          <w:szCs w:val="21"/>
        </w:rPr>
        <w:t>层、地下</w:t>
      </w:r>
      <w:r>
        <w:rPr>
          <w:rFonts w:ascii="Arial" w:hAnsi="Arial" w:cs="Arial" w:hint="eastAsia"/>
          <w:kern w:val="2"/>
          <w:sz w:val="21"/>
          <w:szCs w:val="21"/>
        </w:rPr>
        <w:t>1</w:t>
      </w:r>
      <w:r>
        <w:rPr>
          <w:rFonts w:ascii="Arial" w:hAnsi="Arial" w:cs="Arial" w:hint="eastAsia"/>
          <w:kern w:val="2"/>
          <w:sz w:val="21"/>
          <w:szCs w:val="21"/>
        </w:rPr>
        <w:t>层，层高</w:t>
      </w:r>
      <w:r>
        <w:rPr>
          <w:rFonts w:ascii="Arial" w:hAnsi="Arial" w:cs="Arial"/>
          <w:kern w:val="2"/>
          <w:sz w:val="21"/>
          <w:szCs w:val="21"/>
        </w:rPr>
        <w:t>2.7</w:t>
      </w:r>
      <w:r>
        <w:rPr>
          <w:rFonts w:ascii="Arial" w:hAnsi="Arial" w:cs="Arial" w:hint="eastAsia"/>
          <w:kern w:val="2"/>
          <w:sz w:val="21"/>
          <w:szCs w:val="21"/>
        </w:rPr>
        <w:t>米。根据估价委托人提供的《估价委托书》及《房屋收购协议》</w:t>
      </w:r>
      <w:r>
        <w:rPr>
          <w:rFonts w:ascii="Arial" w:hAnsi="Arial" w:cs="Arial" w:hint="eastAsia"/>
          <w:kern w:val="2"/>
          <w:sz w:val="21"/>
          <w:szCs w:val="21"/>
        </w:rPr>
        <w:t>[</w:t>
      </w:r>
      <w:r>
        <w:rPr>
          <w:rFonts w:ascii="Arial" w:hAnsi="Arial" w:cs="Arial" w:hint="eastAsia"/>
          <w:kern w:val="2"/>
          <w:sz w:val="21"/>
          <w:szCs w:val="21"/>
        </w:rPr>
        <w:t>编号：</w:t>
      </w:r>
      <w:r>
        <w:rPr>
          <w:rFonts w:ascii="Arial" w:hAnsi="Arial" w:cs="Arial" w:hint="eastAsia"/>
          <w:kern w:val="2"/>
          <w:sz w:val="21"/>
          <w:szCs w:val="21"/>
        </w:rPr>
        <w:t>2</w:t>
      </w:r>
      <w:r>
        <w:rPr>
          <w:rFonts w:ascii="Arial" w:hAnsi="Arial" w:cs="Arial"/>
          <w:kern w:val="2"/>
          <w:sz w:val="21"/>
          <w:szCs w:val="21"/>
        </w:rPr>
        <w:t>020-</w:t>
      </w:r>
      <w:r>
        <w:rPr>
          <w:rFonts w:ascii="Arial" w:hAnsi="Arial" w:cs="Arial" w:hint="eastAsia"/>
          <w:kern w:val="2"/>
          <w:sz w:val="21"/>
          <w:szCs w:val="21"/>
        </w:rPr>
        <w:t>新元</w:t>
      </w:r>
      <w:r>
        <w:rPr>
          <w:rFonts w:ascii="Arial" w:hAnsi="Arial" w:cs="Arial" w:hint="eastAsia"/>
          <w:kern w:val="2"/>
          <w:sz w:val="21"/>
          <w:szCs w:val="21"/>
        </w:rPr>
        <w:t>-</w:t>
      </w:r>
      <w:r>
        <w:rPr>
          <w:rFonts w:ascii="Arial" w:hAnsi="Arial" w:cs="Arial" w:hint="eastAsia"/>
          <w:kern w:val="2"/>
          <w:sz w:val="21"/>
          <w:szCs w:val="21"/>
        </w:rPr>
        <w:t>综合</w:t>
      </w:r>
      <w:r>
        <w:rPr>
          <w:rFonts w:ascii="Arial" w:hAnsi="Arial" w:cs="Arial" w:hint="eastAsia"/>
          <w:kern w:val="2"/>
          <w:sz w:val="21"/>
          <w:szCs w:val="21"/>
        </w:rPr>
        <w:t>-</w:t>
      </w:r>
      <w:r>
        <w:rPr>
          <w:rFonts w:ascii="Arial" w:hAnsi="Arial" w:cs="Arial"/>
          <w:kern w:val="2"/>
          <w:sz w:val="21"/>
          <w:szCs w:val="21"/>
        </w:rPr>
        <w:t>17]</w:t>
      </w:r>
      <w:r>
        <w:rPr>
          <w:rFonts w:ascii="Arial" w:hAnsi="Arial" w:cs="Arial" w:hint="eastAsia"/>
          <w:kern w:val="2"/>
          <w:sz w:val="21"/>
          <w:szCs w:val="21"/>
        </w:rPr>
        <w:t>，确定本次估价范围建筑面积</w:t>
      </w:r>
      <w:r>
        <w:rPr>
          <w:rFonts w:ascii="Arial" w:hAnsi="Arial" w:cs="Arial"/>
          <w:kern w:val="2"/>
          <w:sz w:val="21"/>
          <w:szCs w:val="21"/>
        </w:rPr>
        <w:t>80734.26</w:t>
      </w:r>
      <w:r>
        <w:rPr>
          <w:rFonts w:ascii="Arial" w:hAnsi="Arial" w:cs="Arial" w:hint="eastAsia"/>
          <w:kern w:val="2"/>
          <w:sz w:val="21"/>
          <w:szCs w:val="21"/>
        </w:rPr>
        <w:t>平方米，可对外配租房屋共计</w:t>
      </w:r>
      <w:r>
        <w:rPr>
          <w:rFonts w:ascii="Arial" w:hAnsi="Arial" w:cs="Arial"/>
          <w:kern w:val="2"/>
          <w:sz w:val="21"/>
          <w:szCs w:val="21"/>
        </w:rPr>
        <w:t>1487</w:t>
      </w:r>
      <w:r>
        <w:rPr>
          <w:rFonts w:ascii="Arial" w:hAnsi="Arial" w:cs="Arial" w:hint="eastAsia"/>
          <w:kern w:val="2"/>
          <w:sz w:val="21"/>
          <w:szCs w:val="21"/>
        </w:rPr>
        <w:t>套。房源具体户型等情况详见下表：</w:t>
      </w:r>
    </w:p>
    <w:tbl>
      <w:tblPr>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7"/>
        <w:gridCol w:w="2716"/>
        <w:gridCol w:w="1265"/>
        <w:gridCol w:w="2896"/>
        <w:gridCol w:w="1325"/>
      </w:tblGrid>
      <w:tr w:rsidR="00000000" w14:paraId="4FE13C62" w14:textId="77777777">
        <w:trPr>
          <w:trHeight w:val="90"/>
          <w:jc w:val="center"/>
        </w:trPr>
        <w:tc>
          <w:tcPr>
            <w:tcW w:w="585" w:type="pct"/>
            <w:vAlign w:val="center"/>
          </w:tcPr>
          <w:p w14:paraId="0DDA7301"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户</w:t>
            </w:r>
            <w:r>
              <w:rPr>
                <w:rFonts w:ascii="华文细黑" w:eastAsia="华文细黑" w:hAnsi="华文细黑" w:cs="Arial"/>
                <w:kern w:val="2"/>
                <w:sz w:val="18"/>
                <w:szCs w:val="18"/>
              </w:rPr>
              <w:t>型</w:t>
            </w:r>
          </w:p>
        </w:tc>
        <w:tc>
          <w:tcPr>
            <w:tcW w:w="1462" w:type="pct"/>
            <w:vAlign w:val="center"/>
          </w:tcPr>
          <w:p w14:paraId="107AAE7B"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各套建筑面积（㎡）</w:t>
            </w:r>
          </w:p>
        </w:tc>
        <w:tc>
          <w:tcPr>
            <w:tcW w:w="681" w:type="pct"/>
            <w:vAlign w:val="center"/>
          </w:tcPr>
          <w:p w14:paraId="4D84523D"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套数</w:t>
            </w:r>
          </w:p>
        </w:tc>
        <w:tc>
          <w:tcPr>
            <w:tcW w:w="1559" w:type="pct"/>
            <w:vAlign w:val="center"/>
          </w:tcPr>
          <w:p w14:paraId="6853D8C8"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总建筑面积（㎡）</w:t>
            </w:r>
          </w:p>
        </w:tc>
        <w:tc>
          <w:tcPr>
            <w:tcW w:w="713" w:type="pct"/>
            <w:vAlign w:val="center"/>
          </w:tcPr>
          <w:p w14:paraId="73B05CB3"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朝向</w:t>
            </w:r>
          </w:p>
        </w:tc>
      </w:tr>
      <w:tr w:rsidR="00000000" w14:paraId="5D2AE20B" w14:textId="77777777">
        <w:trPr>
          <w:trHeight w:val="340"/>
          <w:jc w:val="center"/>
        </w:trPr>
        <w:tc>
          <w:tcPr>
            <w:tcW w:w="585" w:type="pct"/>
            <w:vAlign w:val="center"/>
          </w:tcPr>
          <w:p w14:paraId="0ED65119" w14:textId="77777777" w:rsidR="00000000" w:rsidRDefault="00000000">
            <w:pPr>
              <w:overflowPunct w:val="0"/>
              <w:spacing w:line="240"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开间</w:t>
            </w:r>
          </w:p>
        </w:tc>
        <w:tc>
          <w:tcPr>
            <w:tcW w:w="1462" w:type="pct"/>
            <w:vAlign w:val="center"/>
          </w:tcPr>
          <w:p w14:paraId="4EF1E939" w14:textId="77777777" w:rsidR="00000000" w:rsidRDefault="00000000">
            <w:pPr>
              <w:widowControl/>
              <w:adjustRightInd/>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25.44-50.91</w:t>
            </w:r>
          </w:p>
        </w:tc>
        <w:tc>
          <w:tcPr>
            <w:tcW w:w="681" w:type="pct"/>
            <w:vAlign w:val="center"/>
          </w:tcPr>
          <w:p w14:paraId="318D11F0" w14:textId="77777777" w:rsidR="00000000" w:rsidRDefault="00000000">
            <w:pPr>
              <w:widowControl/>
              <w:adjustRightInd/>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201</w:t>
            </w:r>
          </w:p>
        </w:tc>
        <w:tc>
          <w:tcPr>
            <w:tcW w:w="1559" w:type="pct"/>
            <w:vAlign w:val="center"/>
          </w:tcPr>
          <w:p w14:paraId="0BF6030D" w14:textId="77777777" w:rsidR="00000000" w:rsidRDefault="00000000">
            <w:pPr>
              <w:widowControl/>
              <w:adjustRightInd/>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9227.08</w:t>
            </w:r>
          </w:p>
        </w:tc>
        <w:tc>
          <w:tcPr>
            <w:tcW w:w="713" w:type="pct"/>
            <w:vAlign w:val="center"/>
          </w:tcPr>
          <w:p w14:paraId="77DFBB8C" w14:textId="77777777" w:rsidR="00000000" w:rsidRDefault="00000000">
            <w:pPr>
              <w:widowControl/>
              <w:adjustRightInd/>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南</w:t>
            </w:r>
          </w:p>
        </w:tc>
      </w:tr>
      <w:tr w:rsidR="00000000" w14:paraId="0BD4935C" w14:textId="77777777">
        <w:trPr>
          <w:trHeight w:val="340"/>
          <w:jc w:val="center"/>
        </w:trPr>
        <w:tc>
          <w:tcPr>
            <w:tcW w:w="585" w:type="pct"/>
            <w:vMerge w:val="restart"/>
            <w:vAlign w:val="center"/>
          </w:tcPr>
          <w:p w14:paraId="512EA752"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一</w:t>
            </w:r>
            <w:r>
              <w:rPr>
                <w:rFonts w:ascii="华文细黑" w:eastAsia="华文细黑" w:hAnsi="华文细黑" w:cs="Arial"/>
                <w:kern w:val="2"/>
                <w:sz w:val="18"/>
                <w:szCs w:val="18"/>
              </w:rPr>
              <w:t>居</w:t>
            </w:r>
          </w:p>
        </w:tc>
        <w:tc>
          <w:tcPr>
            <w:tcW w:w="1462" w:type="pct"/>
            <w:vAlign w:val="center"/>
          </w:tcPr>
          <w:p w14:paraId="05D5E124"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50.91-62.94</w:t>
            </w:r>
          </w:p>
        </w:tc>
        <w:tc>
          <w:tcPr>
            <w:tcW w:w="681" w:type="pct"/>
            <w:vAlign w:val="center"/>
          </w:tcPr>
          <w:p w14:paraId="792AC837"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427</w:t>
            </w:r>
          </w:p>
        </w:tc>
        <w:tc>
          <w:tcPr>
            <w:tcW w:w="1559" w:type="pct"/>
            <w:vAlign w:val="center"/>
          </w:tcPr>
          <w:p w14:paraId="794FD146"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24126.11</w:t>
            </w:r>
          </w:p>
        </w:tc>
        <w:tc>
          <w:tcPr>
            <w:tcW w:w="713" w:type="pct"/>
            <w:vAlign w:val="center"/>
          </w:tcPr>
          <w:p w14:paraId="061C6ED5"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东</w:t>
            </w:r>
          </w:p>
        </w:tc>
      </w:tr>
      <w:tr w:rsidR="00000000" w14:paraId="4BFBCEBF" w14:textId="77777777">
        <w:trPr>
          <w:trHeight w:val="340"/>
          <w:jc w:val="center"/>
        </w:trPr>
        <w:tc>
          <w:tcPr>
            <w:tcW w:w="585" w:type="pct"/>
            <w:vMerge/>
            <w:vAlign w:val="center"/>
          </w:tcPr>
          <w:p w14:paraId="7525E9D0"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p>
        </w:tc>
        <w:tc>
          <w:tcPr>
            <w:tcW w:w="1462" w:type="pct"/>
            <w:vAlign w:val="center"/>
          </w:tcPr>
          <w:p w14:paraId="4A87D602"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38.46-51.96</w:t>
            </w:r>
          </w:p>
        </w:tc>
        <w:tc>
          <w:tcPr>
            <w:tcW w:w="681" w:type="pct"/>
            <w:vAlign w:val="center"/>
          </w:tcPr>
          <w:p w14:paraId="5829F7E5"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231</w:t>
            </w:r>
          </w:p>
        </w:tc>
        <w:tc>
          <w:tcPr>
            <w:tcW w:w="1559" w:type="pct"/>
            <w:vAlign w:val="center"/>
          </w:tcPr>
          <w:p w14:paraId="5D17FEFB"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11061.45</w:t>
            </w:r>
          </w:p>
        </w:tc>
        <w:tc>
          <w:tcPr>
            <w:tcW w:w="713" w:type="pct"/>
            <w:vAlign w:val="center"/>
          </w:tcPr>
          <w:p w14:paraId="7C9DC782"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南</w:t>
            </w:r>
          </w:p>
        </w:tc>
      </w:tr>
      <w:tr w:rsidR="00000000" w14:paraId="56949FF2" w14:textId="77777777">
        <w:trPr>
          <w:trHeight w:val="340"/>
          <w:jc w:val="center"/>
        </w:trPr>
        <w:tc>
          <w:tcPr>
            <w:tcW w:w="585" w:type="pct"/>
            <w:vMerge/>
            <w:vAlign w:val="center"/>
          </w:tcPr>
          <w:p w14:paraId="16374D6E"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p>
        </w:tc>
        <w:tc>
          <w:tcPr>
            <w:tcW w:w="1462" w:type="pct"/>
            <w:vAlign w:val="center"/>
          </w:tcPr>
          <w:p w14:paraId="62A238D8"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51.05-60.85</w:t>
            </w:r>
          </w:p>
        </w:tc>
        <w:tc>
          <w:tcPr>
            <w:tcW w:w="681" w:type="pct"/>
            <w:vAlign w:val="center"/>
          </w:tcPr>
          <w:p w14:paraId="046BA60A"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442</w:t>
            </w:r>
          </w:p>
        </w:tc>
        <w:tc>
          <w:tcPr>
            <w:tcW w:w="1559" w:type="pct"/>
            <w:vAlign w:val="center"/>
          </w:tcPr>
          <w:p w14:paraId="30CD92DE"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24982.07</w:t>
            </w:r>
          </w:p>
        </w:tc>
        <w:tc>
          <w:tcPr>
            <w:tcW w:w="713" w:type="pct"/>
            <w:vAlign w:val="center"/>
          </w:tcPr>
          <w:p w14:paraId="59882231"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西</w:t>
            </w:r>
          </w:p>
        </w:tc>
      </w:tr>
      <w:tr w:rsidR="00000000" w14:paraId="4D267F7A" w14:textId="77777777">
        <w:trPr>
          <w:trHeight w:val="340"/>
          <w:jc w:val="center"/>
        </w:trPr>
        <w:tc>
          <w:tcPr>
            <w:tcW w:w="2047" w:type="pct"/>
            <w:gridSpan w:val="2"/>
            <w:vAlign w:val="center"/>
          </w:tcPr>
          <w:p w14:paraId="1EC8E134"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小计</w:t>
            </w:r>
          </w:p>
        </w:tc>
        <w:tc>
          <w:tcPr>
            <w:tcW w:w="681" w:type="pct"/>
            <w:vAlign w:val="center"/>
          </w:tcPr>
          <w:p w14:paraId="1B745D03"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w:t>
            </w:r>
            <w:r>
              <w:rPr>
                <w:rFonts w:ascii="华文细黑" w:eastAsia="华文细黑" w:hAnsi="华文细黑" w:cs="Arial"/>
                <w:kern w:val="2"/>
                <w:sz w:val="18"/>
                <w:szCs w:val="18"/>
              </w:rPr>
              <w:t>100</w:t>
            </w:r>
          </w:p>
        </w:tc>
        <w:tc>
          <w:tcPr>
            <w:tcW w:w="1559" w:type="pct"/>
            <w:vAlign w:val="center"/>
          </w:tcPr>
          <w:p w14:paraId="5A20FCC0"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kern w:val="2"/>
                <w:sz w:val="18"/>
                <w:szCs w:val="18"/>
              </w:rPr>
              <w:t>60169.63</w:t>
            </w:r>
          </w:p>
        </w:tc>
        <w:tc>
          <w:tcPr>
            <w:tcW w:w="713" w:type="pct"/>
            <w:vAlign w:val="center"/>
          </w:tcPr>
          <w:p w14:paraId="3E8D4896"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w:t>
            </w:r>
          </w:p>
        </w:tc>
      </w:tr>
      <w:tr w:rsidR="00000000" w14:paraId="7F2AC308" w14:textId="77777777">
        <w:trPr>
          <w:trHeight w:val="340"/>
          <w:jc w:val="center"/>
        </w:trPr>
        <w:tc>
          <w:tcPr>
            <w:tcW w:w="585" w:type="pct"/>
            <w:vMerge w:val="restart"/>
            <w:vAlign w:val="center"/>
          </w:tcPr>
          <w:p w14:paraId="58F5551E"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二</w:t>
            </w:r>
            <w:r>
              <w:rPr>
                <w:rFonts w:ascii="华文细黑" w:eastAsia="华文细黑" w:hAnsi="华文细黑" w:cs="Arial"/>
                <w:kern w:val="2"/>
                <w:sz w:val="18"/>
                <w:szCs w:val="18"/>
              </w:rPr>
              <w:t>居</w:t>
            </w:r>
          </w:p>
        </w:tc>
        <w:tc>
          <w:tcPr>
            <w:tcW w:w="1462" w:type="pct"/>
            <w:vAlign w:val="center"/>
          </w:tcPr>
          <w:p w14:paraId="56CF4C05"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60.42-61.34</w:t>
            </w:r>
          </w:p>
        </w:tc>
        <w:tc>
          <w:tcPr>
            <w:tcW w:w="681" w:type="pct"/>
            <w:vAlign w:val="center"/>
          </w:tcPr>
          <w:p w14:paraId="69A439C6"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92</w:t>
            </w:r>
          </w:p>
        </w:tc>
        <w:tc>
          <w:tcPr>
            <w:tcW w:w="1559" w:type="pct"/>
            <w:vAlign w:val="center"/>
          </w:tcPr>
          <w:p w14:paraId="5C495897"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5608.43</w:t>
            </w:r>
          </w:p>
        </w:tc>
        <w:tc>
          <w:tcPr>
            <w:tcW w:w="713" w:type="pct"/>
            <w:vAlign w:val="center"/>
          </w:tcPr>
          <w:p w14:paraId="04D875C5"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东</w:t>
            </w:r>
          </w:p>
        </w:tc>
      </w:tr>
      <w:tr w:rsidR="00000000" w14:paraId="5567B85F" w14:textId="77777777">
        <w:trPr>
          <w:trHeight w:val="340"/>
          <w:jc w:val="center"/>
        </w:trPr>
        <w:tc>
          <w:tcPr>
            <w:tcW w:w="585" w:type="pct"/>
            <w:vMerge/>
            <w:vAlign w:val="center"/>
          </w:tcPr>
          <w:p w14:paraId="2688FA27"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p>
        </w:tc>
        <w:tc>
          <w:tcPr>
            <w:tcW w:w="1462" w:type="pct"/>
            <w:vAlign w:val="center"/>
          </w:tcPr>
          <w:p w14:paraId="6FF1618A"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60.42-61.34</w:t>
            </w:r>
          </w:p>
        </w:tc>
        <w:tc>
          <w:tcPr>
            <w:tcW w:w="681" w:type="pct"/>
            <w:vAlign w:val="center"/>
          </w:tcPr>
          <w:p w14:paraId="1A37CDE4"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94</w:t>
            </w:r>
          </w:p>
        </w:tc>
        <w:tc>
          <w:tcPr>
            <w:tcW w:w="1559" w:type="pct"/>
            <w:vAlign w:val="center"/>
          </w:tcPr>
          <w:p w14:paraId="69E266E3"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5729.12</w:t>
            </w:r>
          </w:p>
        </w:tc>
        <w:tc>
          <w:tcPr>
            <w:tcW w:w="713" w:type="pct"/>
            <w:vAlign w:val="center"/>
          </w:tcPr>
          <w:p w14:paraId="2D92021C"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西</w:t>
            </w:r>
          </w:p>
        </w:tc>
      </w:tr>
      <w:tr w:rsidR="00000000" w14:paraId="042EE8D0" w14:textId="77777777">
        <w:trPr>
          <w:trHeight w:val="340"/>
          <w:jc w:val="center"/>
        </w:trPr>
        <w:tc>
          <w:tcPr>
            <w:tcW w:w="2047" w:type="pct"/>
            <w:gridSpan w:val="2"/>
            <w:vAlign w:val="center"/>
          </w:tcPr>
          <w:p w14:paraId="07190A4E"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小计</w:t>
            </w:r>
          </w:p>
        </w:tc>
        <w:tc>
          <w:tcPr>
            <w:tcW w:w="681" w:type="pct"/>
            <w:vAlign w:val="center"/>
          </w:tcPr>
          <w:p w14:paraId="66ACF420"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w:t>
            </w:r>
            <w:r>
              <w:rPr>
                <w:rFonts w:ascii="华文细黑" w:eastAsia="华文细黑" w:hAnsi="华文细黑" w:cs="Arial"/>
                <w:kern w:val="2"/>
                <w:sz w:val="18"/>
                <w:szCs w:val="18"/>
              </w:rPr>
              <w:t>86</w:t>
            </w:r>
          </w:p>
        </w:tc>
        <w:tc>
          <w:tcPr>
            <w:tcW w:w="1559" w:type="pct"/>
            <w:vAlign w:val="center"/>
          </w:tcPr>
          <w:p w14:paraId="141E6CC2"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w:t>
            </w:r>
            <w:r>
              <w:rPr>
                <w:rFonts w:ascii="华文细黑" w:eastAsia="华文细黑" w:hAnsi="华文细黑" w:cs="Arial"/>
                <w:kern w:val="2"/>
                <w:sz w:val="18"/>
                <w:szCs w:val="18"/>
              </w:rPr>
              <w:t>1337.55</w:t>
            </w:r>
          </w:p>
        </w:tc>
        <w:tc>
          <w:tcPr>
            <w:tcW w:w="713" w:type="pct"/>
            <w:vAlign w:val="center"/>
          </w:tcPr>
          <w:p w14:paraId="6E3F0EFD"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w:t>
            </w:r>
          </w:p>
        </w:tc>
      </w:tr>
      <w:tr w:rsidR="00000000" w14:paraId="3D6F1F74" w14:textId="77777777">
        <w:trPr>
          <w:trHeight w:val="340"/>
          <w:jc w:val="center"/>
        </w:trPr>
        <w:tc>
          <w:tcPr>
            <w:tcW w:w="2047" w:type="pct"/>
            <w:gridSpan w:val="2"/>
            <w:vAlign w:val="center"/>
          </w:tcPr>
          <w:p w14:paraId="16A6326E"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合计</w:t>
            </w:r>
          </w:p>
        </w:tc>
        <w:tc>
          <w:tcPr>
            <w:tcW w:w="681" w:type="pct"/>
            <w:vAlign w:val="center"/>
          </w:tcPr>
          <w:p w14:paraId="00E968A7"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w:t>
            </w:r>
            <w:r>
              <w:rPr>
                <w:rFonts w:ascii="华文细黑" w:eastAsia="华文细黑" w:hAnsi="华文细黑" w:cs="Arial"/>
                <w:kern w:val="2"/>
                <w:sz w:val="18"/>
                <w:szCs w:val="18"/>
              </w:rPr>
              <w:t>487</w:t>
            </w:r>
          </w:p>
        </w:tc>
        <w:tc>
          <w:tcPr>
            <w:tcW w:w="1559" w:type="pct"/>
            <w:vAlign w:val="center"/>
          </w:tcPr>
          <w:p w14:paraId="1560751C"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8</w:t>
            </w:r>
            <w:r>
              <w:rPr>
                <w:rFonts w:ascii="华文细黑" w:eastAsia="华文细黑" w:hAnsi="华文细黑" w:cs="Arial"/>
                <w:kern w:val="2"/>
                <w:sz w:val="18"/>
                <w:szCs w:val="18"/>
              </w:rPr>
              <w:t>0734.26</w:t>
            </w:r>
          </w:p>
        </w:tc>
        <w:tc>
          <w:tcPr>
            <w:tcW w:w="713" w:type="pct"/>
            <w:vAlign w:val="center"/>
          </w:tcPr>
          <w:p w14:paraId="30796D9E"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w:t>
            </w:r>
          </w:p>
        </w:tc>
      </w:tr>
    </w:tbl>
    <w:p w14:paraId="6B166730" w14:textId="77777777" w:rsidR="00000000" w:rsidRDefault="00000000">
      <w:pPr>
        <w:wordWrap w:val="0"/>
        <w:overflowPunct w:val="0"/>
        <w:spacing w:beforeLines="100" w:before="240"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北京经济技术开发区鹿海园五里</w:t>
      </w:r>
      <w:r>
        <w:rPr>
          <w:rFonts w:ascii="Arial" w:hAnsi="Arial" w:cs="Arial" w:hint="eastAsia"/>
          <w:kern w:val="2"/>
          <w:sz w:val="21"/>
          <w:szCs w:val="21"/>
        </w:rPr>
        <w:t>1</w:t>
      </w:r>
      <w:r>
        <w:rPr>
          <w:rFonts w:ascii="Arial" w:hAnsi="Arial" w:cs="Arial"/>
          <w:kern w:val="2"/>
          <w:sz w:val="21"/>
          <w:szCs w:val="21"/>
        </w:rPr>
        <w:t>-13</w:t>
      </w:r>
      <w:r>
        <w:rPr>
          <w:rFonts w:ascii="Arial" w:hAnsi="Arial" w:cs="Arial" w:hint="eastAsia"/>
          <w:kern w:val="2"/>
          <w:sz w:val="21"/>
          <w:szCs w:val="21"/>
        </w:rPr>
        <w:t>号楼，建筑类型均为高层板楼，楼宇主体建筑结构为装配式</w:t>
      </w:r>
      <w:r>
        <w:rPr>
          <w:rFonts w:ascii="Arial" w:hAnsi="Arial" w:cs="Arial" w:hint="eastAsia"/>
          <w:kern w:val="2"/>
          <w:sz w:val="21"/>
          <w:szCs w:val="21"/>
        </w:rPr>
        <w:lastRenderedPageBreak/>
        <w:t>剪力墙（钢混），建筑层数为地上</w:t>
      </w:r>
      <w:r>
        <w:rPr>
          <w:rFonts w:ascii="Arial" w:hAnsi="Arial" w:cs="Arial"/>
          <w:kern w:val="2"/>
          <w:sz w:val="21"/>
          <w:szCs w:val="21"/>
        </w:rPr>
        <w:t>20</w:t>
      </w:r>
      <w:r>
        <w:rPr>
          <w:rFonts w:ascii="Arial" w:hAnsi="Arial" w:cs="Arial" w:hint="eastAsia"/>
          <w:kern w:val="2"/>
          <w:sz w:val="21"/>
          <w:szCs w:val="21"/>
        </w:rPr>
        <w:t>层。根据估价委托人提供的《估价委托书》及《房屋交接书》，确定本次估价范围建筑面积</w:t>
      </w:r>
      <w:r>
        <w:rPr>
          <w:rFonts w:ascii="Arial" w:hAnsi="Arial" w:cs="Arial"/>
          <w:kern w:val="2"/>
          <w:sz w:val="21"/>
          <w:szCs w:val="21"/>
        </w:rPr>
        <w:t>121829.32</w:t>
      </w:r>
      <w:r>
        <w:rPr>
          <w:rFonts w:ascii="Arial" w:hAnsi="Arial" w:cs="Arial" w:hint="eastAsia"/>
          <w:kern w:val="2"/>
          <w:sz w:val="21"/>
          <w:szCs w:val="21"/>
        </w:rPr>
        <w:t>平方米，可对外配租房屋共计</w:t>
      </w:r>
      <w:r>
        <w:rPr>
          <w:rFonts w:ascii="Arial" w:hAnsi="Arial" w:cs="Arial"/>
          <w:kern w:val="2"/>
          <w:sz w:val="21"/>
          <w:szCs w:val="21"/>
        </w:rPr>
        <w:t>1231</w:t>
      </w:r>
      <w:r>
        <w:rPr>
          <w:rFonts w:ascii="Arial" w:hAnsi="Arial" w:cs="Arial" w:hint="eastAsia"/>
          <w:kern w:val="2"/>
          <w:sz w:val="21"/>
          <w:szCs w:val="21"/>
        </w:rPr>
        <w:t>套。房源具体户型等情况详见下表：</w:t>
      </w:r>
    </w:p>
    <w:tbl>
      <w:tblPr>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7"/>
        <w:gridCol w:w="2716"/>
        <w:gridCol w:w="1265"/>
        <w:gridCol w:w="2896"/>
        <w:gridCol w:w="1325"/>
      </w:tblGrid>
      <w:tr w:rsidR="00000000" w14:paraId="276A9B01" w14:textId="77777777">
        <w:trPr>
          <w:trHeight w:val="340"/>
          <w:tblHeader/>
          <w:jc w:val="center"/>
        </w:trPr>
        <w:tc>
          <w:tcPr>
            <w:tcW w:w="585" w:type="pct"/>
            <w:vAlign w:val="center"/>
          </w:tcPr>
          <w:p w14:paraId="55818DE1"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户</w:t>
            </w:r>
            <w:r>
              <w:rPr>
                <w:rFonts w:ascii="华文细黑" w:eastAsia="华文细黑" w:hAnsi="华文细黑" w:cs="Arial"/>
                <w:kern w:val="2"/>
                <w:sz w:val="18"/>
                <w:szCs w:val="18"/>
              </w:rPr>
              <w:t>型</w:t>
            </w:r>
          </w:p>
        </w:tc>
        <w:tc>
          <w:tcPr>
            <w:tcW w:w="1462" w:type="pct"/>
            <w:vAlign w:val="center"/>
          </w:tcPr>
          <w:p w14:paraId="662CCAE0"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各套建筑面积（㎡）</w:t>
            </w:r>
          </w:p>
        </w:tc>
        <w:tc>
          <w:tcPr>
            <w:tcW w:w="681" w:type="pct"/>
            <w:vAlign w:val="center"/>
          </w:tcPr>
          <w:p w14:paraId="5F6FE0EB"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套数</w:t>
            </w:r>
          </w:p>
        </w:tc>
        <w:tc>
          <w:tcPr>
            <w:tcW w:w="1559" w:type="pct"/>
            <w:vAlign w:val="center"/>
          </w:tcPr>
          <w:p w14:paraId="621486A3"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总建筑面积（㎡）</w:t>
            </w:r>
          </w:p>
        </w:tc>
        <w:tc>
          <w:tcPr>
            <w:tcW w:w="713" w:type="pct"/>
            <w:vAlign w:val="center"/>
          </w:tcPr>
          <w:p w14:paraId="487E114D"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朝向</w:t>
            </w:r>
          </w:p>
        </w:tc>
      </w:tr>
      <w:tr w:rsidR="00000000" w14:paraId="79FA4190" w14:textId="77777777">
        <w:trPr>
          <w:trHeight w:val="340"/>
          <w:jc w:val="center"/>
        </w:trPr>
        <w:tc>
          <w:tcPr>
            <w:tcW w:w="585" w:type="pct"/>
            <w:vMerge w:val="restart"/>
            <w:vAlign w:val="center"/>
          </w:tcPr>
          <w:p w14:paraId="3FC93BA5" w14:textId="77777777" w:rsidR="00000000" w:rsidRDefault="00000000">
            <w:pPr>
              <w:overflowPunct w:val="0"/>
              <w:spacing w:line="240"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一</w:t>
            </w:r>
            <w:r>
              <w:rPr>
                <w:rFonts w:ascii="华文细黑" w:eastAsia="华文细黑" w:hAnsi="华文细黑" w:cs="Arial"/>
                <w:kern w:val="2"/>
                <w:sz w:val="18"/>
                <w:szCs w:val="18"/>
              </w:rPr>
              <w:t>居</w:t>
            </w:r>
          </w:p>
        </w:tc>
        <w:tc>
          <w:tcPr>
            <w:tcW w:w="1462" w:type="pct"/>
            <w:vAlign w:val="center"/>
          </w:tcPr>
          <w:p w14:paraId="26021152" w14:textId="77777777" w:rsidR="00000000" w:rsidRDefault="00000000">
            <w:pPr>
              <w:widowControl/>
              <w:adjustRightInd/>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51.15-71.3</w:t>
            </w:r>
          </w:p>
        </w:tc>
        <w:tc>
          <w:tcPr>
            <w:tcW w:w="681" w:type="pct"/>
            <w:vAlign w:val="center"/>
          </w:tcPr>
          <w:p w14:paraId="385F2B3D" w14:textId="77777777" w:rsidR="00000000" w:rsidRDefault="00000000">
            <w:pPr>
              <w:widowControl/>
              <w:adjustRightInd/>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110</w:t>
            </w:r>
          </w:p>
        </w:tc>
        <w:tc>
          <w:tcPr>
            <w:tcW w:w="1559" w:type="pct"/>
            <w:vAlign w:val="center"/>
          </w:tcPr>
          <w:p w14:paraId="360AA2B2" w14:textId="77777777" w:rsidR="00000000" w:rsidRDefault="00000000">
            <w:pPr>
              <w:widowControl/>
              <w:adjustRightInd/>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7338.79</w:t>
            </w:r>
          </w:p>
        </w:tc>
        <w:tc>
          <w:tcPr>
            <w:tcW w:w="713" w:type="pct"/>
          </w:tcPr>
          <w:p w14:paraId="511050D8" w14:textId="77777777" w:rsidR="00000000" w:rsidRDefault="00000000">
            <w:pPr>
              <w:overflowPunct w:val="0"/>
              <w:spacing w:line="240"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东</w:t>
            </w:r>
          </w:p>
        </w:tc>
      </w:tr>
      <w:tr w:rsidR="00000000" w14:paraId="2FC3BA10" w14:textId="77777777">
        <w:trPr>
          <w:trHeight w:val="340"/>
          <w:jc w:val="center"/>
        </w:trPr>
        <w:tc>
          <w:tcPr>
            <w:tcW w:w="585" w:type="pct"/>
            <w:vMerge/>
            <w:vAlign w:val="center"/>
          </w:tcPr>
          <w:p w14:paraId="10B21C03" w14:textId="77777777" w:rsidR="00000000" w:rsidRDefault="00000000">
            <w:pPr>
              <w:overflowPunct w:val="0"/>
              <w:spacing w:line="240" w:lineRule="auto"/>
              <w:jc w:val="center"/>
              <w:textAlignment w:val="auto"/>
              <w:rPr>
                <w:rFonts w:ascii="华文细黑" w:eastAsia="华文细黑" w:hAnsi="华文细黑" w:cs="Arial" w:hint="eastAsia"/>
                <w:kern w:val="2"/>
                <w:sz w:val="18"/>
                <w:szCs w:val="18"/>
              </w:rPr>
            </w:pPr>
          </w:p>
        </w:tc>
        <w:tc>
          <w:tcPr>
            <w:tcW w:w="1462" w:type="pct"/>
            <w:vAlign w:val="center"/>
          </w:tcPr>
          <w:p w14:paraId="1BE96BBE"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70-71.05</w:t>
            </w:r>
          </w:p>
        </w:tc>
        <w:tc>
          <w:tcPr>
            <w:tcW w:w="681" w:type="pct"/>
            <w:vAlign w:val="center"/>
          </w:tcPr>
          <w:p w14:paraId="64D72AE4"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114</w:t>
            </w:r>
          </w:p>
        </w:tc>
        <w:tc>
          <w:tcPr>
            <w:tcW w:w="1559" w:type="pct"/>
            <w:vAlign w:val="center"/>
          </w:tcPr>
          <w:p w14:paraId="2D9568FC"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8063.76</w:t>
            </w:r>
          </w:p>
        </w:tc>
        <w:tc>
          <w:tcPr>
            <w:tcW w:w="713" w:type="pct"/>
          </w:tcPr>
          <w:p w14:paraId="57E96490" w14:textId="77777777" w:rsidR="00000000" w:rsidRDefault="00000000">
            <w:pPr>
              <w:overflowPunct w:val="0"/>
              <w:spacing w:line="240"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南</w:t>
            </w:r>
          </w:p>
        </w:tc>
      </w:tr>
      <w:tr w:rsidR="00000000" w14:paraId="15EA03B3" w14:textId="77777777">
        <w:trPr>
          <w:trHeight w:val="340"/>
          <w:jc w:val="center"/>
        </w:trPr>
        <w:tc>
          <w:tcPr>
            <w:tcW w:w="585" w:type="pct"/>
            <w:vMerge/>
            <w:vAlign w:val="center"/>
          </w:tcPr>
          <w:p w14:paraId="02C5B1D0" w14:textId="77777777" w:rsidR="00000000" w:rsidRDefault="00000000">
            <w:pPr>
              <w:overflowPunct w:val="0"/>
              <w:spacing w:line="240" w:lineRule="auto"/>
              <w:jc w:val="center"/>
              <w:textAlignment w:val="auto"/>
              <w:rPr>
                <w:rFonts w:ascii="华文细黑" w:eastAsia="华文细黑" w:hAnsi="华文细黑" w:cs="Arial" w:hint="eastAsia"/>
                <w:kern w:val="2"/>
                <w:sz w:val="18"/>
                <w:szCs w:val="18"/>
              </w:rPr>
            </w:pPr>
          </w:p>
        </w:tc>
        <w:tc>
          <w:tcPr>
            <w:tcW w:w="1462" w:type="pct"/>
            <w:vAlign w:val="center"/>
          </w:tcPr>
          <w:p w14:paraId="75431C4D"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51.14-71.3</w:t>
            </w:r>
          </w:p>
        </w:tc>
        <w:tc>
          <w:tcPr>
            <w:tcW w:w="681" w:type="pct"/>
            <w:vAlign w:val="center"/>
          </w:tcPr>
          <w:p w14:paraId="2AA1A878"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110</w:t>
            </w:r>
          </w:p>
        </w:tc>
        <w:tc>
          <w:tcPr>
            <w:tcW w:w="1559" w:type="pct"/>
            <w:vAlign w:val="center"/>
          </w:tcPr>
          <w:p w14:paraId="16C8BCC4"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7307.39</w:t>
            </w:r>
          </w:p>
        </w:tc>
        <w:tc>
          <w:tcPr>
            <w:tcW w:w="713" w:type="pct"/>
          </w:tcPr>
          <w:p w14:paraId="2DFE7562" w14:textId="77777777" w:rsidR="00000000" w:rsidRDefault="00000000">
            <w:pPr>
              <w:overflowPunct w:val="0"/>
              <w:spacing w:line="240"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西</w:t>
            </w:r>
          </w:p>
        </w:tc>
      </w:tr>
      <w:tr w:rsidR="00000000" w14:paraId="5C8D1609" w14:textId="77777777">
        <w:trPr>
          <w:trHeight w:val="340"/>
          <w:jc w:val="center"/>
        </w:trPr>
        <w:tc>
          <w:tcPr>
            <w:tcW w:w="2047" w:type="pct"/>
            <w:gridSpan w:val="2"/>
            <w:vAlign w:val="center"/>
          </w:tcPr>
          <w:p w14:paraId="4D9CAE5D"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小计</w:t>
            </w:r>
          </w:p>
        </w:tc>
        <w:tc>
          <w:tcPr>
            <w:tcW w:w="681" w:type="pct"/>
            <w:vAlign w:val="center"/>
          </w:tcPr>
          <w:p w14:paraId="0ED9F271"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3</w:t>
            </w:r>
            <w:r>
              <w:rPr>
                <w:rFonts w:ascii="华文细黑" w:eastAsia="华文细黑" w:hAnsi="华文细黑" w:cs="Arial"/>
                <w:kern w:val="2"/>
                <w:sz w:val="18"/>
                <w:szCs w:val="18"/>
              </w:rPr>
              <w:t>34</w:t>
            </w:r>
          </w:p>
        </w:tc>
        <w:tc>
          <w:tcPr>
            <w:tcW w:w="1559" w:type="pct"/>
            <w:vAlign w:val="center"/>
          </w:tcPr>
          <w:p w14:paraId="5A36858F"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r>
              <w:rPr>
                <w:rFonts w:ascii="华文细黑" w:eastAsia="华文细黑" w:hAnsi="华文细黑" w:cs="Arial"/>
                <w:kern w:val="2"/>
                <w:sz w:val="18"/>
                <w:szCs w:val="18"/>
              </w:rPr>
              <w:t>2709.94</w:t>
            </w:r>
          </w:p>
        </w:tc>
        <w:tc>
          <w:tcPr>
            <w:tcW w:w="713" w:type="pct"/>
          </w:tcPr>
          <w:p w14:paraId="78AE94BD" w14:textId="77777777" w:rsidR="00000000" w:rsidRDefault="00000000">
            <w:pPr>
              <w:overflowPunct w:val="0"/>
              <w:spacing w:line="240"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w:t>
            </w:r>
          </w:p>
        </w:tc>
      </w:tr>
      <w:tr w:rsidR="00000000" w14:paraId="0B1A9222" w14:textId="77777777">
        <w:trPr>
          <w:trHeight w:val="340"/>
          <w:jc w:val="center"/>
        </w:trPr>
        <w:tc>
          <w:tcPr>
            <w:tcW w:w="585" w:type="pct"/>
            <w:vMerge w:val="restart"/>
            <w:vAlign w:val="center"/>
          </w:tcPr>
          <w:p w14:paraId="2B934F62"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二</w:t>
            </w:r>
            <w:r>
              <w:rPr>
                <w:rFonts w:ascii="华文细黑" w:eastAsia="华文细黑" w:hAnsi="华文细黑" w:cs="Arial"/>
                <w:kern w:val="2"/>
                <w:sz w:val="18"/>
                <w:szCs w:val="18"/>
              </w:rPr>
              <w:t>居</w:t>
            </w:r>
          </w:p>
        </w:tc>
        <w:tc>
          <w:tcPr>
            <w:tcW w:w="1462" w:type="pct"/>
            <w:vAlign w:val="center"/>
          </w:tcPr>
          <w:p w14:paraId="4D591C98"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98.27-98.36</w:t>
            </w:r>
          </w:p>
        </w:tc>
        <w:tc>
          <w:tcPr>
            <w:tcW w:w="681" w:type="pct"/>
            <w:vAlign w:val="center"/>
          </w:tcPr>
          <w:p w14:paraId="6EAAE3AF"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80</w:t>
            </w:r>
          </w:p>
        </w:tc>
        <w:tc>
          <w:tcPr>
            <w:tcW w:w="1559" w:type="pct"/>
            <w:vAlign w:val="center"/>
          </w:tcPr>
          <w:p w14:paraId="2CEDA311"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7867.72</w:t>
            </w:r>
          </w:p>
        </w:tc>
        <w:tc>
          <w:tcPr>
            <w:tcW w:w="713" w:type="pct"/>
          </w:tcPr>
          <w:p w14:paraId="33958BA2" w14:textId="77777777" w:rsidR="00000000" w:rsidRDefault="00000000">
            <w:pPr>
              <w:overflowPunct w:val="0"/>
              <w:spacing w:line="240"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北</w:t>
            </w:r>
          </w:p>
        </w:tc>
      </w:tr>
      <w:tr w:rsidR="00000000" w14:paraId="607B5450" w14:textId="77777777">
        <w:trPr>
          <w:trHeight w:val="340"/>
          <w:jc w:val="center"/>
        </w:trPr>
        <w:tc>
          <w:tcPr>
            <w:tcW w:w="585" w:type="pct"/>
            <w:vMerge/>
            <w:vAlign w:val="center"/>
          </w:tcPr>
          <w:p w14:paraId="1564D262"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p>
        </w:tc>
        <w:tc>
          <w:tcPr>
            <w:tcW w:w="1462" w:type="pct"/>
            <w:vAlign w:val="center"/>
          </w:tcPr>
          <w:p w14:paraId="57E7BDA3"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94.39-110.57</w:t>
            </w:r>
          </w:p>
        </w:tc>
        <w:tc>
          <w:tcPr>
            <w:tcW w:w="681" w:type="pct"/>
            <w:vAlign w:val="center"/>
          </w:tcPr>
          <w:p w14:paraId="7062ED5B"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501</w:t>
            </w:r>
          </w:p>
        </w:tc>
        <w:tc>
          <w:tcPr>
            <w:tcW w:w="1559" w:type="pct"/>
            <w:vAlign w:val="center"/>
          </w:tcPr>
          <w:p w14:paraId="1E389F6A"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52828.51</w:t>
            </w:r>
          </w:p>
        </w:tc>
        <w:tc>
          <w:tcPr>
            <w:tcW w:w="713" w:type="pct"/>
          </w:tcPr>
          <w:p w14:paraId="7D4879F3" w14:textId="77777777" w:rsidR="00000000" w:rsidRDefault="00000000">
            <w:pPr>
              <w:overflowPunct w:val="0"/>
              <w:spacing w:line="240"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南北</w:t>
            </w:r>
          </w:p>
        </w:tc>
      </w:tr>
      <w:tr w:rsidR="00000000" w14:paraId="68ABB176" w14:textId="77777777">
        <w:trPr>
          <w:trHeight w:val="340"/>
          <w:jc w:val="center"/>
        </w:trPr>
        <w:tc>
          <w:tcPr>
            <w:tcW w:w="585" w:type="pct"/>
            <w:vMerge/>
            <w:vAlign w:val="center"/>
          </w:tcPr>
          <w:p w14:paraId="765E76C6"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p>
        </w:tc>
        <w:tc>
          <w:tcPr>
            <w:tcW w:w="1462" w:type="pct"/>
            <w:vAlign w:val="center"/>
          </w:tcPr>
          <w:p w14:paraId="20FF717C"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91.83-92.52</w:t>
            </w:r>
          </w:p>
        </w:tc>
        <w:tc>
          <w:tcPr>
            <w:tcW w:w="681" w:type="pct"/>
            <w:vAlign w:val="center"/>
          </w:tcPr>
          <w:p w14:paraId="02B156BA"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75</w:t>
            </w:r>
          </w:p>
        </w:tc>
        <w:tc>
          <w:tcPr>
            <w:tcW w:w="1559" w:type="pct"/>
            <w:vAlign w:val="center"/>
          </w:tcPr>
          <w:p w14:paraId="6858C548"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6922.55</w:t>
            </w:r>
          </w:p>
        </w:tc>
        <w:tc>
          <w:tcPr>
            <w:tcW w:w="713" w:type="pct"/>
          </w:tcPr>
          <w:p w14:paraId="30953F57" w14:textId="77777777" w:rsidR="00000000" w:rsidRDefault="00000000">
            <w:pPr>
              <w:overflowPunct w:val="0"/>
              <w:spacing w:line="240"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南</w:t>
            </w:r>
          </w:p>
        </w:tc>
      </w:tr>
      <w:tr w:rsidR="00000000" w14:paraId="0DC14DBF" w14:textId="77777777">
        <w:trPr>
          <w:trHeight w:val="340"/>
          <w:jc w:val="center"/>
        </w:trPr>
        <w:tc>
          <w:tcPr>
            <w:tcW w:w="2047" w:type="pct"/>
            <w:gridSpan w:val="2"/>
            <w:vAlign w:val="center"/>
          </w:tcPr>
          <w:p w14:paraId="1DC3F94D"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小计</w:t>
            </w:r>
          </w:p>
        </w:tc>
        <w:tc>
          <w:tcPr>
            <w:tcW w:w="681" w:type="pct"/>
            <w:vAlign w:val="center"/>
          </w:tcPr>
          <w:p w14:paraId="023FB500"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6</w:t>
            </w:r>
            <w:r>
              <w:rPr>
                <w:rFonts w:ascii="华文细黑" w:eastAsia="华文细黑" w:hAnsi="华文细黑" w:cs="Arial"/>
                <w:kern w:val="2"/>
                <w:sz w:val="18"/>
                <w:szCs w:val="18"/>
              </w:rPr>
              <w:t>56</w:t>
            </w:r>
          </w:p>
        </w:tc>
        <w:tc>
          <w:tcPr>
            <w:tcW w:w="1559" w:type="pct"/>
            <w:vAlign w:val="center"/>
          </w:tcPr>
          <w:p w14:paraId="610F730D"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6</w:t>
            </w:r>
            <w:r>
              <w:rPr>
                <w:rFonts w:ascii="华文细黑" w:eastAsia="华文细黑" w:hAnsi="华文细黑" w:cs="Arial"/>
                <w:kern w:val="2"/>
                <w:sz w:val="18"/>
                <w:szCs w:val="18"/>
              </w:rPr>
              <w:t>7618.78</w:t>
            </w:r>
          </w:p>
        </w:tc>
        <w:tc>
          <w:tcPr>
            <w:tcW w:w="713" w:type="pct"/>
          </w:tcPr>
          <w:p w14:paraId="28BDA074" w14:textId="77777777" w:rsidR="00000000" w:rsidRDefault="00000000">
            <w:pPr>
              <w:overflowPunct w:val="0"/>
              <w:spacing w:line="240"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w:t>
            </w:r>
          </w:p>
        </w:tc>
      </w:tr>
      <w:tr w:rsidR="00000000" w14:paraId="1271566A" w14:textId="77777777">
        <w:trPr>
          <w:trHeight w:val="340"/>
          <w:jc w:val="center"/>
        </w:trPr>
        <w:tc>
          <w:tcPr>
            <w:tcW w:w="585" w:type="pct"/>
            <w:vAlign w:val="center"/>
          </w:tcPr>
          <w:p w14:paraId="4BD0566D"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三</w:t>
            </w:r>
            <w:r>
              <w:rPr>
                <w:rFonts w:ascii="华文细黑" w:eastAsia="华文细黑" w:hAnsi="华文细黑" w:cs="Arial"/>
                <w:kern w:val="2"/>
                <w:sz w:val="18"/>
                <w:szCs w:val="18"/>
              </w:rPr>
              <w:t>居</w:t>
            </w:r>
          </w:p>
        </w:tc>
        <w:tc>
          <w:tcPr>
            <w:tcW w:w="1462" w:type="pct"/>
            <w:vAlign w:val="center"/>
          </w:tcPr>
          <w:p w14:paraId="12907CBA"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123.14-131.57</w:t>
            </w:r>
          </w:p>
        </w:tc>
        <w:tc>
          <w:tcPr>
            <w:tcW w:w="681" w:type="pct"/>
            <w:vAlign w:val="center"/>
          </w:tcPr>
          <w:p w14:paraId="4C0D98FA"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241</w:t>
            </w:r>
          </w:p>
        </w:tc>
        <w:tc>
          <w:tcPr>
            <w:tcW w:w="1559" w:type="pct"/>
            <w:vAlign w:val="center"/>
          </w:tcPr>
          <w:p w14:paraId="40B28B82"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31500.6</w:t>
            </w:r>
          </w:p>
        </w:tc>
        <w:tc>
          <w:tcPr>
            <w:tcW w:w="713" w:type="pct"/>
          </w:tcPr>
          <w:p w14:paraId="1C9EC828"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南北</w:t>
            </w:r>
          </w:p>
        </w:tc>
      </w:tr>
      <w:tr w:rsidR="00000000" w14:paraId="4A953559" w14:textId="77777777">
        <w:trPr>
          <w:trHeight w:val="340"/>
          <w:jc w:val="center"/>
        </w:trPr>
        <w:tc>
          <w:tcPr>
            <w:tcW w:w="2047" w:type="pct"/>
            <w:gridSpan w:val="2"/>
            <w:vAlign w:val="center"/>
          </w:tcPr>
          <w:p w14:paraId="210CD69C" w14:textId="77777777" w:rsidR="00000000" w:rsidRDefault="00000000">
            <w:pPr>
              <w:overflowPunct w:val="0"/>
              <w:spacing w:line="240"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合计</w:t>
            </w:r>
          </w:p>
        </w:tc>
        <w:tc>
          <w:tcPr>
            <w:tcW w:w="681" w:type="pct"/>
            <w:vAlign w:val="center"/>
          </w:tcPr>
          <w:p w14:paraId="0491D7B2" w14:textId="77777777" w:rsidR="00000000" w:rsidRDefault="00000000">
            <w:pPr>
              <w:overflowPunct w:val="0"/>
              <w:spacing w:line="240"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kern w:val="2"/>
                <w:sz w:val="18"/>
                <w:szCs w:val="18"/>
              </w:rPr>
              <w:t>1231</w:t>
            </w:r>
          </w:p>
        </w:tc>
        <w:tc>
          <w:tcPr>
            <w:tcW w:w="1559" w:type="pct"/>
            <w:vAlign w:val="center"/>
          </w:tcPr>
          <w:p w14:paraId="6A0C83E7" w14:textId="77777777" w:rsidR="00000000" w:rsidRDefault="00000000">
            <w:pPr>
              <w:overflowPunct w:val="0"/>
              <w:spacing w:line="240"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kern w:val="2"/>
                <w:sz w:val="18"/>
                <w:szCs w:val="18"/>
              </w:rPr>
              <w:t>121829.32</w:t>
            </w:r>
          </w:p>
        </w:tc>
        <w:tc>
          <w:tcPr>
            <w:tcW w:w="713" w:type="pct"/>
            <w:vAlign w:val="center"/>
          </w:tcPr>
          <w:p w14:paraId="7D2D369E" w14:textId="77777777" w:rsidR="00000000" w:rsidRDefault="00000000">
            <w:pPr>
              <w:overflowPunct w:val="0"/>
              <w:spacing w:line="240"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w:t>
            </w:r>
          </w:p>
        </w:tc>
      </w:tr>
    </w:tbl>
    <w:p w14:paraId="592C6B2D" w14:textId="77777777" w:rsidR="00000000" w:rsidRDefault="00000000">
      <w:pPr>
        <w:wordWrap w:val="0"/>
        <w:overflowPunct w:val="0"/>
        <w:spacing w:beforeLines="100" w:before="240" w:line="480" w:lineRule="auto"/>
        <w:ind w:firstLineChars="200" w:firstLine="420"/>
        <w:jc w:val="both"/>
        <w:textAlignment w:val="auto"/>
        <w:rPr>
          <w:rFonts w:ascii="Arial" w:hAnsi="Arial" w:cs="Arial" w:hint="eastAsia"/>
          <w:sz w:val="21"/>
          <w:szCs w:val="21"/>
        </w:rPr>
      </w:pPr>
      <w:r>
        <w:rPr>
          <w:rFonts w:ascii="Arial" w:hAnsi="Arial" w:cs="Arial" w:hint="eastAsia"/>
          <w:sz w:val="21"/>
          <w:szCs w:val="21"/>
        </w:rPr>
        <w:t>2.</w:t>
      </w:r>
      <w:r>
        <w:rPr>
          <w:rFonts w:ascii="Arial" w:hAnsi="Arial" w:cs="Arial" w:hint="eastAsia"/>
          <w:sz w:val="21"/>
          <w:szCs w:val="21"/>
        </w:rPr>
        <w:t>建筑结构：估价对象所属楼宇建筑结构均为</w:t>
      </w:r>
      <w:r>
        <w:rPr>
          <w:rFonts w:ascii="Arial" w:hAnsi="Arial" w:cs="Arial" w:hint="eastAsia"/>
          <w:kern w:val="2"/>
          <w:sz w:val="21"/>
          <w:szCs w:val="21"/>
        </w:rPr>
        <w:t>装配式剪力墙（钢混）</w:t>
      </w:r>
      <w:r>
        <w:rPr>
          <w:rFonts w:ascii="Arial" w:hAnsi="Arial" w:cs="Arial" w:hint="eastAsia"/>
          <w:sz w:val="21"/>
          <w:szCs w:val="21"/>
        </w:rPr>
        <w:t>结构。</w:t>
      </w:r>
      <w:bookmarkStart w:id="21" w:name="OLE_LINK2"/>
      <w:bookmarkStart w:id="22" w:name="OLE_LINK3"/>
    </w:p>
    <w:p w14:paraId="18188101" w14:textId="77777777" w:rsidR="00000000" w:rsidRDefault="00000000">
      <w:pPr>
        <w:wordWrap w:val="0"/>
        <w:overflowPunct w:val="0"/>
        <w:spacing w:line="480" w:lineRule="auto"/>
        <w:ind w:firstLineChars="200" w:firstLine="420"/>
        <w:jc w:val="both"/>
        <w:textAlignment w:val="auto"/>
        <w:rPr>
          <w:rFonts w:ascii="Arial" w:hAnsi="Arial" w:cs="Arial" w:hint="eastAsia"/>
          <w:sz w:val="21"/>
          <w:szCs w:val="21"/>
        </w:rPr>
      </w:pPr>
      <w:r>
        <w:rPr>
          <w:rFonts w:ascii="Arial" w:hAnsi="Arial" w:cs="Arial" w:hint="eastAsia"/>
          <w:sz w:val="21"/>
          <w:szCs w:val="21"/>
        </w:rPr>
        <w:t>3.</w:t>
      </w:r>
      <w:r>
        <w:rPr>
          <w:rFonts w:ascii="Arial" w:hAnsi="Arial" w:cs="Arial" w:hint="eastAsia"/>
          <w:sz w:val="21"/>
          <w:szCs w:val="21"/>
        </w:rPr>
        <w:t>建筑外观：</w:t>
      </w:r>
      <w:r>
        <w:rPr>
          <w:rFonts w:ascii="Arial" w:hAnsi="Arial" w:cs="Arial" w:hint="eastAsia"/>
          <w:kern w:val="2"/>
          <w:sz w:val="21"/>
          <w:szCs w:val="21"/>
        </w:rPr>
        <w:t>X13</w:t>
      </w:r>
      <w:r>
        <w:rPr>
          <w:rFonts w:ascii="Arial" w:hAnsi="Arial" w:cs="Arial" w:hint="eastAsia"/>
          <w:kern w:val="2"/>
          <w:sz w:val="21"/>
          <w:szCs w:val="21"/>
        </w:rPr>
        <w:t>海棠苑楼型</w:t>
      </w:r>
      <w:r>
        <w:rPr>
          <w:rFonts w:ascii="Arial" w:hAnsi="Arial" w:cs="Arial" w:hint="eastAsia"/>
          <w:sz w:val="21"/>
          <w:szCs w:val="21"/>
        </w:rPr>
        <w:t>为板塔结合，</w:t>
      </w:r>
      <w:r>
        <w:rPr>
          <w:rFonts w:ascii="Arial" w:hAnsi="Arial" w:cs="Arial" w:hint="eastAsia"/>
          <w:kern w:val="2"/>
          <w:sz w:val="21"/>
          <w:szCs w:val="21"/>
        </w:rPr>
        <w:t>X38</w:t>
      </w:r>
      <w:r>
        <w:rPr>
          <w:rFonts w:ascii="Arial" w:hAnsi="Arial" w:cs="Arial" w:hint="eastAsia"/>
          <w:kern w:val="2"/>
          <w:sz w:val="21"/>
          <w:szCs w:val="21"/>
        </w:rPr>
        <w:t>鹿海园五里楼型</w:t>
      </w:r>
      <w:r>
        <w:rPr>
          <w:rFonts w:ascii="Arial" w:hAnsi="Arial" w:cs="Arial" w:hint="eastAsia"/>
          <w:sz w:val="21"/>
          <w:szCs w:val="21"/>
        </w:rPr>
        <w:t>为高层板楼。</w:t>
      </w:r>
    </w:p>
    <w:p w14:paraId="7F19CD2A" w14:textId="77777777" w:rsidR="00000000" w:rsidRDefault="00000000">
      <w:pPr>
        <w:wordWrap w:val="0"/>
        <w:overflowPunct w:val="0"/>
        <w:spacing w:line="480" w:lineRule="auto"/>
        <w:ind w:firstLineChars="200" w:firstLine="420"/>
        <w:jc w:val="both"/>
        <w:textAlignment w:val="auto"/>
        <w:rPr>
          <w:rFonts w:ascii="Arial" w:hAnsi="Arial" w:cs="Arial" w:hint="eastAsia"/>
          <w:sz w:val="21"/>
          <w:szCs w:val="21"/>
        </w:rPr>
      </w:pPr>
      <w:r>
        <w:rPr>
          <w:rFonts w:ascii="Arial" w:hAnsi="Arial" w:cs="Arial" w:hint="eastAsia"/>
          <w:sz w:val="21"/>
          <w:szCs w:val="21"/>
        </w:rPr>
        <w:t>4.</w:t>
      </w:r>
      <w:r>
        <w:rPr>
          <w:rFonts w:ascii="Arial" w:hAnsi="Arial" w:cs="Arial" w:hint="eastAsia"/>
          <w:sz w:val="21"/>
          <w:szCs w:val="21"/>
        </w:rPr>
        <w:t>设施设备：估价对象所在项目均配套设施完备，给排水、电力、电讯、暖通等齐全；防火栓、安防系统等设备齐全。部分户型配备家具家电。</w:t>
      </w:r>
    </w:p>
    <w:p w14:paraId="1BE0C13E" w14:textId="77777777" w:rsidR="00000000" w:rsidRDefault="00000000">
      <w:pPr>
        <w:wordWrap w:val="0"/>
        <w:overflowPunct w:val="0"/>
        <w:spacing w:line="480" w:lineRule="auto"/>
        <w:ind w:firstLineChars="200" w:firstLine="420"/>
        <w:jc w:val="both"/>
        <w:textAlignment w:val="auto"/>
        <w:rPr>
          <w:rFonts w:ascii="Arial" w:hAnsi="Arial" w:cs="Arial" w:hint="eastAsia"/>
          <w:sz w:val="21"/>
          <w:szCs w:val="21"/>
        </w:rPr>
      </w:pPr>
      <w:r>
        <w:rPr>
          <w:rFonts w:ascii="Arial" w:hAnsi="Arial" w:cs="Arial" w:hint="eastAsia"/>
          <w:sz w:val="21"/>
          <w:szCs w:val="21"/>
        </w:rPr>
        <w:t>5.</w:t>
      </w:r>
      <w:r>
        <w:rPr>
          <w:rFonts w:ascii="Arial" w:hAnsi="Arial" w:cs="Arial" w:hint="eastAsia"/>
          <w:sz w:val="21"/>
          <w:szCs w:val="21"/>
        </w:rPr>
        <w:t>装饰装修：根据估价委托人介绍及估价人员实地查勘，估价对象均为普通装修，外立面喷涂料，公共部分首层地面贴砖，顶棚、墙面刷涂料。室内地面铺设木地板，墙面刷涂料，顶棚刷涂料；厨房地面铺设地砖，墙面为墙砖或</w:t>
      </w:r>
      <w:r>
        <w:rPr>
          <w:rFonts w:ascii="Arial" w:hAnsi="Arial" w:cs="Arial" w:hint="eastAsia"/>
          <w:sz w:val="21"/>
          <w:szCs w:val="21"/>
        </w:rPr>
        <w:t>PVC</w:t>
      </w:r>
      <w:r>
        <w:rPr>
          <w:rFonts w:ascii="Arial" w:hAnsi="Arial" w:cs="Arial" w:hint="eastAsia"/>
          <w:sz w:val="21"/>
          <w:szCs w:val="21"/>
        </w:rPr>
        <w:t>，顶棚为铝扣板；卫生间地面铺设地砖，墙面为墙砖或</w:t>
      </w:r>
      <w:r>
        <w:rPr>
          <w:rFonts w:ascii="Arial" w:hAnsi="Arial" w:cs="Arial" w:hint="eastAsia"/>
          <w:sz w:val="21"/>
          <w:szCs w:val="21"/>
        </w:rPr>
        <w:t>PVC</w:t>
      </w:r>
      <w:r>
        <w:rPr>
          <w:rFonts w:ascii="Arial" w:hAnsi="Arial" w:cs="Arial" w:hint="eastAsia"/>
          <w:sz w:val="21"/>
          <w:szCs w:val="21"/>
        </w:rPr>
        <w:t>，顶棚为铝扣板。</w:t>
      </w:r>
    </w:p>
    <w:p w14:paraId="18621A1A" w14:textId="77777777" w:rsidR="00000000" w:rsidRDefault="00000000">
      <w:pPr>
        <w:wordWrap w:val="0"/>
        <w:overflowPunct w:val="0"/>
        <w:spacing w:line="480" w:lineRule="auto"/>
        <w:ind w:firstLineChars="200" w:firstLine="420"/>
        <w:jc w:val="both"/>
        <w:textAlignment w:val="auto"/>
        <w:rPr>
          <w:rFonts w:ascii="Arial" w:hAnsi="Arial" w:cs="Arial" w:hint="eastAsia"/>
          <w:sz w:val="21"/>
          <w:szCs w:val="21"/>
        </w:rPr>
      </w:pPr>
      <w:r>
        <w:rPr>
          <w:rFonts w:ascii="Arial" w:hAnsi="Arial" w:cs="Arial" w:hint="eastAsia"/>
          <w:sz w:val="21"/>
          <w:szCs w:val="21"/>
        </w:rPr>
        <w:t>6.</w:t>
      </w:r>
      <w:r>
        <w:rPr>
          <w:rFonts w:ascii="Arial" w:hAnsi="Arial" w:cs="Arial" w:hint="eastAsia"/>
          <w:sz w:val="21"/>
          <w:szCs w:val="21"/>
        </w:rPr>
        <w:t>新旧程度：截至价值时点，估价对象观察成新度较高，建成年代较近，综合成新度较高。</w:t>
      </w:r>
    </w:p>
    <w:p w14:paraId="0690223A" w14:textId="77777777" w:rsidR="00000000" w:rsidRDefault="00000000">
      <w:pPr>
        <w:wordWrap w:val="0"/>
        <w:overflowPunct w:val="0"/>
        <w:spacing w:line="480" w:lineRule="auto"/>
        <w:ind w:firstLineChars="200" w:firstLine="420"/>
        <w:jc w:val="both"/>
        <w:textAlignment w:val="auto"/>
        <w:rPr>
          <w:rFonts w:ascii="Arial" w:hAnsi="Arial" w:cs="Arial" w:hint="eastAsia"/>
          <w:sz w:val="21"/>
          <w:szCs w:val="21"/>
        </w:rPr>
      </w:pPr>
      <w:r>
        <w:rPr>
          <w:rFonts w:ascii="Arial" w:hAnsi="Arial" w:cs="Arial" w:hint="eastAsia"/>
          <w:sz w:val="21"/>
          <w:szCs w:val="21"/>
        </w:rPr>
        <w:t>7.</w:t>
      </w:r>
      <w:r>
        <w:rPr>
          <w:rFonts w:ascii="Arial" w:hAnsi="Arial" w:cs="Arial" w:hint="eastAsia"/>
          <w:sz w:val="21"/>
          <w:szCs w:val="21"/>
        </w:rPr>
        <w:t>户型设计：</w:t>
      </w:r>
      <w:r>
        <w:rPr>
          <w:rFonts w:ascii="Arial" w:hAnsi="Arial" w:cs="Arial" w:hint="eastAsia"/>
          <w:sz w:val="21"/>
          <w:szCs w:val="21"/>
        </w:rPr>
        <w:t>X13</w:t>
      </w:r>
      <w:r>
        <w:rPr>
          <w:rFonts w:ascii="Arial" w:hAnsi="Arial" w:cs="Arial" w:hint="eastAsia"/>
          <w:sz w:val="21"/>
          <w:szCs w:val="21"/>
        </w:rPr>
        <w:t>海棠苑共</w:t>
      </w:r>
      <w:r>
        <w:rPr>
          <w:rFonts w:ascii="Arial" w:hAnsi="Arial" w:cs="Arial"/>
          <w:sz w:val="21"/>
          <w:szCs w:val="21"/>
        </w:rPr>
        <w:t>1487</w:t>
      </w:r>
      <w:r>
        <w:rPr>
          <w:rFonts w:ascii="Arial" w:hAnsi="Arial" w:cs="Arial" w:hint="eastAsia"/>
          <w:sz w:val="21"/>
          <w:szCs w:val="21"/>
        </w:rPr>
        <w:t>套，有三种户型，分别为开间、一居室、二居室。其中，开间共</w:t>
      </w:r>
      <w:r>
        <w:rPr>
          <w:rFonts w:ascii="Arial" w:hAnsi="Arial" w:cs="Arial" w:hint="eastAsia"/>
          <w:sz w:val="21"/>
          <w:szCs w:val="21"/>
        </w:rPr>
        <w:t>201</w:t>
      </w:r>
      <w:r>
        <w:rPr>
          <w:rFonts w:ascii="Arial" w:hAnsi="Arial" w:cs="Arial" w:hint="eastAsia"/>
          <w:sz w:val="21"/>
          <w:szCs w:val="21"/>
        </w:rPr>
        <w:t>套，面积控制在</w:t>
      </w:r>
      <w:r>
        <w:rPr>
          <w:rFonts w:ascii="Arial" w:hAnsi="Arial" w:cs="Arial" w:hint="eastAsia"/>
          <w:sz w:val="21"/>
          <w:szCs w:val="21"/>
        </w:rPr>
        <w:t>25.44-50.91</w:t>
      </w:r>
      <w:r>
        <w:rPr>
          <w:rFonts w:ascii="Arial" w:hAnsi="Arial" w:cs="Arial" w:hint="eastAsia"/>
          <w:sz w:val="21"/>
          <w:szCs w:val="21"/>
        </w:rPr>
        <w:t>平方米；一居室共</w:t>
      </w:r>
      <w:r>
        <w:rPr>
          <w:rFonts w:ascii="Arial" w:hAnsi="Arial" w:cs="Arial" w:hint="eastAsia"/>
          <w:sz w:val="21"/>
          <w:szCs w:val="21"/>
        </w:rPr>
        <w:t>1100</w:t>
      </w:r>
      <w:r>
        <w:rPr>
          <w:rFonts w:ascii="Arial" w:hAnsi="Arial" w:cs="Arial" w:hint="eastAsia"/>
          <w:sz w:val="21"/>
          <w:szCs w:val="21"/>
        </w:rPr>
        <w:t>套，面积控制</w:t>
      </w:r>
      <w:r>
        <w:rPr>
          <w:rFonts w:ascii="Arial" w:hAnsi="Arial" w:cs="Arial" w:hint="eastAsia"/>
          <w:sz w:val="21"/>
          <w:szCs w:val="21"/>
        </w:rPr>
        <w:t>38.46-62.94</w:t>
      </w:r>
      <w:r>
        <w:rPr>
          <w:rFonts w:ascii="Arial" w:hAnsi="Arial" w:cs="Arial" w:hint="eastAsia"/>
          <w:sz w:val="21"/>
          <w:szCs w:val="21"/>
        </w:rPr>
        <w:t>平方米；二居室共</w:t>
      </w:r>
      <w:r>
        <w:rPr>
          <w:rFonts w:ascii="Arial" w:hAnsi="Arial" w:cs="Arial" w:hint="eastAsia"/>
          <w:sz w:val="21"/>
          <w:szCs w:val="21"/>
        </w:rPr>
        <w:t>186</w:t>
      </w:r>
      <w:r>
        <w:rPr>
          <w:rFonts w:ascii="Arial" w:hAnsi="Arial" w:cs="Arial" w:hint="eastAsia"/>
          <w:sz w:val="21"/>
          <w:szCs w:val="21"/>
        </w:rPr>
        <w:t>套，面积约控制为</w:t>
      </w:r>
      <w:r>
        <w:rPr>
          <w:rFonts w:ascii="Arial" w:hAnsi="Arial" w:cs="Arial" w:hint="eastAsia"/>
          <w:sz w:val="21"/>
          <w:szCs w:val="21"/>
        </w:rPr>
        <w:t>60.42-61.34</w:t>
      </w:r>
      <w:r>
        <w:rPr>
          <w:rFonts w:ascii="Arial" w:hAnsi="Arial" w:cs="Arial" w:hint="eastAsia"/>
          <w:sz w:val="21"/>
          <w:szCs w:val="21"/>
        </w:rPr>
        <w:t>平方米。</w:t>
      </w:r>
    </w:p>
    <w:p w14:paraId="627DC92F" w14:textId="77777777" w:rsidR="00000000" w:rsidRDefault="00000000">
      <w:pPr>
        <w:wordWrap w:val="0"/>
        <w:overflowPunct w:val="0"/>
        <w:spacing w:line="480" w:lineRule="auto"/>
        <w:ind w:firstLineChars="200" w:firstLine="420"/>
        <w:jc w:val="both"/>
        <w:textAlignment w:val="auto"/>
        <w:rPr>
          <w:rFonts w:ascii="Arial" w:hAnsi="Arial" w:cs="Arial" w:hint="eastAsia"/>
          <w:sz w:val="21"/>
          <w:szCs w:val="21"/>
        </w:rPr>
      </w:pPr>
      <w:r>
        <w:rPr>
          <w:rFonts w:ascii="Arial" w:hAnsi="Arial" w:cs="Arial" w:hint="eastAsia"/>
          <w:sz w:val="21"/>
          <w:szCs w:val="21"/>
        </w:rPr>
        <w:t>X38</w:t>
      </w:r>
      <w:r>
        <w:rPr>
          <w:rFonts w:ascii="Arial" w:hAnsi="Arial" w:cs="Arial" w:hint="eastAsia"/>
          <w:sz w:val="21"/>
          <w:szCs w:val="21"/>
        </w:rPr>
        <w:t>鹿海园五里共</w:t>
      </w:r>
      <w:r>
        <w:rPr>
          <w:rFonts w:ascii="Arial" w:hAnsi="Arial" w:cs="Arial" w:hint="eastAsia"/>
          <w:sz w:val="21"/>
          <w:szCs w:val="21"/>
        </w:rPr>
        <w:t>1231</w:t>
      </w:r>
      <w:r>
        <w:rPr>
          <w:rFonts w:ascii="Arial" w:hAnsi="Arial" w:cs="Arial" w:hint="eastAsia"/>
          <w:sz w:val="21"/>
          <w:szCs w:val="21"/>
        </w:rPr>
        <w:t>套，有三种户型，分别为一居室、二居室、三居室。其中，一居室共</w:t>
      </w:r>
      <w:r>
        <w:rPr>
          <w:rFonts w:ascii="Arial" w:hAnsi="Arial" w:cs="Arial" w:hint="eastAsia"/>
          <w:sz w:val="21"/>
          <w:szCs w:val="21"/>
        </w:rPr>
        <w:t>334</w:t>
      </w:r>
      <w:r>
        <w:rPr>
          <w:rFonts w:ascii="Arial" w:hAnsi="Arial" w:cs="Arial" w:hint="eastAsia"/>
          <w:sz w:val="21"/>
          <w:szCs w:val="21"/>
        </w:rPr>
        <w:t>套，面积约控制在</w:t>
      </w:r>
      <w:r>
        <w:rPr>
          <w:rFonts w:ascii="Arial" w:hAnsi="Arial" w:cs="Arial" w:hint="eastAsia"/>
          <w:sz w:val="21"/>
          <w:szCs w:val="21"/>
        </w:rPr>
        <w:t>51.14-71.30</w:t>
      </w:r>
      <w:r>
        <w:rPr>
          <w:rFonts w:ascii="Arial" w:hAnsi="Arial" w:cs="Arial" w:hint="eastAsia"/>
          <w:sz w:val="21"/>
          <w:szCs w:val="21"/>
        </w:rPr>
        <w:t>平方米；二居室共</w:t>
      </w:r>
      <w:r>
        <w:rPr>
          <w:rFonts w:ascii="Arial" w:hAnsi="Arial" w:cs="Arial" w:hint="eastAsia"/>
          <w:sz w:val="21"/>
          <w:szCs w:val="21"/>
        </w:rPr>
        <w:t>656</w:t>
      </w:r>
      <w:r>
        <w:rPr>
          <w:rFonts w:ascii="Arial" w:hAnsi="Arial" w:cs="Arial" w:hint="eastAsia"/>
          <w:sz w:val="21"/>
          <w:szCs w:val="21"/>
        </w:rPr>
        <w:t>套，面积控制在</w:t>
      </w:r>
      <w:r>
        <w:rPr>
          <w:rFonts w:ascii="Arial" w:hAnsi="Arial" w:cs="Arial" w:hint="eastAsia"/>
          <w:sz w:val="21"/>
          <w:szCs w:val="21"/>
        </w:rPr>
        <w:t>91.83-110.57</w:t>
      </w:r>
      <w:r>
        <w:rPr>
          <w:rFonts w:ascii="Arial" w:hAnsi="Arial" w:cs="Arial" w:hint="eastAsia"/>
          <w:sz w:val="21"/>
          <w:szCs w:val="21"/>
        </w:rPr>
        <w:t>平方米；三居室共</w:t>
      </w:r>
      <w:r>
        <w:rPr>
          <w:rFonts w:ascii="Arial" w:hAnsi="Arial" w:cs="Arial"/>
          <w:sz w:val="21"/>
          <w:szCs w:val="21"/>
        </w:rPr>
        <w:t>241</w:t>
      </w:r>
      <w:r>
        <w:rPr>
          <w:rFonts w:ascii="Arial" w:hAnsi="Arial" w:cs="Arial" w:hint="eastAsia"/>
          <w:sz w:val="21"/>
          <w:szCs w:val="21"/>
        </w:rPr>
        <w:t>套，面积为</w:t>
      </w:r>
      <w:r>
        <w:rPr>
          <w:rFonts w:ascii="Arial" w:hAnsi="Arial" w:cs="Arial"/>
          <w:sz w:val="21"/>
          <w:szCs w:val="21"/>
        </w:rPr>
        <w:t>123.14-131.57</w:t>
      </w:r>
      <w:r>
        <w:rPr>
          <w:rFonts w:ascii="Arial" w:hAnsi="Arial" w:cs="Arial" w:hint="eastAsia"/>
          <w:sz w:val="21"/>
          <w:szCs w:val="21"/>
        </w:rPr>
        <w:t>平方米。</w:t>
      </w:r>
    </w:p>
    <w:p w14:paraId="0E9C002C" w14:textId="77777777" w:rsidR="00000000" w:rsidRDefault="00000000">
      <w:pPr>
        <w:wordWrap w:val="0"/>
        <w:overflowPunct w:val="0"/>
        <w:spacing w:line="480" w:lineRule="auto"/>
        <w:ind w:firstLineChars="200" w:firstLine="420"/>
        <w:jc w:val="both"/>
        <w:textAlignment w:val="auto"/>
        <w:rPr>
          <w:rFonts w:ascii="Arial" w:hAnsi="Arial" w:cs="Arial" w:hint="eastAsia"/>
          <w:sz w:val="21"/>
          <w:szCs w:val="21"/>
        </w:rPr>
      </w:pPr>
      <w:r>
        <w:rPr>
          <w:rFonts w:ascii="Arial" w:hAnsi="Arial" w:cs="Arial" w:hint="eastAsia"/>
          <w:sz w:val="21"/>
          <w:szCs w:val="21"/>
        </w:rPr>
        <w:lastRenderedPageBreak/>
        <w:t>8.</w:t>
      </w:r>
      <w:r>
        <w:rPr>
          <w:rFonts w:ascii="Arial" w:hAnsi="Arial" w:cs="Arial" w:hint="eastAsia"/>
          <w:sz w:val="21"/>
          <w:szCs w:val="21"/>
        </w:rPr>
        <w:t>朝向：</w:t>
      </w:r>
      <w:r>
        <w:rPr>
          <w:rFonts w:ascii="Arial" w:hAnsi="Arial" w:cs="Arial" w:hint="eastAsia"/>
          <w:sz w:val="21"/>
          <w:szCs w:val="21"/>
        </w:rPr>
        <w:t>X13</w:t>
      </w:r>
      <w:r>
        <w:rPr>
          <w:rFonts w:ascii="Arial" w:hAnsi="Arial" w:cs="Arial" w:hint="eastAsia"/>
          <w:sz w:val="21"/>
          <w:szCs w:val="21"/>
        </w:rPr>
        <w:t>海棠苑朝向为西、东、南，以朝西为主。</w:t>
      </w:r>
    </w:p>
    <w:p w14:paraId="11BF4146" w14:textId="77777777" w:rsidR="00000000" w:rsidRDefault="00000000">
      <w:pPr>
        <w:wordWrap w:val="0"/>
        <w:overflowPunct w:val="0"/>
        <w:spacing w:line="480" w:lineRule="auto"/>
        <w:ind w:firstLineChars="200" w:firstLine="420"/>
        <w:jc w:val="both"/>
        <w:textAlignment w:val="auto"/>
        <w:rPr>
          <w:rFonts w:ascii="Arial" w:hAnsi="Arial" w:cs="Arial" w:hint="eastAsia"/>
          <w:sz w:val="21"/>
          <w:szCs w:val="21"/>
        </w:rPr>
      </w:pPr>
      <w:r>
        <w:rPr>
          <w:rFonts w:ascii="Arial" w:hAnsi="Arial" w:cs="Arial" w:hint="eastAsia"/>
          <w:sz w:val="21"/>
          <w:szCs w:val="21"/>
        </w:rPr>
        <w:t>X38</w:t>
      </w:r>
      <w:r>
        <w:rPr>
          <w:rFonts w:ascii="Arial" w:hAnsi="Arial" w:cs="Arial" w:hint="eastAsia"/>
          <w:sz w:val="21"/>
          <w:szCs w:val="21"/>
        </w:rPr>
        <w:t>鹿海园五里朝向为南北、南、西、东、北，以朝南北为主。</w:t>
      </w:r>
    </w:p>
    <w:bookmarkEnd w:id="21"/>
    <w:bookmarkEnd w:id="22"/>
    <w:p w14:paraId="7137D120" w14:textId="77777777" w:rsidR="00000000" w:rsidRDefault="00000000">
      <w:pPr>
        <w:spacing w:line="560" w:lineRule="exact"/>
        <w:rPr>
          <w:rFonts w:ascii="Arial" w:hAnsi="Arial" w:cs="Arial" w:hint="eastAsia"/>
          <w:b/>
          <w:kern w:val="2"/>
          <w:sz w:val="21"/>
          <w:szCs w:val="21"/>
        </w:rPr>
      </w:pPr>
      <w:r>
        <w:rPr>
          <w:rFonts w:ascii="Arial" w:hAnsi="Arial" w:cs="Arial" w:hint="eastAsia"/>
          <w:b/>
          <w:kern w:val="2"/>
          <w:sz w:val="21"/>
          <w:szCs w:val="21"/>
        </w:rPr>
        <w:t>（四）对价格影响的分析</w:t>
      </w:r>
    </w:p>
    <w:p w14:paraId="055EA965" w14:textId="77777777" w:rsidR="00000000" w:rsidRDefault="00000000">
      <w:pPr>
        <w:spacing w:line="560" w:lineRule="exact"/>
        <w:ind w:firstLineChars="200" w:firstLine="420"/>
        <w:rPr>
          <w:rFonts w:ascii="Arial" w:hAnsi="Arial" w:cs="Arial" w:hint="eastAsia"/>
          <w:sz w:val="21"/>
          <w:szCs w:val="21"/>
        </w:rPr>
      </w:pPr>
      <w:r>
        <w:rPr>
          <w:rFonts w:ascii="Arial" w:hAnsi="Arial" w:cs="Arial"/>
          <w:sz w:val="21"/>
          <w:szCs w:val="21"/>
        </w:rPr>
        <w:t>估价对象作为住宅使用，通用性相对较好，能完全满足大部分求租者的需求，因此将会在一定程度上影响其租金价格水平。</w:t>
      </w:r>
    </w:p>
    <w:p w14:paraId="1B954968" w14:textId="77777777" w:rsidR="00000000" w:rsidRDefault="00000000">
      <w:pPr>
        <w:spacing w:line="560" w:lineRule="exact"/>
        <w:rPr>
          <w:rFonts w:ascii="Arial" w:hAnsi="Arial" w:cs="Arial" w:hint="eastAsia"/>
          <w:kern w:val="2"/>
          <w:sz w:val="21"/>
          <w:szCs w:val="21"/>
        </w:rPr>
      </w:pPr>
      <w:r>
        <w:rPr>
          <w:rFonts w:ascii="Arial" w:hAnsi="Arial" w:cs="Arial" w:hint="eastAsia"/>
          <w:b/>
          <w:kern w:val="2"/>
          <w:sz w:val="21"/>
          <w:szCs w:val="21"/>
        </w:rPr>
        <w:t>（五）他项权利状况</w:t>
      </w:r>
    </w:p>
    <w:p w14:paraId="492DD9B9" w14:textId="77777777" w:rsidR="00000000" w:rsidRDefault="00000000">
      <w:pPr>
        <w:spacing w:line="560" w:lineRule="exact"/>
        <w:ind w:firstLineChars="200" w:firstLine="420"/>
        <w:rPr>
          <w:rFonts w:ascii="Arial" w:hAnsi="Arial" w:cs="Arial" w:hint="eastAsia"/>
          <w:kern w:val="2"/>
          <w:sz w:val="21"/>
          <w:szCs w:val="21"/>
        </w:rPr>
      </w:pPr>
      <w:r>
        <w:rPr>
          <w:rFonts w:ascii="Arial" w:hAnsi="Arial" w:cs="Arial" w:hint="eastAsia"/>
          <w:kern w:val="2"/>
          <w:sz w:val="21"/>
          <w:szCs w:val="21"/>
        </w:rPr>
        <w:t>1.</w:t>
      </w:r>
      <w:r>
        <w:rPr>
          <w:rFonts w:ascii="Arial" w:hAnsi="Arial" w:cs="Arial" w:hint="eastAsia"/>
          <w:kern w:val="2"/>
          <w:sz w:val="21"/>
          <w:szCs w:val="21"/>
        </w:rPr>
        <w:t>根据注册房地产估价师实地查勘及领勘人介绍，于价值时点，估价对象部分已公开配租，结合本次估价目的，未考虑现有租约对估价结果的影响。</w:t>
      </w:r>
    </w:p>
    <w:p w14:paraId="7F0657DC" w14:textId="77777777" w:rsidR="00000000" w:rsidRDefault="00000000">
      <w:pPr>
        <w:spacing w:line="560" w:lineRule="exact"/>
        <w:ind w:firstLineChars="200" w:firstLine="420"/>
        <w:rPr>
          <w:rFonts w:ascii="Arial" w:hAnsi="Arial" w:cs="Arial" w:hint="eastAsia"/>
          <w:kern w:val="2"/>
          <w:sz w:val="21"/>
          <w:szCs w:val="21"/>
        </w:rPr>
      </w:pPr>
      <w:r>
        <w:rPr>
          <w:rFonts w:ascii="Arial" w:hAnsi="Arial" w:cs="Arial" w:hint="eastAsia"/>
          <w:kern w:val="2"/>
          <w:sz w:val="21"/>
          <w:szCs w:val="21"/>
        </w:rPr>
        <w:t>2.</w:t>
      </w:r>
      <w:r>
        <w:rPr>
          <w:rFonts w:ascii="Arial" w:hAnsi="Arial" w:cs="Arial" w:hint="eastAsia"/>
          <w:kern w:val="2"/>
          <w:sz w:val="21"/>
          <w:szCs w:val="21"/>
        </w:rPr>
        <w:t>经建设单位介绍，估价对象于价值时点不存在抵押权、地役权、查封等他项权利，根据估价目的，本次评估设定估价对象于价值时点不存在抵押权、地役权、查封等他项权利。</w:t>
      </w:r>
    </w:p>
    <w:p w14:paraId="316581F8" w14:textId="77777777" w:rsidR="00000000" w:rsidRDefault="00000000">
      <w:pPr>
        <w:wordWrap w:val="0"/>
        <w:overflowPunct w:val="0"/>
        <w:spacing w:line="480" w:lineRule="auto"/>
        <w:ind w:firstLineChars="200" w:firstLine="420"/>
        <w:jc w:val="both"/>
        <w:textAlignment w:val="auto"/>
        <w:rPr>
          <w:rFonts w:ascii="Arial" w:hAnsi="Arial" w:cs="Arial"/>
          <w:color w:val="E36C0A"/>
          <w:sz w:val="21"/>
          <w:szCs w:val="21"/>
        </w:rPr>
      </w:pPr>
    </w:p>
    <w:p w14:paraId="1E37C211" w14:textId="77777777" w:rsidR="00000000" w:rsidRDefault="000000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3" w:name="_Toc168225817"/>
      <w:bookmarkStart w:id="24" w:name="_Toc11111"/>
      <w:r>
        <w:rPr>
          <w:rFonts w:eastAsia="宋体"/>
          <w:kern w:val="2"/>
          <w:sz w:val="21"/>
          <w:szCs w:val="21"/>
        </w:rPr>
        <w:t>五</w:t>
      </w:r>
      <w:bookmarkEnd w:id="23"/>
      <w:r>
        <w:rPr>
          <w:rFonts w:eastAsia="宋体"/>
          <w:kern w:val="2"/>
          <w:sz w:val="21"/>
          <w:szCs w:val="21"/>
        </w:rPr>
        <w:t>、价值时点</w:t>
      </w:r>
      <w:bookmarkEnd w:id="24"/>
    </w:p>
    <w:p w14:paraId="5C1CB7C7"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w:t>
      </w:r>
      <w:r>
        <w:rPr>
          <w:rFonts w:ascii="Arial" w:hAnsi="Arial" w:cs="Arial"/>
          <w:sz w:val="21"/>
          <w:szCs w:val="21"/>
        </w:rPr>
        <w:t>（根据《估价委托书》确定）</w:t>
      </w:r>
    </w:p>
    <w:p w14:paraId="54C33092"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p>
    <w:p w14:paraId="5F2B44BA" w14:textId="77777777" w:rsidR="00000000" w:rsidRDefault="00000000">
      <w:pPr>
        <w:pStyle w:val="2"/>
        <w:numPr>
          <w:ilvl w:val="0"/>
          <w:numId w:val="0"/>
        </w:numPr>
        <w:tabs>
          <w:tab w:val="left" w:pos="360"/>
        </w:tabs>
        <w:overflowPunct w:val="0"/>
        <w:adjustRightInd/>
        <w:spacing w:line="480" w:lineRule="auto"/>
        <w:ind w:left="357" w:hanging="357"/>
        <w:jc w:val="both"/>
        <w:textAlignment w:val="auto"/>
        <w:rPr>
          <w:rFonts w:eastAsia="宋体;SimSun"/>
          <w:kern w:val="2"/>
          <w:sz w:val="21"/>
          <w:szCs w:val="21"/>
        </w:rPr>
      </w:pPr>
      <w:bookmarkStart w:id="25" w:name="_Toc168225818"/>
      <w:bookmarkStart w:id="26" w:name="_Toc22494"/>
      <w:r>
        <w:rPr>
          <w:rFonts w:eastAsia="宋体;SimSun"/>
          <w:kern w:val="2"/>
          <w:sz w:val="21"/>
          <w:szCs w:val="21"/>
        </w:rPr>
        <w:t>六</w:t>
      </w:r>
      <w:bookmarkEnd w:id="25"/>
      <w:r>
        <w:rPr>
          <w:rFonts w:eastAsia="宋体;SimSun"/>
          <w:kern w:val="2"/>
          <w:sz w:val="21"/>
          <w:szCs w:val="21"/>
        </w:rPr>
        <w:t>、价值类型</w:t>
      </w:r>
      <w:bookmarkEnd w:id="26"/>
    </w:p>
    <w:p w14:paraId="19F87ECC" w14:textId="77777777" w:rsidR="00000000" w:rsidRDefault="00000000">
      <w:pPr>
        <w:pStyle w:val="2"/>
        <w:numPr>
          <w:ilvl w:val="0"/>
          <w:numId w:val="0"/>
        </w:numPr>
        <w:tabs>
          <w:tab w:val="left" w:pos="360"/>
        </w:tabs>
        <w:overflowPunct w:val="0"/>
        <w:adjustRightInd/>
        <w:spacing w:line="480" w:lineRule="auto"/>
        <w:ind w:left="357" w:hanging="357"/>
        <w:jc w:val="both"/>
        <w:textAlignment w:val="auto"/>
        <w:rPr>
          <w:rFonts w:eastAsia="宋体;SimSun" w:hint="eastAsia"/>
          <w:kern w:val="2"/>
          <w:sz w:val="21"/>
          <w:szCs w:val="21"/>
        </w:rPr>
      </w:pPr>
      <w:bookmarkStart w:id="27" w:name="_Toc14680"/>
      <w:r>
        <w:rPr>
          <w:rFonts w:eastAsia="宋体;SimSun" w:hint="eastAsia"/>
          <w:kern w:val="2"/>
          <w:sz w:val="21"/>
          <w:szCs w:val="21"/>
        </w:rPr>
        <w:t>（一）价值类型</w:t>
      </w:r>
      <w:bookmarkEnd w:id="27"/>
    </w:p>
    <w:p w14:paraId="6D2508CF" w14:textId="77777777" w:rsidR="00000000" w:rsidRDefault="00000000">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根据房地产评估的技术规程和本次估价目的，本次估价采用的是市场价值标准。估价结果中的房地产租金价格是指估价对象在估价时段（</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日）规划利用条件及下述设定条件下的市场平均租金价格：</w:t>
      </w:r>
      <w:r>
        <w:rPr>
          <w:rFonts w:ascii="Arial" w:hAnsi="Arial" w:cs="Arial"/>
          <w:sz w:val="21"/>
          <w:szCs w:val="21"/>
        </w:rPr>
        <w:t xml:space="preserve"> </w:t>
      </w:r>
    </w:p>
    <w:p w14:paraId="40CFEFF3" w14:textId="77777777" w:rsidR="00000000" w:rsidRDefault="00000000">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项目同地段、同类型的普通住房在估价时段的市场租赁平均价格，包括地租、房屋折旧、设备折旧、维修费、保险费、物业费、管理费、利息、利润等；不含供暖费、水电费、天然气费、通信费、有线电视费、上网宽带费和家具、家电租赁费及租赁税费等。</w:t>
      </w:r>
      <w:r>
        <w:rPr>
          <w:rFonts w:ascii="Arial" w:hAnsi="Arial" w:cs="Arial"/>
          <w:sz w:val="21"/>
          <w:szCs w:val="21"/>
        </w:rPr>
        <w:t xml:space="preserve"> </w:t>
      </w:r>
    </w:p>
    <w:p w14:paraId="043515C6" w14:textId="77777777" w:rsidR="00000000" w:rsidRDefault="00000000">
      <w:pPr>
        <w:overflowPunct w:val="0"/>
        <w:spacing w:line="480" w:lineRule="auto"/>
        <w:ind w:firstLine="420"/>
        <w:jc w:val="both"/>
      </w:pPr>
      <w:r>
        <w:rPr>
          <w:rFonts w:ascii="Arial" w:hAnsi="Arial" w:cs="Arial"/>
          <w:sz w:val="21"/>
          <w:szCs w:val="21"/>
        </w:rPr>
        <w:t>（</w:t>
      </w:r>
      <w:r>
        <w:rPr>
          <w:rFonts w:ascii="Arial" w:hAnsi="Arial" w:cs="Arial"/>
          <w:sz w:val="21"/>
          <w:szCs w:val="21"/>
        </w:rPr>
        <w:t>1</w:t>
      </w:r>
      <w:r>
        <w:rPr>
          <w:rFonts w:ascii="Arial" w:hAnsi="Arial" w:cs="Arial"/>
          <w:sz w:val="21"/>
          <w:szCs w:val="21"/>
        </w:rPr>
        <w:t>）同地段是指按照就近原则，能够满足租赁住房项目市场租金评估所需要的可比小区数量所形成的同质区域。</w:t>
      </w:r>
      <w:r>
        <w:rPr>
          <w:rFonts w:ascii="Arial" w:eastAsia="Arial" w:hAnsi="Arial" w:cs="Arial"/>
          <w:sz w:val="21"/>
          <w:szCs w:val="21"/>
        </w:rPr>
        <w:t xml:space="preserve"> </w:t>
      </w:r>
    </w:p>
    <w:p w14:paraId="0390EDE7" w14:textId="77777777" w:rsidR="00000000" w:rsidRDefault="00000000">
      <w:pPr>
        <w:overflowPunct w:val="0"/>
        <w:spacing w:line="480" w:lineRule="auto"/>
        <w:ind w:firstLine="420"/>
        <w:jc w:val="both"/>
        <w:rPr>
          <w:rFonts w:ascii="Arial" w:hAnsi="Arial" w:cs="Arial"/>
          <w:sz w:val="21"/>
          <w:szCs w:val="21"/>
        </w:rPr>
      </w:pPr>
      <w:r>
        <w:rPr>
          <w:rFonts w:ascii="Arial" w:hAnsi="Arial" w:cs="Arial"/>
          <w:sz w:val="21"/>
          <w:szCs w:val="21"/>
        </w:rPr>
        <w:t>（</w:t>
      </w:r>
      <w:r>
        <w:rPr>
          <w:rFonts w:ascii="Arial" w:hAnsi="Arial" w:cs="Arial"/>
          <w:sz w:val="21"/>
          <w:szCs w:val="21"/>
        </w:rPr>
        <w:t>2</w:t>
      </w:r>
      <w:r>
        <w:rPr>
          <w:rFonts w:ascii="Arial" w:hAnsi="Arial" w:cs="Arial"/>
          <w:sz w:val="21"/>
          <w:szCs w:val="21"/>
        </w:rPr>
        <w:t>）同类型是指使用功能、建筑结构、面积、户型、装修、家具家电设备及周边环境与配套相同</w:t>
      </w:r>
      <w:r>
        <w:rPr>
          <w:rFonts w:ascii="Arial" w:hAnsi="Arial" w:cs="Arial"/>
          <w:sz w:val="21"/>
          <w:szCs w:val="21"/>
        </w:rPr>
        <w:lastRenderedPageBreak/>
        <w:t>或相似的住房。</w:t>
      </w:r>
    </w:p>
    <w:p w14:paraId="6A036765" w14:textId="77777777" w:rsidR="00000000" w:rsidRDefault="00000000">
      <w:pPr>
        <w:adjustRightInd/>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3</w:t>
      </w:r>
      <w:r>
        <w:rPr>
          <w:rFonts w:ascii="Arial" w:hAnsi="Arial" w:cs="Arial"/>
          <w:sz w:val="21"/>
          <w:szCs w:val="21"/>
        </w:rPr>
        <w:t>）估价时段是指价值时点前一年（</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w:t>
      </w:r>
      <w:r>
        <w:rPr>
          <w:rFonts w:ascii="Arial" w:hAnsi="Arial" w:cs="Arial"/>
          <w:sz w:val="21"/>
          <w:szCs w:val="21"/>
        </w:rPr>
        <w:t>）。</w:t>
      </w:r>
    </w:p>
    <w:p w14:paraId="1FA27B8A" w14:textId="77777777" w:rsidR="00000000" w:rsidRDefault="00000000">
      <w:pPr>
        <w:spacing w:line="560" w:lineRule="exact"/>
        <w:rPr>
          <w:rFonts w:ascii="Arial" w:hAnsi="Arial" w:cs="Arial" w:hint="eastAsia"/>
          <w:b/>
          <w:kern w:val="2"/>
          <w:sz w:val="21"/>
          <w:szCs w:val="21"/>
        </w:rPr>
      </w:pPr>
      <w:r>
        <w:rPr>
          <w:rFonts w:ascii="Arial" w:hAnsi="Arial" w:cs="Arial" w:hint="eastAsia"/>
          <w:b/>
          <w:kern w:val="2"/>
          <w:sz w:val="21"/>
          <w:szCs w:val="21"/>
        </w:rPr>
        <w:t>（二）设定条件</w:t>
      </w:r>
    </w:p>
    <w:p w14:paraId="376A1B8D" w14:textId="77777777" w:rsidR="00000000" w:rsidRDefault="00000000">
      <w:pPr>
        <w:spacing w:line="560" w:lineRule="exact"/>
        <w:ind w:firstLineChars="200" w:firstLine="420"/>
        <w:rPr>
          <w:rFonts w:ascii="Arial" w:hAnsi="Arial" w:cs="Arial" w:hint="eastAsia"/>
          <w:sz w:val="21"/>
          <w:szCs w:val="21"/>
        </w:rPr>
      </w:pPr>
      <w:r>
        <w:rPr>
          <w:rFonts w:ascii="Arial" w:hAnsi="Arial" w:cs="Arial"/>
          <w:sz w:val="21"/>
          <w:szCs w:val="21"/>
        </w:rPr>
        <w:t>估价结果中的房地产租金价格是指估价对象</w:t>
      </w:r>
      <w:r>
        <w:rPr>
          <w:rFonts w:ascii="Arial" w:hAnsi="Arial" w:cs="Arial" w:hint="eastAsia"/>
          <w:sz w:val="21"/>
          <w:szCs w:val="21"/>
        </w:rPr>
        <w:t>房地产于价值时点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日前一年内（</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日）的估价时段内，</w:t>
      </w:r>
      <w:r>
        <w:rPr>
          <w:rFonts w:ascii="Arial" w:hAnsi="Arial" w:cs="Arial"/>
          <w:sz w:val="21"/>
          <w:szCs w:val="21"/>
        </w:rPr>
        <w:t>估价对象在规划利用条件及下述设定条件下的市场平均租金价格：</w:t>
      </w:r>
    </w:p>
    <w:p w14:paraId="7CAFAF75" w14:textId="77777777" w:rsidR="00000000" w:rsidRDefault="00000000">
      <w:pPr>
        <w:spacing w:line="560" w:lineRule="exact"/>
        <w:ind w:firstLineChars="200" w:firstLine="420"/>
        <w:rPr>
          <w:rFonts w:ascii="Arial" w:hAnsi="Arial" w:cs="Arial" w:hint="eastAsia"/>
          <w:sz w:val="21"/>
          <w:szCs w:val="21"/>
        </w:rPr>
      </w:pPr>
      <w:r>
        <w:rPr>
          <w:rFonts w:ascii="Arial" w:hAnsi="Arial" w:cs="Arial" w:hint="eastAsia"/>
          <w:sz w:val="21"/>
          <w:szCs w:val="21"/>
        </w:rPr>
        <w:t xml:space="preserve">1. </w:t>
      </w:r>
      <w:r>
        <w:rPr>
          <w:rFonts w:ascii="Arial" w:hAnsi="Arial" w:cs="Arial" w:hint="eastAsia"/>
          <w:sz w:val="21"/>
          <w:szCs w:val="21"/>
        </w:rPr>
        <w:t>估价结果为项目同地段、同类型普通住宅前</w:t>
      </w:r>
      <w:r>
        <w:rPr>
          <w:rFonts w:ascii="Arial" w:hAnsi="Arial" w:cs="Arial" w:hint="eastAsia"/>
          <w:sz w:val="21"/>
          <w:szCs w:val="21"/>
        </w:rPr>
        <w:t>12</w:t>
      </w:r>
      <w:r>
        <w:rPr>
          <w:rFonts w:ascii="Arial" w:hAnsi="Arial" w:cs="Arial" w:hint="eastAsia"/>
          <w:sz w:val="21"/>
          <w:szCs w:val="21"/>
        </w:rPr>
        <w:t>个月（</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日）的市场平均月租金价格；</w:t>
      </w:r>
    </w:p>
    <w:p w14:paraId="7AEB2764" w14:textId="77777777" w:rsidR="00000000" w:rsidRDefault="00000000">
      <w:pPr>
        <w:spacing w:line="560" w:lineRule="exact"/>
        <w:ind w:firstLineChars="200" w:firstLine="420"/>
        <w:rPr>
          <w:rFonts w:ascii="Arial" w:hAnsi="Arial" w:cs="Arial" w:hint="eastAsia"/>
          <w:sz w:val="21"/>
          <w:szCs w:val="21"/>
        </w:rPr>
      </w:pPr>
      <w:r>
        <w:rPr>
          <w:rFonts w:ascii="Arial" w:hAnsi="Arial" w:cs="Arial" w:hint="eastAsia"/>
          <w:sz w:val="21"/>
          <w:szCs w:val="21"/>
        </w:rPr>
        <w:t>2.</w:t>
      </w:r>
      <w:r>
        <w:rPr>
          <w:rFonts w:ascii="Arial" w:hAnsi="Arial" w:cs="Arial" w:hint="eastAsia"/>
          <w:sz w:val="21"/>
          <w:szCs w:val="21"/>
        </w:rPr>
        <w:t>估价对象所在区域是指与估价对象地理位置比较接近或者一致，基础设施、环境条件、规划条件、配套服务设施等情况基本相同的区域；</w:t>
      </w:r>
    </w:p>
    <w:p w14:paraId="2A532C54" w14:textId="77777777" w:rsidR="00000000" w:rsidRDefault="00000000">
      <w:pPr>
        <w:spacing w:line="560" w:lineRule="exact"/>
        <w:ind w:firstLineChars="200" w:firstLine="420"/>
        <w:rPr>
          <w:rFonts w:ascii="Arial" w:hAnsi="Arial" w:cs="Arial" w:hint="eastAsia"/>
          <w:sz w:val="21"/>
          <w:szCs w:val="21"/>
        </w:rPr>
      </w:pPr>
      <w:r>
        <w:rPr>
          <w:rFonts w:ascii="Arial" w:hAnsi="Arial" w:cs="Arial" w:hint="eastAsia"/>
          <w:sz w:val="21"/>
          <w:szCs w:val="21"/>
        </w:rPr>
        <w:t>3.</w:t>
      </w:r>
      <w:r>
        <w:rPr>
          <w:rFonts w:ascii="Arial" w:hAnsi="Arial" w:cs="Arial" w:hint="eastAsia"/>
          <w:sz w:val="21"/>
          <w:szCs w:val="21"/>
        </w:rPr>
        <w:t>同地段、同类型住房是指普通住宅，含普通商品住宅、限价商品住房等；</w:t>
      </w:r>
    </w:p>
    <w:p w14:paraId="53D855E0" w14:textId="77777777" w:rsidR="00000000" w:rsidRDefault="00000000">
      <w:pPr>
        <w:spacing w:line="560" w:lineRule="exact"/>
        <w:ind w:firstLineChars="200" w:firstLine="420"/>
        <w:rPr>
          <w:rFonts w:ascii="Arial" w:hAnsi="Arial" w:cs="Arial"/>
          <w:sz w:val="21"/>
          <w:szCs w:val="21"/>
        </w:rPr>
      </w:pPr>
      <w:r>
        <w:rPr>
          <w:rFonts w:ascii="Arial" w:hAnsi="Arial" w:cs="Arial" w:hint="eastAsia"/>
          <w:sz w:val="21"/>
          <w:szCs w:val="21"/>
        </w:rPr>
        <w:t>4.</w:t>
      </w:r>
      <w:r>
        <w:rPr>
          <w:rFonts w:ascii="Arial" w:hAnsi="Arial" w:cs="Arial" w:hint="eastAsia"/>
          <w:sz w:val="21"/>
          <w:szCs w:val="21"/>
        </w:rPr>
        <w:t>本次估价采取标准房进行评估设定，标准房是指参照被评估公共租赁住房项目的户型、面积、朝向、楼层、装修及设备等因素按照众数原则设定的房屋状况。</w:t>
      </w:r>
      <w:r>
        <w:rPr>
          <w:rFonts w:ascii="Arial" w:hAnsi="Arial" w:cs="Arial" w:hint="eastAsia"/>
          <w:kern w:val="2"/>
          <w:sz w:val="21"/>
          <w:szCs w:val="21"/>
        </w:rPr>
        <w:t>X13</w:t>
      </w:r>
      <w:r>
        <w:rPr>
          <w:rFonts w:ascii="Arial" w:hAnsi="Arial" w:cs="Arial" w:hint="eastAsia"/>
          <w:kern w:val="2"/>
          <w:sz w:val="21"/>
          <w:szCs w:val="21"/>
        </w:rPr>
        <w:t>海棠苑项目以户型为一居室，面积为</w:t>
      </w:r>
      <w:r>
        <w:rPr>
          <w:rFonts w:ascii="Arial" w:hAnsi="Arial" w:cs="Arial"/>
          <w:kern w:val="2"/>
          <w:sz w:val="21"/>
          <w:szCs w:val="21"/>
        </w:rPr>
        <w:t>59.64</w:t>
      </w:r>
      <w:r>
        <w:rPr>
          <w:rFonts w:ascii="Arial" w:hAnsi="Arial" w:cs="Arial" w:hint="eastAsia"/>
          <w:kern w:val="2"/>
          <w:sz w:val="21"/>
          <w:szCs w:val="21"/>
        </w:rPr>
        <w:t>平方米，朝向为西，装修情况为普通装修的普通商品住宅房地产为标准房；</w:t>
      </w:r>
      <w:r>
        <w:rPr>
          <w:rFonts w:ascii="Arial" w:hAnsi="Arial" w:cs="Arial" w:hint="eastAsia"/>
          <w:kern w:val="2"/>
          <w:sz w:val="21"/>
          <w:szCs w:val="21"/>
        </w:rPr>
        <w:t>X38</w:t>
      </w:r>
      <w:r>
        <w:rPr>
          <w:rFonts w:ascii="Arial" w:hAnsi="Arial" w:cs="Arial" w:hint="eastAsia"/>
          <w:kern w:val="2"/>
          <w:sz w:val="21"/>
          <w:szCs w:val="21"/>
        </w:rPr>
        <w:t>鹿海园五里项目以户型为二居室，面积为</w:t>
      </w:r>
      <w:r>
        <w:rPr>
          <w:rFonts w:ascii="Arial" w:hAnsi="Arial" w:cs="Arial"/>
          <w:kern w:val="2"/>
          <w:sz w:val="21"/>
          <w:szCs w:val="21"/>
        </w:rPr>
        <w:t>109.19</w:t>
      </w:r>
      <w:r>
        <w:rPr>
          <w:rFonts w:ascii="Arial" w:hAnsi="Arial" w:cs="Arial" w:hint="eastAsia"/>
          <w:kern w:val="2"/>
          <w:sz w:val="21"/>
          <w:szCs w:val="21"/>
        </w:rPr>
        <w:t>平方米，朝向为南北，装修情况为普通装修的普通商品住宅房地产为标准房。</w:t>
      </w:r>
    </w:p>
    <w:p w14:paraId="2D635788" w14:textId="77777777" w:rsidR="00000000" w:rsidRDefault="00000000">
      <w:pPr>
        <w:spacing w:line="560" w:lineRule="exact"/>
        <w:ind w:firstLineChars="200" w:firstLine="420"/>
        <w:rPr>
          <w:rFonts w:ascii="Arial" w:hAnsi="Arial" w:cs="Arial"/>
          <w:sz w:val="21"/>
          <w:szCs w:val="21"/>
        </w:rPr>
      </w:pPr>
      <w:r>
        <w:rPr>
          <w:rFonts w:ascii="Arial" w:hAnsi="Arial" w:cs="Arial"/>
          <w:sz w:val="21"/>
          <w:szCs w:val="21"/>
        </w:rPr>
        <w:t>5.</w:t>
      </w:r>
      <w:r>
        <w:rPr>
          <w:rFonts w:ascii="Arial" w:hAnsi="Arial" w:cs="Arial"/>
          <w:sz w:val="21"/>
          <w:szCs w:val="21"/>
        </w:rPr>
        <w:t>租金估价结果</w:t>
      </w:r>
      <w:r>
        <w:rPr>
          <w:rFonts w:ascii="Arial" w:hAnsi="Arial" w:cs="Arial" w:hint="eastAsia"/>
          <w:sz w:val="21"/>
          <w:szCs w:val="21"/>
        </w:rPr>
        <w:t>包括地租、房屋折旧、设备折旧、维修费、保险费、物业费、管理费、利息、利润等；不含供暖费、水电费、天然气费、通信费、有线电视费、上网宽带费和家具、家电租赁费及租赁税费等</w:t>
      </w:r>
      <w:r>
        <w:rPr>
          <w:rFonts w:ascii="Arial" w:hAnsi="Arial" w:cs="Arial"/>
          <w:sz w:val="21"/>
          <w:szCs w:val="21"/>
        </w:rPr>
        <w:t>。</w:t>
      </w:r>
    </w:p>
    <w:p w14:paraId="5721B81F"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p>
    <w:p w14:paraId="43A1748C" w14:textId="77777777" w:rsidR="00000000" w:rsidRDefault="000000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8" w:name="_Toc168225819"/>
      <w:bookmarkStart w:id="29" w:name="_Toc2558"/>
      <w:r>
        <w:rPr>
          <w:rFonts w:eastAsia="宋体"/>
          <w:kern w:val="2"/>
          <w:sz w:val="21"/>
          <w:szCs w:val="21"/>
        </w:rPr>
        <w:t>七、估价原则</w:t>
      </w:r>
      <w:bookmarkEnd w:id="28"/>
      <w:bookmarkEnd w:id="29"/>
    </w:p>
    <w:p w14:paraId="2400FF4B" w14:textId="77777777" w:rsidR="00000000" w:rsidRDefault="00000000">
      <w:pPr>
        <w:wordWrap w:val="0"/>
        <w:overflowPunct w:val="0"/>
        <w:spacing w:line="480" w:lineRule="auto"/>
        <w:ind w:firstLineChars="202" w:firstLine="424"/>
        <w:jc w:val="both"/>
        <w:textAlignment w:val="auto"/>
        <w:rPr>
          <w:rFonts w:ascii="Arial" w:hAnsi="Arial" w:cs="Arial"/>
          <w:sz w:val="21"/>
          <w:szCs w:val="21"/>
        </w:rPr>
      </w:pPr>
      <w:r>
        <w:rPr>
          <w:rFonts w:ascii="Arial" w:hAnsi="Arial" w:cs="Arial"/>
          <w:sz w:val="21"/>
          <w:szCs w:val="21"/>
        </w:rPr>
        <w:t>我们在本次估价时遵循了以下原则：</w:t>
      </w:r>
      <w:r>
        <w:rPr>
          <w:rFonts w:ascii="Arial" w:hAnsi="Arial" w:cs="Arial"/>
          <w:sz w:val="21"/>
          <w:szCs w:val="21"/>
        </w:rPr>
        <w:t xml:space="preserve"> </w:t>
      </w:r>
    </w:p>
    <w:p w14:paraId="554EB151" w14:textId="77777777" w:rsidR="00000000" w:rsidRDefault="00000000">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（一）独立、客观、公正原则</w:t>
      </w:r>
    </w:p>
    <w:p w14:paraId="46F55ECC" w14:textId="77777777" w:rsidR="00000000" w:rsidRDefault="00000000">
      <w:pPr>
        <w:wordWrap w:val="0"/>
        <w:overflowPunct w:val="0"/>
        <w:spacing w:line="480" w:lineRule="auto"/>
        <w:ind w:firstLineChars="200" w:firstLine="420"/>
        <w:jc w:val="both"/>
        <w:textAlignment w:val="auto"/>
        <w:rPr>
          <w:rFonts w:ascii="Arial" w:hAnsi="Arial" w:cs="Arial" w:hint="eastAsia"/>
          <w:sz w:val="21"/>
          <w:szCs w:val="21"/>
        </w:rPr>
      </w:pPr>
      <w:r>
        <w:rPr>
          <w:rFonts w:ascii="Arial" w:hAnsi="Arial" w:cs="Arial"/>
          <w:sz w:val="21"/>
          <w:szCs w:val="21"/>
        </w:rPr>
        <w:t>独立、客观、公正原则要求</w:t>
      </w:r>
      <w:r>
        <w:rPr>
          <w:rFonts w:ascii="Arial" w:hAnsi="Arial" w:cs="Arial" w:hint="eastAsia"/>
          <w:sz w:val="21"/>
          <w:szCs w:val="21"/>
        </w:rPr>
        <w:t>注册房地产估价师</w:t>
      </w:r>
      <w:r>
        <w:rPr>
          <w:rFonts w:ascii="Arial" w:hAnsi="Arial" w:cs="Arial"/>
          <w:sz w:val="21"/>
          <w:szCs w:val="21"/>
        </w:rPr>
        <w:t>站在中立的立场上，评估出对各方当事人来说均是公平合理的价格。独立、客观、公正原则是房地产估价的基本原则，也是房地产估价中的最高行为准</w:t>
      </w:r>
      <w:r>
        <w:rPr>
          <w:rFonts w:ascii="Arial" w:hAnsi="Arial" w:cs="Arial"/>
          <w:sz w:val="21"/>
          <w:szCs w:val="21"/>
        </w:rPr>
        <w:lastRenderedPageBreak/>
        <w:t>则。</w:t>
      </w:r>
    </w:p>
    <w:p w14:paraId="4E4280F0" w14:textId="77777777" w:rsidR="00000000" w:rsidRDefault="00000000">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（二）合法原则</w:t>
      </w:r>
    </w:p>
    <w:p w14:paraId="6859664E"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等允许的处分方式为依据；在其他方面，如评估出的价格必须符合国家的价格政策</w:t>
      </w:r>
      <w:r>
        <w:rPr>
          <w:rFonts w:ascii="Arial" w:hAnsi="Arial" w:cs="Arial"/>
          <w:sz w:val="21"/>
          <w:szCs w:val="21"/>
        </w:rPr>
        <w:t>。</w:t>
      </w:r>
    </w:p>
    <w:p w14:paraId="48B6A67C" w14:textId="77777777" w:rsidR="00000000" w:rsidRDefault="00000000">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（三）最高最佳利用原则</w:t>
      </w:r>
    </w:p>
    <w:p w14:paraId="221DCF52"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6CA74252"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本次估价对象位于北京市大兴</w:t>
      </w:r>
      <w:r>
        <w:rPr>
          <w:rFonts w:ascii="Arial" w:hAnsi="Arial" w:cs="Arial" w:hint="eastAsia"/>
          <w:kern w:val="2"/>
          <w:sz w:val="21"/>
          <w:szCs w:val="21"/>
        </w:rPr>
        <w:t>区</w:t>
      </w:r>
      <w:r>
        <w:rPr>
          <w:rFonts w:ascii="Arial" w:hAnsi="Arial" w:cs="Arial"/>
          <w:sz w:val="21"/>
          <w:szCs w:val="21"/>
        </w:rPr>
        <w:t>，估价对象</w:t>
      </w:r>
      <w:r>
        <w:rPr>
          <w:rFonts w:ascii="Arial" w:hAnsi="Arial" w:cs="Arial" w:hint="eastAsia"/>
          <w:sz w:val="21"/>
          <w:szCs w:val="21"/>
        </w:rPr>
        <w:t>现作为公共租赁住房使用</w:t>
      </w:r>
      <w:r>
        <w:rPr>
          <w:rFonts w:ascii="Arial" w:hAnsi="Arial" w:cs="Arial"/>
          <w:sz w:val="21"/>
          <w:szCs w:val="21"/>
        </w:rPr>
        <w:t>，程序上合规；其土地用途为住宅，符合城市规划限制的要求；估价对象依据相关政策及批复进行建设，其建筑结构及布局在技术上能满足</w:t>
      </w:r>
      <w:r>
        <w:rPr>
          <w:rFonts w:ascii="Arial" w:hAnsi="Arial" w:cs="Arial" w:hint="eastAsia"/>
          <w:sz w:val="21"/>
          <w:szCs w:val="21"/>
        </w:rPr>
        <w:t>公共租赁</w:t>
      </w:r>
      <w:r>
        <w:rPr>
          <w:rFonts w:ascii="Arial" w:hAnsi="Arial" w:cs="Arial"/>
          <w:sz w:val="21"/>
          <w:szCs w:val="21"/>
        </w:rPr>
        <w:t>住房的要求，按照不高于市场租金水平进行配租，经济效益较普通商品住宅低，作为政策性住房，其主要目的是为满足</w:t>
      </w:r>
      <w:r>
        <w:rPr>
          <w:rFonts w:ascii="Arial" w:hAnsi="Arial" w:cs="Arial" w:hint="eastAsia"/>
          <w:sz w:val="21"/>
          <w:szCs w:val="21"/>
        </w:rPr>
        <w:t>各类人才对</w:t>
      </w:r>
      <w:r>
        <w:rPr>
          <w:rFonts w:ascii="Arial" w:hAnsi="Arial" w:cs="Arial"/>
          <w:sz w:val="21"/>
          <w:szCs w:val="21"/>
        </w:rPr>
        <w:t>住房</w:t>
      </w:r>
      <w:r>
        <w:rPr>
          <w:rFonts w:ascii="Arial" w:hAnsi="Arial" w:cs="Arial" w:hint="eastAsia"/>
          <w:sz w:val="21"/>
          <w:szCs w:val="21"/>
        </w:rPr>
        <w:t>的实际</w:t>
      </w:r>
      <w:r>
        <w:rPr>
          <w:rFonts w:ascii="Arial" w:hAnsi="Arial" w:cs="Arial"/>
          <w:sz w:val="21"/>
          <w:szCs w:val="21"/>
        </w:rPr>
        <w:t>需求，因此，建设</w:t>
      </w:r>
      <w:r>
        <w:rPr>
          <w:rFonts w:ascii="Arial" w:hAnsi="Arial" w:cs="Arial" w:hint="eastAsia"/>
          <w:sz w:val="21"/>
          <w:szCs w:val="21"/>
        </w:rPr>
        <w:t>公共租赁</w:t>
      </w:r>
      <w:r>
        <w:rPr>
          <w:rFonts w:ascii="Arial" w:hAnsi="Arial" w:cs="Arial"/>
          <w:sz w:val="21"/>
          <w:szCs w:val="21"/>
        </w:rPr>
        <w:t>住房具有很大的社会效益。故估价对象符合最高最佳利用原则。</w:t>
      </w:r>
    </w:p>
    <w:p w14:paraId="67A83335" w14:textId="77777777" w:rsidR="00000000" w:rsidRDefault="00000000">
      <w:pPr>
        <w:wordWrap w:val="0"/>
        <w:overflowPunct w:val="0"/>
        <w:spacing w:line="480" w:lineRule="auto"/>
        <w:jc w:val="both"/>
        <w:textAlignment w:val="auto"/>
        <w:rPr>
          <w:rFonts w:ascii="Arial" w:hAnsi="Arial" w:cs="Arial"/>
          <w:b/>
          <w:sz w:val="21"/>
          <w:szCs w:val="21"/>
        </w:rPr>
      </w:pPr>
      <w:r>
        <w:rPr>
          <w:rFonts w:ascii="Arial" w:hAnsi="Arial" w:cs="Arial"/>
          <w:b/>
          <w:sz w:val="21"/>
          <w:szCs w:val="21"/>
        </w:rPr>
        <w:t>（四）替代原则</w:t>
      </w:r>
    </w:p>
    <w:p w14:paraId="3AC155FD"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260CADAB"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4F6F3C08" w14:textId="77777777" w:rsidR="00000000" w:rsidRDefault="00000000">
      <w:pPr>
        <w:wordWrap w:val="0"/>
        <w:overflowPunct w:val="0"/>
        <w:spacing w:line="480" w:lineRule="auto"/>
        <w:jc w:val="both"/>
        <w:textAlignment w:val="auto"/>
        <w:rPr>
          <w:rFonts w:ascii="Arial" w:hAnsi="Arial" w:cs="Arial"/>
          <w:b/>
          <w:sz w:val="21"/>
          <w:szCs w:val="21"/>
        </w:rPr>
      </w:pPr>
      <w:r>
        <w:rPr>
          <w:rFonts w:ascii="Arial" w:hAnsi="Arial" w:cs="Arial"/>
          <w:b/>
          <w:sz w:val="21"/>
          <w:szCs w:val="21"/>
        </w:rPr>
        <w:lastRenderedPageBreak/>
        <w:t>（五）价值时点原则</w:t>
      </w:r>
    </w:p>
    <w:p w14:paraId="795EE09C"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47DBBB7B"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53B42C6F"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Pr>
          <w:rFonts w:ascii="Arial" w:hAnsi="Arial" w:cs="Arial"/>
          <w:sz w:val="21"/>
          <w:szCs w:val="21"/>
        </w:rPr>
        <w:t>12</w:t>
      </w:r>
      <w:r>
        <w:rPr>
          <w:rFonts w:ascii="Arial" w:hAnsi="Arial" w:cs="Arial"/>
          <w:sz w:val="21"/>
          <w:szCs w:val="21"/>
        </w:rPr>
        <w:t>个月的</w:t>
      </w:r>
      <w:r>
        <w:rPr>
          <w:rFonts w:ascii="Arial" w:hAnsi="Arial" w:cs="Arial" w:hint="eastAsia"/>
          <w:sz w:val="21"/>
          <w:szCs w:val="21"/>
        </w:rPr>
        <w:t>市场</w:t>
      </w:r>
      <w:r>
        <w:rPr>
          <w:rFonts w:ascii="Arial" w:hAnsi="Arial" w:cs="Arial"/>
          <w:sz w:val="21"/>
          <w:szCs w:val="21"/>
        </w:rPr>
        <w:t>租金水平，这样可以避免季节性波动带来的时点差异，并在此基础上评估价值时点前一年内的市场平均租金水平，更好地满足估价委托人估价的目的</w:t>
      </w:r>
      <w:r>
        <w:rPr>
          <w:rFonts w:ascii="Arial" w:hAnsi="Arial" w:cs="Arial" w:hint="eastAsia"/>
          <w:sz w:val="21"/>
          <w:szCs w:val="21"/>
        </w:rPr>
        <w:t>。</w:t>
      </w:r>
    </w:p>
    <w:p w14:paraId="4219747E" w14:textId="77777777" w:rsidR="00000000" w:rsidRDefault="00000000">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ascii="Arial" w:hAnsi="Arial" w:cs="Arial" w:hint="eastAsia"/>
          <w:b/>
          <w:sz w:val="21"/>
          <w:szCs w:val="21"/>
        </w:rPr>
        <w:t>六</w:t>
      </w:r>
      <w:r>
        <w:rPr>
          <w:rFonts w:ascii="Arial" w:hAnsi="Arial" w:cs="Arial"/>
          <w:b/>
          <w:sz w:val="21"/>
          <w:szCs w:val="21"/>
        </w:rPr>
        <w:t>）</w:t>
      </w:r>
      <w:r>
        <w:rPr>
          <w:rFonts w:ascii="Arial" w:hAnsi="Arial" w:cs="Arial" w:hint="eastAsia"/>
          <w:b/>
          <w:sz w:val="21"/>
          <w:szCs w:val="21"/>
        </w:rPr>
        <w:t>固定用途使用原则</w:t>
      </w:r>
    </w:p>
    <w:p w14:paraId="6596DB44" w14:textId="77777777" w:rsidR="00000000" w:rsidRDefault="00000000">
      <w:pPr>
        <w:wordWrap w:val="0"/>
        <w:overflowPunct w:val="0"/>
        <w:spacing w:line="480" w:lineRule="auto"/>
        <w:ind w:firstLineChars="200" w:firstLine="420"/>
        <w:jc w:val="both"/>
        <w:textAlignment w:val="auto"/>
        <w:rPr>
          <w:rFonts w:ascii="Arial" w:hAnsi="Arial" w:cs="Arial" w:hint="eastAsia"/>
          <w:sz w:val="21"/>
          <w:szCs w:val="21"/>
        </w:rPr>
      </w:pPr>
      <w:r>
        <w:rPr>
          <w:rFonts w:ascii="Arial" w:hAnsi="Arial" w:cs="Arial" w:hint="eastAsia"/>
          <w:sz w:val="21"/>
          <w:szCs w:val="21"/>
        </w:rPr>
        <w:t>公共租赁住房是由国家提供政策支持、限定建设标准和租金水平，面向符合规定条件的城镇中等偏下收入住房困难家庭、新进就业无房职工和在城镇稳定就业的外来务工人员出租的保障性住房。因此要求估价对象的市场租金评估应当遵循固定用途使用原则。</w:t>
      </w:r>
    </w:p>
    <w:p w14:paraId="6766A335"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p>
    <w:p w14:paraId="67900A7C" w14:textId="77777777" w:rsidR="00000000" w:rsidRDefault="000000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0" w:name="_Toc168225820"/>
      <w:bookmarkStart w:id="31" w:name="_Toc31679"/>
      <w:r>
        <w:rPr>
          <w:rFonts w:eastAsia="宋体"/>
          <w:kern w:val="2"/>
          <w:sz w:val="21"/>
          <w:szCs w:val="21"/>
        </w:rPr>
        <w:t>八、估价</w:t>
      </w:r>
      <w:bookmarkEnd w:id="30"/>
      <w:r>
        <w:rPr>
          <w:rFonts w:eastAsia="宋体"/>
          <w:kern w:val="2"/>
          <w:sz w:val="21"/>
          <w:szCs w:val="21"/>
        </w:rPr>
        <w:t>依据</w:t>
      </w:r>
      <w:bookmarkEnd w:id="31"/>
    </w:p>
    <w:p w14:paraId="1BEF15E9" w14:textId="77777777" w:rsidR="00000000" w:rsidRDefault="00000000">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（一）有关的法律、法规及技术标准文件</w:t>
      </w:r>
    </w:p>
    <w:p w14:paraId="3E283D79" w14:textId="77777777" w:rsidR="00000000" w:rsidRDefault="0000000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 xml:space="preserve">1. </w:t>
      </w:r>
      <w:r>
        <w:rPr>
          <w:rFonts w:ascii="Arial" w:hAnsi="Arial" w:cs="Arial" w:hint="eastAsia"/>
          <w:sz w:val="21"/>
          <w:szCs w:val="21"/>
        </w:rPr>
        <w:t>《中华人民共和国土地管理法》（</w:t>
      </w:r>
      <w:r>
        <w:rPr>
          <w:rFonts w:ascii="Arial" w:hAnsi="Arial" w:cs="Arial" w:hint="eastAsia"/>
          <w:sz w:val="21"/>
          <w:szCs w:val="21"/>
        </w:rPr>
        <w:t>1986</w:t>
      </w:r>
      <w:r>
        <w:rPr>
          <w:rFonts w:ascii="Arial" w:hAnsi="Arial" w:cs="Arial" w:hint="eastAsia"/>
          <w:sz w:val="21"/>
          <w:szCs w:val="21"/>
        </w:rPr>
        <w:t>年</w:t>
      </w:r>
      <w:r>
        <w:rPr>
          <w:rFonts w:ascii="Arial" w:hAnsi="Arial" w:cs="Arial" w:hint="eastAsia"/>
          <w:sz w:val="21"/>
          <w:szCs w:val="21"/>
        </w:rPr>
        <w:t>6</w:t>
      </w:r>
      <w:r>
        <w:rPr>
          <w:rFonts w:ascii="Arial" w:hAnsi="Arial" w:cs="Arial" w:hint="eastAsia"/>
          <w:sz w:val="21"/>
          <w:szCs w:val="21"/>
        </w:rPr>
        <w:t>月</w:t>
      </w:r>
      <w:r>
        <w:rPr>
          <w:rFonts w:ascii="Arial" w:hAnsi="Arial" w:cs="Arial" w:hint="eastAsia"/>
          <w:sz w:val="21"/>
          <w:szCs w:val="21"/>
        </w:rPr>
        <w:t>25</w:t>
      </w:r>
      <w:r>
        <w:rPr>
          <w:rFonts w:ascii="Arial" w:hAnsi="Arial" w:cs="Arial" w:hint="eastAsia"/>
          <w:sz w:val="21"/>
          <w:szCs w:val="21"/>
        </w:rPr>
        <w:t>日第六届全国人民代表大会常务委员会第十六次会议通过，中华人民共和国主席令第</w:t>
      </w:r>
      <w:r>
        <w:rPr>
          <w:rFonts w:ascii="Arial" w:hAnsi="Arial" w:cs="Arial" w:hint="eastAsia"/>
          <w:sz w:val="21"/>
          <w:szCs w:val="21"/>
        </w:rPr>
        <w:t>41</w:t>
      </w:r>
      <w:r>
        <w:rPr>
          <w:rFonts w:ascii="Arial" w:hAnsi="Arial" w:cs="Arial" w:hint="eastAsia"/>
          <w:sz w:val="21"/>
          <w:szCs w:val="21"/>
        </w:rPr>
        <w:t>号公布，</w:t>
      </w:r>
      <w:r>
        <w:rPr>
          <w:rFonts w:ascii="Arial" w:hAnsi="Arial" w:cs="Arial" w:hint="eastAsia"/>
          <w:sz w:val="21"/>
          <w:szCs w:val="21"/>
        </w:rPr>
        <w:t>1987</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r>
        <w:rPr>
          <w:rFonts w:ascii="Arial" w:hAnsi="Arial" w:cs="Arial" w:hint="eastAsia"/>
          <w:sz w:val="21"/>
          <w:szCs w:val="21"/>
        </w:rPr>
        <w:t>1988</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日第七届全国人民代表大会常务委员会第五次会议第一次修正通过，自</w:t>
      </w:r>
      <w:r>
        <w:rPr>
          <w:rFonts w:ascii="Arial" w:hAnsi="Arial" w:cs="Arial" w:hint="eastAsia"/>
          <w:sz w:val="21"/>
          <w:szCs w:val="21"/>
        </w:rPr>
        <w:t>1988</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日起施行；</w:t>
      </w:r>
      <w:r>
        <w:rPr>
          <w:rFonts w:ascii="Arial" w:hAnsi="Arial" w:cs="Arial" w:hint="eastAsia"/>
          <w:sz w:val="21"/>
          <w:szCs w:val="21"/>
        </w:rPr>
        <w:t>1998</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日第九届全国人民代表大会常务委员会第四次会议修订通过，中华人民共和国主席令第</w:t>
      </w:r>
      <w:r>
        <w:rPr>
          <w:rFonts w:ascii="Arial" w:hAnsi="Arial" w:cs="Arial" w:hint="eastAsia"/>
          <w:sz w:val="21"/>
          <w:szCs w:val="21"/>
        </w:rPr>
        <w:t>8</w:t>
      </w:r>
      <w:r>
        <w:rPr>
          <w:rFonts w:ascii="Arial" w:hAnsi="Arial" w:cs="Arial" w:hint="eastAsia"/>
          <w:sz w:val="21"/>
          <w:szCs w:val="21"/>
        </w:rPr>
        <w:t>号公布，自</w:t>
      </w:r>
      <w:r>
        <w:rPr>
          <w:rFonts w:ascii="Arial" w:hAnsi="Arial" w:cs="Arial" w:hint="eastAsia"/>
          <w:sz w:val="21"/>
          <w:szCs w:val="21"/>
        </w:rPr>
        <w:t>1999</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r>
        <w:rPr>
          <w:rFonts w:ascii="Arial" w:hAnsi="Arial" w:cs="Arial" w:hint="eastAsia"/>
          <w:sz w:val="21"/>
          <w:szCs w:val="21"/>
        </w:rPr>
        <w:t>2004</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28</w:t>
      </w:r>
      <w:r>
        <w:rPr>
          <w:rFonts w:ascii="Arial" w:hAnsi="Arial" w:cs="Arial" w:hint="eastAsia"/>
          <w:sz w:val="21"/>
          <w:szCs w:val="21"/>
        </w:rPr>
        <w:t>日第十届全国人民代表大会常务委员会第十一次会议第二次修正通过，中华人民共和国主席令第</w:t>
      </w:r>
      <w:r>
        <w:rPr>
          <w:rFonts w:ascii="Arial" w:hAnsi="Arial" w:cs="Arial" w:hint="eastAsia"/>
          <w:sz w:val="21"/>
          <w:szCs w:val="21"/>
        </w:rPr>
        <w:t>28</w:t>
      </w:r>
      <w:r>
        <w:rPr>
          <w:rFonts w:ascii="Arial" w:hAnsi="Arial" w:cs="Arial" w:hint="eastAsia"/>
          <w:sz w:val="21"/>
          <w:szCs w:val="21"/>
        </w:rPr>
        <w:t>号公布，自公布起日起施行；</w:t>
      </w:r>
      <w:r>
        <w:rPr>
          <w:rFonts w:ascii="Arial" w:hAnsi="Arial" w:cs="Arial" w:hint="eastAsia"/>
          <w:sz w:val="21"/>
          <w:szCs w:val="21"/>
        </w:rPr>
        <w:t>2019</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26</w:t>
      </w:r>
      <w:r>
        <w:rPr>
          <w:rFonts w:ascii="Arial" w:hAnsi="Arial" w:cs="Arial" w:hint="eastAsia"/>
          <w:sz w:val="21"/>
          <w:szCs w:val="21"/>
        </w:rPr>
        <w:t>日第十三届全国人民代表大会常务委员会第十二次会议第三次修正通过，自</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14:paraId="28CB1CC8" w14:textId="77777777" w:rsidR="00000000" w:rsidRDefault="0000000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lastRenderedPageBreak/>
        <w:t>2.</w:t>
      </w:r>
      <w:r>
        <w:rPr>
          <w:rFonts w:ascii="Arial" w:hAnsi="Arial" w:cs="Arial" w:hint="eastAsia"/>
          <w:sz w:val="21"/>
          <w:szCs w:val="21"/>
        </w:rPr>
        <w:t>《中华人民共和国资产评估法》（</w:t>
      </w:r>
      <w:r>
        <w:rPr>
          <w:rFonts w:ascii="Arial" w:hAnsi="Arial" w:cs="Arial" w:hint="eastAsia"/>
          <w:sz w:val="21"/>
          <w:szCs w:val="21"/>
        </w:rPr>
        <w:t>2016</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2</w:t>
      </w:r>
      <w:r>
        <w:rPr>
          <w:rFonts w:ascii="Arial" w:hAnsi="Arial" w:cs="Arial" w:hint="eastAsia"/>
          <w:sz w:val="21"/>
          <w:szCs w:val="21"/>
        </w:rPr>
        <w:t>日第十二届全国人民代表大会常务委员会第二十一次会议通过</w:t>
      </w:r>
      <w:r>
        <w:rPr>
          <w:rFonts w:ascii="Arial" w:hAnsi="Arial" w:cs="Arial" w:hint="eastAsia"/>
          <w:sz w:val="21"/>
          <w:szCs w:val="21"/>
        </w:rPr>
        <w:t xml:space="preserve"> 2016</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16</w:t>
      </w:r>
      <w:r>
        <w:rPr>
          <w:rFonts w:ascii="Arial" w:hAnsi="Arial" w:cs="Arial" w:hint="eastAsia"/>
          <w:sz w:val="21"/>
          <w:szCs w:val="21"/>
        </w:rPr>
        <w:t>日中华人民共和国主席令第</w:t>
      </w:r>
      <w:r>
        <w:rPr>
          <w:rFonts w:ascii="Arial" w:hAnsi="Arial" w:cs="Arial" w:hint="eastAsia"/>
          <w:sz w:val="21"/>
          <w:szCs w:val="21"/>
        </w:rPr>
        <w:t>46</w:t>
      </w:r>
      <w:r>
        <w:rPr>
          <w:rFonts w:ascii="Arial" w:hAnsi="Arial" w:cs="Arial" w:hint="eastAsia"/>
          <w:sz w:val="21"/>
          <w:szCs w:val="21"/>
        </w:rPr>
        <w:t>号公布</w:t>
      </w:r>
      <w:r>
        <w:rPr>
          <w:rFonts w:ascii="Arial" w:hAnsi="Arial" w:cs="Arial" w:hint="eastAsia"/>
          <w:sz w:val="21"/>
          <w:szCs w:val="21"/>
        </w:rPr>
        <w:t xml:space="preserve"> </w:t>
      </w:r>
      <w:r>
        <w:rPr>
          <w:rFonts w:ascii="Arial" w:hAnsi="Arial" w:cs="Arial" w:hint="eastAsia"/>
          <w:sz w:val="21"/>
          <w:szCs w:val="21"/>
        </w:rPr>
        <w:t>自</w:t>
      </w:r>
      <w:r>
        <w:rPr>
          <w:rFonts w:ascii="Arial" w:hAnsi="Arial" w:cs="Arial" w:hint="eastAsia"/>
          <w:sz w:val="21"/>
          <w:szCs w:val="21"/>
        </w:rPr>
        <w:t>2016</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14:paraId="131BE59F" w14:textId="77777777" w:rsidR="00000000" w:rsidRDefault="0000000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3.</w:t>
      </w:r>
      <w:r>
        <w:rPr>
          <w:rFonts w:ascii="Arial" w:hAnsi="Arial" w:cs="Arial" w:hint="eastAsia"/>
          <w:sz w:val="21"/>
          <w:szCs w:val="21"/>
        </w:rPr>
        <w:t>《中华人民共和国城镇国有土地使用权出让和转让暂行条例》（一九九０年五月十九日中华人民共和国国务院令第五十五号发布　自发布之日起施行）</w:t>
      </w:r>
    </w:p>
    <w:p w14:paraId="3044CABF" w14:textId="77777777" w:rsidR="00000000" w:rsidRDefault="0000000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4.</w:t>
      </w:r>
      <w:r>
        <w:rPr>
          <w:rFonts w:ascii="Arial" w:hAnsi="Arial" w:cs="Arial" w:hint="eastAsia"/>
          <w:sz w:val="21"/>
          <w:szCs w:val="21"/>
        </w:rPr>
        <w:t>《中华人民共和国民法典》（</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5</w:t>
      </w:r>
      <w:r>
        <w:rPr>
          <w:rFonts w:ascii="Arial" w:hAnsi="Arial" w:cs="Arial" w:hint="eastAsia"/>
          <w:sz w:val="21"/>
          <w:szCs w:val="21"/>
        </w:rPr>
        <w:t>月</w:t>
      </w:r>
      <w:r>
        <w:rPr>
          <w:rFonts w:ascii="Arial" w:hAnsi="Arial" w:cs="Arial" w:hint="eastAsia"/>
          <w:sz w:val="21"/>
          <w:szCs w:val="21"/>
        </w:rPr>
        <w:t>28</w:t>
      </w:r>
      <w:r>
        <w:rPr>
          <w:rFonts w:ascii="Arial" w:hAnsi="Arial" w:cs="Arial" w:hint="eastAsia"/>
          <w:sz w:val="21"/>
          <w:szCs w:val="21"/>
        </w:rPr>
        <w:t>日第十三届全国人大三次会议表决通过，自</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14:paraId="5A22CDE3" w14:textId="77777777" w:rsidR="00000000" w:rsidRDefault="0000000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5.</w:t>
      </w:r>
      <w:r>
        <w:rPr>
          <w:rFonts w:ascii="Arial" w:hAnsi="Arial" w:cs="Arial" w:hint="eastAsia"/>
          <w:sz w:val="21"/>
          <w:szCs w:val="21"/>
        </w:rPr>
        <w:t>《中华人民共和国城市房地产管理法》（</w:t>
      </w:r>
      <w:r>
        <w:rPr>
          <w:rFonts w:ascii="Arial" w:hAnsi="Arial" w:cs="Arial" w:hint="eastAsia"/>
          <w:sz w:val="21"/>
          <w:szCs w:val="21"/>
        </w:rPr>
        <w:t>1994</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5</w:t>
      </w:r>
      <w:r>
        <w:rPr>
          <w:rFonts w:ascii="Arial" w:hAnsi="Arial" w:cs="Arial" w:hint="eastAsia"/>
          <w:sz w:val="21"/>
          <w:szCs w:val="21"/>
        </w:rPr>
        <w:t>日第八届全国人民代表大会常务委员会第八次会议通过，中华人民共和国主席令第</w:t>
      </w:r>
      <w:r>
        <w:rPr>
          <w:rFonts w:ascii="Arial" w:hAnsi="Arial" w:cs="Arial" w:hint="eastAsia"/>
          <w:sz w:val="21"/>
          <w:szCs w:val="21"/>
        </w:rPr>
        <w:t>29</w:t>
      </w:r>
      <w:r>
        <w:rPr>
          <w:rFonts w:ascii="Arial" w:hAnsi="Arial" w:cs="Arial" w:hint="eastAsia"/>
          <w:sz w:val="21"/>
          <w:szCs w:val="21"/>
        </w:rPr>
        <w:t>号公布，自</w:t>
      </w:r>
      <w:r>
        <w:rPr>
          <w:rFonts w:ascii="Arial" w:hAnsi="Arial" w:cs="Arial" w:hint="eastAsia"/>
          <w:sz w:val="21"/>
          <w:szCs w:val="21"/>
        </w:rPr>
        <w:t>1995</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r>
        <w:rPr>
          <w:rFonts w:ascii="Arial" w:hAnsi="Arial" w:cs="Arial" w:hint="eastAsia"/>
          <w:sz w:val="21"/>
          <w:szCs w:val="21"/>
        </w:rPr>
        <w:t>2007</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日第十届全国人民代表大会常务委员会第二十九次会议通过第一次修正通过，中华人民共和国主席令第</w:t>
      </w:r>
      <w:r>
        <w:rPr>
          <w:rFonts w:ascii="Arial" w:hAnsi="Arial" w:cs="Arial" w:hint="eastAsia"/>
          <w:sz w:val="21"/>
          <w:szCs w:val="21"/>
        </w:rPr>
        <w:t>72</w:t>
      </w:r>
      <w:r>
        <w:rPr>
          <w:rFonts w:ascii="Arial" w:hAnsi="Arial" w:cs="Arial" w:hint="eastAsia"/>
          <w:sz w:val="21"/>
          <w:szCs w:val="21"/>
        </w:rPr>
        <w:t>号公布，自公布之日起施行；</w:t>
      </w:r>
      <w:r>
        <w:rPr>
          <w:rFonts w:ascii="Arial" w:hAnsi="Arial" w:cs="Arial" w:hint="eastAsia"/>
          <w:sz w:val="21"/>
          <w:szCs w:val="21"/>
        </w:rPr>
        <w:t>2009</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27</w:t>
      </w:r>
      <w:r>
        <w:rPr>
          <w:rFonts w:ascii="Arial" w:hAnsi="Arial" w:cs="Arial" w:hint="eastAsia"/>
          <w:sz w:val="21"/>
          <w:szCs w:val="21"/>
        </w:rPr>
        <w:t>日第十一届全国人民代表大会常务委员会第十次会议第二次修正通过，中华人民共和国主席令第</w:t>
      </w:r>
      <w:r>
        <w:rPr>
          <w:rFonts w:ascii="Arial" w:hAnsi="Arial" w:cs="Arial" w:hint="eastAsia"/>
          <w:sz w:val="21"/>
          <w:szCs w:val="21"/>
        </w:rPr>
        <w:t>18</w:t>
      </w:r>
      <w:r>
        <w:rPr>
          <w:rFonts w:ascii="Arial" w:hAnsi="Arial" w:cs="Arial" w:hint="eastAsia"/>
          <w:sz w:val="21"/>
          <w:szCs w:val="21"/>
        </w:rPr>
        <w:t>号公布，自公布之日起施行；</w:t>
      </w:r>
      <w:r>
        <w:rPr>
          <w:rFonts w:ascii="Arial" w:hAnsi="Arial" w:cs="Arial" w:hint="eastAsia"/>
          <w:sz w:val="21"/>
          <w:szCs w:val="21"/>
        </w:rPr>
        <w:t>2019</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26</w:t>
      </w:r>
      <w:r>
        <w:rPr>
          <w:rFonts w:ascii="Arial" w:hAnsi="Arial" w:cs="Arial" w:hint="eastAsia"/>
          <w:sz w:val="21"/>
          <w:szCs w:val="21"/>
        </w:rPr>
        <w:t>日第十三届全国人大常委会第十二次会议通过第三次修正，自</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14:paraId="044168C4" w14:textId="77777777" w:rsidR="00000000" w:rsidRDefault="0000000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6.</w:t>
      </w:r>
      <w:r>
        <w:rPr>
          <w:rFonts w:ascii="Arial" w:hAnsi="Arial" w:cs="Arial" w:hint="eastAsia"/>
          <w:sz w:val="21"/>
          <w:szCs w:val="21"/>
        </w:rPr>
        <w:t>《关于运用政府和社会资本合作模式推进公共租赁住房投资建设和运营管理的通知》</w:t>
      </w:r>
      <w:r>
        <w:rPr>
          <w:rFonts w:ascii="Arial" w:hAnsi="Arial" w:cs="Arial" w:hint="eastAsia"/>
          <w:sz w:val="21"/>
          <w:szCs w:val="21"/>
        </w:rPr>
        <w:t>[</w:t>
      </w:r>
      <w:r>
        <w:rPr>
          <w:rFonts w:ascii="Arial" w:hAnsi="Arial" w:cs="Arial" w:hint="eastAsia"/>
          <w:sz w:val="21"/>
          <w:szCs w:val="21"/>
        </w:rPr>
        <w:t>财综</w:t>
      </w:r>
      <w:r>
        <w:rPr>
          <w:rFonts w:ascii="Arial" w:hAnsi="Arial" w:cs="Arial" w:hint="eastAsia"/>
          <w:sz w:val="21"/>
          <w:szCs w:val="21"/>
        </w:rPr>
        <w:t>[2015]15</w:t>
      </w:r>
      <w:r>
        <w:rPr>
          <w:rFonts w:ascii="Arial" w:hAnsi="Arial" w:cs="Arial" w:hint="eastAsia"/>
          <w:sz w:val="21"/>
          <w:szCs w:val="21"/>
        </w:rPr>
        <w:t>号</w:t>
      </w:r>
      <w:r>
        <w:rPr>
          <w:rFonts w:ascii="Arial" w:hAnsi="Arial" w:cs="Arial" w:hint="eastAsia"/>
          <w:sz w:val="21"/>
          <w:szCs w:val="21"/>
        </w:rPr>
        <w:t>]</w:t>
      </w:r>
    </w:p>
    <w:p w14:paraId="5C5CDEE0" w14:textId="77777777" w:rsidR="00000000" w:rsidRDefault="0000000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7.</w:t>
      </w:r>
      <w:r>
        <w:rPr>
          <w:rFonts w:ascii="Arial" w:hAnsi="Arial" w:cs="Arial" w:hint="eastAsia"/>
          <w:sz w:val="21"/>
          <w:szCs w:val="21"/>
        </w:rPr>
        <w:t>《公共租赁住房管理办法》</w:t>
      </w:r>
      <w:r>
        <w:rPr>
          <w:rFonts w:ascii="Arial" w:hAnsi="Arial" w:cs="Arial" w:hint="eastAsia"/>
          <w:sz w:val="21"/>
          <w:szCs w:val="21"/>
        </w:rPr>
        <w:t>[</w:t>
      </w:r>
      <w:r>
        <w:rPr>
          <w:rFonts w:ascii="Arial" w:hAnsi="Arial" w:cs="Arial" w:hint="eastAsia"/>
          <w:sz w:val="21"/>
          <w:szCs w:val="21"/>
        </w:rPr>
        <w:t>住房和城乡建设部令第</w:t>
      </w:r>
      <w:r>
        <w:rPr>
          <w:rFonts w:ascii="Arial" w:hAnsi="Arial" w:cs="Arial" w:hint="eastAsia"/>
          <w:sz w:val="21"/>
          <w:szCs w:val="21"/>
        </w:rPr>
        <w:t>11</w:t>
      </w:r>
      <w:r>
        <w:rPr>
          <w:rFonts w:ascii="Arial" w:hAnsi="Arial" w:cs="Arial" w:hint="eastAsia"/>
          <w:sz w:val="21"/>
          <w:szCs w:val="21"/>
        </w:rPr>
        <w:t>号</w:t>
      </w:r>
      <w:r>
        <w:rPr>
          <w:rFonts w:ascii="Arial" w:hAnsi="Arial" w:cs="Arial" w:hint="eastAsia"/>
          <w:sz w:val="21"/>
          <w:szCs w:val="21"/>
        </w:rPr>
        <w:t>]</w:t>
      </w:r>
    </w:p>
    <w:p w14:paraId="71DF0FA3" w14:textId="77777777" w:rsidR="00000000" w:rsidRDefault="0000000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8.</w:t>
      </w:r>
      <w:r>
        <w:rPr>
          <w:rFonts w:ascii="Arial" w:hAnsi="Arial" w:cs="Arial" w:hint="eastAsia"/>
          <w:sz w:val="21"/>
          <w:szCs w:val="21"/>
        </w:rPr>
        <w:t>《关于加快发展公共租赁住房的指导意见》</w:t>
      </w:r>
      <w:r>
        <w:rPr>
          <w:rFonts w:ascii="Arial" w:hAnsi="Arial" w:cs="Arial" w:hint="eastAsia"/>
          <w:sz w:val="21"/>
          <w:szCs w:val="21"/>
        </w:rPr>
        <w:t>[</w:t>
      </w:r>
      <w:r>
        <w:rPr>
          <w:rFonts w:ascii="Arial" w:hAnsi="Arial" w:cs="Arial" w:hint="eastAsia"/>
          <w:sz w:val="21"/>
          <w:szCs w:val="21"/>
        </w:rPr>
        <w:t>建保</w:t>
      </w:r>
      <w:r>
        <w:rPr>
          <w:rFonts w:ascii="Arial" w:hAnsi="Arial" w:cs="Arial" w:hint="eastAsia"/>
          <w:sz w:val="21"/>
          <w:szCs w:val="21"/>
        </w:rPr>
        <w:t>[2010]87</w:t>
      </w:r>
      <w:r>
        <w:rPr>
          <w:rFonts w:ascii="Arial" w:hAnsi="Arial" w:cs="Arial" w:hint="eastAsia"/>
          <w:sz w:val="21"/>
          <w:szCs w:val="21"/>
        </w:rPr>
        <w:t>号</w:t>
      </w:r>
      <w:r>
        <w:rPr>
          <w:rFonts w:ascii="Arial" w:hAnsi="Arial" w:cs="Arial" w:hint="eastAsia"/>
          <w:sz w:val="21"/>
          <w:szCs w:val="21"/>
        </w:rPr>
        <w:t>]</w:t>
      </w:r>
    </w:p>
    <w:p w14:paraId="1567DF5F" w14:textId="77777777" w:rsidR="00000000" w:rsidRDefault="0000000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9.</w:t>
      </w:r>
      <w:r>
        <w:rPr>
          <w:rFonts w:ascii="Arial" w:hAnsi="Arial" w:cs="Arial" w:hint="eastAsia"/>
          <w:sz w:val="21"/>
          <w:szCs w:val="21"/>
        </w:rPr>
        <w:t>《住房城乡建设部财政部国家发展改革委关于公共租赁住房和廉租住房并轨运行的通知》</w:t>
      </w:r>
      <w:r>
        <w:rPr>
          <w:rFonts w:ascii="Arial" w:hAnsi="Arial" w:cs="Arial" w:hint="eastAsia"/>
          <w:sz w:val="21"/>
          <w:szCs w:val="21"/>
        </w:rPr>
        <w:t>[</w:t>
      </w:r>
      <w:r>
        <w:rPr>
          <w:rFonts w:ascii="Arial" w:hAnsi="Arial" w:cs="Arial" w:hint="eastAsia"/>
          <w:sz w:val="21"/>
          <w:szCs w:val="21"/>
        </w:rPr>
        <w:t>建保</w:t>
      </w:r>
      <w:r>
        <w:rPr>
          <w:rFonts w:ascii="Arial" w:hAnsi="Arial" w:cs="Arial" w:hint="eastAsia"/>
          <w:sz w:val="21"/>
          <w:szCs w:val="21"/>
        </w:rPr>
        <w:t>[2013]178</w:t>
      </w:r>
      <w:r>
        <w:rPr>
          <w:rFonts w:ascii="Arial" w:hAnsi="Arial" w:cs="Arial" w:hint="eastAsia"/>
          <w:sz w:val="21"/>
          <w:szCs w:val="21"/>
        </w:rPr>
        <w:t>号</w:t>
      </w:r>
      <w:r>
        <w:rPr>
          <w:rFonts w:ascii="Arial" w:hAnsi="Arial" w:cs="Arial" w:hint="eastAsia"/>
          <w:sz w:val="21"/>
          <w:szCs w:val="21"/>
        </w:rPr>
        <w:t>]</w:t>
      </w:r>
    </w:p>
    <w:p w14:paraId="4CF0FC6E" w14:textId="77777777" w:rsidR="00000000" w:rsidRDefault="0000000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10.</w:t>
      </w:r>
      <w:r>
        <w:rPr>
          <w:rFonts w:ascii="Arial" w:hAnsi="Arial" w:cs="Arial" w:hint="eastAsia"/>
          <w:sz w:val="21"/>
          <w:szCs w:val="21"/>
        </w:rPr>
        <w:t>《北京市人民政府关于加强本市公共租赁住房建设和管理的通知》</w:t>
      </w:r>
      <w:r>
        <w:rPr>
          <w:rFonts w:ascii="Arial" w:hAnsi="Arial" w:cs="Arial" w:hint="eastAsia"/>
          <w:sz w:val="21"/>
          <w:szCs w:val="21"/>
        </w:rPr>
        <w:t>[</w:t>
      </w:r>
      <w:r>
        <w:rPr>
          <w:rFonts w:ascii="Arial" w:hAnsi="Arial" w:cs="Arial" w:hint="eastAsia"/>
          <w:sz w:val="21"/>
          <w:szCs w:val="21"/>
        </w:rPr>
        <w:t>京政发〔</w:t>
      </w:r>
      <w:r>
        <w:rPr>
          <w:rFonts w:ascii="Arial" w:hAnsi="Arial" w:cs="Arial" w:hint="eastAsia"/>
          <w:sz w:val="21"/>
          <w:szCs w:val="21"/>
        </w:rPr>
        <w:t>2011</w:t>
      </w:r>
      <w:r>
        <w:rPr>
          <w:rFonts w:ascii="Arial" w:hAnsi="Arial" w:cs="Arial" w:hint="eastAsia"/>
          <w:sz w:val="21"/>
          <w:szCs w:val="21"/>
        </w:rPr>
        <w:t>〕</w:t>
      </w:r>
      <w:r>
        <w:rPr>
          <w:rFonts w:ascii="Arial" w:hAnsi="Arial" w:cs="Arial" w:hint="eastAsia"/>
          <w:sz w:val="21"/>
          <w:szCs w:val="21"/>
        </w:rPr>
        <w:t>61</w:t>
      </w:r>
      <w:r>
        <w:rPr>
          <w:rFonts w:ascii="Arial" w:hAnsi="Arial" w:cs="Arial" w:hint="eastAsia"/>
          <w:sz w:val="21"/>
          <w:szCs w:val="21"/>
        </w:rPr>
        <w:t>号</w:t>
      </w:r>
      <w:r>
        <w:rPr>
          <w:rFonts w:ascii="Arial" w:hAnsi="Arial" w:cs="Arial" w:hint="eastAsia"/>
          <w:sz w:val="21"/>
          <w:szCs w:val="21"/>
        </w:rPr>
        <w:t>]</w:t>
      </w:r>
    </w:p>
    <w:p w14:paraId="5410D549" w14:textId="77777777" w:rsidR="00000000" w:rsidRDefault="0000000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11.</w:t>
      </w:r>
      <w:r>
        <w:rPr>
          <w:rFonts w:ascii="Arial" w:hAnsi="Arial" w:cs="Arial" w:hint="eastAsia"/>
          <w:sz w:val="21"/>
          <w:szCs w:val="21"/>
        </w:rPr>
        <w:t>《北京市住房和城乡建设委员会关于印发</w:t>
      </w:r>
      <w:r>
        <w:rPr>
          <w:rFonts w:ascii="Arial" w:hAnsi="Arial" w:cs="Arial" w:hint="eastAsia"/>
          <w:sz w:val="21"/>
          <w:szCs w:val="21"/>
        </w:rPr>
        <w:t>&lt;</w:t>
      </w:r>
      <w:r>
        <w:rPr>
          <w:rFonts w:ascii="Arial" w:hAnsi="Arial" w:cs="Arial" w:hint="eastAsia"/>
          <w:sz w:val="21"/>
          <w:szCs w:val="21"/>
        </w:rPr>
        <w:t>北京市公共租赁住房申请、审核及配租管理办法</w:t>
      </w:r>
      <w:r>
        <w:rPr>
          <w:rFonts w:ascii="Arial" w:hAnsi="Arial" w:cs="Arial" w:hint="eastAsia"/>
          <w:sz w:val="21"/>
          <w:szCs w:val="21"/>
        </w:rPr>
        <w:t>&gt;</w:t>
      </w:r>
      <w:r>
        <w:rPr>
          <w:rFonts w:ascii="Arial" w:hAnsi="Arial" w:cs="Arial" w:hint="eastAsia"/>
          <w:sz w:val="21"/>
          <w:szCs w:val="21"/>
        </w:rPr>
        <w:t>的通知》</w:t>
      </w:r>
      <w:r>
        <w:rPr>
          <w:rFonts w:ascii="Arial" w:hAnsi="Arial" w:cs="Arial" w:hint="eastAsia"/>
          <w:sz w:val="21"/>
          <w:szCs w:val="21"/>
        </w:rPr>
        <w:t>[</w:t>
      </w:r>
      <w:r>
        <w:rPr>
          <w:rFonts w:ascii="Arial" w:hAnsi="Arial" w:cs="Arial" w:hint="eastAsia"/>
          <w:sz w:val="21"/>
          <w:szCs w:val="21"/>
        </w:rPr>
        <w:t>京建法</w:t>
      </w:r>
      <w:r>
        <w:rPr>
          <w:rFonts w:ascii="Arial" w:hAnsi="Arial" w:cs="Arial" w:hint="eastAsia"/>
          <w:sz w:val="21"/>
          <w:szCs w:val="21"/>
        </w:rPr>
        <w:t>[2011]25</w:t>
      </w:r>
      <w:r>
        <w:rPr>
          <w:rFonts w:ascii="Arial" w:hAnsi="Arial" w:cs="Arial" w:hint="eastAsia"/>
          <w:sz w:val="21"/>
          <w:szCs w:val="21"/>
        </w:rPr>
        <w:t>号</w:t>
      </w:r>
      <w:r>
        <w:rPr>
          <w:rFonts w:ascii="Arial" w:hAnsi="Arial" w:cs="Arial" w:hint="eastAsia"/>
          <w:sz w:val="21"/>
          <w:szCs w:val="21"/>
        </w:rPr>
        <w:t>]</w:t>
      </w:r>
    </w:p>
    <w:p w14:paraId="24D33CBE" w14:textId="77777777" w:rsidR="00000000" w:rsidRDefault="0000000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12.</w:t>
      </w:r>
      <w:r>
        <w:rPr>
          <w:rFonts w:ascii="Arial" w:hAnsi="Arial" w:cs="Arial" w:hint="eastAsia"/>
          <w:sz w:val="21"/>
          <w:szCs w:val="21"/>
        </w:rPr>
        <w:t>《关于贯彻落实公共租赁住房税收优惠政策有关问题的通知》</w:t>
      </w:r>
      <w:r>
        <w:rPr>
          <w:rFonts w:ascii="Arial" w:hAnsi="Arial" w:cs="Arial" w:hint="eastAsia"/>
          <w:sz w:val="21"/>
          <w:szCs w:val="21"/>
        </w:rPr>
        <w:t>[</w:t>
      </w:r>
      <w:r>
        <w:rPr>
          <w:rFonts w:ascii="Arial" w:hAnsi="Arial" w:cs="Arial" w:hint="eastAsia"/>
          <w:sz w:val="21"/>
          <w:szCs w:val="21"/>
        </w:rPr>
        <w:t>京建发</w:t>
      </w:r>
      <w:r>
        <w:rPr>
          <w:rFonts w:ascii="Arial" w:hAnsi="Arial" w:cs="Arial" w:hint="eastAsia"/>
          <w:sz w:val="21"/>
          <w:szCs w:val="21"/>
        </w:rPr>
        <w:t>[2011]227</w:t>
      </w:r>
      <w:r>
        <w:rPr>
          <w:rFonts w:ascii="Arial" w:hAnsi="Arial" w:cs="Arial" w:hint="eastAsia"/>
          <w:sz w:val="21"/>
          <w:szCs w:val="21"/>
        </w:rPr>
        <w:t>号</w:t>
      </w:r>
      <w:r>
        <w:rPr>
          <w:rFonts w:ascii="Arial" w:hAnsi="Arial" w:cs="Arial" w:hint="eastAsia"/>
          <w:sz w:val="21"/>
          <w:szCs w:val="21"/>
        </w:rPr>
        <w:t>]</w:t>
      </w:r>
    </w:p>
    <w:p w14:paraId="56CE1C17" w14:textId="77777777" w:rsidR="00000000" w:rsidRDefault="0000000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13.</w:t>
      </w:r>
      <w:r>
        <w:rPr>
          <w:rFonts w:ascii="Arial" w:hAnsi="Arial" w:cs="Arial" w:hint="eastAsia"/>
          <w:sz w:val="21"/>
          <w:szCs w:val="21"/>
        </w:rPr>
        <w:t>《关于印发</w:t>
      </w:r>
      <w:r>
        <w:rPr>
          <w:rFonts w:ascii="Arial" w:hAnsi="Arial" w:cs="Arial" w:hint="eastAsia"/>
          <w:sz w:val="21"/>
          <w:szCs w:val="21"/>
        </w:rPr>
        <w:t>&lt;</w:t>
      </w:r>
      <w:r>
        <w:rPr>
          <w:rFonts w:ascii="Arial" w:hAnsi="Arial" w:cs="Arial" w:hint="eastAsia"/>
          <w:sz w:val="21"/>
          <w:szCs w:val="21"/>
        </w:rPr>
        <w:t>北京市公共租赁住房管理办法（试行）</w:t>
      </w:r>
      <w:r>
        <w:rPr>
          <w:rFonts w:ascii="Arial" w:hAnsi="Arial" w:cs="Arial" w:hint="eastAsia"/>
          <w:sz w:val="21"/>
          <w:szCs w:val="21"/>
        </w:rPr>
        <w:t>&gt;</w:t>
      </w:r>
      <w:r>
        <w:rPr>
          <w:rFonts w:ascii="Arial" w:hAnsi="Arial" w:cs="Arial" w:hint="eastAsia"/>
          <w:sz w:val="21"/>
          <w:szCs w:val="21"/>
        </w:rPr>
        <w:t>的通知》</w:t>
      </w:r>
      <w:r>
        <w:rPr>
          <w:rFonts w:ascii="Arial" w:hAnsi="Arial" w:cs="Arial" w:hint="eastAsia"/>
          <w:sz w:val="21"/>
          <w:szCs w:val="21"/>
        </w:rPr>
        <w:t>[</w:t>
      </w:r>
      <w:r>
        <w:rPr>
          <w:rFonts w:ascii="Arial" w:hAnsi="Arial" w:cs="Arial" w:hint="eastAsia"/>
          <w:sz w:val="21"/>
          <w:szCs w:val="21"/>
        </w:rPr>
        <w:t>京建住</w:t>
      </w:r>
      <w:r>
        <w:rPr>
          <w:rFonts w:ascii="Arial" w:hAnsi="Arial" w:cs="Arial" w:hint="eastAsia"/>
          <w:sz w:val="21"/>
          <w:szCs w:val="21"/>
        </w:rPr>
        <w:t>[2009]525</w:t>
      </w:r>
      <w:r>
        <w:rPr>
          <w:rFonts w:ascii="Arial" w:hAnsi="Arial" w:cs="Arial" w:hint="eastAsia"/>
          <w:sz w:val="21"/>
          <w:szCs w:val="21"/>
        </w:rPr>
        <w:t>号</w:t>
      </w:r>
      <w:r>
        <w:rPr>
          <w:rFonts w:ascii="Arial" w:hAnsi="Arial" w:cs="Arial" w:hint="eastAsia"/>
          <w:sz w:val="21"/>
          <w:szCs w:val="21"/>
        </w:rPr>
        <w:t>]</w:t>
      </w:r>
    </w:p>
    <w:p w14:paraId="3C187ABE" w14:textId="77777777" w:rsidR="00000000" w:rsidRDefault="0000000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14.</w:t>
      </w:r>
      <w:r>
        <w:rPr>
          <w:rFonts w:ascii="Arial" w:hAnsi="Arial" w:cs="Arial" w:hint="eastAsia"/>
          <w:sz w:val="21"/>
          <w:szCs w:val="21"/>
        </w:rPr>
        <w:t>《北京市公共租赁住房建设技术导则（试行）》</w:t>
      </w:r>
      <w:r>
        <w:rPr>
          <w:rFonts w:ascii="Arial" w:hAnsi="Arial" w:cs="Arial" w:hint="eastAsia"/>
          <w:sz w:val="21"/>
          <w:szCs w:val="21"/>
        </w:rPr>
        <w:t>[</w:t>
      </w:r>
      <w:r>
        <w:rPr>
          <w:rFonts w:ascii="Arial" w:hAnsi="Arial" w:cs="Arial" w:hint="eastAsia"/>
          <w:sz w:val="21"/>
          <w:szCs w:val="21"/>
        </w:rPr>
        <w:t>京建发（</w:t>
      </w:r>
      <w:r>
        <w:rPr>
          <w:rFonts w:ascii="Arial" w:hAnsi="Arial" w:cs="Arial" w:hint="eastAsia"/>
          <w:sz w:val="21"/>
          <w:szCs w:val="21"/>
        </w:rPr>
        <w:t>2010</w:t>
      </w:r>
      <w:r>
        <w:rPr>
          <w:rFonts w:ascii="Arial" w:hAnsi="Arial" w:cs="Arial" w:hint="eastAsia"/>
          <w:sz w:val="21"/>
          <w:szCs w:val="21"/>
        </w:rPr>
        <w:t>）</w:t>
      </w:r>
      <w:r>
        <w:rPr>
          <w:rFonts w:ascii="Arial" w:hAnsi="Arial" w:cs="Arial" w:hint="eastAsia"/>
          <w:sz w:val="21"/>
          <w:szCs w:val="21"/>
        </w:rPr>
        <w:t>413</w:t>
      </w:r>
      <w:r>
        <w:rPr>
          <w:rFonts w:ascii="Arial" w:hAnsi="Arial" w:cs="Arial" w:hint="eastAsia"/>
          <w:sz w:val="21"/>
          <w:szCs w:val="21"/>
        </w:rPr>
        <w:t>号</w:t>
      </w:r>
      <w:r>
        <w:rPr>
          <w:rFonts w:ascii="Arial" w:hAnsi="Arial" w:cs="Arial" w:hint="eastAsia"/>
          <w:sz w:val="21"/>
          <w:szCs w:val="21"/>
        </w:rPr>
        <w:t>]</w:t>
      </w:r>
    </w:p>
    <w:p w14:paraId="1229A371" w14:textId="77777777" w:rsidR="00000000" w:rsidRDefault="0000000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15.</w:t>
      </w:r>
      <w:r>
        <w:rPr>
          <w:rFonts w:ascii="Arial" w:hAnsi="Arial" w:cs="Arial" w:hint="eastAsia"/>
          <w:sz w:val="21"/>
          <w:szCs w:val="21"/>
        </w:rPr>
        <w:t>《北京市公共租赁住房后期管理暂行办法》（京建法〔</w:t>
      </w:r>
      <w:r>
        <w:rPr>
          <w:rFonts w:ascii="Arial" w:hAnsi="Arial" w:cs="Arial" w:hint="eastAsia"/>
          <w:sz w:val="21"/>
          <w:szCs w:val="21"/>
        </w:rPr>
        <w:t>2013</w:t>
      </w:r>
      <w:r>
        <w:rPr>
          <w:rFonts w:ascii="Arial" w:hAnsi="Arial" w:cs="Arial" w:hint="eastAsia"/>
          <w:sz w:val="21"/>
          <w:szCs w:val="21"/>
        </w:rPr>
        <w:t>〕</w:t>
      </w:r>
      <w:r>
        <w:rPr>
          <w:rFonts w:ascii="Arial" w:hAnsi="Arial" w:cs="Arial" w:hint="eastAsia"/>
          <w:sz w:val="21"/>
          <w:szCs w:val="21"/>
        </w:rPr>
        <w:t>15</w:t>
      </w:r>
      <w:r>
        <w:rPr>
          <w:rFonts w:ascii="Arial" w:hAnsi="Arial" w:cs="Arial" w:hint="eastAsia"/>
          <w:sz w:val="21"/>
          <w:szCs w:val="21"/>
        </w:rPr>
        <w:t>号）</w:t>
      </w:r>
    </w:p>
    <w:p w14:paraId="626FE66A" w14:textId="77777777" w:rsidR="00000000" w:rsidRDefault="0000000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lastRenderedPageBreak/>
        <w:t>16.</w:t>
      </w:r>
      <w:r>
        <w:rPr>
          <w:rFonts w:ascii="Arial" w:hAnsi="Arial" w:cs="Arial" w:hint="eastAsia"/>
          <w:sz w:val="21"/>
          <w:szCs w:val="21"/>
        </w:rPr>
        <w:t>《关于公共租赁住房税收优惠政策的公告》（财政部</w:t>
      </w:r>
      <w:r>
        <w:rPr>
          <w:rFonts w:ascii="Arial" w:hAnsi="Arial" w:cs="Arial" w:hint="eastAsia"/>
          <w:sz w:val="21"/>
          <w:szCs w:val="21"/>
        </w:rPr>
        <w:t xml:space="preserve"> </w:t>
      </w:r>
      <w:r>
        <w:rPr>
          <w:rFonts w:ascii="Arial" w:hAnsi="Arial" w:cs="Arial" w:hint="eastAsia"/>
          <w:sz w:val="21"/>
          <w:szCs w:val="21"/>
        </w:rPr>
        <w:t>税务总局公告</w:t>
      </w:r>
      <w:r>
        <w:rPr>
          <w:rFonts w:ascii="Arial" w:hAnsi="Arial" w:cs="Arial" w:hint="eastAsia"/>
          <w:sz w:val="21"/>
          <w:szCs w:val="21"/>
        </w:rPr>
        <w:t>2019</w:t>
      </w:r>
      <w:r>
        <w:rPr>
          <w:rFonts w:ascii="Arial" w:hAnsi="Arial" w:cs="Arial" w:hint="eastAsia"/>
          <w:sz w:val="21"/>
          <w:szCs w:val="21"/>
        </w:rPr>
        <w:t>年第</w:t>
      </w:r>
      <w:r>
        <w:rPr>
          <w:rFonts w:ascii="Arial" w:hAnsi="Arial" w:cs="Arial" w:hint="eastAsia"/>
          <w:sz w:val="21"/>
          <w:szCs w:val="21"/>
        </w:rPr>
        <w:t>61</w:t>
      </w:r>
      <w:r>
        <w:rPr>
          <w:rFonts w:ascii="Arial" w:hAnsi="Arial" w:cs="Arial" w:hint="eastAsia"/>
          <w:sz w:val="21"/>
          <w:szCs w:val="21"/>
        </w:rPr>
        <w:t>号）</w:t>
      </w:r>
    </w:p>
    <w:p w14:paraId="79E74B78" w14:textId="77777777" w:rsidR="00000000" w:rsidRDefault="0000000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17.</w:t>
      </w:r>
      <w:r>
        <w:rPr>
          <w:rFonts w:ascii="Arial" w:hAnsi="Arial" w:cs="Arial" w:hint="eastAsia"/>
          <w:sz w:val="21"/>
          <w:szCs w:val="21"/>
        </w:rPr>
        <w:t>《关于加强公共租赁住房资格复核及分配管理的通知》</w:t>
      </w:r>
      <w:r>
        <w:rPr>
          <w:rFonts w:ascii="Arial" w:hAnsi="Arial" w:cs="Arial" w:hint="eastAsia"/>
          <w:sz w:val="21"/>
          <w:szCs w:val="21"/>
        </w:rPr>
        <w:t>[</w:t>
      </w:r>
      <w:r>
        <w:rPr>
          <w:rFonts w:ascii="Arial" w:hAnsi="Arial" w:cs="Arial" w:hint="eastAsia"/>
          <w:sz w:val="21"/>
          <w:szCs w:val="21"/>
        </w:rPr>
        <w:t>京建法〔</w:t>
      </w:r>
      <w:r>
        <w:rPr>
          <w:rFonts w:ascii="Arial" w:hAnsi="Arial" w:cs="Arial" w:hint="eastAsia"/>
          <w:sz w:val="21"/>
          <w:szCs w:val="21"/>
        </w:rPr>
        <w:t>2021</w:t>
      </w:r>
      <w:r>
        <w:rPr>
          <w:rFonts w:ascii="Arial" w:hAnsi="Arial" w:cs="Arial" w:hint="eastAsia"/>
          <w:sz w:val="21"/>
          <w:szCs w:val="21"/>
        </w:rPr>
        <w:t>〕</w:t>
      </w:r>
      <w:r>
        <w:rPr>
          <w:rFonts w:ascii="Arial" w:hAnsi="Arial" w:cs="Arial" w:hint="eastAsia"/>
          <w:sz w:val="21"/>
          <w:szCs w:val="21"/>
        </w:rPr>
        <w:t>8</w:t>
      </w:r>
      <w:r>
        <w:rPr>
          <w:rFonts w:ascii="Arial" w:hAnsi="Arial" w:cs="Arial" w:hint="eastAsia"/>
          <w:sz w:val="21"/>
          <w:szCs w:val="21"/>
        </w:rPr>
        <w:t>号</w:t>
      </w:r>
      <w:r>
        <w:rPr>
          <w:rFonts w:ascii="Arial" w:hAnsi="Arial" w:cs="Arial" w:hint="eastAsia"/>
          <w:sz w:val="21"/>
          <w:szCs w:val="21"/>
        </w:rPr>
        <w:t>]</w:t>
      </w:r>
    </w:p>
    <w:p w14:paraId="39472811" w14:textId="77777777" w:rsidR="00000000" w:rsidRDefault="0000000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18.</w:t>
      </w:r>
      <w:r>
        <w:rPr>
          <w:rFonts w:ascii="Arial" w:hAnsi="Arial" w:cs="Arial" w:hint="eastAsia"/>
          <w:sz w:val="21"/>
          <w:szCs w:val="21"/>
        </w:rPr>
        <w:t>《关于进一步加强公共租赁住房转租转借行为监督管理工作的通知》</w:t>
      </w:r>
      <w:r>
        <w:rPr>
          <w:rFonts w:ascii="Arial" w:hAnsi="Arial" w:cs="Arial" w:hint="eastAsia"/>
          <w:sz w:val="21"/>
          <w:szCs w:val="21"/>
        </w:rPr>
        <w:t>[</w:t>
      </w:r>
      <w:r>
        <w:rPr>
          <w:rFonts w:ascii="Arial" w:hAnsi="Arial" w:cs="Arial" w:hint="eastAsia"/>
          <w:sz w:val="21"/>
          <w:szCs w:val="21"/>
        </w:rPr>
        <w:t>京建法〔</w:t>
      </w:r>
      <w:r>
        <w:rPr>
          <w:rFonts w:ascii="Arial" w:hAnsi="Arial" w:cs="Arial" w:hint="eastAsia"/>
          <w:sz w:val="21"/>
          <w:szCs w:val="21"/>
        </w:rPr>
        <w:t>2018</w:t>
      </w:r>
      <w:r>
        <w:rPr>
          <w:rFonts w:ascii="Arial" w:hAnsi="Arial" w:cs="Arial" w:hint="eastAsia"/>
          <w:sz w:val="21"/>
          <w:szCs w:val="21"/>
        </w:rPr>
        <w:t>〕</w:t>
      </w:r>
      <w:r>
        <w:rPr>
          <w:rFonts w:ascii="Arial" w:hAnsi="Arial" w:cs="Arial" w:hint="eastAsia"/>
          <w:sz w:val="21"/>
          <w:szCs w:val="21"/>
        </w:rPr>
        <w:t>23</w:t>
      </w:r>
      <w:r>
        <w:rPr>
          <w:rFonts w:ascii="Arial" w:hAnsi="Arial" w:cs="Arial" w:hint="eastAsia"/>
          <w:sz w:val="21"/>
          <w:szCs w:val="21"/>
        </w:rPr>
        <w:t>号</w:t>
      </w:r>
      <w:r>
        <w:rPr>
          <w:rFonts w:ascii="Arial" w:hAnsi="Arial" w:cs="Arial" w:hint="eastAsia"/>
          <w:sz w:val="21"/>
          <w:szCs w:val="21"/>
        </w:rPr>
        <w:t>]</w:t>
      </w:r>
    </w:p>
    <w:p w14:paraId="79D8D62F" w14:textId="77777777" w:rsidR="00000000" w:rsidRDefault="0000000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19.</w:t>
      </w:r>
      <w:r>
        <w:rPr>
          <w:rFonts w:ascii="Arial" w:hAnsi="Arial" w:cs="Arial" w:hint="eastAsia"/>
          <w:sz w:val="21"/>
          <w:szCs w:val="21"/>
        </w:rPr>
        <w:t>《关于加强本市公共租赁住房社会管理和服务的意见》</w:t>
      </w:r>
      <w:r>
        <w:rPr>
          <w:rFonts w:ascii="Arial" w:hAnsi="Arial" w:cs="Arial" w:hint="eastAsia"/>
          <w:sz w:val="21"/>
          <w:szCs w:val="21"/>
        </w:rPr>
        <w:t>[</w:t>
      </w:r>
      <w:r>
        <w:rPr>
          <w:rFonts w:ascii="Arial" w:hAnsi="Arial" w:cs="Arial" w:hint="eastAsia"/>
          <w:sz w:val="21"/>
          <w:szCs w:val="21"/>
        </w:rPr>
        <w:t>京建法〔</w:t>
      </w:r>
      <w:r>
        <w:rPr>
          <w:rFonts w:ascii="Arial" w:hAnsi="Arial" w:cs="Arial" w:hint="eastAsia"/>
          <w:sz w:val="21"/>
          <w:szCs w:val="21"/>
        </w:rPr>
        <w:t>2013</w:t>
      </w:r>
      <w:r>
        <w:rPr>
          <w:rFonts w:ascii="Arial" w:hAnsi="Arial" w:cs="Arial" w:hint="eastAsia"/>
          <w:sz w:val="21"/>
          <w:szCs w:val="21"/>
        </w:rPr>
        <w:t>〕</w:t>
      </w:r>
      <w:r>
        <w:rPr>
          <w:rFonts w:ascii="Arial" w:hAnsi="Arial" w:cs="Arial" w:hint="eastAsia"/>
          <w:sz w:val="21"/>
          <w:szCs w:val="21"/>
        </w:rPr>
        <w:t>19</w:t>
      </w:r>
      <w:r>
        <w:rPr>
          <w:rFonts w:ascii="Arial" w:hAnsi="Arial" w:cs="Arial" w:hint="eastAsia"/>
          <w:sz w:val="21"/>
          <w:szCs w:val="21"/>
        </w:rPr>
        <w:t>号</w:t>
      </w:r>
      <w:r>
        <w:rPr>
          <w:rFonts w:ascii="Arial" w:hAnsi="Arial" w:cs="Arial" w:hint="eastAsia"/>
          <w:sz w:val="21"/>
          <w:szCs w:val="21"/>
        </w:rPr>
        <w:t>]</w:t>
      </w:r>
    </w:p>
    <w:p w14:paraId="0E9DCA41" w14:textId="77777777" w:rsidR="00000000" w:rsidRDefault="0000000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20.</w:t>
      </w:r>
      <w:r>
        <w:rPr>
          <w:rFonts w:ascii="Arial" w:hAnsi="Arial" w:cs="Arial" w:hint="eastAsia"/>
          <w:sz w:val="21"/>
          <w:szCs w:val="21"/>
        </w:rPr>
        <w:t>《关于进一步加强公共租赁住房分配管理的通知》</w:t>
      </w:r>
      <w:r>
        <w:rPr>
          <w:rFonts w:ascii="Arial" w:hAnsi="Arial" w:cs="Arial" w:hint="eastAsia"/>
          <w:sz w:val="21"/>
          <w:szCs w:val="21"/>
        </w:rPr>
        <w:t>[</w:t>
      </w:r>
      <w:r>
        <w:rPr>
          <w:rFonts w:ascii="Arial" w:hAnsi="Arial" w:cs="Arial" w:hint="eastAsia"/>
          <w:sz w:val="21"/>
          <w:szCs w:val="21"/>
        </w:rPr>
        <w:t>京建法〔</w:t>
      </w:r>
      <w:r>
        <w:rPr>
          <w:rFonts w:ascii="Arial" w:hAnsi="Arial" w:cs="Arial" w:hint="eastAsia"/>
          <w:sz w:val="21"/>
          <w:szCs w:val="21"/>
        </w:rPr>
        <w:t>2014</w:t>
      </w:r>
      <w:r>
        <w:rPr>
          <w:rFonts w:ascii="Arial" w:hAnsi="Arial" w:cs="Arial" w:hint="eastAsia"/>
          <w:sz w:val="21"/>
          <w:szCs w:val="21"/>
        </w:rPr>
        <w:t>〕</w:t>
      </w:r>
      <w:r>
        <w:rPr>
          <w:rFonts w:ascii="Arial" w:hAnsi="Arial" w:cs="Arial" w:hint="eastAsia"/>
          <w:sz w:val="21"/>
          <w:szCs w:val="21"/>
        </w:rPr>
        <w:t>21</w:t>
      </w:r>
      <w:r>
        <w:rPr>
          <w:rFonts w:ascii="Arial" w:hAnsi="Arial" w:cs="Arial" w:hint="eastAsia"/>
          <w:sz w:val="21"/>
          <w:szCs w:val="21"/>
        </w:rPr>
        <w:t>号</w:t>
      </w:r>
      <w:r>
        <w:rPr>
          <w:rFonts w:ascii="Arial" w:hAnsi="Arial" w:cs="Arial" w:hint="eastAsia"/>
          <w:sz w:val="21"/>
          <w:szCs w:val="21"/>
        </w:rPr>
        <w:t>]</w:t>
      </w:r>
    </w:p>
    <w:p w14:paraId="5664D8C8" w14:textId="77777777" w:rsidR="00000000" w:rsidRDefault="0000000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21.</w:t>
      </w:r>
      <w:r>
        <w:rPr>
          <w:rFonts w:ascii="Arial" w:hAnsi="Arial" w:cs="Arial" w:hint="eastAsia"/>
          <w:sz w:val="21"/>
          <w:szCs w:val="21"/>
        </w:rPr>
        <w:t>《关于公共租赁住房租金补贴对象及租金补贴标准有关问题的通知》</w:t>
      </w:r>
      <w:r>
        <w:rPr>
          <w:rFonts w:ascii="Arial" w:hAnsi="Arial" w:cs="Arial" w:hint="eastAsia"/>
          <w:sz w:val="21"/>
          <w:szCs w:val="21"/>
        </w:rPr>
        <w:t>[</w:t>
      </w:r>
      <w:r>
        <w:rPr>
          <w:rFonts w:ascii="Arial" w:hAnsi="Arial" w:cs="Arial" w:hint="eastAsia"/>
          <w:sz w:val="21"/>
          <w:szCs w:val="21"/>
        </w:rPr>
        <w:t>京建法〔</w:t>
      </w:r>
      <w:r>
        <w:rPr>
          <w:rFonts w:ascii="Arial" w:hAnsi="Arial" w:cs="Arial" w:hint="eastAsia"/>
          <w:sz w:val="21"/>
          <w:szCs w:val="21"/>
        </w:rPr>
        <w:t>2012</w:t>
      </w:r>
      <w:r>
        <w:rPr>
          <w:rFonts w:ascii="Arial" w:hAnsi="Arial" w:cs="Arial" w:hint="eastAsia"/>
          <w:sz w:val="21"/>
          <w:szCs w:val="21"/>
        </w:rPr>
        <w:t>〕</w:t>
      </w:r>
      <w:r>
        <w:rPr>
          <w:rFonts w:ascii="Arial" w:hAnsi="Arial" w:cs="Arial" w:hint="eastAsia"/>
          <w:sz w:val="21"/>
          <w:szCs w:val="21"/>
        </w:rPr>
        <w:t>11</w:t>
      </w:r>
      <w:r>
        <w:rPr>
          <w:rFonts w:ascii="Arial" w:hAnsi="Arial" w:cs="Arial" w:hint="eastAsia"/>
          <w:sz w:val="21"/>
          <w:szCs w:val="21"/>
        </w:rPr>
        <w:t>号</w:t>
      </w:r>
      <w:r>
        <w:rPr>
          <w:rFonts w:ascii="Arial" w:hAnsi="Arial" w:cs="Arial" w:hint="eastAsia"/>
          <w:sz w:val="21"/>
          <w:szCs w:val="21"/>
        </w:rPr>
        <w:t>]</w:t>
      </w:r>
    </w:p>
    <w:p w14:paraId="75DD6132" w14:textId="77777777" w:rsidR="00000000" w:rsidRDefault="00000000">
      <w:pPr>
        <w:pStyle w:val="afd"/>
        <w:numPr>
          <w:ilvl w:val="0"/>
          <w:numId w:val="6"/>
        </w:numPr>
        <w:wordWrap w:val="0"/>
        <w:overflowPunct w:val="0"/>
        <w:spacing w:line="480" w:lineRule="auto"/>
        <w:ind w:firstLineChars="0"/>
        <w:jc w:val="both"/>
        <w:textAlignment w:val="auto"/>
        <w:rPr>
          <w:rFonts w:ascii="Arial" w:hAnsi="Arial" w:cs="Arial"/>
          <w:sz w:val="21"/>
          <w:szCs w:val="21"/>
        </w:rPr>
      </w:pPr>
      <w:r>
        <w:rPr>
          <w:rFonts w:ascii="Arial" w:hAnsi="Arial" w:cs="Arial" w:hint="eastAsia"/>
          <w:b/>
          <w:sz w:val="21"/>
          <w:szCs w:val="21"/>
        </w:rPr>
        <w:t>技术标准</w:t>
      </w:r>
    </w:p>
    <w:p w14:paraId="48E6B49F" w14:textId="77777777" w:rsidR="00000000" w:rsidRDefault="0000000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w:t>
      </w:r>
      <w:r>
        <w:rPr>
          <w:rFonts w:ascii="Arial" w:hAnsi="Arial" w:cs="Arial"/>
          <w:sz w:val="21"/>
          <w:szCs w:val="21"/>
        </w:rPr>
        <w:t>《房地产估价规范》</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p>
    <w:p w14:paraId="55AC2289" w14:textId="77777777" w:rsidR="00000000" w:rsidRDefault="0000000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2</w:t>
      </w:r>
      <w:r>
        <w:rPr>
          <w:rFonts w:ascii="Arial" w:hAnsi="Arial" w:cs="Arial"/>
          <w:sz w:val="21"/>
          <w:szCs w:val="21"/>
        </w:rPr>
        <w:t>.</w:t>
      </w:r>
      <w:r>
        <w:rPr>
          <w:rFonts w:ascii="Arial" w:hAnsi="Arial" w:cs="Arial" w:hint="eastAsia"/>
          <w:sz w:val="21"/>
          <w:szCs w:val="21"/>
        </w:rPr>
        <w:t>《</w:t>
      </w:r>
      <w:r>
        <w:rPr>
          <w:rFonts w:ascii="Arial" w:hAnsi="Arial" w:cs="Arial"/>
          <w:sz w:val="21"/>
          <w:szCs w:val="21"/>
        </w:rPr>
        <w:t>房地产估价基本术语标</w:t>
      </w:r>
      <w:r>
        <w:rPr>
          <w:rFonts w:ascii="Arial" w:hAnsi="Arial" w:cs="Arial" w:hint="eastAsia"/>
          <w:sz w:val="21"/>
          <w:szCs w:val="21"/>
        </w:rPr>
        <w:t>准》</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50899-2013]</w:t>
      </w:r>
    </w:p>
    <w:p w14:paraId="47B5B564" w14:textId="77777777" w:rsidR="00000000" w:rsidRDefault="00000000">
      <w:pPr>
        <w:wordWrap w:val="0"/>
        <w:overflowPunct w:val="0"/>
        <w:spacing w:line="480" w:lineRule="auto"/>
        <w:jc w:val="both"/>
        <w:textAlignment w:val="auto"/>
        <w:rPr>
          <w:rFonts w:ascii="Arial" w:hAnsi="Arial" w:cs="Arial"/>
          <w:bCs/>
          <w:spacing w:val="10"/>
          <w:sz w:val="21"/>
          <w:szCs w:val="21"/>
        </w:rPr>
      </w:pPr>
      <w:r>
        <w:rPr>
          <w:rFonts w:ascii="Arial" w:hAnsi="Arial" w:cs="Arial" w:hint="eastAsia"/>
          <w:sz w:val="21"/>
          <w:szCs w:val="21"/>
        </w:rPr>
        <w:t>3</w:t>
      </w:r>
      <w:r>
        <w:rPr>
          <w:rFonts w:ascii="Arial" w:hAnsi="Arial" w:cs="Arial"/>
          <w:sz w:val="21"/>
          <w:szCs w:val="21"/>
        </w:rPr>
        <w:t>.</w:t>
      </w:r>
      <w:r>
        <w:rPr>
          <w:rFonts w:ascii="Arial" w:hAnsi="Arial" w:cs="Arial" w:hint="eastAsia"/>
          <w:sz w:val="21"/>
          <w:szCs w:val="21"/>
        </w:rPr>
        <w:t>《关于发布</w:t>
      </w:r>
      <w:r>
        <w:rPr>
          <w:rFonts w:ascii="Arial" w:hAnsi="Arial" w:cs="Arial" w:hint="eastAsia"/>
          <w:sz w:val="21"/>
          <w:szCs w:val="21"/>
        </w:rPr>
        <w:t>&lt;</w:t>
      </w:r>
      <w:r>
        <w:rPr>
          <w:rFonts w:ascii="Arial" w:hAnsi="Arial" w:cs="Arial" w:hint="eastAsia"/>
          <w:sz w:val="21"/>
          <w:szCs w:val="21"/>
        </w:rPr>
        <w:t>北京市公共租赁住房项目市场租金评估技术指引</w:t>
      </w:r>
      <w:r>
        <w:rPr>
          <w:rFonts w:ascii="Arial" w:hAnsi="Arial" w:cs="Arial" w:hint="eastAsia"/>
          <w:sz w:val="21"/>
          <w:szCs w:val="21"/>
        </w:rPr>
        <w:t>&gt;</w:t>
      </w:r>
      <w:r>
        <w:rPr>
          <w:rFonts w:ascii="Arial" w:hAnsi="Arial" w:cs="Arial" w:hint="eastAsia"/>
          <w:sz w:val="21"/>
          <w:szCs w:val="21"/>
        </w:rPr>
        <w:t>的通知》</w:t>
      </w:r>
      <w:r>
        <w:rPr>
          <w:rFonts w:ascii="Arial" w:hAnsi="Arial" w:cs="Arial" w:hint="eastAsia"/>
          <w:sz w:val="21"/>
          <w:szCs w:val="21"/>
        </w:rPr>
        <w:t>[</w:t>
      </w:r>
      <w:r>
        <w:rPr>
          <w:rFonts w:ascii="Arial" w:hAnsi="Arial" w:cs="Arial" w:hint="eastAsia"/>
          <w:sz w:val="21"/>
          <w:szCs w:val="21"/>
        </w:rPr>
        <w:t>北估秘</w:t>
      </w:r>
      <w:r>
        <w:rPr>
          <w:rFonts w:ascii="Arial" w:hAnsi="Arial" w:cs="Arial" w:hint="eastAsia"/>
          <w:sz w:val="21"/>
          <w:szCs w:val="21"/>
        </w:rPr>
        <w:t>[2019]020</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（自</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日起施行，有效期为三年，至价值时点，已过有效期。考虑到新版技术指引尚未发布，且目前北京市公共租赁住房市场租金评估相关标准仍按技术指引执行，故本次评估仅参照）</w:t>
      </w:r>
    </w:p>
    <w:p w14:paraId="20FC8C14" w14:textId="77777777" w:rsidR="00000000" w:rsidRDefault="00000000">
      <w:pPr>
        <w:wordWrap w:val="0"/>
        <w:overflowPunct w:val="0"/>
        <w:spacing w:line="480" w:lineRule="auto"/>
        <w:jc w:val="both"/>
        <w:textAlignment w:val="auto"/>
        <w:rPr>
          <w:rFonts w:ascii="Arial" w:hAnsi="Arial" w:cs="Arial" w:hint="eastAsia"/>
          <w:b/>
          <w:sz w:val="21"/>
          <w:szCs w:val="21"/>
        </w:rPr>
      </w:pPr>
      <w:r>
        <w:rPr>
          <w:rFonts w:ascii="Arial" w:hAnsi="Arial" w:cs="Arial"/>
          <w:b/>
          <w:sz w:val="21"/>
          <w:szCs w:val="21"/>
        </w:rPr>
        <w:t>（</w:t>
      </w:r>
      <w:r>
        <w:rPr>
          <w:rFonts w:ascii="Arial" w:hAnsi="Arial" w:cs="Arial" w:hint="eastAsia"/>
          <w:b/>
          <w:sz w:val="21"/>
          <w:szCs w:val="21"/>
        </w:rPr>
        <w:t>三</w:t>
      </w:r>
      <w:r>
        <w:rPr>
          <w:rFonts w:ascii="Arial" w:hAnsi="Arial" w:cs="Arial"/>
          <w:b/>
          <w:sz w:val="21"/>
          <w:szCs w:val="21"/>
        </w:rPr>
        <w:t>）估价委托人提供的资料</w:t>
      </w:r>
    </w:p>
    <w:p w14:paraId="1396B170" w14:textId="77777777" w:rsidR="00000000" w:rsidRDefault="00000000">
      <w:pPr>
        <w:numPr>
          <w:ilvl w:val="0"/>
          <w:numId w:val="7"/>
        </w:numPr>
        <w:wordWrap w:val="0"/>
        <w:overflowPunct w:val="0"/>
        <w:spacing w:line="480" w:lineRule="auto"/>
        <w:ind w:left="0" w:firstLine="0"/>
        <w:jc w:val="both"/>
        <w:textAlignment w:val="auto"/>
        <w:rPr>
          <w:rFonts w:ascii="Arial" w:hAnsi="Arial" w:cs="Arial"/>
          <w:sz w:val="21"/>
          <w:szCs w:val="21"/>
        </w:rPr>
      </w:pPr>
      <w:r>
        <w:rPr>
          <w:rFonts w:ascii="Arial" w:hAnsi="Arial" w:cs="Arial" w:hint="eastAsia"/>
          <w:sz w:val="21"/>
          <w:szCs w:val="21"/>
        </w:rPr>
        <w:t>《估价委托书》</w:t>
      </w:r>
    </w:p>
    <w:p w14:paraId="1721C4D2" w14:textId="77777777" w:rsidR="00000000" w:rsidRDefault="00000000">
      <w:pPr>
        <w:numPr>
          <w:ilvl w:val="0"/>
          <w:numId w:val="7"/>
        </w:numPr>
        <w:wordWrap w:val="0"/>
        <w:overflowPunct w:val="0"/>
        <w:spacing w:line="480" w:lineRule="auto"/>
        <w:ind w:left="0" w:firstLine="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kern w:val="2"/>
          <w:sz w:val="21"/>
          <w:szCs w:val="21"/>
        </w:rPr>
        <w:t>X13</w:t>
      </w:r>
      <w:r>
        <w:rPr>
          <w:rFonts w:ascii="Arial" w:hAnsi="Arial" w:cs="Arial" w:hint="eastAsia"/>
          <w:kern w:val="2"/>
          <w:sz w:val="21"/>
          <w:szCs w:val="21"/>
        </w:rPr>
        <w:t>海棠苑房源明细表</w:t>
      </w:r>
      <w:r>
        <w:rPr>
          <w:rFonts w:ascii="Arial" w:hAnsi="Arial" w:cs="Arial" w:hint="eastAsia"/>
          <w:sz w:val="21"/>
          <w:szCs w:val="21"/>
        </w:rPr>
        <w:t>》复印件</w:t>
      </w:r>
    </w:p>
    <w:p w14:paraId="0588696F" w14:textId="77777777" w:rsidR="00000000" w:rsidRDefault="00000000">
      <w:pPr>
        <w:numPr>
          <w:ilvl w:val="0"/>
          <w:numId w:val="7"/>
        </w:numPr>
        <w:wordWrap w:val="0"/>
        <w:overflowPunct w:val="0"/>
        <w:spacing w:line="480" w:lineRule="auto"/>
        <w:ind w:left="0" w:firstLine="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X38</w:t>
      </w:r>
      <w:r>
        <w:rPr>
          <w:rFonts w:ascii="Arial" w:hAnsi="Arial" w:cs="Arial" w:hint="eastAsia"/>
          <w:sz w:val="21"/>
          <w:szCs w:val="21"/>
        </w:rPr>
        <w:t>鹿海园五里</w:t>
      </w:r>
      <w:r>
        <w:rPr>
          <w:rFonts w:ascii="Arial" w:hAnsi="Arial" w:cs="Arial" w:hint="eastAsia"/>
          <w:kern w:val="2"/>
          <w:sz w:val="21"/>
          <w:szCs w:val="21"/>
        </w:rPr>
        <w:t>房源明细表</w:t>
      </w:r>
      <w:r>
        <w:rPr>
          <w:rFonts w:ascii="Arial" w:hAnsi="Arial" w:cs="Arial" w:hint="eastAsia"/>
          <w:sz w:val="21"/>
          <w:szCs w:val="21"/>
        </w:rPr>
        <w:t>》复印件</w:t>
      </w:r>
    </w:p>
    <w:p w14:paraId="5D418331" w14:textId="77777777" w:rsidR="00000000" w:rsidRDefault="00000000">
      <w:pPr>
        <w:numPr>
          <w:ilvl w:val="0"/>
          <w:numId w:val="7"/>
        </w:numPr>
        <w:wordWrap w:val="0"/>
        <w:overflowPunct w:val="0"/>
        <w:spacing w:line="480" w:lineRule="auto"/>
        <w:ind w:left="0" w:firstLine="0"/>
        <w:jc w:val="both"/>
        <w:textAlignment w:val="auto"/>
        <w:rPr>
          <w:rFonts w:ascii="Arial" w:hAnsi="Arial" w:cs="Arial" w:hint="eastAsia"/>
          <w:sz w:val="21"/>
          <w:szCs w:val="21"/>
        </w:rPr>
      </w:pPr>
      <w:r>
        <w:rPr>
          <w:rFonts w:ascii="Arial" w:hAnsi="Arial" w:cs="Arial" w:hint="eastAsia"/>
          <w:sz w:val="21"/>
          <w:szCs w:val="21"/>
        </w:rPr>
        <w:t>《房屋收购协议》</w:t>
      </w:r>
      <w:r>
        <w:rPr>
          <w:rFonts w:ascii="Arial" w:hAnsi="Arial" w:cs="Arial" w:hint="eastAsia"/>
          <w:sz w:val="21"/>
          <w:szCs w:val="21"/>
        </w:rPr>
        <w:t>[</w:t>
      </w:r>
      <w:r>
        <w:rPr>
          <w:rFonts w:ascii="Arial" w:hAnsi="Arial" w:cs="Arial" w:hint="eastAsia"/>
          <w:sz w:val="21"/>
          <w:szCs w:val="21"/>
        </w:rPr>
        <w:t>编号：</w:t>
      </w:r>
      <w:r>
        <w:rPr>
          <w:rFonts w:ascii="Arial" w:hAnsi="Arial" w:cs="Arial" w:hint="eastAsia"/>
          <w:sz w:val="21"/>
          <w:szCs w:val="21"/>
        </w:rPr>
        <w:t>2020-</w:t>
      </w:r>
      <w:r>
        <w:rPr>
          <w:rFonts w:ascii="Arial" w:hAnsi="Arial" w:cs="Arial" w:hint="eastAsia"/>
          <w:sz w:val="21"/>
          <w:szCs w:val="21"/>
        </w:rPr>
        <w:t>新元</w:t>
      </w:r>
      <w:r>
        <w:rPr>
          <w:rFonts w:ascii="Arial" w:hAnsi="Arial" w:cs="Arial" w:hint="eastAsia"/>
          <w:sz w:val="21"/>
          <w:szCs w:val="21"/>
        </w:rPr>
        <w:t>-</w:t>
      </w:r>
      <w:r>
        <w:rPr>
          <w:rFonts w:ascii="Arial" w:hAnsi="Arial" w:cs="Arial" w:hint="eastAsia"/>
          <w:sz w:val="21"/>
          <w:szCs w:val="21"/>
        </w:rPr>
        <w:t>综合</w:t>
      </w:r>
      <w:r>
        <w:rPr>
          <w:rFonts w:ascii="Arial" w:hAnsi="Arial" w:cs="Arial" w:hint="eastAsia"/>
          <w:sz w:val="21"/>
          <w:szCs w:val="21"/>
        </w:rPr>
        <w:t>-17]</w:t>
      </w:r>
      <w:r>
        <w:rPr>
          <w:rFonts w:ascii="Arial" w:hAnsi="Arial" w:cs="Arial" w:hint="eastAsia"/>
          <w:sz w:val="21"/>
          <w:szCs w:val="21"/>
        </w:rPr>
        <w:t>复印件</w:t>
      </w:r>
    </w:p>
    <w:p w14:paraId="3552CDA9" w14:textId="77777777" w:rsidR="00000000" w:rsidRDefault="00000000">
      <w:pPr>
        <w:numPr>
          <w:ilvl w:val="0"/>
          <w:numId w:val="7"/>
        </w:numPr>
        <w:wordWrap w:val="0"/>
        <w:overflowPunct w:val="0"/>
        <w:spacing w:line="480" w:lineRule="auto"/>
        <w:ind w:left="0" w:firstLine="0"/>
        <w:jc w:val="both"/>
        <w:textAlignment w:val="auto"/>
        <w:rPr>
          <w:rFonts w:ascii="Arial" w:hAnsi="Arial" w:cs="Arial" w:hint="eastAsia"/>
          <w:sz w:val="21"/>
          <w:szCs w:val="21"/>
        </w:rPr>
      </w:pPr>
      <w:r>
        <w:rPr>
          <w:rFonts w:ascii="Arial" w:hAnsi="Arial" w:cs="Arial" w:hint="eastAsia"/>
          <w:kern w:val="2"/>
          <w:sz w:val="21"/>
          <w:szCs w:val="21"/>
        </w:rPr>
        <w:t>《房屋交接书》</w:t>
      </w:r>
      <w:r>
        <w:rPr>
          <w:rFonts w:ascii="Arial" w:hAnsi="Arial" w:cs="Arial" w:hint="eastAsia"/>
          <w:sz w:val="21"/>
          <w:szCs w:val="21"/>
        </w:rPr>
        <w:t>复印件</w:t>
      </w:r>
    </w:p>
    <w:p w14:paraId="44A8A496" w14:textId="77777777" w:rsidR="00000000" w:rsidRDefault="00000000">
      <w:pPr>
        <w:wordWrap w:val="0"/>
        <w:overflowPunct w:val="0"/>
        <w:spacing w:line="480" w:lineRule="auto"/>
        <w:jc w:val="both"/>
        <w:textAlignment w:val="auto"/>
        <w:rPr>
          <w:rFonts w:ascii="Arial" w:hAnsi="Arial" w:cs="Arial"/>
          <w:b/>
          <w:sz w:val="21"/>
          <w:szCs w:val="21"/>
        </w:rPr>
      </w:pPr>
      <w:r>
        <w:rPr>
          <w:rFonts w:ascii="Arial" w:hAnsi="Arial" w:cs="Arial"/>
          <w:b/>
          <w:sz w:val="21"/>
          <w:szCs w:val="21"/>
        </w:rPr>
        <w:t>（四）评估专业人员实地查勘的有关资料</w:t>
      </w:r>
    </w:p>
    <w:p w14:paraId="14BEE051" w14:textId="77777777" w:rsidR="00000000" w:rsidRDefault="00000000">
      <w:pPr>
        <w:wordWrap w:val="0"/>
        <w:overflowPunct w:val="0"/>
        <w:spacing w:line="480" w:lineRule="auto"/>
        <w:jc w:val="both"/>
        <w:textAlignment w:val="auto"/>
        <w:rPr>
          <w:rFonts w:ascii="Arial" w:hAnsi="Arial" w:cs="Arial"/>
          <w:b/>
          <w:color w:val="000000"/>
          <w:sz w:val="21"/>
          <w:szCs w:val="21"/>
        </w:rPr>
      </w:pPr>
      <w:r>
        <w:rPr>
          <w:rFonts w:ascii="Arial" w:hAnsi="Arial" w:cs="Arial"/>
          <w:b/>
          <w:color w:val="000000"/>
          <w:sz w:val="21"/>
          <w:szCs w:val="21"/>
        </w:rPr>
        <w:t>（五）</w:t>
      </w:r>
      <w:r>
        <w:rPr>
          <w:rFonts w:ascii="Arial" w:hAnsi="Arial" w:cs="Arial" w:hint="eastAsia"/>
          <w:b/>
          <w:color w:val="000000"/>
          <w:sz w:val="21"/>
          <w:szCs w:val="21"/>
        </w:rPr>
        <w:t>房地产</w:t>
      </w:r>
      <w:r>
        <w:rPr>
          <w:rFonts w:ascii="Arial" w:hAnsi="Arial" w:cs="Arial"/>
          <w:b/>
          <w:color w:val="000000"/>
          <w:sz w:val="21"/>
          <w:szCs w:val="21"/>
        </w:rPr>
        <w:t>估价机构资质证书</w:t>
      </w:r>
    </w:p>
    <w:p w14:paraId="79B04463" w14:textId="77777777" w:rsidR="00000000" w:rsidRDefault="00000000">
      <w:pPr>
        <w:wordWrap w:val="0"/>
        <w:overflowPunct w:val="0"/>
        <w:spacing w:line="480" w:lineRule="auto"/>
        <w:jc w:val="both"/>
        <w:textAlignment w:val="auto"/>
        <w:rPr>
          <w:rFonts w:ascii="Arial" w:hAnsi="Arial" w:cs="Arial"/>
          <w:b/>
          <w:color w:val="000000"/>
          <w:sz w:val="21"/>
          <w:szCs w:val="21"/>
        </w:rPr>
      </w:pPr>
    </w:p>
    <w:p w14:paraId="7A3C764F" w14:textId="77777777" w:rsidR="00000000" w:rsidRDefault="00000000">
      <w:pPr>
        <w:pStyle w:val="2"/>
        <w:numPr>
          <w:ilvl w:val="0"/>
          <w:numId w:val="8"/>
        </w:numPr>
        <w:tabs>
          <w:tab w:val="left" w:pos="360"/>
        </w:tabs>
        <w:wordWrap w:val="0"/>
        <w:overflowPunct w:val="0"/>
        <w:spacing w:line="480" w:lineRule="auto"/>
        <w:ind w:left="358" w:hanging="358"/>
        <w:jc w:val="both"/>
        <w:textAlignment w:val="auto"/>
        <w:rPr>
          <w:rFonts w:eastAsia="宋体"/>
          <w:kern w:val="2"/>
          <w:sz w:val="21"/>
          <w:szCs w:val="21"/>
        </w:rPr>
      </w:pPr>
      <w:bookmarkStart w:id="32" w:name="_Toc168225821"/>
      <w:bookmarkStart w:id="33" w:name="_Toc29328"/>
      <w:r>
        <w:rPr>
          <w:rFonts w:eastAsia="宋体"/>
          <w:kern w:val="2"/>
          <w:sz w:val="21"/>
          <w:szCs w:val="21"/>
        </w:rPr>
        <w:t>估价方法</w:t>
      </w:r>
      <w:bookmarkEnd w:id="32"/>
      <w:bookmarkEnd w:id="33"/>
    </w:p>
    <w:p w14:paraId="7C93A7B6" w14:textId="77777777" w:rsidR="00000000" w:rsidRDefault="00000000">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sz w:val="21"/>
          <w:szCs w:val="21"/>
        </w:rPr>
        <w:t>由于本次评估是</w:t>
      </w:r>
      <w:r>
        <w:rPr>
          <w:rFonts w:ascii="Arial" w:hAnsi="Arial" w:cs="Arial" w:hint="eastAsia"/>
          <w:sz w:val="21"/>
          <w:szCs w:val="21"/>
        </w:rPr>
        <w:t>为估价委托人确定公共租赁住房项目市场租金提供价格参考依据</w:t>
      </w:r>
      <w:r>
        <w:rPr>
          <w:rFonts w:ascii="Arial" w:hAnsi="Arial" w:cs="Arial"/>
          <w:sz w:val="21"/>
          <w:szCs w:val="21"/>
        </w:rPr>
        <w:t>，因此我们在认真分析研究估价对象的相关资料，并通过对邻近地区同类物业调查的基础上，根据《房地产估价规范》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），参照《关于发布</w:t>
      </w:r>
      <w:r>
        <w:rPr>
          <w:rFonts w:ascii="Arial" w:hAnsi="Arial" w:cs="Arial" w:hint="eastAsia"/>
          <w:sz w:val="21"/>
          <w:szCs w:val="21"/>
        </w:rPr>
        <w:t>&lt;</w:t>
      </w:r>
      <w:r>
        <w:rPr>
          <w:rFonts w:ascii="Arial" w:hAnsi="Arial" w:cs="Arial" w:hint="eastAsia"/>
          <w:sz w:val="21"/>
          <w:szCs w:val="21"/>
        </w:rPr>
        <w:t>北京市公共租赁住房项目市场租金评估技术指引</w:t>
      </w:r>
      <w:r>
        <w:rPr>
          <w:rFonts w:ascii="Arial" w:hAnsi="Arial" w:cs="Arial" w:hint="eastAsia"/>
          <w:sz w:val="21"/>
          <w:szCs w:val="21"/>
        </w:rPr>
        <w:t>&gt;</w:t>
      </w:r>
      <w:r>
        <w:rPr>
          <w:rFonts w:ascii="Arial" w:hAnsi="Arial" w:cs="Arial" w:hint="eastAsia"/>
          <w:sz w:val="21"/>
          <w:szCs w:val="21"/>
        </w:rPr>
        <w:t>的通知》</w:t>
      </w:r>
      <w:r>
        <w:rPr>
          <w:rFonts w:ascii="Arial" w:hAnsi="Arial" w:cs="Arial" w:hint="eastAsia"/>
          <w:sz w:val="21"/>
          <w:szCs w:val="21"/>
        </w:rPr>
        <w:lastRenderedPageBreak/>
        <w:t>[</w:t>
      </w:r>
      <w:r>
        <w:rPr>
          <w:rFonts w:ascii="Arial" w:hAnsi="Arial" w:cs="Arial" w:hint="eastAsia"/>
          <w:sz w:val="21"/>
          <w:szCs w:val="21"/>
        </w:rPr>
        <w:t>北估秘</w:t>
      </w:r>
      <w:r>
        <w:rPr>
          <w:rFonts w:ascii="Arial" w:hAnsi="Arial" w:cs="Arial" w:hint="eastAsia"/>
          <w:sz w:val="21"/>
          <w:szCs w:val="21"/>
        </w:rPr>
        <w:t>[2019]020</w:t>
      </w:r>
      <w:r>
        <w:rPr>
          <w:rFonts w:ascii="Arial" w:hAnsi="Arial" w:cs="Arial" w:hint="eastAsia"/>
          <w:sz w:val="21"/>
          <w:szCs w:val="21"/>
        </w:rPr>
        <w:t>号</w:t>
      </w:r>
      <w:r>
        <w:rPr>
          <w:rFonts w:ascii="Arial" w:hAnsi="Arial" w:cs="Arial" w:hint="eastAsia"/>
          <w:sz w:val="21"/>
          <w:szCs w:val="21"/>
        </w:rPr>
        <w:t>]</w:t>
      </w:r>
      <w:r>
        <w:rPr>
          <w:rFonts w:ascii="Arial" w:hAnsi="Arial" w:cs="Arial"/>
          <w:sz w:val="21"/>
          <w:szCs w:val="21"/>
        </w:rPr>
        <w:t>的估价程序，选用</w:t>
      </w:r>
      <w:r>
        <w:rPr>
          <w:rFonts w:ascii="Arial" w:hAnsi="Arial" w:cs="Arial" w:hint="eastAsia"/>
          <w:sz w:val="21"/>
          <w:szCs w:val="21"/>
        </w:rPr>
        <w:t>比较法</w:t>
      </w:r>
      <w:r>
        <w:rPr>
          <w:rFonts w:ascii="Arial" w:hAnsi="Arial" w:cs="Arial"/>
          <w:sz w:val="21"/>
          <w:szCs w:val="21"/>
        </w:rPr>
        <w:t>为主方法进行估价</w:t>
      </w:r>
      <w:r>
        <w:rPr>
          <w:rFonts w:ascii="Arial" w:hAnsi="Arial" w:cs="Arial" w:hint="eastAsia"/>
          <w:sz w:val="21"/>
          <w:szCs w:val="21"/>
        </w:rPr>
        <w:t>，进而确定</w:t>
      </w:r>
      <w:r>
        <w:rPr>
          <w:rFonts w:ascii="Arial" w:hAnsi="Arial" w:hint="eastAsia"/>
          <w:sz w:val="21"/>
          <w:szCs w:val="21"/>
        </w:rPr>
        <w:t>估价对象</w:t>
      </w:r>
      <w:r>
        <w:rPr>
          <w:rFonts w:ascii="Arial" w:hAnsi="Arial" w:cs="Arial" w:hint="eastAsia"/>
          <w:sz w:val="21"/>
          <w:szCs w:val="21"/>
        </w:rPr>
        <w:t>市场平均租金价格水平。</w:t>
      </w:r>
    </w:p>
    <w:p w14:paraId="4795EA6D" w14:textId="77777777" w:rsidR="00000000" w:rsidRDefault="00000000">
      <w:pPr>
        <w:pStyle w:val="Normal"/>
        <w:wordWrap w:val="0"/>
        <w:overflowPunct w:val="0"/>
        <w:autoSpaceDE w:val="0"/>
        <w:autoSpaceDN w:val="0"/>
        <w:spacing w:line="480" w:lineRule="auto"/>
        <w:ind w:right="140"/>
        <w:jc w:val="both"/>
        <w:textAlignment w:val="auto"/>
        <w:rPr>
          <w:rFonts w:ascii="Arial" w:hAnsi="Arial" w:cs="Arial"/>
          <w:b/>
          <w:color w:val="000000"/>
          <w:sz w:val="21"/>
          <w:szCs w:val="21"/>
        </w:rPr>
      </w:pPr>
      <w:r>
        <w:rPr>
          <w:rFonts w:ascii="Arial" w:hAnsi="Arial" w:cs="Arial" w:hint="eastAsia"/>
          <w:b/>
          <w:color w:val="000000"/>
          <w:sz w:val="21"/>
          <w:szCs w:val="21"/>
        </w:rPr>
        <w:t>（一）估价思路</w:t>
      </w:r>
      <w:r>
        <w:rPr>
          <w:rFonts w:ascii="Arial" w:hAnsi="Arial" w:cs="Arial"/>
          <w:b/>
          <w:color w:val="000000"/>
          <w:sz w:val="21"/>
          <w:szCs w:val="21"/>
        </w:rPr>
        <w:t xml:space="preserve"> </w:t>
      </w:r>
    </w:p>
    <w:p w14:paraId="5D4F346F" w14:textId="77777777" w:rsidR="00000000" w:rsidRDefault="00000000">
      <w:pPr>
        <w:pStyle w:val="Normal"/>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color w:val="000000"/>
          <w:sz w:val="21"/>
          <w:szCs w:val="21"/>
        </w:rPr>
        <w:t>本次选用比较法对估价对象的市场租金水平进行测算，具体测算思路如下：</w:t>
      </w:r>
    </w:p>
    <w:p w14:paraId="429B6230" w14:textId="77777777" w:rsidR="00000000" w:rsidRDefault="00000000">
      <w:pPr>
        <w:pStyle w:val="Normal"/>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t>首先</w:t>
      </w:r>
      <w:r>
        <w:rPr>
          <w:rFonts w:ascii="Arial" w:hAnsi="Arial" w:cs="Arial" w:hint="eastAsia"/>
          <w:color w:val="000000"/>
          <w:sz w:val="21"/>
          <w:szCs w:val="21"/>
        </w:rPr>
        <w:t>确认</w:t>
      </w:r>
      <w:r>
        <w:rPr>
          <w:rFonts w:ascii="Arial" w:hAnsi="Arial" w:cs="Arial"/>
          <w:color w:val="000000"/>
          <w:sz w:val="21"/>
          <w:szCs w:val="21"/>
        </w:rPr>
        <w:t>估价对象</w:t>
      </w:r>
      <w:r>
        <w:rPr>
          <w:rFonts w:ascii="Arial" w:hAnsi="Arial" w:cs="Arial" w:hint="eastAsia"/>
          <w:color w:val="000000"/>
          <w:sz w:val="21"/>
          <w:szCs w:val="21"/>
        </w:rPr>
        <w:t>标准小区，然后设定标准小区的</w:t>
      </w:r>
      <w:r>
        <w:rPr>
          <w:rFonts w:ascii="Arial" w:hAnsi="Arial" w:cs="Arial"/>
          <w:color w:val="000000"/>
          <w:sz w:val="21"/>
          <w:szCs w:val="21"/>
        </w:rPr>
        <w:t>标准房</w:t>
      </w:r>
      <w:r>
        <w:rPr>
          <w:rFonts w:ascii="Arial" w:hAnsi="Arial" w:cs="Arial" w:hint="eastAsia"/>
          <w:color w:val="000000"/>
          <w:sz w:val="21"/>
          <w:szCs w:val="21"/>
        </w:rPr>
        <w:t>。标准小区及标准房设定如下：</w:t>
      </w:r>
    </w:p>
    <w:p w14:paraId="5E129970" w14:textId="77777777" w:rsidR="00000000" w:rsidRDefault="00000000">
      <w:pPr>
        <w:pStyle w:val="Normal"/>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bCs/>
          <w:color w:val="000000"/>
          <w:sz w:val="21"/>
          <w:szCs w:val="21"/>
        </w:rPr>
        <w:t>估价对象</w:t>
      </w:r>
      <w:r>
        <w:rPr>
          <w:rFonts w:ascii="Arial" w:hAnsi="Arial" w:cs="Arial" w:hint="eastAsia"/>
          <w:bCs/>
          <w:color w:val="000000"/>
          <w:sz w:val="21"/>
          <w:szCs w:val="21"/>
        </w:rPr>
        <w:t>由</w:t>
      </w:r>
      <w:r>
        <w:rPr>
          <w:rFonts w:ascii="Arial" w:hAnsi="Arial" w:cs="Arial" w:hint="eastAsia"/>
          <w:kern w:val="2"/>
          <w:sz w:val="21"/>
          <w:szCs w:val="21"/>
        </w:rPr>
        <w:t>北京市北京经济技术开发区博兴九路</w:t>
      </w:r>
      <w:r>
        <w:rPr>
          <w:rFonts w:ascii="Arial" w:hAnsi="Arial" w:cs="Arial" w:hint="eastAsia"/>
          <w:kern w:val="2"/>
          <w:sz w:val="21"/>
          <w:szCs w:val="21"/>
        </w:rPr>
        <w:t>19</w:t>
      </w:r>
      <w:r>
        <w:rPr>
          <w:rFonts w:ascii="Arial" w:hAnsi="Arial" w:cs="Arial" w:hint="eastAsia"/>
          <w:kern w:val="2"/>
          <w:sz w:val="21"/>
          <w:szCs w:val="21"/>
        </w:rPr>
        <w:t>号院一区</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5</w:t>
      </w:r>
      <w:r>
        <w:rPr>
          <w:rFonts w:ascii="Arial" w:hAnsi="Arial" w:cs="Arial" w:hint="eastAsia"/>
          <w:kern w:val="2"/>
          <w:sz w:val="21"/>
          <w:szCs w:val="21"/>
        </w:rPr>
        <w:t>幢（</w:t>
      </w:r>
      <w:r>
        <w:rPr>
          <w:rFonts w:ascii="Arial" w:hAnsi="Arial" w:cs="Arial" w:hint="eastAsia"/>
          <w:kern w:val="2"/>
          <w:sz w:val="21"/>
          <w:szCs w:val="21"/>
        </w:rPr>
        <w:t>X13</w:t>
      </w:r>
      <w:r>
        <w:rPr>
          <w:rFonts w:ascii="Arial" w:hAnsi="Arial" w:cs="Arial" w:hint="eastAsia"/>
          <w:kern w:val="2"/>
          <w:sz w:val="21"/>
          <w:szCs w:val="21"/>
        </w:rPr>
        <w:t>海棠苑）共</w:t>
      </w:r>
      <w:r>
        <w:rPr>
          <w:rFonts w:ascii="Arial" w:hAnsi="Arial" w:cs="Arial" w:hint="eastAsia"/>
          <w:kern w:val="2"/>
          <w:sz w:val="21"/>
          <w:szCs w:val="21"/>
        </w:rPr>
        <w:t>1487</w:t>
      </w:r>
      <w:r>
        <w:rPr>
          <w:rFonts w:ascii="Arial" w:hAnsi="Arial" w:cs="Arial" w:hint="eastAsia"/>
          <w:kern w:val="2"/>
          <w:sz w:val="21"/>
          <w:szCs w:val="21"/>
        </w:rPr>
        <w:t>套、北京经济技术开发区鹿海园五里</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13</w:t>
      </w:r>
      <w:r>
        <w:rPr>
          <w:rFonts w:ascii="Arial" w:hAnsi="Arial" w:cs="Arial" w:hint="eastAsia"/>
          <w:kern w:val="2"/>
          <w:sz w:val="21"/>
          <w:szCs w:val="21"/>
        </w:rPr>
        <w:t>幢（</w:t>
      </w:r>
      <w:r>
        <w:rPr>
          <w:rFonts w:ascii="Arial" w:hAnsi="Arial" w:cs="Arial" w:hint="eastAsia"/>
          <w:kern w:val="2"/>
          <w:sz w:val="21"/>
          <w:szCs w:val="21"/>
        </w:rPr>
        <w:t>X38</w:t>
      </w:r>
      <w:r>
        <w:rPr>
          <w:rFonts w:ascii="Arial" w:hAnsi="Arial" w:cs="Arial" w:hint="eastAsia"/>
          <w:kern w:val="2"/>
          <w:sz w:val="21"/>
          <w:szCs w:val="21"/>
        </w:rPr>
        <w:t>鹿海园五里）共</w:t>
      </w:r>
      <w:r>
        <w:rPr>
          <w:rFonts w:ascii="Arial" w:hAnsi="Arial" w:cs="Arial" w:hint="eastAsia"/>
          <w:kern w:val="2"/>
          <w:sz w:val="21"/>
          <w:szCs w:val="21"/>
        </w:rPr>
        <w:t>1231</w:t>
      </w:r>
      <w:r>
        <w:rPr>
          <w:rFonts w:ascii="Arial" w:hAnsi="Arial" w:cs="Arial" w:hint="eastAsia"/>
          <w:kern w:val="2"/>
          <w:sz w:val="21"/>
          <w:szCs w:val="21"/>
        </w:rPr>
        <w:t>套组成，共</w:t>
      </w:r>
      <w:r>
        <w:rPr>
          <w:rFonts w:ascii="Arial" w:hAnsi="Arial" w:cs="Arial"/>
          <w:kern w:val="2"/>
          <w:sz w:val="21"/>
          <w:szCs w:val="21"/>
        </w:rPr>
        <w:t>2718</w:t>
      </w:r>
      <w:r>
        <w:rPr>
          <w:rFonts w:ascii="Arial" w:hAnsi="Arial" w:cs="Arial" w:hint="eastAsia"/>
          <w:kern w:val="2"/>
          <w:sz w:val="21"/>
          <w:szCs w:val="21"/>
        </w:rPr>
        <w:t>套公共租赁住房。其中，</w:t>
      </w:r>
      <w:r>
        <w:rPr>
          <w:rFonts w:ascii="Arial" w:hAnsi="Arial" w:cs="Arial" w:hint="eastAsia"/>
          <w:color w:val="000000"/>
          <w:sz w:val="21"/>
          <w:szCs w:val="21"/>
        </w:rPr>
        <w:t>X13</w:t>
      </w:r>
      <w:r>
        <w:rPr>
          <w:rFonts w:ascii="Arial" w:hAnsi="Arial" w:cs="Arial" w:hint="eastAsia"/>
          <w:color w:val="000000"/>
          <w:sz w:val="21"/>
          <w:szCs w:val="21"/>
        </w:rPr>
        <w:t>海棠苑共</w:t>
      </w:r>
      <w:r>
        <w:rPr>
          <w:rFonts w:ascii="Arial" w:hAnsi="Arial" w:cs="Arial" w:hint="eastAsia"/>
          <w:color w:val="000000"/>
          <w:sz w:val="21"/>
          <w:szCs w:val="21"/>
        </w:rPr>
        <w:t>1487</w:t>
      </w:r>
      <w:r>
        <w:rPr>
          <w:rFonts w:ascii="Arial" w:hAnsi="Arial" w:cs="Arial" w:hint="eastAsia"/>
          <w:color w:val="000000"/>
          <w:sz w:val="21"/>
          <w:szCs w:val="21"/>
        </w:rPr>
        <w:t>套，有三种户型，分别为开间、一居室、二居室。其中，开间共</w:t>
      </w:r>
      <w:r>
        <w:rPr>
          <w:rFonts w:ascii="Arial" w:hAnsi="Arial" w:cs="Arial" w:hint="eastAsia"/>
          <w:color w:val="000000"/>
          <w:sz w:val="21"/>
          <w:szCs w:val="21"/>
        </w:rPr>
        <w:t>201</w:t>
      </w:r>
      <w:r>
        <w:rPr>
          <w:rFonts w:ascii="Arial" w:hAnsi="Arial" w:cs="Arial" w:hint="eastAsia"/>
          <w:color w:val="000000"/>
          <w:sz w:val="21"/>
          <w:szCs w:val="21"/>
        </w:rPr>
        <w:t>套，面积控制在</w:t>
      </w:r>
      <w:r>
        <w:rPr>
          <w:rFonts w:ascii="Arial" w:hAnsi="Arial" w:cs="Arial" w:hint="eastAsia"/>
          <w:color w:val="000000"/>
          <w:sz w:val="21"/>
          <w:szCs w:val="21"/>
        </w:rPr>
        <w:t>25.44-50.91</w:t>
      </w:r>
      <w:r>
        <w:rPr>
          <w:rFonts w:ascii="Arial" w:hAnsi="Arial" w:cs="Arial" w:hint="eastAsia"/>
          <w:color w:val="000000"/>
          <w:sz w:val="21"/>
          <w:szCs w:val="21"/>
        </w:rPr>
        <w:t>平方米；一居室共</w:t>
      </w:r>
      <w:r>
        <w:rPr>
          <w:rFonts w:ascii="Arial" w:hAnsi="Arial" w:cs="Arial" w:hint="eastAsia"/>
          <w:color w:val="000000"/>
          <w:sz w:val="21"/>
          <w:szCs w:val="21"/>
        </w:rPr>
        <w:t>1100</w:t>
      </w:r>
      <w:r>
        <w:rPr>
          <w:rFonts w:ascii="Arial" w:hAnsi="Arial" w:cs="Arial" w:hint="eastAsia"/>
          <w:color w:val="000000"/>
          <w:sz w:val="21"/>
          <w:szCs w:val="21"/>
        </w:rPr>
        <w:t>套，面积控制</w:t>
      </w:r>
      <w:r>
        <w:rPr>
          <w:rFonts w:ascii="Arial" w:hAnsi="Arial" w:cs="Arial" w:hint="eastAsia"/>
          <w:color w:val="000000"/>
          <w:sz w:val="21"/>
          <w:szCs w:val="21"/>
        </w:rPr>
        <w:t>38.46-62.94</w:t>
      </w:r>
      <w:r>
        <w:rPr>
          <w:rFonts w:ascii="Arial" w:hAnsi="Arial" w:cs="Arial" w:hint="eastAsia"/>
          <w:color w:val="000000"/>
          <w:sz w:val="21"/>
          <w:szCs w:val="21"/>
        </w:rPr>
        <w:t>平方米；二居室共</w:t>
      </w:r>
      <w:r>
        <w:rPr>
          <w:rFonts w:ascii="Arial" w:hAnsi="Arial" w:cs="Arial" w:hint="eastAsia"/>
          <w:color w:val="000000"/>
          <w:sz w:val="21"/>
          <w:szCs w:val="21"/>
        </w:rPr>
        <w:t>186</w:t>
      </w:r>
      <w:r>
        <w:rPr>
          <w:rFonts w:ascii="Arial" w:hAnsi="Arial" w:cs="Arial" w:hint="eastAsia"/>
          <w:color w:val="000000"/>
          <w:sz w:val="21"/>
          <w:szCs w:val="21"/>
        </w:rPr>
        <w:t>套，面积约控制为</w:t>
      </w:r>
      <w:r>
        <w:rPr>
          <w:rFonts w:ascii="Arial" w:hAnsi="Arial" w:cs="Arial" w:hint="eastAsia"/>
          <w:color w:val="000000"/>
          <w:sz w:val="21"/>
          <w:szCs w:val="21"/>
        </w:rPr>
        <w:t>60.42-61.34</w:t>
      </w:r>
      <w:r>
        <w:rPr>
          <w:rFonts w:ascii="Arial" w:hAnsi="Arial" w:cs="Arial" w:hint="eastAsia"/>
          <w:color w:val="000000"/>
          <w:sz w:val="21"/>
          <w:szCs w:val="21"/>
        </w:rPr>
        <w:t>平方米。</w:t>
      </w:r>
      <w:r>
        <w:rPr>
          <w:rFonts w:ascii="Arial" w:hAnsi="Arial" w:cs="Arial" w:hint="eastAsia"/>
          <w:color w:val="000000"/>
          <w:sz w:val="21"/>
          <w:szCs w:val="21"/>
        </w:rPr>
        <w:t>X38</w:t>
      </w:r>
      <w:r>
        <w:rPr>
          <w:rFonts w:ascii="Arial" w:hAnsi="Arial" w:cs="Arial" w:hint="eastAsia"/>
          <w:color w:val="000000"/>
          <w:sz w:val="21"/>
          <w:szCs w:val="21"/>
        </w:rPr>
        <w:t>鹿海园五里共</w:t>
      </w:r>
      <w:r>
        <w:rPr>
          <w:rFonts w:ascii="Arial" w:hAnsi="Arial" w:cs="Arial" w:hint="eastAsia"/>
          <w:color w:val="000000"/>
          <w:sz w:val="21"/>
          <w:szCs w:val="21"/>
        </w:rPr>
        <w:t>1231</w:t>
      </w:r>
      <w:r>
        <w:rPr>
          <w:rFonts w:ascii="Arial" w:hAnsi="Arial" w:cs="Arial" w:hint="eastAsia"/>
          <w:color w:val="000000"/>
          <w:sz w:val="21"/>
          <w:szCs w:val="21"/>
        </w:rPr>
        <w:t>套，有三种户型，分别为一居室、二居室、三居室。其中，一居室共</w:t>
      </w:r>
      <w:r>
        <w:rPr>
          <w:rFonts w:ascii="Arial" w:hAnsi="Arial" w:cs="Arial" w:hint="eastAsia"/>
          <w:color w:val="000000"/>
          <w:sz w:val="21"/>
          <w:szCs w:val="21"/>
        </w:rPr>
        <w:t>334</w:t>
      </w:r>
      <w:r>
        <w:rPr>
          <w:rFonts w:ascii="Arial" w:hAnsi="Arial" w:cs="Arial" w:hint="eastAsia"/>
          <w:color w:val="000000"/>
          <w:sz w:val="21"/>
          <w:szCs w:val="21"/>
        </w:rPr>
        <w:t>套，面积约控制在</w:t>
      </w:r>
      <w:r>
        <w:rPr>
          <w:rFonts w:ascii="Arial" w:hAnsi="Arial" w:cs="Arial" w:hint="eastAsia"/>
          <w:color w:val="000000"/>
          <w:sz w:val="21"/>
          <w:szCs w:val="21"/>
        </w:rPr>
        <w:t>51.14-71.30</w:t>
      </w:r>
      <w:r>
        <w:rPr>
          <w:rFonts w:ascii="Arial" w:hAnsi="Arial" w:cs="Arial" w:hint="eastAsia"/>
          <w:color w:val="000000"/>
          <w:sz w:val="21"/>
          <w:szCs w:val="21"/>
        </w:rPr>
        <w:t>平方米；二居室共</w:t>
      </w:r>
      <w:r>
        <w:rPr>
          <w:rFonts w:ascii="Arial" w:hAnsi="Arial" w:cs="Arial" w:hint="eastAsia"/>
          <w:color w:val="000000"/>
          <w:sz w:val="21"/>
          <w:szCs w:val="21"/>
        </w:rPr>
        <w:t>656</w:t>
      </w:r>
      <w:r>
        <w:rPr>
          <w:rFonts w:ascii="Arial" w:hAnsi="Arial" w:cs="Arial" w:hint="eastAsia"/>
          <w:color w:val="000000"/>
          <w:sz w:val="21"/>
          <w:szCs w:val="21"/>
        </w:rPr>
        <w:t>套，面积控制在</w:t>
      </w:r>
      <w:r>
        <w:rPr>
          <w:rFonts w:ascii="Arial" w:hAnsi="Arial" w:cs="Arial" w:hint="eastAsia"/>
          <w:color w:val="000000"/>
          <w:sz w:val="21"/>
          <w:szCs w:val="21"/>
        </w:rPr>
        <w:t>91.83-110.57</w:t>
      </w:r>
      <w:r>
        <w:rPr>
          <w:rFonts w:ascii="Arial" w:hAnsi="Arial" w:cs="Arial" w:hint="eastAsia"/>
          <w:color w:val="000000"/>
          <w:sz w:val="21"/>
          <w:szCs w:val="21"/>
        </w:rPr>
        <w:t>平方米；三居室共</w:t>
      </w:r>
      <w:r>
        <w:rPr>
          <w:rFonts w:ascii="Arial" w:hAnsi="Arial" w:cs="Arial" w:hint="eastAsia"/>
          <w:color w:val="000000"/>
          <w:sz w:val="21"/>
          <w:szCs w:val="21"/>
        </w:rPr>
        <w:t>241</w:t>
      </w:r>
      <w:r>
        <w:rPr>
          <w:rFonts w:ascii="Arial" w:hAnsi="Arial" w:cs="Arial" w:hint="eastAsia"/>
          <w:color w:val="000000"/>
          <w:sz w:val="21"/>
          <w:szCs w:val="21"/>
        </w:rPr>
        <w:t>套，面积为</w:t>
      </w:r>
      <w:r>
        <w:rPr>
          <w:rFonts w:ascii="Arial" w:hAnsi="Arial" w:cs="Arial" w:hint="eastAsia"/>
          <w:color w:val="000000"/>
          <w:sz w:val="21"/>
          <w:szCs w:val="21"/>
        </w:rPr>
        <w:t>123.14-131.57</w:t>
      </w:r>
      <w:r>
        <w:rPr>
          <w:rFonts w:ascii="Arial" w:hAnsi="Arial" w:cs="Arial" w:hint="eastAsia"/>
          <w:color w:val="000000"/>
          <w:sz w:val="21"/>
          <w:szCs w:val="21"/>
        </w:rPr>
        <w:t>平方米。</w:t>
      </w:r>
    </w:p>
    <w:p w14:paraId="0A953AE7" w14:textId="77777777" w:rsidR="00000000" w:rsidRDefault="00000000">
      <w:pPr>
        <w:pStyle w:val="Normal"/>
        <w:wordWrap w:val="0"/>
        <w:overflowPunct w:val="0"/>
        <w:autoSpaceDE w:val="0"/>
        <w:autoSpaceDN w:val="0"/>
        <w:spacing w:line="480" w:lineRule="auto"/>
        <w:ind w:right="140" w:firstLineChars="200" w:firstLine="420"/>
        <w:jc w:val="both"/>
        <w:textAlignment w:val="auto"/>
        <w:rPr>
          <w:rFonts w:ascii="Arial" w:hAnsi="Arial" w:cs="Arial" w:hint="eastAsia"/>
          <w:kern w:val="2"/>
          <w:sz w:val="21"/>
          <w:szCs w:val="21"/>
        </w:rPr>
      </w:pPr>
      <w:r>
        <w:rPr>
          <w:rFonts w:ascii="Arial" w:hAnsi="Arial" w:cs="Arial" w:hint="eastAsia"/>
          <w:sz w:val="21"/>
          <w:szCs w:val="21"/>
        </w:rPr>
        <w:t>参照被评估公共租赁住房项目的户型、面积、朝向、楼层、装修及设备等因素，依据众数原则，</w:t>
      </w:r>
      <w:r>
        <w:rPr>
          <w:rFonts w:ascii="Arial" w:hAnsi="Arial" w:cs="Arial"/>
          <w:color w:val="000000"/>
          <w:sz w:val="21"/>
          <w:szCs w:val="21"/>
        </w:rPr>
        <w:t>选取</w:t>
      </w:r>
      <w:r>
        <w:rPr>
          <w:rFonts w:ascii="Arial" w:hAnsi="Arial" w:cs="Arial" w:hint="eastAsia"/>
          <w:color w:val="000000"/>
          <w:sz w:val="21"/>
          <w:szCs w:val="21"/>
        </w:rPr>
        <w:t>X13</w:t>
      </w:r>
      <w:r>
        <w:rPr>
          <w:rFonts w:ascii="Arial" w:hAnsi="Arial" w:cs="Arial" w:hint="eastAsia"/>
          <w:color w:val="000000"/>
          <w:sz w:val="21"/>
          <w:szCs w:val="21"/>
        </w:rPr>
        <w:t>海棠苑项目</w:t>
      </w:r>
      <w:r>
        <w:rPr>
          <w:rFonts w:ascii="Arial" w:hAnsi="Arial" w:cs="Arial"/>
          <w:color w:val="000000"/>
          <w:sz w:val="21"/>
          <w:szCs w:val="21"/>
        </w:rPr>
        <w:t>为标准小区</w:t>
      </w:r>
      <w:r>
        <w:rPr>
          <w:rFonts w:ascii="Arial" w:hAnsi="Arial" w:cs="Arial" w:hint="eastAsia"/>
          <w:color w:val="000000"/>
          <w:sz w:val="21"/>
          <w:szCs w:val="21"/>
        </w:rPr>
        <w:t>，</w:t>
      </w:r>
      <w:r>
        <w:rPr>
          <w:rFonts w:ascii="Arial" w:hAnsi="Arial" w:cs="Arial" w:hint="eastAsia"/>
          <w:kern w:val="2"/>
          <w:sz w:val="21"/>
          <w:szCs w:val="21"/>
        </w:rPr>
        <w:t>X13</w:t>
      </w:r>
      <w:r>
        <w:rPr>
          <w:rFonts w:ascii="Arial" w:hAnsi="Arial" w:cs="Arial" w:hint="eastAsia"/>
          <w:kern w:val="2"/>
          <w:sz w:val="21"/>
          <w:szCs w:val="21"/>
        </w:rPr>
        <w:t>海棠苑项目设定的标准房户型为一居室，面积为</w:t>
      </w:r>
      <w:r>
        <w:rPr>
          <w:rFonts w:ascii="Arial" w:hAnsi="Arial" w:cs="Arial"/>
          <w:kern w:val="2"/>
          <w:sz w:val="21"/>
          <w:szCs w:val="21"/>
        </w:rPr>
        <w:t>59.64</w:t>
      </w:r>
      <w:r>
        <w:rPr>
          <w:rFonts w:ascii="Arial" w:hAnsi="Arial" w:cs="Arial" w:hint="eastAsia"/>
          <w:kern w:val="2"/>
          <w:sz w:val="21"/>
          <w:szCs w:val="21"/>
        </w:rPr>
        <w:t>平方米，朝向为西，装修为普通装修。</w:t>
      </w:r>
      <w:r>
        <w:rPr>
          <w:rFonts w:ascii="Arial" w:hAnsi="Arial" w:cs="Arial" w:hint="eastAsia"/>
          <w:kern w:val="2"/>
          <w:sz w:val="21"/>
          <w:szCs w:val="21"/>
        </w:rPr>
        <w:t>X38</w:t>
      </w:r>
      <w:r>
        <w:rPr>
          <w:rFonts w:ascii="Arial" w:hAnsi="Arial" w:cs="Arial" w:hint="eastAsia"/>
          <w:kern w:val="2"/>
          <w:sz w:val="21"/>
          <w:szCs w:val="21"/>
        </w:rPr>
        <w:t>鹿海园五里项目设定的标准房户型为二居室，面积为</w:t>
      </w:r>
      <w:r>
        <w:rPr>
          <w:rFonts w:ascii="Arial" w:hAnsi="Arial" w:cs="Arial"/>
          <w:kern w:val="2"/>
          <w:sz w:val="21"/>
          <w:szCs w:val="21"/>
        </w:rPr>
        <w:t>109.19</w:t>
      </w:r>
      <w:r>
        <w:rPr>
          <w:rFonts w:ascii="Arial" w:hAnsi="Arial" w:cs="Arial" w:hint="eastAsia"/>
          <w:kern w:val="2"/>
          <w:sz w:val="21"/>
          <w:szCs w:val="21"/>
        </w:rPr>
        <w:t>平方米，朝向为南北，装修为普通装修。</w:t>
      </w:r>
    </w:p>
    <w:p w14:paraId="1A0161E6" w14:textId="77777777" w:rsidR="00000000" w:rsidRDefault="00000000">
      <w:pPr>
        <w:pStyle w:val="Normal"/>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42156DF3" w14:textId="77777777" w:rsidR="00000000" w:rsidRDefault="00000000">
      <w:pPr>
        <w:pStyle w:val="Normal"/>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color w:val="000000"/>
          <w:sz w:val="21"/>
          <w:szCs w:val="21"/>
        </w:rPr>
        <w:t>3.</w:t>
      </w:r>
      <w:r>
        <w:rPr>
          <w:rFonts w:ascii="Arial" w:hAnsi="Arial" w:cs="Arial"/>
          <w:color w:val="000000"/>
          <w:sz w:val="21"/>
          <w:szCs w:val="21"/>
        </w:rPr>
        <w:t>将所选可比小区与评估对象公共租赁住房</w:t>
      </w:r>
      <w:r>
        <w:rPr>
          <w:rFonts w:ascii="Arial" w:hAnsi="Arial" w:cs="Arial" w:hint="eastAsia"/>
          <w:color w:val="000000"/>
          <w:sz w:val="21"/>
          <w:szCs w:val="21"/>
        </w:rPr>
        <w:t>（</w:t>
      </w:r>
      <w:r>
        <w:rPr>
          <w:rFonts w:ascii="Arial" w:hAnsi="Arial" w:cs="Arial" w:hint="eastAsia"/>
          <w:kern w:val="2"/>
          <w:sz w:val="21"/>
          <w:szCs w:val="21"/>
        </w:rPr>
        <w:t>X13</w:t>
      </w:r>
      <w:r>
        <w:rPr>
          <w:rFonts w:ascii="Arial" w:hAnsi="Arial" w:cs="Arial" w:hint="eastAsia"/>
          <w:kern w:val="2"/>
          <w:sz w:val="21"/>
          <w:szCs w:val="21"/>
        </w:rPr>
        <w:t>海棠苑项目</w:t>
      </w:r>
      <w:r>
        <w:rPr>
          <w:rFonts w:ascii="Arial" w:hAnsi="Arial" w:cs="Arial" w:hint="eastAsia"/>
          <w:color w:val="000000"/>
          <w:sz w:val="21"/>
          <w:szCs w:val="21"/>
        </w:rPr>
        <w:t>）</w:t>
      </w:r>
      <w:r>
        <w:rPr>
          <w:rFonts w:ascii="Arial" w:hAnsi="Arial" w:cs="Arial"/>
          <w:color w:val="000000"/>
          <w:sz w:val="21"/>
          <w:szCs w:val="21"/>
        </w:rPr>
        <w:t>标准房进行比较，进行区位状况调整和实物状况调整，计算各可比实例比准租金，得到</w:t>
      </w:r>
      <w:r>
        <w:rPr>
          <w:rFonts w:ascii="Arial" w:hAnsi="Arial" w:cs="Arial" w:hint="eastAsia"/>
          <w:color w:val="000000"/>
          <w:sz w:val="21"/>
          <w:szCs w:val="21"/>
        </w:rPr>
        <w:t>标准小区（</w:t>
      </w:r>
      <w:r>
        <w:rPr>
          <w:rFonts w:ascii="Arial" w:hAnsi="Arial" w:cs="Arial" w:hint="eastAsia"/>
          <w:kern w:val="2"/>
          <w:sz w:val="21"/>
          <w:szCs w:val="21"/>
        </w:rPr>
        <w:t>X13</w:t>
      </w:r>
      <w:r>
        <w:rPr>
          <w:rFonts w:ascii="Arial" w:hAnsi="Arial" w:cs="Arial" w:hint="eastAsia"/>
          <w:kern w:val="2"/>
          <w:sz w:val="21"/>
          <w:szCs w:val="21"/>
        </w:rPr>
        <w:t>海棠苑项目</w:t>
      </w:r>
      <w:r>
        <w:rPr>
          <w:rFonts w:ascii="Arial" w:hAnsi="Arial" w:cs="Arial" w:hint="eastAsia"/>
          <w:color w:val="000000"/>
          <w:sz w:val="21"/>
          <w:szCs w:val="21"/>
        </w:rPr>
        <w:t>）</w:t>
      </w:r>
      <w:r>
        <w:rPr>
          <w:rFonts w:ascii="Arial" w:hAnsi="Arial" w:cs="Arial"/>
          <w:color w:val="000000"/>
          <w:sz w:val="21"/>
          <w:szCs w:val="21"/>
        </w:rPr>
        <w:t>标准房租金水平。</w:t>
      </w:r>
    </w:p>
    <w:p w14:paraId="4B27E25C" w14:textId="77777777" w:rsidR="00000000" w:rsidRDefault="00000000">
      <w:pPr>
        <w:pStyle w:val="Normal"/>
        <w:wordWrap w:val="0"/>
        <w:overflowPunct w:val="0"/>
        <w:autoSpaceDE w:val="0"/>
        <w:autoSpaceDN w:val="0"/>
        <w:spacing w:line="480" w:lineRule="auto"/>
        <w:ind w:right="140" w:firstLineChars="200" w:firstLine="420"/>
        <w:jc w:val="both"/>
        <w:textAlignment w:val="auto"/>
        <w:rPr>
          <w:rFonts w:ascii="Arial" w:hAnsi="Arial" w:cs="Arial" w:hint="eastAsia"/>
          <w:color w:val="000000"/>
          <w:sz w:val="21"/>
          <w:szCs w:val="21"/>
        </w:rPr>
      </w:pPr>
      <w:r>
        <w:rPr>
          <w:rFonts w:ascii="Arial" w:hAnsi="Arial" w:cs="Arial"/>
          <w:color w:val="000000"/>
          <w:sz w:val="21"/>
          <w:szCs w:val="21"/>
        </w:rPr>
        <w:t>4.</w:t>
      </w:r>
      <w:r>
        <w:rPr>
          <w:rFonts w:ascii="Arial" w:hAnsi="Arial" w:cs="Arial"/>
          <w:color w:val="000000"/>
          <w:sz w:val="21"/>
          <w:szCs w:val="21"/>
        </w:rPr>
        <w:t>将估价对象</w:t>
      </w:r>
      <w:r>
        <w:rPr>
          <w:rFonts w:ascii="Arial" w:hAnsi="Arial" w:cs="Arial" w:hint="eastAsia"/>
          <w:kern w:val="2"/>
          <w:sz w:val="21"/>
          <w:szCs w:val="21"/>
        </w:rPr>
        <w:t>X38</w:t>
      </w:r>
      <w:r>
        <w:rPr>
          <w:rFonts w:ascii="Arial" w:hAnsi="Arial" w:cs="Arial" w:hint="eastAsia"/>
          <w:kern w:val="2"/>
          <w:sz w:val="21"/>
          <w:szCs w:val="21"/>
        </w:rPr>
        <w:t>鹿海园五里项目</w:t>
      </w:r>
      <w:r>
        <w:rPr>
          <w:rFonts w:ascii="Arial" w:hAnsi="Arial" w:cs="Arial" w:hint="eastAsia"/>
          <w:color w:val="000000"/>
          <w:sz w:val="21"/>
          <w:szCs w:val="21"/>
        </w:rPr>
        <w:t>标准房</w:t>
      </w:r>
      <w:r>
        <w:rPr>
          <w:rFonts w:ascii="Arial" w:hAnsi="Arial" w:cs="Arial"/>
          <w:color w:val="000000"/>
          <w:sz w:val="21"/>
          <w:szCs w:val="21"/>
        </w:rPr>
        <w:t>与</w:t>
      </w:r>
      <w:r>
        <w:rPr>
          <w:rFonts w:ascii="Arial" w:hAnsi="Arial" w:cs="Arial" w:hint="eastAsia"/>
          <w:color w:val="000000"/>
          <w:sz w:val="21"/>
          <w:szCs w:val="21"/>
        </w:rPr>
        <w:t>标准小区（</w:t>
      </w:r>
      <w:r>
        <w:rPr>
          <w:rFonts w:ascii="Arial" w:hAnsi="Arial" w:cs="Arial" w:hint="eastAsia"/>
          <w:kern w:val="2"/>
          <w:sz w:val="21"/>
          <w:szCs w:val="21"/>
        </w:rPr>
        <w:t>X13</w:t>
      </w:r>
      <w:r>
        <w:rPr>
          <w:rFonts w:ascii="Arial" w:hAnsi="Arial" w:cs="Arial" w:hint="eastAsia"/>
          <w:kern w:val="2"/>
          <w:sz w:val="21"/>
          <w:szCs w:val="21"/>
        </w:rPr>
        <w:t>海棠苑项目</w:t>
      </w:r>
      <w:r>
        <w:rPr>
          <w:rFonts w:ascii="Arial" w:hAnsi="Arial" w:cs="Arial" w:hint="eastAsia"/>
          <w:color w:val="000000"/>
          <w:sz w:val="21"/>
          <w:szCs w:val="21"/>
        </w:rPr>
        <w:t>）</w:t>
      </w:r>
      <w:r>
        <w:rPr>
          <w:rFonts w:ascii="Arial" w:hAnsi="Arial" w:cs="Arial"/>
          <w:color w:val="000000"/>
          <w:sz w:val="21"/>
          <w:szCs w:val="21"/>
        </w:rPr>
        <w:t>标准房进行比较，得到</w:t>
      </w:r>
      <w:r>
        <w:rPr>
          <w:rFonts w:ascii="Arial" w:hAnsi="Arial" w:cs="Arial" w:hint="eastAsia"/>
          <w:kern w:val="2"/>
          <w:sz w:val="21"/>
          <w:szCs w:val="21"/>
        </w:rPr>
        <w:t>X38</w:t>
      </w:r>
      <w:r>
        <w:rPr>
          <w:rFonts w:ascii="Arial" w:hAnsi="Arial" w:cs="Arial" w:hint="eastAsia"/>
          <w:kern w:val="2"/>
          <w:sz w:val="21"/>
          <w:szCs w:val="21"/>
        </w:rPr>
        <w:t>鹿海园五里项目</w:t>
      </w:r>
      <w:r>
        <w:rPr>
          <w:rFonts w:ascii="Arial" w:hAnsi="Arial" w:cs="Arial" w:hint="eastAsia"/>
          <w:color w:val="000000"/>
          <w:sz w:val="21"/>
          <w:szCs w:val="21"/>
        </w:rPr>
        <w:t>标准房</w:t>
      </w:r>
      <w:r>
        <w:rPr>
          <w:rFonts w:ascii="Arial" w:hAnsi="Arial" w:cs="Arial"/>
          <w:color w:val="000000"/>
          <w:sz w:val="21"/>
          <w:szCs w:val="21"/>
        </w:rPr>
        <w:t>租金</w:t>
      </w:r>
      <w:r>
        <w:rPr>
          <w:rFonts w:ascii="Arial" w:hAnsi="Arial" w:cs="Arial" w:hint="eastAsia"/>
          <w:color w:val="000000"/>
          <w:sz w:val="21"/>
          <w:szCs w:val="21"/>
        </w:rPr>
        <w:t>水平。</w:t>
      </w:r>
    </w:p>
    <w:p w14:paraId="5423D084" w14:textId="77777777" w:rsidR="00000000" w:rsidRDefault="00000000">
      <w:pPr>
        <w:pStyle w:val="Normal"/>
        <w:wordWrap w:val="0"/>
        <w:overflowPunct w:val="0"/>
        <w:autoSpaceDE w:val="0"/>
        <w:autoSpaceDN w:val="0"/>
        <w:spacing w:line="480" w:lineRule="auto"/>
        <w:ind w:right="140"/>
        <w:jc w:val="both"/>
        <w:textAlignment w:val="auto"/>
        <w:rPr>
          <w:rFonts w:ascii="Arial" w:hAnsi="Arial" w:cs="Arial"/>
          <w:b/>
          <w:color w:val="000000"/>
          <w:sz w:val="21"/>
          <w:szCs w:val="21"/>
        </w:rPr>
      </w:pPr>
      <w:r>
        <w:rPr>
          <w:rFonts w:ascii="Arial" w:hAnsi="Arial" w:cs="Arial" w:hint="eastAsia"/>
          <w:b/>
          <w:color w:val="000000"/>
          <w:sz w:val="21"/>
          <w:szCs w:val="21"/>
        </w:rPr>
        <w:t>（二）估价方法</w:t>
      </w:r>
      <w:r>
        <w:rPr>
          <w:rFonts w:ascii="Arial" w:hAnsi="Arial" w:cs="Arial"/>
          <w:b/>
          <w:color w:val="000000"/>
          <w:sz w:val="21"/>
          <w:szCs w:val="21"/>
        </w:rPr>
        <w:t xml:space="preserve"> </w:t>
      </w:r>
    </w:p>
    <w:p w14:paraId="7D0343C6" w14:textId="77777777" w:rsidR="00000000" w:rsidRDefault="00000000">
      <w:pPr>
        <w:pStyle w:val="Normal"/>
        <w:wordWrap w:val="0"/>
        <w:overflowPunct w:val="0"/>
        <w:autoSpaceDE w:val="0"/>
        <w:autoSpaceDN w:val="0"/>
        <w:spacing w:line="480" w:lineRule="auto"/>
        <w:ind w:right="140" w:firstLineChars="200" w:firstLine="420"/>
        <w:jc w:val="both"/>
        <w:textAlignment w:val="auto"/>
        <w:rPr>
          <w:rFonts w:ascii="Arial" w:hAnsi="Arial" w:cs="Arial" w:hint="eastAsia"/>
          <w:color w:val="000000"/>
          <w:sz w:val="21"/>
          <w:szCs w:val="21"/>
        </w:rPr>
      </w:pPr>
      <w:r>
        <w:rPr>
          <w:rFonts w:ascii="Arial" w:hAnsi="Arial" w:cs="Arial"/>
          <w:color w:val="000000"/>
          <w:sz w:val="21"/>
          <w:szCs w:val="21"/>
        </w:rPr>
        <w:t>比较法，是在求取估价对象房地产价值时，根据替代原则，将估价对象与在较近时期内已发生交易的类似房地产交易实例进行对照比较，并依据后者已知的价格，参照该房地产的交易情况、期日、</w:t>
      </w:r>
      <w:r>
        <w:rPr>
          <w:rFonts w:ascii="Arial" w:hAnsi="Arial" w:cs="Arial"/>
          <w:color w:val="000000"/>
          <w:sz w:val="21"/>
          <w:szCs w:val="21"/>
        </w:rPr>
        <w:lastRenderedPageBreak/>
        <w:t>区域及实物状况的差别，修正得出估价对象房地产市场价值的方法。本次估价采用比较法思路评估租金价格水平。</w:t>
      </w:r>
    </w:p>
    <w:p w14:paraId="014BEB62" w14:textId="77777777" w:rsidR="00000000" w:rsidRDefault="00000000">
      <w:pPr>
        <w:pStyle w:val="Normal"/>
        <w:wordWrap w:val="0"/>
        <w:overflowPunct w:val="0"/>
        <w:autoSpaceDE w:val="0"/>
        <w:autoSpaceDN w:val="0"/>
        <w:spacing w:line="480" w:lineRule="auto"/>
        <w:ind w:right="140" w:firstLineChars="200" w:firstLine="420"/>
        <w:jc w:val="both"/>
        <w:textAlignment w:val="auto"/>
        <w:rPr>
          <w:rFonts w:ascii="Arial" w:hAnsi="Arial" w:cs="Arial" w:hint="eastAsia"/>
          <w:color w:val="000000"/>
          <w:sz w:val="21"/>
          <w:szCs w:val="21"/>
        </w:rPr>
      </w:pPr>
      <w:r>
        <w:rPr>
          <w:rFonts w:ascii="Arial" w:hAnsi="Arial" w:cs="Arial" w:hint="eastAsia"/>
          <w:color w:val="000000"/>
          <w:sz w:val="21"/>
          <w:szCs w:val="21"/>
        </w:rPr>
        <w:t>1.</w:t>
      </w:r>
      <w:r>
        <w:rPr>
          <w:rFonts w:ascii="Arial" w:hAnsi="Arial" w:cs="Arial"/>
          <w:color w:val="000000"/>
          <w:sz w:val="21"/>
          <w:szCs w:val="21"/>
        </w:rPr>
        <w:t>采用</w:t>
      </w:r>
      <w:r>
        <w:rPr>
          <w:rFonts w:ascii="Arial" w:hAnsi="Arial" w:cs="Arial" w:hint="eastAsia"/>
          <w:color w:val="000000"/>
          <w:sz w:val="21"/>
          <w:szCs w:val="21"/>
        </w:rPr>
        <w:t>比较法</w:t>
      </w:r>
      <w:r>
        <w:rPr>
          <w:rFonts w:ascii="Arial" w:hAnsi="Arial" w:cs="Arial"/>
          <w:color w:val="000000"/>
          <w:sz w:val="21"/>
          <w:szCs w:val="21"/>
        </w:rPr>
        <w:t>的理由</w:t>
      </w:r>
      <w:r>
        <w:rPr>
          <w:rFonts w:ascii="Arial" w:hAnsi="Arial" w:cs="Arial" w:hint="eastAsia"/>
          <w:color w:val="000000"/>
          <w:sz w:val="21"/>
          <w:szCs w:val="21"/>
        </w:rPr>
        <w:t>：</w:t>
      </w:r>
    </w:p>
    <w:p w14:paraId="5891CA2B" w14:textId="77777777" w:rsidR="00000000" w:rsidRDefault="00000000">
      <w:pPr>
        <w:pStyle w:val="Normal"/>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ascii="Arial" w:hAnsi="Arial" w:cs="Arial" w:hint="eastAsia"/>
          <w:sz w:val="21"/>
          <w:szCs w:val="21"/>
        </w:rPr>
        <w:t>。</w:t>
      </w:r>
      <w:r>
        <w:rPr>
          <w:rFonts w:ascii="Arial" w:hAnsi="Arial" w:cs="Arial"/>
          <w:sz w:val="21"/>
          <w:szCs w:val="21"/>
        </w:rPr>
        <w:t xml:space="preserve"> </w:t>
      </w:r>
      <w:r>
        <w:rPr>
          <w:rFonts w:ascii="Arial" w:hAnsi="Arial" w:cs="Arial"/>
          <w:sz w:val="21"/>
          <w:szCs w:val="21"/>
        </w:rPr>
        <w:t>同时</w:t>
      </w:r>
      <w:r>
        <w:rPr>
          <w:rFonts w:ascii="Arial" w:hAnsi="Arial" w:cs="Arial" w:hint="eastAsia"/>
          <w:sz w:val="21"/>
          <w:szCs w:val="21"/>
        </w:rPr>
        <w:t>，</w:t>
      </w:r>
      <w:r>
        <w:rPr>
          <w:rFonts w:ascii="Arial" w:hAnsi="Arial" w:cs="Arial"/>
          <w:sz w:val="21"/>
          <w:szCs w:val="21"/>
        </w:rPr>
        <w:t>通过区域因素修正得出估价对象相邻或相似区域住宅租赁价格水平</w:t>
      </w:r>
      <w:r>
        <w:rPr>
          <w:rFonts w:ascii="Arial" w:hAnsi="Arial" w:cs="Arial" w:hint="eastAsia"/>
          <w:sz w:val="21"/>
          <w:szCs w:val="21"/>
        </w:rPr>
        <w:t>。</w:t>
      </w:r>
    </w:p>
    <w:p w14:paraId="6C05BCF8" w14:textId="77777777" w:rsidR="00000000" w:rsidRDefault="00000000">
      <w:pPr>
        <w:pStyle w:val="Normal"/>
        <w:wordWrap w:val="0"/>
        <w:overflowPunct w:val="0"/>
        <w:autoSpaceDE w:val="0"/>
        <w:autoSpaceDN w:val="0"/>
        <w:spacing w:line="480" w:lineRule="auto"/>
        <w:ind w:right="140" w:firstLineChars="200" w:firstLine="420"/>
        <w:jc w:val="both"/>
        <w:textAlignment w:val="auto"/>
        <w:rPr>
          <w:rFonts w:ascii="Arial" w:hAnsi="Arial" w:cs="Arial" w:hint="eastAsia"/>
          <w:color w:val="000000"/>
          <w:sz w:val="21"/>
          <w:szCs w:val="21"/>
        </w:rPr>
      </w:pPr>
      <w:r>
        <w:rPr>
          <w:rFonts w:ascii="Arial" w:hAnsi="Arial" w:cs="Arial" w:hint="eastAsia"/>
          <w:color w:val="000000"/>
          <w:sz w:val="21"/>
          <w:szCs w:val="21"/>
        </w:rPr>
        <w:t>2.</w:t>
      </w:r>
      <w:r>
        <w:rPr>
          <w:rFonts w:ascii="Arial" w:hAnsi="Arial" w:cs="Arial"/>
          <w:color w:val="000000"/>
          <w:sz w:val="21"/>
          <w:szCs w:val="21"/>
        </w:rPr>
        <w:t>不采用成本法、假设开发法、收益法的理由</w:t>
      </w:r>
      <w:r>
        <w:rPr>
          <w:rFonts w:ascii="Arial" w:hAnsi="Arial" w:cs="Arial" w:hint="eastAsia"/>
          <w:color w:val="000000"/>
          <w:sz w:val="21"/>
          <w:szCs w:val="21"/>
        </w:rPr>
        <w:t>：</w:t>
      </w:r>
    </w:p>
    <w:p w14:paraId="332F6A3C" w14:textId="77777777" w:rsidR="00000000" w:rsidRDefault="00000000">
      <w:pPr>
        <w:pStyle w:val="LO-Normal"/>
        <w:overflowPunct w:val="0"/>
        <w:autoSpaceDE w:val="0"/>
        <w:spacing w:line="480" w:lineRule="auto"/>
        <w:ind w:right="140" w:firstLine="420"/>
        <w:jc w:val="both"/>
        <w:textAlignment w:val="auto"/>
        <w:rPr>
          <w:rFonts w:cs="Arial"/>
          <w:sz w:val="21"/>
          <w:szCs w:val="21"/>
        </w:rPr>
      </w:pPr>
      <w:r>
        <w:rPr>
          <w:rFonts w:cs="Arial"/>
          <w:sz w:val="21"/>
          <w:szCs w:val="21"/>
        </w:rPr>
        <w:t>（1）估价对象适用比较法，且已优先采用比较法进行评估，故不再采用成本法进行测算。</w:t>
      </w:r>
    </w:p>
    <w:p w14:paraId="3D0B4841" w14:textId="77777777" w:rsidR="00000000" w:rsidRDefault="00000000">
      <w:pPr>
        <w:pStyle w:val="LO-Normal"/>
        <w:overflowPunct w:val="0"/>
        <w:autoSpaceDE w:val="0"/>
        <w:spacing w:line="480" w:lineRule="auto"/>
        <w:ind w:right="140" w:firstLine="420"/>
        <w:jc w:val="both"/>
        <w:textAlignment w:val="auto"/>
      </w:pPr>
      <w:r>
        <w:rPr>
          <w:rFonts w:cs="Arial"/>
          <w:sz w:val="21"/>
          <w:szCs w:val="21"/>
        </w:rPr>
        <w:t>（2）</w:t>
      </w:r>
      <w:r>
        <w:rPr>
          <w:rFonts w:ascii="Arial" w:hAnsi="Arial" w:cs="Arial" w:hint="eastAsia"/>
          <w:sz w:val="21"/>
          <w:szCs w:val="21"/>
        </w:rPr>
        <w:t>假设开发法可评估房地产市场价值，但不适于租赁价格的评估。</w:t>
      </w:r>
    </w:p>
    <w:p w14:paraId="74DFB1E3" w14:textId="77777777" w:rsidR="00000000" w:rsidRDefault="00000000">
      <w:pPr>
        <w:pStyle w:val="Normal"/>
        <w:wordWrap w:val="0"/>
        <w:overflowPunct w:val="0"/>
        <w:autoSpaceDE w:val="0"/>
        <w:autoSpaceDN w:val="0"/>
        <w:spacing w:line="480" w:lineRule="auto"/>
        <w:ind w:right="140" w:firstLineChars="200" w:firstLine="420"/>
        <w:jc w:val="both"/>
        <w:textAlignment w:val="auto"/>
        <w:rPr>
          <w:rFonts w:ascii="Arial" w:hAnsi="Arial" w:cs="Arial"/>
          <w:b/>
          <w:kern w:val="2"/>
          <w:sz w:val="21"/>
          <w:szCs w:val="21"/>
        </w:rPr>
      </w:pPr>
      <w:r>
        <w:rPr>
          <w:rFonts w:cs="Arial"/>
          <w:sz w:val="21"/>
          <w:szCs w:val="21"/>
        </w:rPr>
        <w:t>（3）</w:t>
      </w:r>
      <w:r>
        <w:rPr>
          <w:rFonts w:ascii="Arial" w:hAnsi="Arial" w:cs="Arial" w:hint="eastAsia"/>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r>
        <w:rPr>
          <w:rFonts w:ascii="Arial" w:eastAsia="Arial" w:hAnsi="Arial" w:cs="Arial"/>
          <w:sz w:val="21"/>
          <w:szCs w:val="21"/>
        </w:rPr>
        <w:t xml:space="preserve"> </w:t>
      </w:r>
    </w:p>
    <w:p w14:paraId="44B84E38" w14:textId="77777777" w:rsidR="00000000" w:rsidRDefault="000000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4" w:name="_Toc168225822"/>
    </w:p>
    <w:p w14:paraId="6D9DA4D0" w14:textId="77777777" w:rsidR="00000000" w:rsidRDefault="000000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5" w:name="_Toc1105"/>
      <w:r>
        <w:rPr>
          <w:rFonts w:eastAsia="宋体"/>
          <w:kern w:val="2"/>
          <w:sz w:val="21"/>
          <w:szCs w:val="21"/>
        </w:rPr>
        <w:t>十、估价结果</w:t>
      </w:r>
      <w:bookmarkEnd w:id="34"/>
      <w:bookmarkEnd w:id="35"/>
    </w:p>
    <w:p w14:paraId="53C8C409" w14:textId="77777777" w:rsidR="00000000" w:rsidRDefault="00000000">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评估专业人员根据估价的目的，</w:t>
      </w:r>
      <w:r>
        <w:rPr>
          <w:rFonts w:ascii="Arial" w:hAnsi="Arial" w:cs="Arial" w:hint="eastAsia"/>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ascii="Arial" w:hAnsi="Arial" w:cs="Arial" w:hint="eastAsia"/>
          <w:sz w:val="21"/>
          <w:szCs w:val="21"/>
        </w:rPr>
        <w:t>租赁</w:t>
      </w:r>
      <w:r>
        <w:rPr>
          <w:rFonts w:ascii="Arial" w:hAnsi="Arial" w:cs="Arial"/>
          <w:sz w:val="21"/>
          <w:szCs w:val="21"/>
        </w:rPr>
        <w:t>价格的因素，</w:t>
      </w:r>
      <w:r>
        <w:rPr>
          <w:rFonts w:ascii="Arial" w:hAnsi="Arial" w:cs="Arial" w:hint="eastAsia"/>
          <w:sz w:val="21"/>
          <w:szCs w:val="21"/>
        </w:rPr>
        <w:t>最终</w:t>
      </w:r>
      <w:r>
        <w:rPr>
          <w:rFonts w:ascii="Arial" w:hAnsi="Arial" w:cs="Arial"/>
          <w:sz w:val="21"/>
          <w:szCs w:val="21"/>
        </w:rPr>
        <w:t>确定估价对象</w:t>
      </w:r>
      <w:r>
        <w:rPr>
          <w:rFonts w:ascii="Arial" w:hAnsi="Arial" w:cs="Arial" w:hint="eastAsia"/>
          <w:sz w:val="21"/>
          <w:szCs w:val="21"/>
        </w:rPr>
        <w:t>同地块、同类型普通住宅房地产于价值时点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日前一年内（</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日）平均市场租金水平为：</w:t>
      </w:r>
      <w:r>
        <w:rPr>
          <w:rFonts w:ascii="Arial" w:hAnsi="Arial" w:cs="Arial" w:hint="eastAsia"/>
          <w:sz w:val="21"/>
          <w:szCs w:val="21"/>
        </w:rPr>
        <w:t xml:space="preserve"> </w:t>
      </w:r>
    </w:p>
    <w:p w14:paraId="58156C81" w14:textId="77777777" w:rsidR="00000000" w:rsidRDefault="00000000">
      <w:pPr>
        <w:overflowPunct w:val="0"/>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区域租金单价：</w:t>
      </w:r>
      <w:r>
        <w:rPr>
          <w:rFonts w:ascii="Arial" w:hAnsi="Arial" w:cs="Arial" w:hint="eastAsia"/>
          <w:b/>
          <w:bCs/>
          <w:sz w:val="21"/>
          <w:szCs w:val="21"/>
        </w:rPr>
        <w:t xml:space="preserve"> X13</w:t>
      </w:r>
      <w:r>
        <w:rPr>
          <w:rFonts w:ascii="Arial" w:hAnsi="Arial" w:cs="Arial" w:hint="eastAsia"/>
          <w:b/>
          <w:bCs/>
          <w:sz w:val="21"/>
          <w:szCs w:val="21"/>
        </w:rPr>
        <w:t>海棠苑：</w:t>
      </w:r>
      <w:r>
        <w:rPr>
          <w:rFonts w:ascii="Arial" w:hAnsi="Arial" w:cs="Arial" w:hint="eastAsia"/>
          <w:b/>
          <w:bCs/>
          <w:sz w:val="21"/>
          <w:szCs w:val="21"/>
        </w:rPr>
        <w:t>54.53</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48F06588" w14:textId="77777777" w:rsidR="00000000" w:rsidRDefault="00000000">
      <w:pPr>
        <w:overflowPunct w:val="0"/>
        <w:spacing w:line="480" w:lineRule="auto"/>
        <w:ind w:firstLineChars="950" w:firstLine="2003"/>
        <w:textAlignment w:val="auto"/>
        <w:rPr>
          <w:rFonts w:ascii="Arial" w:hAnsi="Arial" w:cs="Arial" w:hint="eastAsia"/>
          <w:b/>
          <w:bCs/>
          <w:sz w:val="21"/>
          <w:szCs w:val="21"/>
        </w:rPr>
      </w:pPr>
      <w:r>
        <w:rPr>
          <w:rFonts w:ascii="Arial" w:hAnsi="Arial" w:cs="Arial" w:hint="eastAsia"/>
          <w:b/>
          <w:bCs/>
          <w:sz w:val="21"/>
          <w:szCs w:val="21"/>
        </w:rPr>
        <w:t>X</w:t>
      </w:r>
      <w:r>
        <w:rPr>
          <w:rFonts w:ascii="Arial" w:hAnsi="Arial" w:cs="Arial"/>
          <w:b/>
          <w:bCs/>
          <w:sz w:val="21"/>
          <w:szCs w:val="21"/>
        </w:rPr>
        <w:t>38</w:t>
      </w:r>
      <w:r>
        <w:rPr>
          <w:rFonts w:ascii="Arial" w:hAnsi="Arial" w:cs="Arial" w:hint="eastAsia"/>
          <w:b/>
          <w:bCs/>
          <w:sz w:val="21"/>
          <w:szCs w:val="21"/>
        </w:rPr>
        <w:t>鹿海园五里：</w:t>
      </w:r>
      <w:r>
        <w:rPr>
          <w:rFonts w:ascii="Arial" w:hAnsi="Arial" w:cs="Arial" w:hint="eastAsia"/>
          <w:b/>
          <w:bCs/>
          <w:sz w:val="21"/>
          <w:szCs w:val="21"/>
        </w:rPr>
        <w:t>55.18</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4973F5FC" w14:textId="77777777" w:rsidR="00000000" w:rsidRDefault="00000000">
      <w:pPr>
        <w:overflowPunct w:val="0"/>
        <w:spacing w:line="480" w:lineRule="auto"/>
        <w:ind w:firstLineChars="200" w:firstLine="360"/>
        <w:jc w:val="both"/>
        <w:textAlignment w:val="auto"/>
        <w:rPr>
          <w:rFonts w:ascii="Arial" w:hAnsi="Arial" w:cs="Arial"/>
          <w:sz w:val="18"/>
          <w:szCs w:val="18"/>
        </w:rPr>
      </w:pPr>
      <w:r>
        <w:rPr>
          <w:rFonts w:ascii="Arial" w:hAnsi="Arial" w:cs="Arial"/>
          <w:sz w:val="18"/>
          <w:szCs w:val="18"/>
        </w:rPr>
        <w:t>注：</w:t>
      </w:r>
      <w:r>
        <w:rPr>
          <w:rFonts w:ascii="Arial" w:hAnsi="Arial" w:cs="Arial"/>
          <w:sz w:val="18"/>
          <w:szCs w:val="18"/>
        </w:rPr>
        <w:t>1</w:t>
      </w:r>
      <w:r>
        <w:rPr>
          <w:rFonts w:ascii="Arial" w:hAnsi="Arial" w:cs="Arial"/>
          <w:sz w:val="18"/>
          <w:szCs w:val="18"/>
        </w:rPr>
        <w:t>、</w:t>
      </w:r>
      <w:r>
        <w:rPr>
          <w:rFonts w:ascii="Arial" w:hAnsi="Arial" w:cs="Arial" w:hint="eastAsia"/>
          <w:sz w:val="18"/>
          <w:szCs w:val="18"/>
        </w:rPr>
        <w:t>评估的详细结果、过程及有关说明，详见《估价结果报告》、《估价技术报告》。</w:t>
      </w:r>
    </w:p>
    <w:p w14:paraId="00B0ADC0" w14:textId="77777777" w:rsidR="00000000" w:rsidRDefault="00000000">
      <w:pPr>
        <w:overflowPunct w:val="0"/>
        <w:spacing w:line="480" w:lineRule="auto"/>
        <w:ind w:leftChars="150" w:left="360"/>
        <w:jc w:val="both"/>
        <w:textAlignment w:val="auto"/>
        <w:rPr>
          <w:rFonts w:ascii="Arial" w:hAnsi="Arial" w:cs="Arial"/>
          <w:sz w:val="18"/>
          <w:szCs w:val="18"/>
        </w:rPr>
      </w:pPr>
      <w:r>
        <w:rPr>
          <w:rFonts w:ascii="Arial" w:hAnsi="Arial" w:cs="Arial"/>
          <w:sz w:val="18"/>
          <w:szCs w:val="18"/>
        </w:rPr>
        <w:t xml:space="preserve">    2</w:t>
      </w:r>
      <w:r>
        <w:rPr>
          <w:rFonts w:ascii="Arial" w:hAnsi="Arial" w:cs="Arial"/>
          <w:sz w:val="18"/>
          <w:szCs w:val="18"/>
        </w:rPr>
        <w:t>、</w:t>
      </w:r>
      <w:r>
        <w:rPr>
          <w:rFonts w:ascii="Arial" w:hAnsi="Arial" w:cs="Arial" w:hint="eastAsia"/>
          <w:sz w:val="18"/>
          <w:szCs w:val="18"/>
        </w:rPr>
        <w:t>估价结果为项目同地段、同类型普通住宅前</w:t>
      </w:r>
      <w:r>
        <w:rPr>
          <w:rFonts w:ascii="Arial" w:hAnsi="Arial" w:cs="Arial" w:hint="eastAsia"/>
          <w:sz w:val="18"/>
          <w:szCs w:val="18"/>
        </w:rPr>
        <w:t>12</w:t>
      </w:r>
      <w:r>
        <w:rPr>
          <w:rFonts w:ascii="Arial" w:hAnsi="Arial" w:cs="Arial" w:hint="eastAsia"/>
          <w:sz w:val="18"/>
          <w:szCs w:val="18"/>
        </w:rPr>
        <w:t>个月的市场平均月租金价格。</w:t>
      </w:r>
    </w:p>
    <w:p w14:paraId="15065321" w14:textId="77777777" w:rsidR="00000000" w:rsidRDefault="00000000">
      <w:pPr>
        <w:overflowPunct w:val="0"/>
        <w:spacing w:line="480" w:lineRule="auto"/>
        <w:ind w:leftChars="150" w:left="720" w:hangingChars="200" w:hanging="360"/>
        <w:jc w:val="both"/>
        <w:textAlignment w:val="auto"/>
        <w:rPr>
          <w:rFonts w:ascii="Arial" w:hAnsi="Arial" w:cs="Arial"/>
          <w:sz w:val="18"/>
          <w:szCs w:val="18"/>
        </w:rPr>
      </w:pPr>
      <w:r>
        <w:rPr>
          <w:rFonts w:ascii="Arial" w:hAnsi="Arial" w:cs="Arial"/>
          <w:sz w:val="18"/>
          <w:szCs w:val="18"/>
        </w:rPr>
        <w:t xml:space="preserve">    3</w:t>
      </w:r>
      <w:r>
        <w:rPr>
          <w:rFonts w:ascii="Arial" w:hAnsi="Arial" w:cs="Arial"/>
          <w:sz w:val="18"/>
          <w:szCs w:val="18"/>
        </w:rPr>
        <w:t>、本次估价采取标准房进行评估设定，标准房是指参照被评估公共租赁住房项目的户型、面积、朝向、楼层、装修及设备等因素按照众数原则设定的房屋状况。</w:t>
      </w:r>
      <w:r>
        <w:rPr>
          <w:rFonts w:ascii="Arial" w:hAnsi="Arial" w:cs="Arial"/>
          <w:sz w:val="18"/>
          <w:szCs w:val="18"/>
        </w:rPr>
        <w:t xml:space="preserve">  </w:t>
      </w:r>
    </w:p>
    <w:p w14:paraId="2EAFCB31" w14:textId="77777777" w:rsidR="00000000" w:rsidRDefault="00000000">
      <w:pPr>
        <w:overflowPunct w:val="0"/>
        <w:spacing w:line="480" w:lineRule="auto"/>
        <w:ind w:leftChars="150" w:left="720" w:hangingChars="200" w:hanging="360"/>
        <w:jc w:val="both"/>
        <w:textAlignment w:val="auto"/>
        <w:rPr>
          <w:rFonts w:ascii="Arial" w:hAnsi="Arial" w:cs="Arial" w:hint="eastAsia"/>
          <w:sz w:val="18"/>
          <w:szCs w:val="18"/>
        </w:rPr>
      </w:pPr>
      <w:r>
        <w:rPr>
          <w:rFonts w:ascii="Arial" w:hAnsi="Arial" w:cs="Arial"/>
          <w:sz w:val="18"/>
          <w:szCs w:val="18"/>
        </w:rPr>
        <w:lastRenderedPageBreak/>
        <w:t xml:space="preserve">    4</w:t>
      </w:r>
      <w:r>
        <w:rPr>
          <w:rFonts w:ascii="Arial" w:hAnsi="Arial" w:cs="Arial"/>
          <w:sz w:val="18"/>
          <w:szCs w:val="18"/>
        </w:rPr>
        <w:t>、估价结果</w:t>
      </w:r>
      <w:r>
        <w:rPr>
          <w:rFonts w:ascii="Arial" w:hAnsi="Arial" w:cs="Arial" w:hint="eastAsia"/>
          <w:sz w:val="18"/>
          <w:szCs w:val="18"/>
        </w:rPr>
        <w:t>包括地租、房屋折旧、设备折旧、维修费、保险费、物业费、管理费、利息、利润等；不含供暖费、水电费、天然气费、通信费、有线电视费、上网宽带费和家具、家电租赁费及租赁税费等</w:t>
      </w:r>
      <w:r>
        <w:rPr>
          <w:rFonts w:ascii="Arial" w:hAnsi="Arial" w:cs="Arial"/>
          <w:sz w:val="18"/>
          <w:szCs w:val="18"/>
        </w:rPr>
        <w:t>。</w:t>
      </w:r>
    </w:p>
    <w:p w14:paraId="2912F09B" w14:textId="77777777" w:rsidR="00000000" w:rsidRDefault="00000000">
      <w:pPr>
        <w:pStyle w:val="2"/>
        <w:numPr>
          <w:ilvl w:val="0"/>
          <w:numId w:val="0"/>
        </w:numPr>
        <w:tabs>
          <w:tab w:val="left" w:pos="360"/>
        </w:tabs>
        <w:overflowPunct w:val="0"/>
        <w:spacing w:line="480" w:lineRule="auto"/>
        <w:jc w:val="both"/>
        <w:textAlignment w:val="auto"/>
        <w:rPr>
          <w:rFonts w:eastAsia="宋体"/>
          <w:kern w:val="2"/>
          <w:sz w:val="21"/>
          <w:szCs w:val="21"/>
        </w:rPr>
      </w:pPr>
      <w:bookmarkStart w:id="36" w:name="_Toc168225824"/>
      <w:r>
        <w:rPr>
          <w:rFonts w:eastAsia="宋体"/>
          <w:kern w:val="2"/>
          <w:sz w:val="21"/>
          <w:szCs w:val="21"/>
        </w:rPr>
        <w:br w:type="page"/>
      </w:r>
      <w:bookmarkStart w:id="37" w:name="_Toc7458"/>
      <w:r>
        <w:rPr>
          <w:rFonts w:eastAsia="宋体"/>
          <w:kern w:val="2"/>
          <w:sz w:val="21"/>
          <w:szCs w:val="21"/>
        </w:rPr>
        <w:lastRenderedPageBreak/>
        <w:t>十</w:t>
      </w:r>
      <w:bookmarkEnd w:id="36"/>
      <w:r>
        <w:rPr>
          <w:rFonts w:eastAsia="宋体"/>
          <w:kern w:val="2"/>
          <w:sz w:val="21"/>
          <w:szCs w:val="21"/>
        </w:rPr>
        <w:t>一、参与本次估价工作的</w:t>
      </w:r>
      <w:r>
        <w:rPr>
          <w:rFonts w:eastAsia="宋体" w:hint="eastAsia"/>
          <w:kern w:val="2"/>
          <w:sz w:val="21"/>
          <w:szCs w:val="21"/>
        </w:rPr>
        <w:t>评估专业</w:t>
      </w:r>
      <w:r>
        <w:rPr>
          <w:rFonts w:eastAsia="宋体"/>
          <w:kern w:val="2"/>
          <w:sz w:val="21"/>
          <w:szCs w:val="21"/>
        </w:rPr>
        <w:t>人员</w:t>
      </w:r>
      <w:bookmarkEnd w:id="37"/>
    </w:p>
    <w:tbl>
      <w:tblPr>
        <w:tblW w:w="9299" w:type="dxa"/>
        <w:jc w:val="center"/>
        <w:tblInd w:w="0"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000000" w14:paraId="18955CB2" w14:textId="77777777">
        <w:trPr>
          <w:cantSplit/>
          <w:trHeight w:hRule="exact" w:val="454"/>
          <w:jc w:val="center"/>
        </w:trPr>
        <w:tc>
          <w:tcPr>
            <w:tcW w:w="9299" w:type="dxa"/>
            <w:gridSpan w:val="4"/>
            <w:tcBorders>
              <w:bottom w:val="single" w:sz="2" w:space="0" w:color="404040"/>
            </w:tcBorders>
            <w:vAlign w:val="center"/>
          </w:tcPr>
          <w:p w14:paraId="56A52550" w14:textId="77777777" w:rsidR="00000000" w:rsidRDefault="00000000">
            <w:pPr>
              <w:tabs>
                <w:tab w:val="left" w:pos="5160"/>
              </w:tabs>
              <w:overflowPunct w:val="0"/>
              <w:spacing w:line="240" w:lineRule="auto"/>
              <w:rPr>
                <w:rFonts w:ascii="Arial" w:hAnsi="Arial" w:cs="Arial"/>
                <w:b/>
                <w:color w:val="000000"/>
                <w:sz w:val="21"/>
                <w:szCs w:val="21"/>
              </w:rPr>
            </w:pPr>
            <w:r>
              <w:rPr>
                <w:rFonts w:ascii="Arial" w:hAnsi="Arial" w:cs="Arial"/>
                <w:b/>
                <w:kern w:val="2"/>
                <w:sz w:val="21"/>
                <w:szCs w:val="21"/>
              </w:rPr>
              <w:t>注册房地产估价师</w:t>
            </w:r>
          </w:p>
        </w:tc>
      </w:tr>
      <w:tr w:rsidR="00000000" w14:paraId="44891C15" w14:textId="77777777">
        <w:trPr>
          <w:cantSplit/>
          <w:trHeight w:hRule="exact" w:val="454"/>
          <w:jc w:val="center"/>
        </w:trPr>
        <w:tc>
          <w:tcPr>
            <w:tcW w:w="1746" w:type="dxa"/>
            <w:vAlign w:val="center"/>
          </w:tcPr>
          <w:p w14:paraId="3511E6BE" w14:textId="77777777" w:rsidR="00000000" w:rsidRDefault="00000000">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姓</w:t>
            </w:r>
            <w:r>
              <w:rPr>
                <w:rFonts w:ascii="Arial" w:hAnsi="Arial" w:cs="Arial" w:hint="eastAsia"/>
                <w:color w:val="000000"/>
                <w:sz w:val="21"/>
                <w:szCs w:val="21"/>
              </w:rPr>
              <w:t xml:space="preserve">  </w:t>
            </w:r>
            <w:r>
              <w:rPr>
                <w:rFonts w:ascii="Arial" w:hAnsi="Arial" w:cs="Arial"/>
                <w:color w:val="000000"/>
                <w:sz w:val="21"/>
                <w:szCs w:val="21"/>
              </w:rPr>
              <w:t>名</w:t>
            </w:r>
          </w:p>
        </w:tc>
        <w:tc>
          <w:tcPr>
            <w:tcW w:w="2197" w:type="dxa"/>
            <w:vAlign w:val="center"/>
          </w:tcPr>
          <w:p w14:paraId="0ACDC4D8" w14:textId="77777777" w:rsidR="00000000" w:rsidRDefault="00000000">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注册号</w:t>
            </w:r>
          </w:p>
        </w:tc>
        <w:tc>
          <w:tcPr>
            <w:tcW w:w="2774" w:type="dxa"/>
            <w:vAlign w:val="center"/>
          </w:tcPr>
          <w:p w14:paraId="13054054" w14:textId="77777777" w:rsidR="00000000" w:rsidRDefault="00000000">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w:t>
            </w:r>
          </w:p>
        </w:tc>
        <w:tc>
          <w:tcPr>
            <w:tcW w:w="2582" w:type="dxa"/>
            <w:vAlign w:val="center"/>
          </w:tcPr>
          <w:p w14:paraId="4B819049" w14:textId="77777777" w:rsidR="00000000" w:rsidRDefault="00000000">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签名日期</w:t>
            </w:r>
          </w:p>
        </w:tc>
      </w:tr>
      <w:tr w:rsidR="00000000" w14:paraId="475CEF06" w14:textId="77777777">
        <w:trPr>
          <w:cantSplit/>
          <w:trHeight w:hRule="exact" w:val="1134"/>
          <w:jc w:val="center"/>
        </w:trPr>
        <w:tc>
          <w:tcPr>
            <w:tcW w:w="1746" w:type="dxa"/>
            <w:vAlign w:val="center"/>
          </w:tcPr>
          <w:p w14:paraId="5B072A1E" w14:textId="77777777" w:rsidR="00000000" w:rsidRDefault="00000000">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高</w:t>
            </w:r>
            <w:r>
              <w:rPr>
                <w:rFonts w:ascii="Arial" w:eastAsia="Arial" w:hAnsi="Arial" w:cs="Arial"/>
                <w:color w:val="000000"/>
                <w:sz w:val="21"/>
                <w:szCs w:val="21"/>
              </w:rPr>
              <w:t xml:space="preserve">  </w:t>
            </w:r>
            <w:r>
              <w:rPr>
                <w:rFonts w:ascii="Arial" w:hAnsi="Arial" w:cs="Arial"/>
                <w:color w:val="000000"/>
                <w:sz w:val="21"/>
                <w:szCs w:val="21"/>
              </w:rPr>
              <w:t>鹏</w:t>
            </w:r>
          </w:p>
        </w:tc>
        <w:tc>
          <w:tcPr>
            <w:tcW w:w="2197" w:type="dxa"/>
            <w:vAlign w:val="center"/>
          </w:tcPr>
          <w:p w14:paraId="3CE7AE98" w14:textId="77777777" w:rsidR="00000000" w:rsidRDefault="00000000">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1120140024</w:t>
            </w:r>
          </w:p>
        </w:tc>
        <w:tc>
          <w:tcPr>
            <w:tcW w:w="2774" w:type="dxa"/>
            <w:vAlign w:val="center"/>
          </w:tcPr>
          <w:p w14:paraId="1F21D410" w14:textId="77777777" w:rsidR="00000000" w:rsidRDefault="00000000">
            <w:pPr>
              <w:tabs>
                <w:tab w:val="left" w:pos="5160"/>
              </w:tabs>
              <w:overflowPunct w:val="0"/>
              <w:spacing w:line="240" w:lineRule="auto"/>
              <w:rPr>
                <w:rFonts w:ascii="Arial" w:hAnsi="Arial" w:cs="Arial"/>
                <w:color w:val="000000"/>
                <w:sz w:val="21"/>
                <w:szCs w:val="21"/>
              </w:rPr>
            </w:pPr>
          </w:p>
        </w:tc>
        <w:tc>
          <w:tcPr>
            <w:tcW w:w="2582" w:type="dxa"/>
            <w:vAlign w:val="center"/>
          </w:tcPr>
          <w:p w14:paraId="6FD1314B" w14:textId="77777777" w:rsidR="00000000" w:rsidRDefault="00000000">
            <w:pPr>
              <w:tabs>
                <w:tab w:val="left" w:pos="5160"/>
              </w:tabs>
              <w:wordWrap w:val="0"/>
              <w:overflowPunct w:val="0"/>
              <w:spacing w:line="240" w:lineRule="auto"/>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r w:rsidR="00000000" w14:paraId="13C524F4" w14:textId="77777777">
        <w:trPr>
          <w:cantSplit/>
          <w:trHeight w:hRule="exact" w:val="1134"/>
          <w:jc w:val="center"/>
        </w:trPr>
        <w:tc>
          <w:tcPr>
            <w:tcW w:w="1746" w:type="dxa"/>
            <w:vAlign w:val="center"/>
          </w:tcPr>
          <w:p w14:paraId="534A9EDB" w14:textId="77777777" w:rsidR="00000000" w:rsidRDefault="00000000">
            <w:pPr>
              <w:tabs>
                <w:tab w:val="left" w:pos="5160"/>
              </w:tabs>
              <w:overflowPunct w:val="0"/>
              <w:spacing w:line="240" w:lineRule="auto"/>
              <w:rPr>
                <w:rFonts w:ascii="Arial" w:hAnsi="Arial" w:cs="Arial" w:hint="eastAsia"/>
                <w:color w:val="000000"/>
                <w:sz w:val="21"/>
                <w:szCs w:val="21"/>
              </w:rPr>
            </w:pPr>
            <w:r>
              <w:rPr>
                <w:rFonts w:ascii="Arial" w:hAnsi="Arial" w:cs="Arial"/>
                <w:color w:val="000000"/>
                <w:sz w:val="21"/>
                <w:szCs w:val="21"/>
              </w:rPr>
              <w:t>许皓源</w:t>
            </w:r>
          </w:p>
        </w:tc>
        <w:tc>
          <w:tcPr>
            <w:tcW w:w="2197" w:type="dxa"/>
            <w:vAlign w:val="center"/>
          </w:tcPr>
          <w:p w14:paraId="70BD240D" w14:textId="77777777" w:rsidR="00000000" w:rsidRDefault="00000000">
            <w:pPr>
              <w:tabs>
                <w:tab w:val="left" w:pos="5160"/>
              </w:tabs>
              <w:overflowPunct w:val="0"/>
              <w:spacing w:line="240" w:lineRule="auto"/>
              <w:rPr>
                <w:rFonts w:ascii="Arial" w:hAnsi="Arial" w:cs="Arial"/>
                <w:color w:val="000000"/>
                <w:sz w:val="21"/>
                <w:szCs w:val="21"/>
              </w:rPr>
            </w:pPr>
            <w:r>
              <w:rPr>
                <w:rFonts w:ascii="Arial" w:eastAsia="方正黑体简体" w:hAnsi="Arial" w:cs="Arial"/>
                <w:sz w:val="21"/>
                <w:szCs w:val="21"/>
              </w:rPr>
              <w:t>1119980019</w:t>
            </w:r>
          </w:p>
        </w:tc>
        <w:tc>
          <w:tcPr>
            <w:tcW w:w="2774" w:type="dxa"/>
            <w:vAlign w:val="center"/>
          </w:tcPr>
          <w:p w14:paraId="231D0787" w14:textId="77777777" w:rsidR="00000000" w:rsidRDefault="00000000">
            <w:pPr>
              <w:tabs>
                <w:tab w:val="left" w:pos="5160"/>
              </w:tabs>
              <w:overflowPunct w:val="0"/>
              <w:spacing w:line="240" w:lineRule="auto"/>
              <w:rPr>
                <w:rFonts w:ascii="Arial" w:hAnsi="Arial" w:cs="Arial"/>
                <w:color w:val="000000"/>
                <w:sz w:val="21"/>
                <w:szCs w:val="21"/>
              </w:rPr>
            </w:pPr>
          </w:p>
        </w:tc>
        <w:tc>
          <w:tcPr>
            <w:tcW w:w="2582" w:type="dxa"/>
            <w:vAlign w:val="center"/>
          </w:tcPr>
          <w:p w14:paraId="2BB682D0" w14:textId="77777777" w:rsidR="00000000" w:rsidRDefault="00000000">
            <w:pPr>
              <w:tabs>
                <w:tab w:val="left" w:pos="5160"/>
              </w:tabs>
              <w:wordWrap w:val="0"/>
              <w:overflowPunct w:val="0"/>
              <w:spacing w:line="240" w:lineRule="auto"/>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r w:rsidR="00000000" w14:paraId="3D435C57" w14:textId="77777777">
        <w:trPr>
          <w:cantSplit/>
          <w:trHeight w:hRule="exact" w:val="454"/>
          <w:jc w:val="center"/>
        </w:trPr>
        <w:tc>
          <w:tcPr>
            <w:tcW w:w="9299" w:type="dxa"/>
            <w:gridSpan w:val="4"/>
            <w:vAlign w:val="center"/>
          </w:tcPr>
          <w:p w14:paraId="0D2771BF" w14:textId="77777777" w:rsidR="00000000" w:rsidRDefault="00000000">
            <w:pPr>
              <w:tabs>
                <w:tab w:val="left" w:pos="5160"/>
              </w:tabs>
              <w:overflowPunct w:val="0"/>
              <w:spacing w:line="240" w:lineRule="auto"/>
              <w:rPr>
                <w:rFonts w:ascii="Arial" w:hAnsi="Arial" w:cs="Arial"/>
                <w:b/>
                <w:color w:val="000000"/>
                <w:kern w:val="2"/>
                <w:sz w:val="21"/>
                <w:szCs w:val="21"/>
              </w:rPr>
            </w:pPr>
            <w:r>
              <w:rPr>
                <w:rFonts w:ascii="Arial" w:hAnsi="Arial" w:cs="Arial" w:hint="eastAsia"/>
                <w:b/>
                <w:color w:val="000000"/>
                <w:kern w:val="2"/>
                <w:sz w:val="21"/>
                <w:szCs w:val="21"/>
              </w:rPr>
              <w:t>其他评估专业</w:t>
            </w:r>
            <w:r>
              <w:rPr>
                <w:rFonts w:ascii="Arial" w:hAnsi="Arial" w:cs="Arial"/>
                <w:b/>
                <w:color w:val="000000"/>
                <w:kern w:val="2"/>
                <w:sz w:val="21"/>
                <w:szCs w:val="21"/>
              </w:rPr>
              <w:t>人员</w:t>
            </w:r>
            <w:r>
              <w:rPr>
                <w:rFonts w:ascii="Arial" w:hAnsi="Arial" w:cs="Arial" w:hint="eastAsia"/>
                <w:b/>
                <w:color w:val="000000"/>
                <w:kern w:val="2"/>
                <w:sz w:val="21"/>
                <w:szCs w:val="21"/>
              </w:rPr>
              <w:t xml:space="preserve"> </w:t>
            </w:r>
          </w:p>
        </w:tc>
      </w:tr>
      <w:tr w:rsidR="00000000" w14:paraId="0991B801" w14:textId="77777777">
        <w:trPr>
          <w:cantSplit/>
          <w:trHeight w:hRule="exact" w:val="454"/>
          <w:jc w:val="center"/>
        </w:trPr>
        <w:tc>
          <w:tcPr>
            <w:tcW w:w="1746" w:type="dxa"/>
            <w:vAlign w:val="center"/>
          </w:tcPr>
          <w:p w14:paraId="5C3A5909" w14:textId="77777777" w:rsidR="00000000" w:rsidRDefault="00000000">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姓</w:t>
            </w:r>
            <w:r>
              <w:rPr>
                <w:rFonts w:ascii="Arial" w:hAnsi="Arial" w:cs="Arial" w:hint="eastAsia"/>
                <w:color w:val="000000"/>
                <w:sz w:val="21"/>
                <w:szCs w:val="21"/>
              </w:rPr>
              <w:t xml:space="preserve">  </w:t>
            </w:r>
            <w:r>
              <w:rPr>
                <w:rFonts w:ascii="Arial" w:hAnsi="Arial" w:cs="Arial"/>
                <w:color w:val="000000"/>
                <w:sz w:val="21"/>
                <w:szCs w:val="21"/>
              </w:rPr>
              <w:t>名</w:t>
            </w:r>
          </w:p>
        </w:tc>
        <w:tc>
          <w:tcPr>
            <w:tcW w:w="2197" w:type="dxa"/>
            <w:vAlign w:val="center"/>
          </w:tcPr>
          <w:p w14:paraId="45768988" w14:textId="77777777" w:rsidR="00000000" w:rsidRDefault="00000000">
            <w:pPr>
              <w:tabs>
                <w:tab w:val="left" w:pos="5160"/>
              </w:tabs>
              <w:overflowPunct w:val="0"/>
              <w:spacing w:line="240" w:lineRule="auto"/>
              <w:rPr>
                <w:rFonts w:ascii="Arial" w:hAnsi="Arial" w:cs="Arial"/>
                <w:color w:val="000000"/>
                <w:sz w:val="21"/>
                <w:szCs w:val="21"/>
              </w:rPr>
            </w:pPr>
            <w:r>
              <w:rPr>
                <w:rFonts w:ascii="Arial" w:hAnsi="Arial" w:cs="Arial"/>
                <w:color w:val="000000"/>
                <w:kern w:val="2"/>
                <w:sz w:val="21"/>
                <w:szCs w:val="21"/>
              </w:rPr>
              <w:t>相关资格或职称</w:t>
            </w:r>
          </w:p>
        </w:tc>
        <w:tc>
          <w:tcPr>
            <w:tcW w:w="2774" w:type="dxa"/>
            <w:vAlign w:val="center"/>
          </w:tcPr>
          <w:p w14:paraId="6F870962" w14:textId="77777777" w:rsidR="00000000" w:rsidRDefault="00000000">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w:t>
            </w:r>
          </w:p>
        </w:tc>
        <w:tc>
          <w:tcPr>
            <w:tcW w:w="2582" w:type="dxa"/>
            <w:vAlign w:val="center"/>
          </w:tcPr>
          <w:p w14:paraId="2A7FF2C8" w14:textId="77777777" w:rsidR="00000000" w:rsidRDefault="00000000">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签名日期</w:t>
            </w:r>
          </w:p>
        </w:tc>
      </w:tr>
      <w:tr w:rsidR="00000000" w14:paraId="250F0C45" w14:textId="77777777">
        <w:trPr>
          <w:cantSplit/>
          <w:trHeight w:hRule="exact" w:val="1134"/>
          <w:jc w:val="center"/>
        </w:trPr>
        <w:tc>
          <w:tcPr>
            <w:tcW w:w="1746" w:type="dxa"/>
            <w:vAlign w:val="center"/>
          </w:tcPr>
          <w:p w14:paraId="364CAD92" w14:textId="77777777" w:rsidR="00000000" w:rsidRDefault="00000000">
            <w:pPr>
              <w:tabs>
                <w:tab w:val="left" w:pos="5160"/>
              </w:tabs>
              <w:overflowPunct w:val="0"/>
              <w:spacing w:line="240" w:lineRule="auto"/>
              <w:rPr>
                <w:rFonts w:ascii="Arial" w:hAnsi="Arial" w:cs="Arial" w:hint="eastAsia"/>
                <w:color w:val="000000"/>
                <w:sz w:val="21"/>
                <w:szCs w:val="21"/>
              </w:rPr>
            </w:pPr>
            <w:r>
              <w:rPr>
                <w:rFonts w:ascii="Arial" w:hAnsi="Arial" w:cs="Arial" w:hint="eastAsia"/>
                <w:color w:val="000000"/>
                <w:sz w:val="21"/>
                <w:szCs w:val="21"/>
              </w:rPr>
              <w:t>李诗霖</w:t>
            </w:r>
          </w:p>
        </w:tc>
        <w:tc>
          <w:tcPr>
            <w:tcW w:w="2197" w:type="dxa"/>
            <w:vAlign w:val="center"/>
          </w:tcPr>
          <w:p w14:paraId="36AB7E26" w14:textId="77777777" w:rsidR="00000000" w:rsidRDefault="00000000">
            <w:pPr>
              <w:tabs>
                <w:tab w:val="left" w:pos="5160"/>
              </w:tabs>
              <w:overflowPunct w:val="0"/>
              <w:spacing w:line="240" w:lineRule="auto"/>
              <w:rPr>
                <w:rFonts w:ascii="Arial" w:hAnsi="Arial" w:cs="Arial" w:hint="eastAsia"/>
                <w:color w:val="000000"/>
                <w:sz w:val="21"/>
                <w:szCs w:val="21"/>
              </w:rPr>
            </w:pPr>
            <w:r>
              <w:rPr>
                <w:rFonts w:ascii="Arial" w:hAnsi="Arial" w:cs="Arial" w:hint="eastAsia"/>
                <w:color w:val="000000"/>
                <w:sz w:val="21"/>
                <w:szCs w:val="21"/>
              </w:rPr>
              <w:t>——</w:t>
            </w:r>
          </w:p>
        </w:tc>
        <w:tc>
          <w:tcPr>
            <w:tcW w:w="2774" w:type="dxa"/>
            <w:vAlign w:val="center"/>
          </w:tcPr>
          <w:p w14:paraId="6C1355EA" w14:textId="77777777" w:rsidR="00000000" w:rsidRDefault="00000000">
            <w:pPr>
              <w:tabs>
                <w:tab w:val="left" w:pos="5160"/>
              </w:tabs>
              <w:overflowPunct w:val="0"/>
              <w:spacing w:line="240" w:lineRule="auto"/>
              <w:rPr>
                <w:rFonts w:ascii="Arial" w:hAnsi="Arial" w:cs="Arial" w:hint="eastAsia"/>
                <w:color w:val="000000"/>
                <w:sz w:val="21"/>
                <w:szCs w:val="21"/>
              </w:rPr>
            </w:pPr>
          </w:p>
        </w:tc>
        <w:tc>
          <w:tcPr>
            <w:tcW w:w="2582" w:type="dxa"/>
            <w:vAlign w:val="center"/>
          </w:tcPr>
          <w:p w14:paraId="3CD3D13E" w14:textId="77777777" w:rsidR="00000000" w:rsidRDefault="00000000">
            <w:pPr>
              <w:tabs>
                <w:tab w:val="left" w:pos="5160"/>
              </w:tabs>
              <w:wordWrap w:val="0"/>
              <w:overflowPunct w:val="0"/>
              <w:spacing w:line="240" w:lineRule="auto"/>
              <w:ind w:firstLineChars="200" w:firstLine="420"/>
              <w:jc w:val="right"/>
              <w:rPr>
                <w:rFonts w:ascii="Arial" w:hAnsi="Arial" w:cs="Arial" w:hint="eastAsia"/>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bl>
    <w:p w14:paraId="4D567740" w14:textId="77777777" w:rsidR="00000000" w:rsidRDefault="00000000">
      <w:pPr>
        <w:overflowPunct w:val="0"/>
        <w:spacing w:line="480" w:lineRule="auto"/>
        <w:jc w:val="both"/>
        <w:textAlignment w:val="auto"/>
        <w:rPr>
          <w:rFonts w:ascii="Arial" w:hAnsi="Arial" w:cs="Arial"/>
          <w:kern w:val="2"/>
          <w:sz w:val="21"/>
          <w:szCs w:val="21"/>
        </w:rPr>
      </w:pPr>
    </w:p>
    <w:p w14:paraId="0929B755" w14:textId="77777777" w:rsidR="00000000" w:rsidRDefault="00000000">
      <w:pPr>
        <w:pStyle w:val="2"/>
        <w:numPr>
          <w:ilvl w:val="0"/>
          <w:numId w:val="0"/>
        </w:numPr>
        <w:tabs>
          <w:tab w:val="left" w:pos="360"/>
        </w:tabs>
        <w:overflowPunct w:val="0"/>
        <w:spacing w:line="480" w:lineRule="auto"/>
        <w:jc w:val="both"/>
        <w:textAlignment w:val="auto"/>
        <w:rPr>
          <w:rFonts w:eastAsia="宋体"/>
          <w:kern w:val="2"/>
          <w:sz w:val="21"/>
          <w:szCs w:val="21"/>
        </w:rPr>
      </w:pPr>
      <w:bookmarkStart w:id="38" w:name="_Toc5734"/>
      <w:r>
        <w:rPr>
          <w:rFonts w:eastAsia="宋体"/>
          <w:kern w:val="2"/>
          <w:sz w:val="21"/>
          <w:szCs w:val="21"/>
        </w:rPr>
        <w:t>十二、实地查勘期</w:t>
      </w:r>
      <w:bookmarkEnd w:id="38"/>
    </w:p>
    <w:p w14:paraId="206AECA1" w14:textId="77777777" w:rsidR="00000000" w:rsidRDefault="00000000">
      <w:pPr>
        <w:overflowPunct w:val="0"/>
        <w:spacing w:line="480" w:lineRule="auto"/>
        <w:ind w:firstLineChars="200" w:firstLine="420"/>
        <w:jc w:val="both"/>
        <w:textAlignment w:val="auto"/>
        <w:rPr>
          <w:rFonts w:ascii="Arial" w:hAnsi="Arial" w:cs="Arial" w:hint="eastAsia"/>
          <w:sz w:val="21"/>
          <w:szCs w:val="21"/>
        </w:rPr>
      </w:pP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13</w:t>
      </w:r>
      <w:r>
        <w:rPr>
          <w:rFonts w:ascii="Arial" w:hAnsi="Arial" w:cs="Arial" w:hint="eastAsia"/>
          <w:sz w:val="21"/>
          <w:szCs w:val="21"/>
        </w:rPr>
        <w:t>日</w:t>
      </w:r>
    </w:p>
    <w:p w14:paraId="4104B188" w14:textId="77777777" w:rsidR="00000000" w:rsidRDefault="00000000">
      <w:pPr>
        <w:overflowPunct w:val="0"/>
        <w:spacing w:line="480" w:lineRule="auto"/>
        <w:jc w:val="both"/>
        <w:textAlignment w:val="auto"/>
        <w:rPr>
          <w:rFonts w:ascii="Arial" w:hAnsi="Arial" w:cs="Arial"/>
          <w:kern w:val="2"/>
          <w:sz w:val="21"/>
          <w:szCs w:val="21"/>
        </w:rPr>
      </w:pPr>
    </w:p>
    <w:p w14:paraId="6C1B8E76" w14:textId="77777777" w:rsidR="00000000" w:rsidRDefault="00000000">
      <w:pPr>
        <w:pStyle w:val="2"/>
        <w:numPr>
          <w:ilvl w:val="0"/>
          <w:numId w:val="0"/>
        </w:numPr>
        <w:tabs>
          <w:tab w:val="left" w:pos="360"/>
        </w:tabs>
        <w:overflowPunct w:val="0"/>
        <w:spacing w:line="480" w:lineRule="auto"/>
        <w:jc w:val="both"/>
        <w:textAlignment w:val="auto"/>
        <w:rPr>
          <w:rFonts w:eastAsia="宋体"/>
          <w:kern w:val="2"/>
          <w:sz w:val="21"/>
          <w:szCs w:val="21"/>
        </w:rPr>
      </w:pPr>
      <w:bookmarkStart w:id="39" w:name="_Toc168225825"/>
      <w:bookmarkStart w:id="40" w:name="_Toc5537"/>
      <w:r>
        <w:rPr>
          <w:rFonts w:eastAsia="宋体"/>
          <w:kern w:val="2"/>
          <w:sz w:val="21"/>
          <w:szCs w:val="21"/>
        </w:rPr>
        <w:t>十三、估价作业期</w:t>
      </w:r>
      <w:bookmarkEnd w:id="39"/>
      <w:bookmarkEnd w:id="40"/>
      <w:r>
        <w:rPr>
          <w:rFonts w:eastAsia="宋体" w:hint="eastAsia"/>
          <w:kern w:val="2"/>
          <w:sz w:val="21"/>
          <w:szCs w:val="21"/>
        </w:rPr>
        <w:t xml:space="preserve">  </w:t>
      </w:r>
    </w:p>
    <w:p w14:paraId="78353FD2" w14:textId="77777777" w:rsidR="00000000" w:rsidRDefault="00000000">
      <w:pPr>
        <w:overflowPunct w:val="0"/>
        <w:spacing w:line="480" w:lineRule="auto"/>
        <w:ind w:firstLineChars="200" w:firstLine="420"/>
        <w:jc w:val="both"/>
        <w:textAlignment w:val="auto"/>
        <w:rPr>
          <w:rFonts w:ascii="Arial" w:hAnsi="Arial" w:cs="Arial"/>
          <w:color w:val="E36C0A"/>
          <w:sz w:val="21"/>
          <w:szCs w:val="21"/>
        </w:rPr>
      </w:pP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w:t>
      </w:r>
      <w:r>
        <w:rPr>
          <w:rFonts w:ascii="Arial" w:hAnsi="Arial" w:cs="Arial"/>
          <w:sz w:val="21"/>
          <w:szCs w:val="21"/>
        </w:rPr>
        <w:t>至</w:t>
      </w:r>
      <w:r>
        <w:rPr>
          <w:rFonts w:ascii="Arial" w:hAnsi="Arial" w:cs="Arial"/>
          <w:sz w:val="21"/>
          <w:szCs w:val="21"/>
        </w:rPr>
        <w:t>202</w:t>
      </w:r>
      <w:r>
        <w:rPr>
          <w:rFonts w:ascii="Arial" w:hAnsi="Arial" w:cs="Arial" w:hint="eastAsia"/>
          <w:sz w:val="21"/>
          <w:szCs w:val="21"/>
        </w:rPr>
        <w:t>5</w:t>
      </w:r>
      <w:r>
        <w:rPr>
          <w:rFonts w:ascii="Arial" w:hAnsi="Arial" w:cs="Arial"/>
          <w:sz w:val="21"/>
          <w:szCs w:val="21"/>
        </w:rPr>
        <w:t>年</w:t>
      </w:r>
      <w:r>
        <w:rPr>
          <w:rFonts w:ascii="Arial" w:hAnsi="Arial" w:cs="Arial" w:hint="eastAsia"/>
          <w:sz w:val="21"/>
          <w:szCs w:val="21"/>
        </w:rPr>
        <w:t>11</w:t>
      </w:r>
      <w:r>
        <w:rPr>
          <w:rFonts w:ascii="Arial" w:hAnsi="Arial" w:cs="Arial"/>
          <w:sz w:val="21"/>
          <w:szCs w:val="21"/>
        </w:rPr>
        <w:t>月</w:t>
      </w:r>
      <w:r>
        <w:rPr>
          <w:rFonts w:ascii="Arial" w:hAnsi="Arial" w:cs="Arial"/>
          <w:sz w:val="21"/>
          <w:szCs w:val="21"/>
        </w:rPr>
        <w:t>1</w:t>
      </w:r>
      <w:r>
        <w:rPr>
          <w:rFonts w:ascii="Arial" w:hAnsi="Arial" w:cs="Arial"/>
          <w:sz w:val="21"/>
          <w:szCs w:val="21"/>
        </w:rPr>
        <w:t>日</w:t>
      </w:r>
    </w:p>
    <w:p w14:paraId="2DDE5E57" w14:textId="77777777" w:rsidR="00000000" w:rsidRDefault="00000000">
      <w:pPr>
        <w:overflowPunct w:val="0"/>
        <w:spacing w:line="480" w:lineRule="auto"/>
        <w:jc w:val="both"/>
        <w:textAlignment w:val="auto"/>
        <w:outlineLvl w:val="0"/>
        <w:rPr>
          <w:rFonts w:ascii="Arial" w:hAnsi="Arial" w:cs="Arial"/>
          <w:b/>
          <w:kern w:val="2"/>
          <w:sz w:val="21"/>
          <w:szCs w:val="21"/>
        </w:rPr>
        <w:sectPr w:rsidR="00000000">
          <w:headerReference w:type="default" r:id="rId22"/>
          <w:footerReference w:type="even" r:id="rId23"/>
          <w:footerReference w:type="default" r:id="rId24"/>
          <w:pgSz w:w="11907" w:h="16840"/>
          <w:pgMar w:top="1843" w:right="1134" w:bottom="1134" w:left="1134" w:header="1134" w:footer="907" w:gutter="340"/>
          <w:cols w:space="720"/>
          <w:docGrid w:linePitch="326"/>
        </w:sectPr>
      </w:pPr>
    </w:p>
    <w:p w14:paraId="46D5FD9B" w14:textId="77777777" w:rsidR="00000000" w:rsidRDefault="00000000">
      <w:pPr>
        <w:pStyle w:val="1"/>
        <w:spacing w:line="480" w:lineRule="auto"/>
        <w:jc w:val="center"/>
        <w:rPr>
          <w:rFonts w:eastAsia="方正黑体简体" w:hint="eastAsia"/>
          <w:b w:val="0"/>
          <w:kern w:val="2"/>
          <w:sz w:val="32"/>
          <w:szCs w:val="32"/>
        </w:rPr>
      </w:pPr>
      <w:bookmarkStart w:id="41" w:name="_Toc29767"/>
      <w:r>
        <w:rPr>
          <w:rFonts w:eastAsia="方正黑体简体" w:hint="eastAsia"/>
          <w:b w:val="0"/>
          <w:kern w:val="2"/>
          <w:sz w:val="32"/>
          <w:szCs w:val="32"/>
        </w:rPr>
        <w:lastRenderedPageBreak/>
        <w:t>估价技术报告</w:t>
      </w:r>
      <w:bookmarkEnd w:id="41"/>
    </w:p>
    <w:p w14:paraId="1A6F0086" w14:textId="77777777" w:rsidR="00000000" w:rsidRDefault="00000000">
      <w:pPr>
        <w:pStyle w:val="2"/>
        <w:numPr>
          <w:ilvl w:val="0"/>
          <w:numId w:val="0"/>
        </w:numPr>
        <w:tabs>
          <w:tab w:val="left" w:pos="360"/>
        </w:tabs>
        <w:spacing w:line="480" w:lineRule="auto"/>
        <w:ind w:left="358" w:hangingChars="170" w:hanging="358"/>
        <w:jc w:val="both"/>
        <w:rPr>
          <w:rFonts w:eastAsia="宋体"/>
          <w:kern w:val="2"/>
          <w:sz w:val="21"/>
          <w:szCs w:val="21"/>
        </w:rPr>
      </w:pPr>
      <w:bookmarkStart w:id="42" w:name="_Toc11012"/>
      <w:r>
        <w:rPr>
          <w:rFonts w:eastAsia="宋体"/>
          <w:kern w:val="2"/>
          <w:sz w:val="21"/>
          <w:szCs w:val="21"/>
        </w:rPr>
        <w:t>一、估价对象描述与分析</w:t>
      </w:r>
      <w:bookmarkEnd w:id="42"/>
    </w:p>
    <w:p w14:paraId="2F73C6A8" w14:textId="77777777" w:rsidR="00000000" w:rsidRDefault="00000000">
      <w:pPr>
        <w:pStyle w:val="2"/>
        <w:numPr>
          <w:ilvl w:val="0"/>
          <w:numId w:val="0"/>
        </w:numPr>
        <w:tabs>
          <w:tab w:val="left" w:pos="360"/>
        </w:tabs>
        <w:spacing w:line="480" w:lineRule="auto"/>
        <w:ind w:left="360" w:hangingChars="171" w:hanging="360"/>
        <w:jc w:val="both"/>
        <w:rPr>
          <w:rFonts w:eastAsia="宋体"/>
          <w:kern w:val="2"/>
          <w:sz w:val="21"/>
          <w:szCs w:val="21"/>
        </w:rPr>
      </w:pPr>
      <w:bookmarkStart w:id="43" w:name="_Toc6068"/>
      <w:r>
        <w:rPr>
          <w:rFonts w:eastAsia="宋体"/>
          <w:kern w:val="2"/>
          <w:sz w:val="21"/>
          <w:szCs w:val="21"/>
        </w:rPr>
        <w:t>（</w:t>
      </w:r>
      <w:r>
        <w:rPr>
          <w:rFonts w:eastAsia="宋体" w:hint="eastAsia"/>
          <w:kern w:val="2"/>
          <w:sz w:val="21"/>
          <w:szCs w:val="21"/>
        </w:rPr>
        <w:t>一</w:t>
      </w:r>
      <w:r>
        <w:rPr>
          <w:rFonts w:eastAsia="宋体"/>
          <w:kern w:val="2"/>
          <w:sz w:val="21"/>
          <w:szCs w:val="21"/>
        </w:rPr>
        <w:t>）区位状况分析</w:t>
      </w:r>
      <w:bookmarkEnd w:id="43"/>
    </w:p>
    <w:p w14:paraId="0798FACB" w14:textId="77777777" w:rsidR="00000000" w:rsidRDefault="00000000">
      <w:pPr>
        <w:spacing w:line="480" w:lineRule="auto"/>
        <w:ind w:firstLineChars="200" w:firstLine="420"/>
        <w:jc w:val="both"/>
        <w:rPr>
          <w:rFonts w:ascii="Arial" w:hAnsi="Arial" w:cs="Arial" w:hint="eastAsia"/>
          <w:kern w:val="2"/>
          <w:sz w:val="21"/>
          <w:szCs w:val="21"/>
        </w:rPr>
      </w:pPr>
      <w:r>
        <w:rPr>
          <w:rFonts w:ascii="Arial" w:hAnsi="Arial" w:cs="Arial"/>
          <w:sz w:val="21"/>
          <w:szCs w:val="21"/>
        </w:rPr>
        <w:t>1.</w:t>
      </w:r>
      <w:r>
        <w:rPr>
          <w:rFonts w:ascii="Arial" w:hAnsi="Arial" w:cs="Arial"/>
          <w:sz w:val="21"/>
          <w:szCs w:val="21"/>
        </w:rPr>
        <w:t>位置状况</w:t>
      </w:r>
      <w:r>
        <w:rPr>
          <w:rFonts w:ascii="Arial" w:hAnsi="Arial" w:cs="Arial" w:hint="eastAsia"/>
          <w:sz w:val="21"/>
          <w:szCs w:val="21"/>
        </w:rPr>
        <w:t xml:space="preserve">  </w:t>
      </w:r>
      <w:r>
        <w:rPr>
          <w:rFonts w:ascii="Arial" w:hAnsi="Arial" w:cs="Arial" w:hint="eastAsia"/>
          <w:kern w:val="2"/>
          <w:sz w:val="21"/>
          <w:szCs w:val="21"/>
        </w:rPr>
        <w:t xml:space="preserve">  </w:t>
      </w:r>
    </w:p>
    <w:p w14:paraId="12D9F678" w14:textId="77777777" w:rsidR="00000000" w:rsidRDefault="00000000">
      <w:pPr>
        <w:spacing w:line="480" w:lineRule="auto"/>
        <w:ind w:firstLineChars="200" w:firstLine="420"/>
        <w:jc w:val="both"/>
        <w:rPr>
          <w:rFonts w:ascii="Arial" w:hAnsi="Arial" w:cs="Arial"/>
          <w:kern w:val="2"/>
          <w:sz w:val="21"/>
          <w:szCs w:val="21"/>
        </w:rPr>
      </w:pPr>
      <w:r>
        <w:rPr>
          <w:rFonts w:ascii="Arial" w:hAnsi="Arial" w:cs="Arial"/>
          <w:kern w:val="2"/>
          <w:sz w:val="21"/>
          <w:szCs w:val="21"/>
        </w:rPr>
        <w:t>（</w:t>
      </w:r>
      <w:r>
        <w:rPr>
          <w:rFonts w:ascii="Arial" w:hAnsi="Arial" w:cs="Arial"/>
          <w:kern w:val="2"/>
          <w:sz w:val="21"/>
          <w:szCs w:val="21"/>
        </w:rPr>
        <w:t>1</w:t>
      </w:r>
      <w:r>
        <w:rPr>
          <w:rFonts w:ascii="Arial" w:hAnsi="Arial" w:cs="Arial"/>
          <w:kern w:val="2"/>
          <w:sz w:val="21"/>
          <w:szCs w:val="21"/>
        </w:rPr>
        <w:t>）</w:t>
      </w:r>
      <w:r>
        <w:rPr>
          <w:rFonts w:ascii="Arial" w:hAnsi="Arial" w:cs="Arial" w:hint="eastAsia"/>
          <w:kern w:val="2"/>
          <w:sz w:val="21"/>
          <w:szCs w:val="21"/>
        </w:rPr>
        <w:t>X13</w:t>
      </w:r>
      <w:r>
        <w:rPr>
          <w:rFonts w:ascii="Arial" w:hAnsi="Arial" w:cs="Arial" w:hint="eastAsia"/>
          <w:kern w:val="2"/>
          <w:sz w:val="21"/>
          <w:szCs w:val="21"/>
        </w:rPr>
        <w:t>海棠苑项目</w:t>
      </w:r>
      <w:r>
        <w:rPr>
          <w:rFonts w:ascii="Arial" w:hAnsi="Arial" w:cs="Arial"/>
          <w:kern w:val="2"/>
          <w:sz w:val="21"/>
          <w:szCs w:val="21"/>
        </w:rPr>
        <w:t>位于</w:t>
      </w:r>
      <w:r>
        <w:rPr>
          <w:rFonts w:ascii="Arial" w:hAnsi="Arial" w:cs="Arial" w:hint="eastAsia"/>
          <w:kern w:val="2"/>
          <w:sz w:val="21"/>
          <w:szCs w:val="21"/>
        </w:rPr>
        <w:t>北京市北京经济技术开发区博兴九路</w:t>
      </w:r>
      <w:r>
        <w:rPr>
          <w:rFonts w:ascii="Arial" w:hAnsi="Arial" w:cs="Arial" w:hint="eastAsia"/>
          <w:kern w:val="2"/>
          <w:sz w:val="21"/>
          <w:szCs w:val="21"/>
        </w:rPr>
        <w:t>19</w:t>
      </w:r>
      <w:r>
        <w:rPr>
          <w:rFonts w:ascii="Arial" w:hAnsi="Arial" w:cs="Arial" w:hint="eastAsia"/>
          <w:kern w:val="2"/>
          <w:sz w:val="21"/>
          <w:szCs w:val="21"/>
        </w:rPr>
        <w:t>号院</w:t>
      </w:r>
      <w:r>
        <w:rPr>
          <w:rFonts w:ascii="Arial" w:hAnsi="Arial" w:cs="Arial"/>
          <w:kern w:val="2"/>
          <w:sz w:val="21"/>
          <w:szCs w:val="21"/>
        </w:rPr>
        <w:t>，其所属项目</w:t>
      </w:r>
      <w:r>
        <w:rPr>
          <w:rFonts w:ascii="Arial" w:hAnsi="Arial" w:cs="Arial" w:hint="eastAsia"/>
          <w:kern w:val="2"/>
          <w:sz w:val="21"/>
          <w:szCs w:val="21"/>
        </w:rPr>
        <w:t>北</w:t>
      </w:r>
      <w:r>
        <w:rPr>
          <w:rFonts w:ascii="Arial" w:hAnsi="Arial" w:cs="Arial"/>
          <w:kern w:val="2"/>
          <w:sz w:val="21"/>
          <w:szCs w:val="21"/>
        </w:rPr>
        <w:t>侧紧邻</w:t>
      </w:r>
      <w:r>
        <w:rPr>
          <w:rFonts w:ascii="Arial" w:hAnsi="Arial" w:cs="Arial" w:hint="eastAsia"/>
          <w:kern w:val="2"/>
          <w:sz w:val="21"/>
          <w:szCs w:val="21"/>
        </w:rPr>
        <w:t>凉水河二街</w:t>
      </w:r>
      <w:r>
        <w:rPr>
          <w:rFonts w:ascii="Arial" w:hAnsi="Arial" w:cs="Arial"/>
          <w:kern w:val="2"/>
          <w:sz w:val="21"/>
          <w:szCs w:val="21"/>
        </w:rPr>
        <w:t>，土地级别属于北京市基准地价居住类</w:t>
      </w:r>
      <w:r>
        <w:rPr>
          <w:rFonts w:ascii="Arial" w:hAnsi="Arial" w:cs="Arial" w:hint="eastAsia"/>
          <w:kern w:val="2"/>
          <w:sz w:val="21"/>
          <w:szCs w:val="21"/>
        </w:rPr>
        <w:t>七</w:t>
      </w:r>
      <w:r>
        <w:rPr>
          <w:rFonts w:ascii="Arial" w:hAnsi="Arial" w:cs="Arial"/>
          <w:kern w:val="2"/>
          <w:sz w:val="21"/>
          <w:szCs w:val="21"/>
        </w:rPr>
        <w:t>级，</w:t>
      </w:r>
      <w:r>
        <w:rPr>
          <w:rFonts w:ascii="微软雅黑" w:eastAsia="微软雅黑" w:hAnsi="微软雅黑" w:cs="微软雅黑" w:hint="eastAsia"/>
          <w:kern w:val="2"/>
          <w:sz w:val="21"/>
          <w:szCs w:val="21"/>
        </w:rPr>
        <w:t>V</w:t>
      </w:r>
      <w:r>
        <w:rPr>
          <w:rFonts w:ascii="微软雅黑" w:eastAsia="微软雅黑" w:hAnsi="微软雅黑" w:cs="微软雅黑"/>
          <w:kern w:val="2"/>
          <w:sz w:val="21"/>
          <w:szCs w:val="21"/>
        </w:rPr>
        <w:t>II-</w:t>
      </w:r>
      <w:r>
        <w:rPr>
          <w:rFonts w:ascii="微软雅黑" w:eastAsia="微软雅黑" w:hAnsi="微软雅黑" w:cs="微软雅黑" w:hint="eastAsia"/>
          <w:kern w:val="2"/>
          <w:sz w:val="21"/>
          <w:szCs w:val="21"/>
        </w:rPr>
        <w:t>亦1</w:t>
      </w:r>
      <w:r>
        <w:rPr>
          <w:rFonts w:ascii="Arial" w:hAnsi="Arial" w:cs="Arial"/>
          <w:kern w:val="2"/>
          <w:sz w:val="21"/>
          <w:szCs w:val="21"/>
        </w:rPr>
        <w:t>区片，地理位置状况较好。</w:t>
      </w:r>
    </w:p>
    <w:p w14:paraId="4ED12053" w14:textId="77777777" w:rsidR="00000000" w:rsidRDefault="00000000">
      <w:pPr>
        <w:spacing w:line="480" w:lineRule="auto"/>
        <w:ind w:firstLineChars="200" w:firstLine="420"/>
        <w:jc w:val="both"/>
        <w:rPr>
          <w:rFonts w:ascii="Arial" w:hAnsi="Arial" w:cs="Arial"/>
          <w:kern w:val="2"/>
          <w:sz w:val="21"/>
          <w:szCs w:val="21"/>
        </w:rPr>
      </w:pPr>
      <w:r>
        <w:rPr>
          <w:rFonts w:ascii="Arial" w:hAnsi="Arial" w:cs="Arial"/>
          <w:kern w:val="2"/>
          <w:sz w:val="21"/>
          <w:szCs w:val="21"/>
        </w:rPr>
        <w:t>（</w:t>
      </w:r>
      <w:r>
        <w:rPr>
          <w:rFonts w:ascii="Arial" w:hAnsi="Arial" w:cs="Arial"/>
          <w:kern w:val="2"/>
          <w:sz w:val="21"/>
          <w:szCs w:val="21"/>
        </w:rPr>
        <w:t>2</w:t>
      </w:r>
      <w:r>
        <w:rPr>
          <w:rFonts w:ascii="Arial" w:hAnsi="Arial" w:cs="Arial"/>
          <w:kern w:val="2"/>
          <w:sz w:val="21"/>
          <w:szCs w:val="21"/>
        </w:rPr>
        <w:t>）</w:t>
      </w:r>
      <w:r>
        <w:rPr>
          <w:rFonts w:ascii="Arial" w:hAnsi="Arial" w:cs="Arial" w:hint="eastAsia"/>
          <w:kern w:val="2"/>
          <w:sz w:val="21"/>
          <w:szCs w:val="21"/>
        </w:rPr>
        <w:t>X38</w:t>
      </w:r>
      <w:r>
        <w:rPr>
          <w:rFonts w:ascii="Arial" w:hAnsi="Arial" w:cs="Arial" w:hint="eastAsia"/>
          <w:kern w:val="2"/>
          <w:sz w:val="21"/>
          <w:szCs w:val="21"/>
        </w:rPr>
        <w:t>鹿海园五里项目</w:t>
      </w:r>
      <w:r>
        <w:rPr>
          <w:rFonts w:ascii="Arial" w:hAnsi="Arial" w:cs="Arial"/>
          <w:kern w:val="2"/>
          <w:sz w:val="21"/>
          <w:szCs w:val="21"/>
        </w:rPr>
        <w:t>位于</w:t>
      </w:r>
      <w:r>
        <w:rPr>
          <w:rFonts w:ascii="Arial" w:hAnsi="Arial" w:cs="Arial" w:hint="eastAsia"/>
          <w:kern w:val="2"/>
          <w:sz w:val="21"/>
          <w:szCs w:val="21"/>
        </w:rPr>
        <w:t>北京市北京经济技术开发区博兴八路鹿海园五里</w:t>
      </w:r>
      <w:r>
        <w:rPr>
          <w:rFonts w:ascii="Arial" w:hAnsi="Arial" w:cs="Arial"/>
          <w:kern w:val="2"/>
          <w:sz w:val="21"/>
          <w:szCs w:val="21"/>
        </w:rPr>
        <w:t>，其所属项目</w:t>
      </w:r>
      <w:r>
        <w:rPr>
          <w:rFonts w:ascii="Arial" w:hAnsi="Arial" w:cs="Arial" w:hint="eastAsia"/>
          <w:kern w:val="2"/>
          <w:sz w:val="21"/>
          <w:szCs w:val="21"/>
        </w:rPr>
        <w:t>西</w:t>
      </w:r>
      <w:r>
        <w:rPr>
          <w:rFonts w:ascii="Arial" w:hAnsi="Arial" w:cs="Arial"/>
          <w:kern w:val="2"/>
          <w:sz w:val="21"/>
          <w:szCs w:val="21"/>
        </w:rPr>
        <w:t>侧紧邻</w:t>
      </w:r>
      <w:r>
        <w:rPr>
          <w:rFonts w:ascii="Arial" w:hAnsi="Arial" w:cs="Arial" w:hint="eastAsia"/>
          <w:kern w:val="2"/>
          <w:sz w:val="21"/>
          <w:szCs w:val="21"/>
        </w:rPr>
        <w:t>博兴八路</w:t>
      </w:r>
      <w:r>
        <w:rPr>
          <w:rFonts w:ascii="Arial" w:hAnsi="Arial" w:cs="Arial"/>
          <w:kern w:val="2"/>
          <w:sz w:val="21"/>
          <w:szCs w:val="21"/>
        </w:rPr>
        <w:t>，土地级别属于北京市基准地价居住类</w:t>
      </w:r>
      <w:r>
        <w:rPr>
          <w:rFonts w:ascii="Arial" w:hAnsi="Arial" w:cs="Arial" w:hint="eastAsia"/>
          <w:kern w:val="2"/>
          <w:sz w:val="21"/>
          <w:szCs w:val="21"/>
        </w:rPr>
        <w:t>七</w:t>
      </w:r>
      <w:r>
        <w:rPr>
          <w:rFonts w:ascii="Arial" w:hAnsi="Arial" w:cs="Arial"/>
          <w:kern w:val="2"/>
          <w:sz w:val="21"/>
          <w:szCs w:val="21"/>
        </w:rPr>
        <w:t>级，</w:t>
      </w:r>
      <w:r>
        <w:rPr>
          <w:rFonts w:ascii="微软雅黑" w:eastAsia="微软雅黑" w:hAnsi="微软雅黑" w:cs="微软雅黑" w:hint="eastAsia"/>
          <w:kern w:val="2"/>
          <w:sz w:val="21"/>
          <w:szCs w:val="21"/>
        </w:rPr>
        <w:t>V</w:t>
      </w:r>
      <w:r>
        <w:rPr>
          <w:rFonts w:ascii="微软雅黑" w:eastAsia="微软雅黑" w:hAnsi="微软雅黑" w:cs="微软雅黑"/>
          <w:kern w:val="2"/>
          <w:sz w:val="21"/>
          <w:szCs w:val="21"/>
        </w:rPr>
        <w:t>II-</w:t>
      </w:r>
      <w:r>
        <w:rPr>
          <w:rFonts w:ascii="微软雅黑" w:eastAsia="微软雅黑" w:hAnsi="微软雅黑" w:cs="微软雅黑" w:hint="eastAsia"/>
          <w:kern w:val="2"/>
          <w:sz w:val="21"/>
          <w:szCs w:val="21"/>
        </w:rPr>
        <w:t>亦1</w:t>
      </w:r>
      <w:r>
        <w:rPr>
          <w:rFonts w:ascii="Arial" w:hAnsi="Arial" w:cs="Arial"/>
          <w:kern w:val="2"/>
          <w:sz w:val="21"/>
          <w:szCs w:val="21"/>
        </w:rPr>
        <w:t>区片，地理位置状况较好。</w:t>
      </w:r>
    </w:p>
    <w:p w14:paraId="47D1FBF9" w14:textId="77777777" w:rsidR="00000000" w:rsidRDefault="00000000">
      <w:pPr>
        <w:spacing w:line="480" w:lineRule="auto"/>
        <w:ind w:firstLineChars="200" w:firstLine="420"/>
        <w:jc w:val="both"/>
        <w:rPr>
          <w:rFonts w:ascii="Arial" w:hAnsi="Arial" w:cs="Arial"/>
          <w:sz w:val="21"/>
          <w:szCs w:val="21"/>
        </w:rPr>
      </w:pPr>
      <w:r>
        <w:rPr>
          <w:rFonts w:ascii="Arial" w:hAnsi="Arial" w:cs="Arial"/>
          <w:color w:val="0D0D0D"/>
          <w:sz w:val="21"/>
          <w:szCs w:val="21"/>
        </w:rPr>
        <w:t>2.</w:t>
      </w:r>
      <w:r>
        <w:rPr>
          <w:rFonts w:ascii="Arial" w:hAnsi="Arial" w:cs="Arial"/>
          <w:sz w:val="21"/>
          <w:szCs w:val="21"/>
        </w:rPr>
        <w:t>居住社区成熟度</w:t>
      </w:r>
    </w:p>
    <w:p w14:paraId="5DBC67E8" w14:textId="77777777" w:rsidR="00000000" w:rsidRDefault="00000000">
      <w:pPr>
        <w:spacing w:line="480" w:lineRule="auto"/>
        <w:ind w:firstLineChars="200" w:firstLine="420"/>
        <w:jc w:val="both"/>
        <w:rPr>
          <w:rFonts w:ascii="Arial" w:hAnsi="Arial" w:cs="Arial" w:hint="eastAsia"/>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Pr>
          <w:rFonts w:ascii="Arial" w:hAnsi="Arial" w:cs="Arial" w:hint="eastAsia"/>
          <w:kern w:val="2"/>
          <w:sz w:val="21"/>
          <w:szCs w:val="21"/>
        </w:rPr>
        <w:t>X13</w:t>
      </w:r>
      <w:r>
        <w:rPr>
          <w:rFonts w:ascii="Arial" w:hAnsi="Arial" w:cs="Arial" w:hint="eastAsia"/>
          <w:kern w:val="2"/>
          <w:sz w:val="21"/>
          <w:szCs w:val="21"/>
        </w:rPr>
        <w:t>海棠苑项目</w:t>
      </w:r>
      <w:r>
        <w:rPr>
          <w:rFonts w:ascii="Arial" w:hAnsi="Arial" w:cs="Arial" w:hint="eastAsia"/>
          <w:sz w:val="21"/>
          <w:szCs w:val="21"/>
        </w:rPr>
        <w:t>周边有观海苑、泰河园小区、中芯花园、悦廷、鹿海园、南海家园、博客雅苑等居住小区，居住小区规模较大，入住率较高，综合评价居住区成熟度较好</w:t>
      </w:r>
      <w:r>
        <w:rPr>
          <w:rFonts w:ascii="Arial" w:hAnsi="Arial" w:cs="Arial"/>
          <w:sz w:val="21"/>
          <w:szCs w:val="21"/>
        </w:rPr>
        <w:t>。</w:t>
      </w:r>
    </w:p>
    <w:p w14:paraId="1FEB1111" w14:textId="77777777" w:rsidR="00000000" w:rsidRDefault="00000000">
      <w:pPr>
        <w:spacing w:line="480" w:lineRule="auto"/>
        <w:ind w:firstLineChars="200" w:firstLine="420"/>
        <w:jc w:val="both"/>
        <w:rPr>
          <w:rFonts w:ascii="Arial" w:hAnsi="Arial" w:cs="Arial" w:hint="eastAsia"/>
          <w:kern w:val="2"/>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hint="eastAsia"/>
          <w:kern w:val="2"/>
          <w:sz w:val="21"/>
          <w:szCs w:val="21"/>
        </w:rPr>
        <w:t>X38</w:t>
      </w:r>
      <w:r>
        <w:rPr>
          <w:rFonts w:ascii="Arial" w:hAnsi="Arial" w:cs="Arial" w:hint="eastAsia"/>
          <w:kern w:val="2"/>
          <w:sz w:val="21"/>
          <w:szCs w:val="21"/>
        </w:rPr>
        <w:t>鹿海园五里项目</w:t>
      </w:r>
      <w:r>
        <w:rPr>
          <w:rFonts w:ascii="Arial" w:hAnsi="Arial" w:cs="Arial" w:hint="eastAsia"/>
          <w:sz w:val="21"/>
          <w:szCs w:val="21"/>
        </w:rPr>
        <w:t>周边有南海家园、亦庄金茂悦、北京城建海梓府、亦城亦景家园、博客雅苑等居住小区，居住小区规模较大，入住率较高，综合评价居住区成熟度较好</w:t>
      </w:r>
      <w:r>
        <w:rPr>
          <w:rFonts w:ascii="Arial" w:hAnsi="Arial" w:cs="Arial"/>
          <w:sz w:val="21"/>
          <w:szCs w:val="21"/>
        </w:rPr>
        <w:t>。</w:t>
      </w:r>
    </w:p>
    <w:p w14:paraId="17FA6E3A" w14:textId="77777777" w:rsidR="00000000" w:rsidRDefault="00000000">
      <w:pPr>
        <w:spacing w:line="480" w:lineRule="auto"/>
        <w:ind w:firstLineChars="200" w:firstLine="420"/>
        <w:jc w:val="both"/>
        <w:rPr>
          <w:rFonts w:ascii="Arial" w:hAnsi="Arial" w:cs="Arial" w:hint="eastAsia"/>
          <w:sz w:val="21"/>
          <w:szCs w:val="21"/>
        </w:rPr>
      </w:pPr>
      <w:r>
        <w:rPr>
          <w:rFonts w:ascii="Arial" w:hAnsi="Arial" w:cs="Arial"/>
          <w:sz w:val="21"/>
          <w:szCs w:val="21"/>
        </w:rPr>
        <w:t>3.</w:t>
      </w:r>
      <w:r>
        <w:rPr>
          <w:rFonts w:ascii="Arial" w:hAnsi="Arial" w:cs="Arial" w:hint="eastAsia"/>
          <w:sz w:val="21"/>
          <w:szCs w:val="21"/>
        </w:rPr>
        <w:t>交</w:t>
      </w:r>
      <w:r>
        <w:rPr>
          <w:rFonts w:ascii="Arial" w:hAnsi="Arial" w:cs="Arial"/>
          <w:sz w:val="21"/>
          <w:szCs w:val="21"/>
        </w:rPr>
        <w:t>通状况</w:t>
      </w:r>
    </w:p>
    <w:p w14:paraId="7D63719F" w14:textId="77777777" w:rsidR="00000000" w:rsidRDefault="00000000">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Pr>
          <w:rFonts w:ascii="Arial" w:hAnsi="Arial" w:cs="Arial" w:hint="eastAsia"/>
          <w:kern w:val="2"/>
          <w:sz w:val="21"/>
          <w:szCs w:val="21"/>
        </w:rPr>
        <w:t>X13</w:t>
      </w:r>
      <w:r>
        <w:rPr>
          <w:rFonts w:ascii="Arial" w:hAnsi="Arial" w:cs="Arial" w:hint="eastAsia"/>
          <w:kern w:val="2"/>
          <w:sz w:val="21"/>
          <w:szCs w:val="21"/>
        </w:rPr>
        <w:t>海棠苑项目紧邻城市支路——凉水河二街，距南六环路约</w:t>
      </w:r>
      <w:r>
        <w:rPr>
          <w:rFonts w:ascii="Arial" w:hAnsi="Arial" w:cs="Arial"/>
          <w:kern w:val="2"/>
          <w:sz w:val="21"/>
          <w:szCs w:val="21"/>
        </w:rPr>
        <w:t>3.4</w:t>
      </w:r>
      <w:r>
        <w:rPr>
          <w:rFonts w:ascii="Arial" w:hAnsi="Arial" w:cs="Arial" w:hint="eastAsia"/>
          <w:kern w:val="2"/>
          <w:sz w:val="21"/>
          <w:szCs w:val="21"/>
        </w:rPr>
        <w:t>公里，路网密集度较好；</w:t>
      </w:r>
      <w:r>
        <w:rPr>
          <w:rFonts w:ascii="Arial" w:hAnsi="Arial" w:cs="Arial" w:hint="eastAsia"/>
          <w:sz w:val="21"/>
          <w:szCs w:val="21"/>
        </w:rPr>
        <w:t>周边有公交车站（鹿海园），停靠线路有</w:t>
      </w:r>
      <w:r>
        <w:rPr>
          <w:rFonts w:ascii="Arial" w:hAnsi="Arial" w:cs="Arial" w:hint="eastAsia"/>
          <w:sz w:val="21"/>
          <w:szCs w:val="21"/>
        </w:rPr>
        <w:t>57</w:t>
      </w:r>
      <w:r>
        <w:rPr>
          <w:rFonts w:ascii="Arial" w:hAnsi="Arial" w:cs="Arial"/>
          <w:sz w:val="21"/>
          <w:szCs w:val="21"/>
        </w:rPr>
        <w:t>3</w:t>
      </w:r>
      <w:r>
        <w:rPr>
          <w:rFonts w:ascii="Arial" w:hAnsi="Arial" w:cs="Arial" w:hint="eastAsia"/>
          <w:sz w:val="21"/>
          <w:szCs w:val="21"/>
        </w:rPr>
        <w:t>路、</w:t>
      </w:r>
      <w:r>
        <w:rPr>
          <w:rFonts w:ascii="Arial" w:hAnsi="Arial" w:cs="Arial" w:hint="eastAsia"/>
          <w:sz w:val="21"/>
          <w:szCs w:val="21"/>
        </w:rPr>
        <w:t>5</w:t>
      </w:r>
      <w:r>
        <w:rPr>
          <w:rFonts w:ascii="Arial" w:hAnsi="Arial" w:cs="Arial"/>
          <w:sz w:val="21"/>
          <w:szCs w:val="21"/>
        </w:rPr>
        <w:t>80</w:t>
      </w:r>
      <w:r>
        <w:rPr>
          <w:rFonts w:ascii="Arial" w:hAnsi="Arial" w:cs="Arial" w:hint="eastAsia"/>
          <w:sz w:val="21"/>
          <w:szCs w:val="21"/>
        </w:rPr>
        <w:t>路、</w:t>
      </w:r>
      <w:r>
        <w:rPr>
          <w:rFonts w:ascii="Arial" w:hAnsi="Arial" w:cs="Arial"/>
          <w:sz w:val="21"/>
          <w:szCs w:val="21"/>
        </w:rPr>
        <w:t>599</w:t>
      </w:r>
      <w:r>
        <w:rPr>
          <w:rFonts w:ascii="Arial" w:hAnsi="Arial" w:cs="Arial" w:hint="eastAsia"/>
          <w:sz w:val="21"/>
          <w:szCs w:val="21"/>
        </w:rPr>
        <w:t>路、</w:t>
      </w:r>
      <w:r>
        <w:rPr>
          <w:rFonts w:ascii="Arial" w:hAnsi="Arial" w:cs="Arial"/>
          <w:sz w:val="21"/>
          <w:szCs w:val="21"/>
        </w:rPr>
        <w:t>665</w:t>
      </w:r>
      <w:r>
        <w:rPr>
          <w:rFonts w:ascii="Arial" w:hAnsi="Arial" w:cs="Arial" w:hint="eastAsia"/>
          <w:sz w:val="21"/>
          <w:szCs w:val="21"/>
        </w:rPr>
        <w:t>路、兴</w:t>
      </w:r>
      <w:r>
        <w:rPr>
          <w:rFonts w:ascii="Arial" w:hAnsi="Arial" w:cs="Arial" w:hint="eastAsia"/>
          <w:sz w:val="21"/>
          <w:szCs w:val="21"/>
        </w:rPr>
        <w:t>7</w:t>
      </w:r>
      <w:r>
        <w:rPr>
          <w:rFonts w:ascii="Arial" w:hAnsi="Arial" w:cs="Arial"/>
          <w:sz w:val="21"/>
          <w:szCs w:val="21"/>
        </w:rPr>
        <w:t>8</w:t>
      </w:r>
      <w:r>
        <w:rPr>
          <w:rFonts w:ascii="Arial" w:hAnsi="Arial" w:cs="Arial" w:hint="eastAsia"/>
          <w:sz w:val="21"/>
          <w:szCs w:val="21"/>
        </w:rPr>
        <w:t>路等十余条公交线路，距离地铁亦庄</w:t>
      </w:r>
      <w:r>
        <w:rPr>
          <w:rFonts w:ascii="Arial" w:hAnsi="Arial" w:cs="Arial" w:hint="eastAsia"/>
          <w:sz w:val="21"/>
          <w:szCs w:val="21"/>
        </w:rPr>
        <w:t>T1</w:t>
      </w:r>
      <w:r>
        <w:rPr>
          <w:rFonts w:ascii="Arial" w:hAnsi="Arial" w:cs="Arial" w:hint="eastAsia"/>
          <w:sz w:val="21"/>
          <w:szCs w:val="21"/>
        </w:rPr>
        <w:t>线（鹿圈东站）约</w:t>
      </w:r>
      <w:r>
        <w:rPr>
          <w:rFonts w:ascii="Arial" w:hAnsi="Arial" w:cs="Arial"/>
          <w:sz w:val="21"/>
          <w:szCs w:val="21"/>
        </w:rPr>
        <w:t>1500</w:t>
      </w:r>
      <w:r>
        <w:rPr>
          <w:rFonts w:ascii="Arial" w:hAnsi="Arial" w:cs="Arial" w:hint="eastAsia"/>
          <w:sz w:val="21"/>
          <w:szCs w:val="21"/>
        </w:rPr>
        <w:t>米，</w:t>
      </w:r>
      <w:r>
        <w:rPr>
          <w:rFonts w:ascii="Arial" w:hAnsi="Arial" w:cs="Arial" w:hint="eastAsia"/>
          <w:kern w:val="2"/>
          <w:sz w:val="21"/>
          <w:szCs w:val="21"/>
        </w:rPr>
        <w:t>道路通达度较好，</w:t>
      </w:r>
      <w:r>
        <w:rPr>
          <w:rFonts w:ascii="Arial" w:hAnsi="Arial" w:cs="Arial" w:hint="eastAsia"/>
          <w:sz w:val="21"/>
          <w:szCs w:val="21"/>
        </w:rPr>
        <w:t>综合评价交通便捷度较好</w:t>
      </w:r>
      <w:r>
        <w:rPr>
          <w:rFonts w:ascii="Arial" w:hAnsi="Arial" w:cs="Arial" w:hint="eastAsia"/>
          <w:kern w:val="2"/>
          <w:sz w:val="21"/>
          <w:szCs w:val="21"/>
        </w:rPr>
        <w:t>。</w:t>
      </w:r>
    </w:p>
    <w:p w14:paraId="6B0AD6B2" w14:textId="77777777" w:rsidR="00000000" w:rsidRDefault="00000000">
      <w:pPr>
        <w:spacing w:line="480" w:lineRule="auto"/>
        <w:ind w:firstLineChars="200" w:firstLine="420"/>
        <w:jc w:val="both"/>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hint="eastAsia"/>
          <w:kern w:val="2"/>
          <w:sz w:val="21"/>
          <w:szCs w:val="21"/>
        </w:rPr>
        <w:t>X38</w:t>
      </w:r>
      <w:r>
        <w:rPr>
          <w:rFonts w:ascii="Arial" w:hAnsi="Arial" w:cs="Arial" w:hint="eastAsia"/>
          <w:kern w:val="2"/>
          <w:sz w:val="21"/>
          <w:szCs w:val="21"/>
        </w:rPr>
        <w:t>鹿海园五里项目紧邻城市次干道——博兴八路，距南六环路约</w:t>
      </w:r>
      <w:r>
        <w:rPr>
          <w:rFonts w:ascii="Arial" w:hAnsi="Arial" w:cs="Arial"/>
          <w:kern w:val="2"/>
          <w:sz w:val="21"/>
          <w:szCs w:val="21"/>
        </w:rPr>
        <w:t>2.1</w:t>
      </w:r>
      <w:r>
        <w:rPr>
          <w:rFonts w:ascii="Arial" w:hAnsi="Arial" w:cs="Arial" w:hint="eastAsia"/>
          <w:kern w:val="2"/>
          <w:sz w:val="21"/>
          <w:szCs w:val="21"/>
        </w:rPr>
        <w:t>公里，路网密集度较好；</w:t>
      </w:r>
      <w:r>
        <w:rPr>
          <w:rFonts w:ascii="Arial" w:hAnsi="Arial" w:cs="Arial" w:hint="eastAsia"/>
          <w:sz w:val="21"/>
          <w:szCs w:val="21"/>
        </w:rPr>
        <w:t>周边有公交车站（鹿海园五里东门），停靠线路有</w:t>
      </w:r>
      <w:r>
        <w:rPr>
          <w:rFonts w:ascii="Arial" w:hAnsi="Arial" w:cs="Arial"/>
          <w:sz w:val="21"/>
          <w:szCs w:val="21"/>
        </w:rPr>
        <w:t>578</w:t>
      </w:r>
      <w:r>
        <w:rPr>
          <w:rFonts w:ascii="Arial" w:hAnsi="Arial" w:cs="Arial" w:hint="eastAsia"/>
          <w:sz w:val="21"/>
          <w:szCs w:val="21"/>
        </w:rPr>
        <w:t>路、</w:t>
      </w:r>
      <w:r>
        <w:rPr>
          <w:rFonts w:ascii="Arial" w:hAnsi="Arial" w:cs="Arial" w:hint="eastAsia"/>
          <w:sz w:val="21"/>
          <w:szCs w:val="21"/>
        </w:rPr>
        <w:t>5</w:t>
      </w:r>
      <w:r>
        <w:rPr>
          <w:rFonts w:ascii="Arial" w:hAnsi="Arial" w:cs="Arial"/>
          <w:sz w:val="21"/>
          <w:szCs w:val="21"/>
        </w:rPr>
        <w:t>80</w:t>
      </w:r>
      <w:r>
        <w:rPr>
          <w:rFonts w:ascii="Arial" w:hAnsi="Arial" w:cs="Arial" w:hint="eastAsia"/>
          <w:sz w:val="21"/>
          <w:szCs w:val="21"/>
        </w:rPr>
        <w:t>路、兴</w:t>
      </w:r>
      <w:r>
        <w:rPr>
          <w:rFonts w:ascii="Arial" w:hAnsi="Arial" w:cs="Arial" w:hint="eastAsia"/>
          <w:sz w:val="21"/>
          <w:szCs w:val="21"/>
        </w:rPr>
        <w:t>4</w:t>
      </w:r>
      <w:r>
        <w:rPr>
          <w:rFonts w:ascii="Arial" w:hAnsi="Arial" w:cs="Arial"/>
          <w:sz w:val="21"/>
          <w:szCs w:val="21"/>
        </w:rPr>
        <w:t>8</w:t>
      </w:r>
      <w:r>
        <w:rPr>
          <w:rFonts w:ascii="Arial" w:hAnsi="Arial" w:cs="Arial" w:hint="eastAsia"/>
          <w:sz w:val="21"/>
          <w:szCs w:val="21"/>
        </w:rPr>
        <w:t>路、兴</w:t>
      </w:r>
      <w:r>
        <w:rPr>
          <w:rFonts w:ascii="Arial" w:hAnsi="Arial" w:cs="Arial" w:hint="eastAsia"/>
          <w:sz w:val="21"/>
          <w:szCs w:val="21"/>
        </w:rPr>
        <w:t>4</w:t>
      </w:r>
      <w:r>
        <w:rPr>
          <w:rFonts w:ascii="Arial" w:hAnsi="Arial" w:cs="Arial"/>
          <w:sz w:val="21"/>
          <w:szCs w:val="21"/>
        </w:rPr>
        <w:t>9</w:t>
      </w:r>
      <w:r>
        <w:rPr>
          <w:rFonts w:ascii="Arial" w:hAnsi="Arial" w:cs="Arial" w:hint="eastAsia"/>
          <w:sz w:val="21"/>
          <w:szCs w:val="21"/>
        </w:rPr>
        <w:t>路、兴</w:t>
      </w:r>
      <w:r>
        <w:rPr>
          <w:rFonts w:ascii="Arial" w:hAnsi="Arial" w:cs="Arial" w:hint="eastAsia"/>
          <w:sz w:val="21"/>
          <w:szCs w:val="21"/>
        </w:rPr>
        <w:t>5</w:t>
      </w:r>
      <w:r>
        <w:rPr>
          <w:rFonts w:ascii="Arial" w:hAnsi="Arial" w:cs="Arial"/>
          <w:sz w:val="21"/>
          <w:szCs w:val="21"/>
        </w:rPr>
        <w:t>9</w:t>
      </w:r>
      <w:r>
        <w:rPr>
          <w:rFonts w:ascii="Arial" w:hAnsi="Arial" w:cs="Arial" w:hint="eastAsia"/>
          <w:sz w:val="21"/>
          <w:szCs w:val="21"/>
        </w:rPr>
        <w:t>路、专</w:t>
      </w:r>
      <w:r>
        <w:rPr>
          <w:rFonts w:ascii="Arial" w:hAnsi="Arial" w:cs="Arial" w:hint="eastAsia"/>
          <w:sz w:val="21"/>
          <w:szCs w:val="21"/>
        </w:rPr>
        <w:t>1</w:t>
      </w:r>
      <w:r>
        <w:rPr>
          <w:rFonts w:ascii="Arial" w:hAnsi="Arial" w:cs="Arial"/>
          <w:sz w:val="21"/>
          <w:szCs w:val="21"/>
        </w:rPr>
        <w:t>83</w:t>
      </w:r>
      <w:r>
        <w:rPr>
          <w:rFonts w:ascii="Arial" w:hAnsi="Arial" w:cs="Arial" w:hint="eastAsia"/>
          <w:sz w:val="21"/>
          <w:szCs w:val="21"/>
        </w:rPr>
        <w:t>路、专</w:t>
      </w:r>
      <w:r>
        <w:rPr>
          <w:rFonts w:ascii="Arial" w:hAnsi="Arial" w:cs="Arial" w:hint="eastAsia"/>
          <w:sz w:val="21"/>
          <w:szCs w:val="21"/>
        </w:rPr>
        <w:t>1</w:t>
      </w:r>
      <w:r>
        <w:rPr>
          <w:rFonts w:ascii="Arial" w:hAnsi="Arial" w:cs="Arial"/>
          <w:sz w:val="21"/>
          <w:szCs w:val="21"/>
        </w:rPr>
        <w:t>87</w:t>
      </w:r>
      <w:r>
        <w:rPr>
          <w:rFonts w:ascii="Arial" w:hAnsi="Arial" w:cs="Arial" w:hint="eastAsia"/>
          <w:sz w:val="21"/>
          <w:szCs w:val="21"/>
        </w:rPr>
        <w:t>路等十余条公交线路，距离地铁亦庄</w:t>
      </w:r>
      <w:r>
        <w:rPr>
          <w:rFonts w:ascii="Arial" w:hAnsi="Arial" w:cs="Arial" w:hint="eastAsia"/>
          <w:sz w:val="21"/>
          <w:szCs w:val="21"/>
        </w:rPr>
        <w:t>T1</w:t>
      </w:r>
      <w:r>
        <w:rPr>
          <w:rFonts w:ascii="Arial" w:hAnsi="Arial" w:cs="Arial" w:hint="eastAsia"/>
          <w:sz w:val="21"/>
          <w:szCs w:val="21"/>
        </w:rPr>
        <w:t>线（九号村站）约</w:t>
      </w:r>
      <w:r>
        <w:rPr>
          <w:rFonts w:ascii="Arial" w:hAnsi="Arial" w:cs="Arial"/>
          <w:sz w:val="21"/>
          <w:szCs w:val="21"/>
        </w:rPr>
        <w:t>700</w:t>
      </w:r>
      <w:r>
        <w:rPr>
          <w:rFonts w:ascii="Arial" w:hAnsi="Arial" w:cs="Arial" w:hint="eastAsia"/>
          <w:sz w:val="21"/>
          <w:szCs w:val="21"/>
        </w:rPr>
        <w:t>米，</w:t>
      </w:r>
      <w:r>
        <w:rPr>
          <w:rFonts w:ascii="Arial" w:hAnsi="Arial" w:cs="Arial" w:hint="eastAsia"/>
          <w:kern w:val="2"/>
          <w:sz w:val="21"/>
          <w:szCs w:val="21"/>
        </w:rPr>
        <w:t>道路通达度较好，</w:t>
      </w:r>
      <w:r>
        <w:rPr>
          <w:rFonts w:ascii="Arial" w:hAnsi="Arial" w:cs="Arial" w:hint="eastAsia"/>
          <w:sz w:val="21"/>
          <w:szCs w:val="21"/>
        </w:rPr>
        <w:t>综合评价交通便捷度较好</w:t>
      </w:r>
      <w:r>
        <w:rPr>
          <w:rFonts w:ascii="Arial" w:hAnsi="Arial" w:cs="Arial" w:hint="eastAsia"/>
          <w:kern w:val="2"/>
          <w:sz w:val="21"/>
          <w:szCs w:val="21"/>
        </w:rPr>
        <w:t>。</w:t>
      </w:r>
    </w:p>
    <w:p w14:paraId="19DB6746" w14:textId="77777777" w:rsidR="00000000" w:rsidRDefault="00000000">
      <w:pPr>
        <w:spacing w:line="480" w:lineRule="auto"/>
        <w:ind w:firstLineChars="200" w:firstLine="420"/>
        <w:jc w:val="both"/>
        <w:rPr>
          <w:rFonts w:ascii="Arial" w:hAnsi="Arial" w:cs="Arial" w:hint="eastAsia"/>
          <w:sz w:val="21"/>
          <w:szCs w:val="21"/>
        </w:rPr>
      </w:pPr>
      <w:r>
        <w:rPr>
          <w:rFonts w:ascii="Arial" w:hAnsi="Arial" w:cs="Arial"/>
          <w:sz w:val="21"/>
          <w:szCs w:val="21"/>
        </w:rPr>
        <w:t>4.</w:t>
      </w:r>
      <w:r>
        <w:rPr>
          <w:rFonts w:ascii="Arial" w:hAnsi="Arial" w:cs="Arial" w:hint="eastAsia"/>
          <w:sz w:val="21"/>
          <w:szCs w:val="21"/>
        </w:rPr>
        <w:t>商业设施</w:t>
      </w:r>
    </w:p>
    <w:p w14:paraId="11159E9B" w14:textId="77777777" w:rsidR="00000000" w:rsidRDefault="00000000">
      <w:pPr>
        <w:spacing w:line="480" w:lineRule="auto"/>
        <w:ind w:firstLineChars="200" w:firstLine="420"/>
        <w:jc w:val="both"/>
        <w:rPr>
          <w:rFonts w:ascii="Arial" w:hAnsi="Arial" w:cs="Arial" w:hint="eastAsia"/>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Pr>
          <w:rFonts w:ascii="Arial" w:hAnsi="Arial" w:cs="Arial" w:hint="eastAsia"/>
          <w:kern w:val="2"/>
          <w:sz w:val="21"/>
          <w:szCs w:val="21"/>
        </w:rPr>
        <w:t>X13</w:t>
      </w:r>
      <w:r>
        <w:rPr>
          <w:rFonts w:ascii="Arial" w:hAnsi="Arial" w:cs="Arial" w:hint="eastAsia"/>
          <w:kern w:val="2"/>
          <w:sz w:val="21"/>
          <w:szCs w:val="21"/>
        </w:rPr>
        <w:t>海棠苑项目位于北京经济技术开发区，周边有临街商铺等，商业设施</w:t>
      </w:r>
      <w:r>
        <w:rPr>
          <w:rFonts w:ascii="Arial" w:hAnsi="Arial" w:cs="Arial" w:hint="eastAsia"/>
          <w:sz w:val="21"/>
          <w:szCs w:val="21"/>
        </w:rPr>
        <w:t>以小区配套为主，且数量一般，综合评价商业设施</w:t>
      </w:r>
      <w:r>
        <w:rPr>
          <w:rFonts w:ascii="Arial" w:hAnsi="Arial" w:cs="Arial" w:hint="eastAsia"/>
          <w:kern w:val="2"/>
          <w:sz w:val="21"/>
          <w:szCs w:val="21"/>
        </w:rPr>
        <w:t>一般。</w:t>
      </w:r>
    </w:p>
    <w:p w14:paraId="0572604D" w14:textId="77777777" w:rsidR="00000000" w:rsidRDefault="00000000">
      <w:pPr>
        <w:spacing w:line="480" w:lineRule="auto"/>
        <w:ind w:firstLineChars="200" w:firstLine="420"/>
        <w:jc w:val="both"/>
        <w:rPr>
          <w:rFonts w:ascii="Arial" w:hAnsi="Arial" w:cs="Arial" w:hint="eastAsia"/>
          <w:sz w:val="21"/>
          <w:szCs w:val="21"/>
        </w:rPr>
      </w:pPr>
      <w:r>
        <w:rPr>
          <w:rFonts w:ascii="Arial" w:hAnsi="Arial" w:cs="Arial" w:hint="eastAsia"/>
          <w:sz w:val="21"/>
          <w:szCs w:val="21"/>
        </w:rPr>
        <w:lastRenderedPageBreak/>
        <w:t>（</w:t>
      </w:r>
      <w:r>
        <w:rPr>
          <w:rFonts w:ascii="Arial" w:hAnsi="Arial" w:cs="Arial" w:hint="eastAsia"/>
          <w:sz w:val="21"/>
          <w:szCs w:val="21"/>
        </w:rPr>
        <w:t>2</w:t>
      </w:r>
      <w:r>
        <w:rPr>
          <w:rFonts w:ascii="Arial" w:hAnsi="Arial" w:cs="Arial" w:hint="eastAsia"/>
          <w:sz w:val="21"/>
          <w:szCs w:val="21"/>
        </w:rPr>
        <w:t>）</w:t>
      </w:r>
      <w:r>
        <w:rPr>
          <w:rFonts w:ascii="Arial" w:hAnsi="Arial" w:cs="Arial" w:hint="eastAsia"/>
          <w:kern w:val="2"/>
          <w:sz w:val="21"/>
          <w:szCs w:val="21"/>
        </w:rPr>
        <w:t>X38</w:t>
      </w:r>
      <w:r>
        <w:rPr>
          <w:rFonts w:ascii="Arial" w:hAnsi="Arial" w:cs="Arial" w:hint="eastAsia"/>
          <w:kern w:val="2"/>
          <w:sz w:val="21"/>
          <w:szCs w:val="21"/>
        </w:rPr>
        <w:t>鹿海园五里项目位于北京经济技术开发区，周边有临街商铺等，商业设施</w:t>
      </w:r>
      <w:r>
        <w:rPr>
          <w:rFonts w:ascii="Arial" w:hAnsi="Arial" w:cs="Arial" w:hint="eastAsia"/>
          <w:sz w:val="21"/>
          <w:szCs w:val="21"/>
        </w:rPr>
        <w:t>以小区配套为主，且数量一般，综合评价商业设施</w:t>
      </w:r>
      <w:r>
        <w:rPr>
          <w:rFonts w:ascii="Arial" w:hAnsi="Arial" w:cs="Arial" w:hint="eastAsia"/>
          <w:kern w:val="2"/>
          <w:sz w:val="21"/>
          <w:szCs w:val="21"/>
        </w:rPr>
        <w:t>一般。</w:t>
      </w:r>
    </w:p>
    <w:p w14:paraId="0FE52219" w14:textId="77777777" w:rsidR="00000000" w:rsidRDefault="00000000">
      <w:pPr>
        <w:spacing w:line="480" w:lineRule="auto"/>
        <w:ind w:firstLineChars="200" w:firstLine="420"/>
        <w:jc w:val="both"/>
        <w:rPr>
          <w:rFonts w:ascii="Arial" w:hAnsi="Arial" w:cs="Arial" w:hint="eastAsia"/>
          <w:color w:val="000000"/>
          <w:sz w:val="21"/>
          <w:szCs w:val="21"/>
        </w:rPr>
      </w:pPr>
      <w:r>
        <w:rPr>
          <w:rFonts w:ascii="Arial" w:hAnsi="Arial" w:cs="Arial" w:hint="eastAsia"/>
          <w:sz w:val="21"/>
          <w:szCs w:val="21"/>
        </w:rPr>
        <w:t>5.</w:t>
      </w:r>
      <w:r>
        <w:rPr>
          <w:rFonts w:ascii="Arial" w:hAnsi="Arial" w:cs="Arial"/>
          <w:color w:val="000000"/>
          <w:sz w:val="21"/>
          <w:szCs w:val="21"/>
        </w:rPr>
        <w:t>环境状况</w:t>
      </w:r>
    </w:p>
    <w:p w14:paraId="6459CE6E" w14:textId="77777777" w:rsidR="00000000" w:rsidRDefault="00000000">
      <w:pPr>
        <w:spacing w:line="480" w:lineRule="auto"/>
        <w:ind w:firstLineChars="200" w:firstLine="420"/>
        <w:jc w:val="both"/>
        <w:rPr>
          <w:rFonts w:ascii="Arial" w:hAnsi="Arial" w:cs="Arial" w:hint="eastAsia"/>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Pr>
          <w:rFonts w:ascii="Arial" w:hAnsi="Arial" w:cs="Arial" w:hint="eastAsia"/>
          <w:kern w:val="2"/>
          <w:sz w:val="21"/>
          <w:szCs w:val="21"/>
        </w:rPr>
        <w:t>X13</w:t>
      </w:r>
      <w:r>
        <w:rPr>
          <w:rFonts w:ascii="Arial" w:hAnsi="Arial" w:cs="Arial" w:hint="eastAsia"/>
          <w:kern w:val="2"/>
          <w:sz w:val="21"/>
          <w:szCs w:val="21"/>
        </w:rPr>
        <w:t>海棠苑项目周边有</w:t>
      </w:r>
      <w:r>
        <w:rPr>
          <w:rFonts w:ascii="Arial" w:hAnsi="Arial" w:cs="Arial" w:hint="eastAsia"/>
          <w:sz w:val="21"/>
          <w:szCs w:val="21"/>
        </w:rPr>
        <w:t>南海子公园、亦庄新城滨河公园、凉水河、体育公园等，周边无高等教育学校或博物馆等人文景观，综合评价环境状况一般。</w:t>
      </w:r>
    </w:p>
    <w:p w14:paraId="64513863" w14:textId="77777777" w:rsidR="00000000" w:rsidRDefault="00000000">
      <w:pPr>
        <w:spacing w:line="480" w:lineRule="auto"/>
        <w:ind w:firstLineChars="200" w:firstLine="420"/>
        <w:jc w:val="both"/>
        <w:rPr>
          <w:rFonts w:ascii="Arial" w:hAnsi="Arial" w:cs="Arial" w:hint="eastAsia"/>
          <w:kern w:val="2"/>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hint="eastAsia"/>
          <w:kern w:val="2"/>
          <w:sz w:val="21"/>
          <w:szCs w:val="21"/>
        </w:rPr>
        <w:t>X38</w:t>
      </w:r>
      <w:r>
        <w:rPr>
          <w:rFonts w:ascii="Arial" w:hAnsi="Arial" w:cs="Arial" w:hint="eastAsia"/>
          <w:kern w:val="2"/>
          <w:sz w:val="21"/>
          <w:szCs w:val="21"/>
        </w:rPr>
        <w:t>鹿海园五里项目周边有</w:t>
      </w:r>
      <w:r>
        <w:rPr>
          <w:rFonts w:ascii="Arial" w:hAnsi="Arial" w:cs="Arial" w:hint="eastAsia"/>
          <w:sz w:val="21"/>
          <w:szCs w:val="21"/>
        </w:rPr>
        <w:t>南海子公园、亦庄新城滨河公园、凉水河、体育公园等，周边无高等教育学校或博物馆等人文景观，综合评价环境状况一般。</w:t>
      </w:r>
    </w:p>
    <w:p w14:paraId="1AED136C" w14:textId="77777777" w:rsidR="00000000" w:rsidRDefault="00000000">
      <w:pPr>
        <w:spacing w:line="480" w:lineRule="auto"/>
        <w:ind w:firstLineChars="200" w:firstLine="420"/>
        <w:jc w:val="both"/>
        <w:rPr>
          <w:rFonts w:ascii="Arial" w:hAnsi="Arial" w:cs="Arial"/>
          <w:i/>
          <w:color w:val="548DD4"/>
          <w:sz w:val="21"/>
          <w:szCs w:val="21"/>
        </w:rPr>
      </w:pPr>
      <w:r>
        <w:rPr>
          <w:rFonts w:ascii="Arial" w:hAnsi="Arial" w:cs="Arial" w:hint="eastAsia"/>
          <w:sz w:val="21"/>
          <w:szCs w:val="21"/>
        </w:rPr>
        <w:t>6.</w:t>
      </w:r>
      <w:r>
        <w:rPr>
          <w:rFonts w:ascii="Arial" w:hAnsi="Arial" w:cs="Arial"/>
          <w:sz w:val="21"/>
          <w:szCs w:val="21"/>
        </w:rPr>
        <w:t>外部配套设施状况</w:t>
      </w:r>
    </w:p>
    <w:p w14:paraId="140EC777" w14:textId="77777777" w:rsidR="00000000" w:rsidRDefault="00000000">
      <w:pPr>
        <w:spacing w:line="480" w:lineRule="auto"/>
        <w:ind w:firstLineChars="200" w:firstLine="420"/>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Pr>
          <w:rFonts w:ascii="Arial" w:hAnsi="Arial" w:cs="Arial" w:hint="eastAsia"/>
          <w:kern w:val="2"/>
          <w:sz w:val="21"/>
          <w:szCs w:val="21"/>
        </w:rPr>
        <w:t>X13</w:t>
      </w:r>
      <w:r>
        <w:rPr>
          <w:rFonts w:ascii="Arial" w:hAnsi="Arial" w:cs="Arial" w:hint="eastAsia"/>
          <w:kern w:val="2"/>
          <w:sz w:val="21"/>
          <w:szCs w:val="21"/>
        </w:rPr>
        <w:t>海棠苑项目</w:t>
      </w:r>
      <w:r>
        <w:rPr>
          <w:rFonts w:ascii="Arial" w:hAnsi="Arial" w:cs="Arial"/>
          <w:sz w:val="21"/>
          <w:szCs w:val="21"/>
        </w:rPr>
        <w:t>所处区域目前已拥有完善的基础设施配套保障，区内大部分区域基础设施配套目前可达到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w:t>
      </w:r>
      <w:r>
        <w:rPr>
          <w:rFonts w:ascii="Arial" w:hAnsi="Arial" w:cs="Arial"/>
          <w:sz w:val="21"/>
          <w:szCs w:val="21"/>
        </w:rPr>
        <w:t>（通路、通电、通讯、供水、排水</w:t>
      </w:r>
      <w:r>
        <w:rPr>
          <w:rFonts w:ascii="Arial" w:hAnsi="Arial" w:cs="Arial" w:hint="eastAsia"/>
          <w:sz w:val="21"/>
          <w:szCs w:val="21"/>
        </w:rPr>
        <w:t>、通暖、通燃气</w:t>
      </w:r>
      <w:r>
        <w:rPr>
          <w:rFonts w:ascii="Arial" w:hAnsi="Arial" w:cs="Arial"/>
          <w:sz w:val="21"/>
          <w:szCs w:val="21"/>
        </w:rPr>
        <w:t>）条件，且保证程度高。</w:t>
      </w:r>
    </w:p>
    <w:p w14:paraId="1606E0AC" w14:textId="77777777" w:rsidR="00000000" w:rsidRDefault="00000000">
      <w:pPr>
        <w:spacing w:line="480" w:lineRule="auto"/>
        <w:ind w:firstLineChars="200" w:firstLine="420"/>
        <w:jc w:val="both"/>
        <w:rPr>
          <w:rFonts w:ascii="Arial" w:hAnsi="Arial" w:cs="Arial" w:hint="eastAsia"/>
          <w:sz w:val="21"/>
          <w:szCs w:val="21"/>
        </w:rPr>
      </w:pPr>
      <w:bookmarkStart w:id="44" w:name="_Toc525655434"/>
      <w:r>
        <w:rPr>
          <w:rFonts w:ascii="Arial" w:hAnsi="Arial" w:cs="Arial" w:hint="eastAsia"/>
          <w:kern w:val="2"/>
          <w:sz w:val="21"/>
          <w:szCs w:val="21"/>
        </w:rPr>
        <w:t>X13</w:t>
      </w:r>
      <w:r>
        <w:rPr>
          <w:rFonts w:ascii="Arial" w:hAnsi="Arial" w:cs="Arial" w:hint="eastAsia"/>
          <w:kern w:val="2"/>
          <w:sz w:val="21"/>
          <w:szCs w:val="21"/>
        </w:rPr>
        <w:t>海棠苑项目</w:t>
      </w:r>
      <w:r>
        <w:rPr>
          <w:rFonts w:ascii="Arial" w:hAnsi="Arial" w:cs="Arial" w:hint="eastAsia"/>
          <w:sz w:val="21"/>
          <w:szCs w:val="21"/>
        </w:rPr>
        <w:t>周边</w:t>
      </w:r>
      <w:r>
        <w:rPr>
          <w:rFonts w:ascii="Arial" w:hAnsi="Arial" w:cs="Arial" w:hint="eastAsia"/>
          <w:sz w:val="21"/>
          <w:szCs w:val="21"/>
        </w:rPr>
        <w:t>2</w:t>
      </w:r>
      <w:r>
        <w:rPr>
          <w:rFonts w:ascii="Arial" w:hAnsi="Arial" w:cs="Arial" w:hint="eastAsia"/>
          <w:sz w:val="21"/>
          <w:szCs w:val="21"/>
        </w:rPr>
        <w:t>公里范围内有北京农村商业银行、中国建设银行等金融机构；北京瑞海喜盛超市、物美超市等商服设施；周边有中芯学校、亦庄实验中学、亦庄实验小校、亦庄第二中心小学等教育机构；有北京中医药大学东方医院等医疗机构设施。公共配套设施较齐全。</w:t>
      </w:r>
    </w:p>
    <w:p w14:paraId="20E5E20E" w14:textId="77777777" w:rsidR="00000000" w:rsidRDefault="00000000">
      <w:pPr>
        <w:spacing w:line="480" w:lineRule="auto"/>
        <w:ind w:firstLineChars="200" w:firstLine="420"/>
        <w:jc w:val="both"/>
        <w:rPr>
          <w:rFonts w:ascii="Arial" w:hAnsi="Arial" w:cs="Arial" w:hint="eastAsia"/>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hint="eastAsia"/>
          <w:kern w:val="2"/>
          <w:sz w:val="21"/>
          <w:szCs w:val="21"/>
        </w:rPr>
        <w:t>X38</w:t>
      </w:r>
      <w:r>
        <w:rPr>
          <w:rFonts w:ascii="Arial" w:hAnsi="Arial" w:cs="Arial" w:hint="eastAsia"/>
          <w:kern w:val="2"/>
          <w:sz w:val="21"/>
          <w:szCs w:val="21"/>
        </w:rPr>
        <w:t>鹿海园五里项目</w:t>
      </w:r>
      <w:r>
        <w:rPr>
          <w:rFonts w:ascii="Arial" w:hAnsi="Arial" w:cs="Arial"/>
          <w:sz w:val="21"/>
          <w:szCs w:val="21"/>
        </w:rPr>
        <w:t>所处区域目前已拥有完善的基础设施配套保障，区内大部分区域基础设施配套目前可达到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w:t>
      </w:r>
      <w:r>
        <w:rPr>
          <w:rFonts w:ascii="Arial" w:hAnsi="Arial" w:cs="Arial"/>
          <w:sz w:val="21"/>
          <w:szCs w:val="21"/>
        </w:rPr>
        <w:t>（通路、通电、通讯、供水、排水</w:t>
      </w:r>
      <w:r>
        <w:rPr>
          <w:rFonts w:ascii="Arial" w:hAnsi="Arial" w:cs="Arial" w:hint="eastAsia"/>
          <w:sz w:val="21"/>
          <w:szCs w:val="21"/>
        </w:rPr>
        <w:t>、通暖、通燃气</w:t>
      </w:r>
      <w:r>
        <w:rPr>
          <w:rFonts w:ascii="Arial" w:hAnsi="Arial" w:cs="Arial"/>
          <w:sz w:val="21"/>
          <w:szCs w:val="21"/>
        </w:rPr>
        <w:t>）条件，且保证程度高。</w:t>
      </w:r>
    </w:p>
    <w:p w14:paraId="2E1DF613" w14:textId="77777777" w:rsidR="00000000" w:rsidRDefault="00000000">
      <w:pPr>
        <w:spacing w:line="480" w:lineRule="auto"/>
        <w:ind w:firstLineChars="200" w:firstLine="420"/>
        <w:jc w:val="both"/>
        <w:rPr>
          <w:rFonts w:ascii="Arial" w:hAnsi="Arial" w:cs="Arial" w:hint="eastAsia"/>
          <w:kern w:val="2"/>
          <w:sz w:val="21"/>
          <w:szCs w:val="21"/>
        </w:rPr>
      </w:pPr>
      <w:r>
        <w:rPr>
          <w:rFonts w:ascii="Arial" w:hAnsi="Arial" w:cs="Arial" w:hint="eastAsia"/>
          <w:kern w:val="2"/>
          <w:sz w:val="21"/>
          <w:szCs w:val="21"/>
        </w:rPr>
        <w:t>X38</w:t>
      </w:r>
      <w:r>
        <w:rPr>
          <w:rFonts w:ascii="Arial" w:hAnsi="Arial" w:cs="Arial" w:hint="eastAsia"/>
          <w:kern w:val="2"/>
          <w:sz w:val="21"/>
          <w:szCs w:val="21"/>
        </w:rPr>
        <w:t>鹿海园五里项目</w:t>
      </w:r>
      <w:r>
        <w:rPr>
          <w:rFonts w:ascii="Arial" w:hAnsi="Arial" w:cs="Arial" w:hint="eastAsia"/>
          <w:sz w:val="21"/>
          <w:szCs w:val="21"/>
        </w:rPr>
        <w:t>周边</w:t>
      </w:r>
      <w:r>
        <w:rPr>
          <w:rFonts w:ascii="Arial" w:hAnsi="Arial" w:cs="Arial" w:hint="eastAsia"/>
          <w:sz w:val="21"/>
          <w:szCs w:val="21"/>
        </w:rPr>
        <w:t>2</w:t>
      </w:r>
      <w:r>
        <w:rPr>
          <w:rFonts w:ascii="Arial" w:hAnsi="Arial" w:cs="Arial" w:hint="eastAsia"/>
          <w:sz w:val="21"/>
          <w:szCs w:val="21"/>
        </w:rPr>
        <w:t>公里范围内有北京农村商业银行、中国建设银行等金融机构；北京瑞海喜盛超市、物美超市等商服设施；周边有中芯学校、亦庄实验中学、亦庄实验小校、亦庄第二中心小学等教育机构；有北京中医药大学东方医院等医疗机构设施。公共配套设施较齐全。</w:t>
      </w:r>
    </w:p>
    <w:p w14:paraId="4E75F937" w14:textId="77777777" w:rsidR="00000000" w:rsidRDefault="00000000">
      <w:pPr>
        <w:spacing w:line="480" w:lineRule="auto"/>
        <w:ind w:firstLineChars="200" w:firstLine="420"/>
        <w:jc w:val="both"/>
        <w:rPr>
          <w:rFonts w:ascii="Arial" w:hAnsi="Arial" w:cs="Arial" w:hint="eastAsia"/>
          <w:sz w:val="21"/>
          <w:szCs w:val="21"/>
        </w:rPr>
      </w:pPr>
      <w:r>
        <w:rPr>
          <w:rFonts w:ascii="Arial" w:hAnsi="Arial" w:cs="Arial" w:hint="eastAsia"/>
          <w:sz w:val="21"/>
          <w:szCs w:val="21"/>
        </w:rPr>
        <w:t>6.</w:t>
      </w:r>
      <w:r>
        <w:rPr>
          <w:rFonts w:ascii="Arial" w:hAnsi="Arial" w:cs="Arial" w:hint="eastAsia"/>
          <w:sz w:val="21"/>
          <w:szCs w:val="21"/>
        </w:rPr>
        <w:t>总体评价</w:t>
      </w:r>
    </w:p>
    <w:p w14:paraId="1EE6834E" w14:textId="77777777" w:rsidR="00000000" w:rsidRDefault="00000000">
      <w:pPr>
        <w:spacing w:line="480" w:lineRule="auto"/>
        <w:ind w:firstLineChars="200" w:firstLine="420"/>
        <w:jc w:val="both"/>
        <w:rPr>
          <w:rFonts w:ascii="Arial" w:hAnsi="Arial" w:cs="Arial" w:hint="eastAsia"/>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综上，</w:t>
      </w:r>
      <w:r>
        <w:rPr>
          <w:rFonts w:ascii="Arial" w:hAnsi="Arial" w:cs="Arial" w:hint="eastAsia"/>
          <w:kern w:val="2"/>
          <w:sz w:val="21"/>
          <w:szCs w:val="21"/>
        </w:rPr>
        <w:t>X13</w:t>
      </w:r>
      <w:r>
        <w:rPr>
          <w:rFonts w:ascii="Arial" w:hAnsi="Arial" w:cs="Arial" w:hint="eastAsia"/>
          <w:kern w:val="2"/>
          <w:sz w:val="21"/>
          <w:szCs w:val="21"/>
        </w:rPr>
        <w:t>海棠苑项目</w:t>
      </w:r>
      <w:r>
        <w:rPr>
          <w:rFonts w:ascii="Arial" w:hAnsi="Arial" w:cs="Arial" w:hint="eastAsia"/>
          <w:sz w:val="21"/>
          <w:szCs w:val="21"/>
        </w:rPr>
        <w:t>地理位置状况较好，居住社区成熟度较好，交通便捷度较好，商业设施一般，环境状况一般</w:t>
      </w:r>
      <w:r>
        <w:rPr>
          <w:rFonts w:ascii="Arial" w:hAnsi="Arial" w:cs="Arial"/>
          <w:sz w:val="21"/>
          <w:szCs w:val="21"/>
        </w:rPr>
        <w:t>，区内大部分区域基础设施配套目前可达到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”，公共配套设施状况较齐全。</w:t>
      </w:r>
      <w:r>
        <w:rPr>
          <w:rFonts w:ascii="Arial" w:hAnsi="Arial" w:cs="Arial"/>
          <w:sz w:val="21"/>
          <w:szCs w:val="21"/>
        </w:rPr>
        <w:t>区域规划</w:t>
      </w:r>
      <w:r>
        <w:rPr>
          <w:rFonts w:ascii="Arial" w:hAnsi="Arial" w:cs="Arial" w:hint="eastAsia"/>
          <w:sz w:val="21"/>
          <w:szCs w:val="21"/>
        </w:rPr>
        <w:t>无特殊限制</w:t>
      </w:r>
      <w:r>
        <w:rPr>
          <w:rFonts w:ascii="Arial" w:hAnsi="Arial" w:cs="Arial"/>
          <w:sz w:val="21"/>
          <w:szCs w:val="21"/>
        </w:rPr>
        <w:t>。</w:t>
      </w:r>
      <w:bookmarkEnd w:id="44"/>
      <w:r>
        <w:rPr>
          <w:rFonts w:ascii="Arial" w:hAnsi="Arial" w:cs="Arial"/>
          <w:sz w:val="21"/>
          <w:szCs w:val="21"/>
        </w:rPr>
        <w:t>总体评价影响估价对象的</w:t>
      </w:r>
      <w:r>
        <w:rPr>
          <w:rFonts w:ascii="Arial" w:hAnsi="Arial" w:cs="Arial" w:hint="eastAsia"/>
          <w:sz w:val="21"/>
          <w:szCs w:val="21"/>
        </w:rPr>
        <w:t>区位条件较好</w:t>
      </w:r>
      <w:r>
        <w:rPr>
          <w:rFonts w:ascii="Arial" w:hAnsi="Arial" w:cs="Arial"/>
          <w:sz w:val="21"/>
          <w:szCs w:val="21"/>
        </w:rPr>
        <w:t>。</w:t>
      </w:r>
    </w:p>
    <w:p w14:paraId="0C481664" w14:textId="77777777" w:rsidR="00000000" w:rsidRDefault="00000000">
      <w:pPr>
        <w:spacing w:line="480" w:lineRule="auto"/>
        <w:ind w:firstLineChars="200" w:firstLine="420"/>
        <w:jc w:val="both"/>
        <w:rPr>
          <w:rFonts w:ascii="Arial" w:hAnsi="Arial" w:cs="Arial" w:hint="eastAsia"/>
          <w:kern w:val="2"/>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sz w:val="21"/>
          <w:szCs w:val="21"/>
        </w:rPr>
        <w:t>综上，</w:t>
      </w:r>
      <w:r>
        <w:rPr>
          <w:rFonts w:ascii="Arial" w:hAnsi="Arial" w:cs="Arial" w:hint="eastAsia"/>
          <w:kern w:val="2"/>
          <w:sz w:val="21"/>
          <w:szCs w:val="21"/>
        </w:rPr>
        <w:t>X38</w:t>
      </w:r>
      <w:r>
        <w:rPr>
          <w:rFonts w:ascii="Arial" w:hAnsi="Arial" w:cs="Arial" w:hint="eastAsia"/>
          <w:kern w:val="2"/>
          <w:sz w:val="21"/>
          <w:szCs w:val="21"/>
        </w:rPr>
        <w:t>鹿海园五里项目</w:t>
      </w:r>
      <w:r>
        <w:rPr>
          <w:rFonts w:ascii="Arial" w:hAnsi="Arial" w:cs="Arial" w:hint="eastAsia"/>
          <w:sz w:val="21"/>
          <w:szCs w:val="21"/>
        </w:rPr>
        <w:t>地理位置状况较好，居住社区成熟度较好，交通便捷度较好，商业设施一般，环境状况一般</w:t>
      </w:r>
      <w:r>
        <w:rPr>
          <w:rFonts w:ascii="Arial" w:hAnsi="Arial" w:cs="Arial"/>
          <w:sz w:val="21"/>
          <w:szCs w:val="21"/>
        </w:rPr>
        <w:t>，区内大部分区域基础设施配套目前可达到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”，公共配套设施状况较齐全。</w:t>
      </w:r>
      <w:r>
        <w:rPr>
          <w:rFonts w:ascii="Arial" w:hAnsi="Arial" w:cs="Arial"/>
          <w:sz w:val="21"/>
          <w:szCs w:val="21"/>
        </w:rPr>
        <w:t>区域规划</w:t>
      </w:r>
      <w:r>
        <w:rPr>
          <w:rFonts w:ascii="Arial" w:hAnsi="Arial" w:cs="Arial" w:hint="eastAsia"/>
          <w:sz w:val="21"/>
          <w:szCs w:val="21"/>
        </w:rPr>
        <w:t>无特殊限制</w:t>
      </w:r>
      <w:r>
        <w:rPr>
          <w:rFonts w:ascii="Arial" w:hAnsi="Arial" w:cs="Arial"/>
          <w:sz w:val="21"/>
          <w:szCs w:val="21"/>
        </w:rPr>
        <w:t>。总体评价影响估价对象的</w:t>
      </w:r>
      <w:r>
        <w:rPr>
          <w:rFonts w:ascii="Arial" w:hAnsi="Arial" w:cs="Arial" w:hint="eastAsia"/>
          <w:sz w:val="21"/>
          <w:szCs w:val="21"/>
        </w:rPr>
        <w:t>区位条件较好</w:t>
      </w:r>
      <w:r>
        <w:rPr>
          <w:rFonts w:ascii="Arial" w:hAnsi="Arial" w:cs="Arial"/>
          <w:sz w:val="21"/>
          <w:szCs w:val="21"/>
        </w:rPr>
        <w:t>。</w:t>
      </w:r>
    </w:p>
    <w:p w14:paraId="448F9FA4" w14:textId="77777777" w:rsidR="00000000" w:rsidRDefault="00000000">
      <w:pPr>
        <w:pStyle w:val="2"/>
        <w:numPr>
          <w:ilvl w:val="0"/>
          <w:numId w:val="0"/>
        </w:numPr>
        <w:tabs>
          <w:tab w:val="left" w:pos="360"/>
        </w:tabs>
        <w:spacing w:line="480" w:lineRule="auto"/>
        <w:ind w:left="360" w:hangingChars="171" w:hanging="360"/>
        <w:jc w:val="both"/>
        <w:rPr>
          <w:rFonts w:eastAsia="宋体"/>
          <w:kern w:val="2"/>
          <w:sz w:val="21"/>
          <w:szCs w:val="21"/>
        </w:rPr>
      </w:pPr>
      <w:bookmarkStart w:id="45" w:name="_Toc17437"/>
      <w:r>
        <w:rPr>
          <w:rFonts w:eastAsia="宋体"/>
          <w:kern w:val="2"/>
          <w:sz w:val="21"/>
          <w:szCs w:val="21"/>
        </w:rPr>
        <w:lastRenderedPageBreak/>
        <w:t>（</w:t>
      </w:r>
      <w:r>
        <w:rPr>
          <w:rFonts w:eastAsia="宋体" w:hint="eastAsia"/>
          <w:kern w:val="2"/>
          <w:sz w:val="21"/>
          <w:szCs w:val="21"/>
        </w:rPr>
        <w:t>二</w:t>
      </w:r>
      <w:r>
        <w:rPr>
          <w:rFonts w:eastAsia="宋体"/>
          <w:kern w:val="2"/>
          <w:sz w:val="21"/>
          <w:szCs w:val="21"/>
        </w:rPr>
        <w:t>）实物状况分析</w:t>
      </w:r>
      <w:bookmarkEnd w:id="45"/>
    </w:p>
    <w:p w14:paraId="54EC41F3" w14:textId="77777777" w:rsidR="00000000" w:rsidRDefault="00000000">
      <w:pPr>
        <w:overflowPunct w:val="0"/>
        <w:spacing w:line="480" w:lineRule="auto"/>
        <w:ind w:firstLineChars="200" w:firstLine="420"/>
        <w:jc w:val="both"/>
        <w:textAlignment w:val="auto"/>
        <w:rPr>
          <w:rFonts w:ascii="Arial" w:hAnsi="Arial" w:cs="Arial" w:hint="eastAsia"/>
          <w:kern w:val="2"/>
          <w:sz w:val="21"/>
          <w:szCs w:val="21"/>
        </w:rPr>
      </w:pPr>
      <w:r>
        <w:rPr>
          <w:rFonts w:ascii="Arial" w:hAnsi="Arial" w:cs="Arial"/>
          <w:bCs/>
          <w:color w:val="000000"/>
          <w:sz w:val="21"/>
          <w:szCs w:val="21"/>
        </w:rPr>
        <w:t>估价对象</w:t>
      </w:r>
      <w:r>
        <w:rPr>
          <w:rFonts w:ascii="Arial" w:hAnsi="Arial" w:cs="Arial" w:hint="eastAsia"/>
          <w:bCs/>
          <w:color w:val="000000"/>
          <w:sz w:val="21"/>
          <w:szCs w:val="21"/>
        </w:rPr>
        <w:t>由</w:t>
      </w:r>
      <w:r>
        <w:rPr>
          <w:rFonts w:ascii="Arial" w:hAnsi="Arial" w:cs="Arial" w:hint="eastAsia"/>
          <w:kern w:val="2"/>
          <w:sz w:val="21"/>
          <w:szCs w:val="21"/>
        </w:rPr>
        <w:t>北京市北京经济技术开发区博兴九路</w:t>
      </w:r>
      <w:r>
        <w:rPr>
          <w:rFonts w:ascii="Arial" w:hAnsi="Arial" w:cs="Arial" w:hint="eastAsia"/>
          <w:kern w:val="2"/>
          <w:sz w:val="21"/>
          <w:szCs w:val="21"/>
        </w:rPr>
        <w:t>19</w:t>
      </w:r>
      <w:r>
        <w:rPr>
          <w:rFonts w:ascii="Arial" w:hAnsi="Arial" w:cs="Arial" w:hint="eastAsia"/>
          <w:kern w:val="2"/>
          <w:sz w:val="21"/>
          <w:szCs w:val="21"/>
        </w:rPr>
        <w:t>号院一区</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5</w:t>
      </w:r>
      <w:r>
        <w:rPr>
          <w:rFonts w:ascii="Arial" w:hAnsi="Arial" w:cs="Arial" w:hint="eastAsia"/>
          <w:kern w:val="2"/>
          <w:sz w:val="21"/>
          <w:szCs w:val="21"/>
        </w:rPr>
        <w:t>幢（</w:t>
      </w:r>
      <w:r>
        <w:rPr>
          <w:rFonts w:ascii="Arial" w:hAnsi="Arial" w:cs="Arial" w:hint="eastAsia"/>
          <w:kern w:val="2"/>
          <w:sz w:val="21"/>
          <w:szCs w:val="21"/>
        </w:rPr>
        <w:t>X13</w:t>
      </w:r>
      <w:r>
        <w:rPr>
          <w:rFonts w:ascii="Arial" w:hAnsi="Arial" w:cs="Arial" w:hint="eastAsia"/>
          <w:kern w:val="2"/>
          <w:sz w:val="21"/>
          <w:szCs w:val="21"/>
        </w:rPr>
        <w:t>海棠苑）共</w:t>
      </w:r>
      <w:r>
        <w:rPr>
          <w:rFonts w:ascii="Arial" w:hAnsi="Arial" w:cs="Arial" w:hint="eastAsia"/>
          <w:kern w:val="2"/>
          <w:sz w:val="21"/>
          <w:szCs w:val="21"/>
        </w:rPr>
        <w:t>1487</w:t>
      </w:r>
      <w:r>
        <w:rPr>
          <w:rFonts w:ascii="Arial" w:hAnsi="Arial" w:cs="Arial" w:hint="eastAsia"/>
          <w:kern w:val="2"/>
          <w:sz w:val="21"/>
          <w:szCs w:val="21"/>
        </w:rPr>
        <w:t>套、北京经济技术开发区鹿海园五里</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13</w:t>
      </w:r>
      <w:r>
        <w:rPr>
          <w:rFonts w:ascii="Arial" w:hAnsi="Arial" w:cs="Arial" w:hint="eastAsia"/>
          <w:kern w:val="2"/>
          <w:sz w:val="21"/>
          <w:szCs w:val="21"/>
        </w:rPr>
        <w:t>幢（</w:t>
      </w:r>
      <w:r>
        <w:rPr>
          <w:rFonts w:ascii="Arial" w:hAnsi="Arial" w:cs="Arial" w:hint="eastAsia"/>
          <w:kern w:val="2"/>
          <w:sz w:val="21"/>
          <w:szCs w:val="21"/>
        </w:rPr>
        <w:t>X38</w:t>
      </w:r>
      <w:r>
        <w:rPr>
          <w:rFonts w:ascii="Arial" w:hAnsi="Arial" w:cs="Arial" w:hint="eastAsia"/>
          <w:kern w:val="2"/>
          <w:sz w:val="21"/>
          <w:szCs w:val="21"/>
        </w:rPr>
        <w:t>鹿海园五里）共</w:t>
      </w:r>
      <w:r>
        <w:rPr>
          <w:rFonts w:ascii="Arial" w:hAnsi="Arial" w:cs="Arial" w:hint="eastAsia"/>
          <w:kern w:val="2"/>
          <w:sz w:val="21"/>
          <w:szCs w:val="21"/>
        </w:rPr>
        <w:t>1231</w:t>
      </w:r>
      <w:r>
        <w:rPr>
          <w:rFonts w:ascii="Arial" w:hAnsi="Arial" w:cs="Arial" w:hint="eastAsia"/>
          <w:kern w:val="2"/>
          <w:sz w:val="21"/>
          <w:szCs w:val="21"/>
        </w:rPr>
        <w:t>套组成，共</w:t>
      </w:r>
      <w:r>
        <w:rPr>
          <w:rFonts w:ascii="Arial" w:hAnsi="Arial" w:cs="Arial"/>
          <w:kern w:val="2"/>
          <w:sz w:val="21"/>
          <w:szCs w:val="21"/>
        </w:rPr>
        <w:t>2718</w:t>
      </w:r>
      <w:r>
        <w:rPr>
          <w:rFonts w:ascii="Arial" w:hAnsi="Arial" w:cs="Arial" w:hint="eastAsia"/>
          <w:kern w:val="2"/>
          <w:sz w:val="21"/>
          <w:szCs w:val="21"/>
        </w:rPr>
        <w:t>套公共租赁住房，总建筑面积</w:t>
      </w:r>
      <w:r>
        <w:rPr>
          <w:rFonts w:ascii="Arial" w:hAnsi="Arial" w:cs="Arial"/>
          <w:kern w:val="2"/>
          <w:sz w:val="21"/>
          <w:szCs w:val="21"/>
        </w:rPr>
        <w:t>202563.58</w:t>
      </w:r>
      <w:r>
        <w:rPr>
          <w:rFonts w:ascii="Arial" w:hAnsi="Arial" w:cs="Arial" w:hint="eastAsia"/>
          <w:kern w:val="2"/>
          <w:sz w:val="21"/>
          <w:szCs w:val="21"/>
        </w:rPr>
        <w:t>平方米。详见下表：</w:t>
      </w:r>
    </w:p>
    <w:tbl>
      <w:tblPr>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73"/>
        <w:gridCol w:w="1704"/>
        <w:gridCol w:w="3615"/>
        <w:gridCol w:w="1081"/>
        <w:gridCol w:w="2116"/>
      </w:tblGrid>
      <w:tr w:rsidR="00000000" w14:paraId="4ACC36B5" w14:textId="77777777">
        <w:trPr>
          <w:trHeight w:val="20"/>
          <w:jc w:val="center"/>
        </w:trPr>
        <w:tc>
          <w:tcPr>
            <w:tcW w:w="416" w:type="pct"/>
            <w:vAlign w:val="center"/>
          </w:tcPr>
          <w:p w14:paraId="06AAEC49" w14:textId="77777777" w:rsidR="00000000" w:rsidRDefault="00000000">
            <w:pPr>
              <w:overflowPunct w:val="0"/>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序号</w:t>
            </w:r>
          </w:p>
        </w:tc>
        <w:tc>
          <w:tcPr>
            <w:tcW w:w="917" w:type="pct"/>
            <w:vAlign w:val="center"/>
          </w:tcPr>
          <w:p w14:paraId="66375A4C" w14:textId="77777777" w:rsidR="00000000" w:rsidRDefault="00000000">
            <w:pPr>
              <w:overflowPunct w:val="0"/>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项目名称</w:t>
            </w:r>
          </w:p>
        </w:tc>
        <w:tc>
          <w:tcPr>
            <w:tcW w:w="1946" w:type="pct"/>
            <w:vAlign w:val="center"/>
          </w:tcPr>
          <w:p w14:paraId="74901522" w14:textId="77777777" w:rsidR="00000000" w:rsidRDefault="00000000">
            <w:pPr>
              <w:overflowPunct w:val="0"/>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坐落</w:t>
            </w:r>
          </w:p>
        </w:tc>
        <w:tc>
          <w:tcPr>
            <w:tcW w:w="582" w:type="pct"/>
            <w:vAlign w:val="center"/>
          </w:tcPr>
          <w:p w14:paraId="5687BF66" w14:textId="77777777" w:rsidR="00000000" w:rsidRDefault="00000000">
            <w:pPr>
              <w:overflowPunct w:val="0"/>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套数（套）</w:t>
            </w:r>
          </w:p>
        </w:tc>
        <w:tc>
          <w:tcPr>
            <w:tcW w:w="1139" w:type="pct"/>
            <w:vAlign w:val="center"/>
          </w:tcPr>
          <w:p w14:paraId="30C6843F" w14:textId="77777777" w:rsidR="00000000" w:rsidRDefault="00000000">
            <w:pPr>
              <w:overflowPunct w:val="0"/>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建筑面积（平方米）</w:t>
            </w:r>
          </w:p>
        </w:tc>
      </w:tr>
      <w:tr w:rsidR="00000000" w14:paraId="49B1F7E2" w14:textId="77777777">
        <w:trPr>
          <w:trHeight w:val="20"/>
          <w:jc w:val="center"/>
        </w:trPr>
        <w:tc>
          <w:tcPr>
            <w:tcW w:w="416" w:type="pct"/>
            <w:vAlign w:val="center"/>
          </w:tcPr>
          <w:p w14:paraId="175BA515" w14:textId="77777777" w:rsidR="00000000" w:rsidRDefault="00000000">
            <w:pPr>
              <w:overflowPunct w:val="0"/>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w:t>
            </w:r>
          </w:p>
        </w:tc>
        <w:tc>
          <w:tcPr>
            <w:tcW w:w="917" w:type="pct"/>
            <w:vAlign w:val="center"/>
          </w:tcPr>
          <w:p w14:paraId="31D8DC9D" w14:textId="77777777" w:rsidR="00000000" w:rsidRDefault="00000000">
            <w:pPr>
              <w:overflowPunct w:val="0"/>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X13海棠苑</w:t>
            </w:r>
          </w:p>
        </w:tc>
        <w:tc>
          <w:tcPr>
            <w:tcW w:w="1946" w:type="pct"/>
            <w:vAlign w:val="center"/>
          </w:tcPr>
          <w:p w14:paraId="67943F89" w14:textId="77777777" w:rsidR="00000000" w:rsidRDefault="00000000">
            <w:pPr>
              <w:overflowPunct w:val="0"/>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博兴九路19号院一区1号楼等5幢</w:t>
            </w:r>
          </w:p>
        </w:tc>
        <w:tc>
          <w:tcPr>
            <w:tcW w:w="582" w:type="pct"/>
            <w:vAlign w:val="center"/>
          </w:tcPr>
          <w:p w14:paraId="3D565611" w14:textId="77777777" w:rsidR="00000000" w:rsidRDefault="00000000">
            <w:pPr>
              <w:overflowPunct w:val="0"/>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kern w:val="2"/>
                <w:sz w:val="18"/>
                <w:szCs w:val="18"/>
              </w:rPr>
              <w:t>1487</w:t>
            </w:r>
          </w:p>
        </w:tc>
        <w:tc>
          <w:tcPr>
            <w:tcW w:w="1139" w:type="pct"/>
            <w:vAlign w:val="center"/>
          </w:tcPr>
          <w:p w14:paraId="3430A836" w14:textId="77777777" w:rsidR="00000000" w:rsidRDefault="00000000">
            <w:pPr>
              <w:overflowPunct w:val="0"/>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kern w:val="2"/>
                <w:sz w:val="18"/>
                <w:szCs w:val="18"/>
              </w:rPr>
              <w:t>80734.26</w:t>
            </w:r>
          </w:p>
        </w:tc>
      </w:tr>
      <w:tr w:rsidR="00000000" w14:paraId="243F1B52" w14:textId="77777777">
        <w:trPr>
          <w:trHeight w:val="20"/>
          <w:jc w:val="center"/>
        </w:trPr>
        <w:tc>
          <w:tcPr>
            <w:tcW w:w="416" w:type="pct"/>
            <w:vAlign w:val="center"/>
          </w:tcPr>
          <w:p w14:paraId="4B7F71E4" w14:textId="77777777" w:rsidR="00000000" w:rsidRDefault="00000000">
            <w:pPr>
              <w:overflowPunct w:val="0"/>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c>
          <w:tcPr>
            <w:tcW w:w="917" w:type="pct"/>
            <w:vAlign w:val="center"/>
          </w:tcPr>
          <w:p w14:paraId="73411B08" w14:textId="77777777" w:rsidR="00000000" w:rsidRDefault="00000000">
            <w:pPr>
              <w:overflowPunct w:val="0"/>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X38鹿海园五里</w:t>
            </w:r>
          </w:p>
        </w:tc>
        <w:tc>
          <w:tcPr>
            <w:tcW w:w="1946" w:type="pct"/>
            <w:vAlign w:val="center"/>
          </w:tcPr>
          <w:p w14:paraId="23B6EEA1" w14:textId="77777777" w:rsidR="00000000" w:rsidRDefault="00000000">
            <w:pPr>
              <w:overflowPunct w:val="0"/>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鹿海园五里1号楼等13幢</w:t>
            </w:r>
          </w:p>
        </w:tc>
        <w:tc>
          <w:tcPr>
            <w:tcW w:w="582" w:type="pct"/>
            <w:vAlign w:val="center"/>
          </w:tcPr>
          <w:p w14:paraId="3BED5F8B" w14:textId="77777777" w:rsidR="00000000" w:rsidRDefault="00000000">
            <w:pPr>
              <w:overflowPunct w:val="0"/>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w:t>
            </w:r>
            <w:r>
              <w:rPr>
                <w:rFonts w:ascii="华文细黑" w:eastAsia="华文细黑" w:hAnsi="华文细黑" w:cs="Arial"/>
                <w:kern w:val="2"/>
                <w:sz w:val="18"/>
                <w:szCs w:val="18"/>
              </w:rPr>
              <w:t>231</w:t>
            </w:r>
          </w:p>
        </w:tc>
        <w:tc>
          <w:tcPr>
            <w:tcW w:w="1139" w:type="pct"/>
            <w:vAlign w:val="center"/>
          </w:tcPr>
          <w:p w14:paraId="1C773529" w14:textId="77777777" w:rsidR="00000000" w:rsidRDefault="00000000">
            <w:pPr>
              <w:overflowPunct w:val="0"/>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kern w:val="2"/>
                <w:sz w:val="18"/>
                <w:szCs w:val="18"/>
              </w:rPr>
              <w:t>121829.32</w:t>
            </w:r>
          </w:p>
        </w:tc>
      </w:tr>
      <w:tr w:rsidR="00000000" w14:paraId="0AC31DDB" w14:textId="77777777">
        <w:trPr>
          <w:trHeight w:val="20"/>
          <w:jc w:val="center"/>
        </w:trPr>
        <w:tc>
          <w:tcPr>
            <w:tcW w:w="3279" w:type="pct"/>
            <w:gridSpan w:val="3"/>
            <w:vAlign w:val="center"/>
          </w:tcPr>
          <w:p w14:paraId="2407DFD3" w14:textId="77777777" w:rsidR="00000000" w:rsidRDefault="00000000">
            <w:pPr>
              <w:overflowPunct w:val="0"/>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合计</w:t>
            </w:r>
          </w:p>
        </w:tc>
        <w:tc>
          <w:tcPr>
            <w:tcW w:w="582" w:type="pct"/>
            <w:vAlign w:val="center"/>
          </w:tcPr>
          <w:p w14:paraId="5D225C9F" w14:textId="77777777" w:rsidR="00000000" w:rsidRDefault="00000000">
            <w:pPr>
              <w:overflowPunct w:val="0"/>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kern w:val="2"/>
                <w:sz w:val="18"/>
                <w:szCs w:val="18"/>
              </w:rPr>
              <w:t>2718</w:t>
            </w:r>
          </w:p>
        </w:tc>
        <w:tc>
          <w:tcPr>
            <w:tcW w:w="1139" w:type="pct"/>
            <w:vAlign w:val="center"/>
          </w:tcPr>
          <w:p w14:paraId="0A4817BB" w14:textId="77777777" w:rsidR="00000000" w:rsidRDefault="00000000">
            <w:pPr>
              <w:overflowPunct w:val="0"/>
              <w:spacing w:line="276"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kern w:val="2"/>
                <w:sz w:val="18"/>
                <w:szCs w:val="18"/>
              </w:rPr>
              <w:t>202563.58</w:t>
            </w:r>
          </w:p>
        </w:tc>
      </w:tr>
    </w:tbl>
    <w:p w14:paraId="7A5D0185" w14:textId="77777777" w:rsidR="00000000" w:rsidRDefault="00000000">
      <w:pPr>
        <w:overflowPunct w:val="0"/>
        <w:spacing w:beforeLines="100" w:before="240" w:line="480" w:lineRule="auto"/>
        <w:ind w:firstLineChars="200" w:firstLine="420"/>
        <w:jc w:val="both"/>
        <w:textAlignment w:val="auto"/>
        <w:rPr>
          <w:rFonts w:ascii="Arial" w:hAnsi="Arial" w:cs="Arial" w:hint="eastAsia"/>
          <w:kern w:val="2"/>
          <w:sz w:val="21"/>
          <w:szCs w:val="21"/>
        </w:rPr>
      </w:pPr>
      <w:r>
        <w:rPr>
          <w:rFonts w:ascii="Arial" w:hAnsi="Arial" w:cs="Arial" w:hint="eastAsia"/>
          <w:kern w:val="2"/>
          <w:sz w:val="21"/>
          <w:szCs w:val="21"/>
        </w:rPr>
        <w:t>本次评估的</w:t>
      </w:r>
      <w:r>
        <w:rPr>
          <w:rFonts w:ascii="Arial" w:hAnsi="Arial" w:cs="Arial" w:hint="eastAsia"/>
          <w:kern w:val="2"/>
          <w:sz w:val="21"/>
          <w:szCs w:val="21"/>
        </w:rPr>
        <w:t>2</w:t>
      </w:r>
      <w:r>
        <w:rPr>
          <w:rFonts w:ascii="Arial" w:hAnsi="Arial" w:cs="Arial"/>
          <w:kern w:val="2"/>
          <w:sz w:val="21"/>
          <w:szCs w:val="21"/>
        </w:rPr>
        <w:t>718</w:t>
      </w:r>
      <w:r>
        <w:rPr>
          <w:rFonts w:ascii="Arial" w:hAnsi="Arial" w:cs="Arial" w:hint="eastAsia"/>
          <w:kern w:val="2"/>
          <w:sz w:val="21"/>
          <w:szCs w:val="21"/>
        </w:rPr>
        <w:t>套公共租赁住房房源是由估价委托人收购、代持经营，现拟作为公共租赁住房使用。</w:t>
      </w:r>
    </w:p>
    <w:p w14:paraId="5D10368A" w14:textId="77777777" w:rsidR="00000000" w:rsidRDefault="00000000">
      <w:pPr>
        <w:overflowPunct w:val="0"/>
        <w:spacing w:line="480" w:lineRule="auto"/>
        <w:ind w:firstLineChars="200" w:firstLine="420"/>
        <w:jc w:val="both"/>
        <w:textAlignment w:val="auto"/>
        <w:rPr>
          <w:rFonts w:ascii="Arial" w:hAnsi="Arial" w:cs="Arial" w:hint="eastAsia"/>
          <w:color w:val="FF0000"/>
          <w:kern w:val="2"/>
          <w:sz w:val="21"/>
          <w:szCs w:val="21"/>
        </w:rPr>
      </w:pPr>
      <w:r>
        <w:rPr>
          <w:rFonts w:ascii="Arial" w:hAnsi="Arial" w:cs="Arial" w:hint="eastAsia"/>
          <w:kern w:val="2"/>
          <w:sz w:val="21"/>
          <w:szCs w:val="21"/>
        </w:rPr>
        <w:t>于价值时点，估价对象均已完工，室内装修情况均为普通装修。</w:t>
      </w:r>
    </w:p>
    <w:p w14:paraId="52092346" w14:textId="77777777" w:rsidR="00000000" w:rsidRDefault="00000000">
      <w:pPr>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sz w:val="21"/>
          <w:szCs w:val="21"/>
        </w:rPr>
        <w:t>土地实物状况</w:t>
      </w:r>
    </w:p>
    <w:p w14:paraId="439B17C9" w14:textId="77777777" w:rsidR="00000000" w:rsidRDefault="00000000">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Pr>
          <w:rFonts w:ascii="Arial" w:hAnsi="Arial" w:cs="Arial" w:hint="eastAsia"/>
          <w:color w:val="000000"/>
          <w:sz w:val="21"/>
          <w:szCs w:val="21"/>
        </w:rPr>
        <w:t>截至价值时点，估价委托人未提供</w:t>
      </w:r>
      <w:r>
        <w:rPr>
          <w:rFonts w:ascii="Arial" w:hAnsi="Arial" w:cs="Arial" w:hint="eastAsia"/>
          <w:kern w:val="2"/>
          <w:sz w:val="21"/>
          <w:szCs w:val="21"/>
        </w:rPr>
        <w:t>《不动产权证书》</w:t>
      </w:r>
      <w:r>
        <w:rPr>
          <w:rFonts w:ascii="Arial" w:hAnsi="Arial" w:cs="Arial" w:hint="eastAsia"/>
          <w:sz w:val="21"/>
          <w:szCs w:val="21"/>
        </w:rPr>
        <w:t>等权属证明文件</w:t>
      </w:r>
      <w:r>
        <w:rPr>
          <w:rFonts w:ascii="Arial" w:hAnsi="Arial" w:cs="Arial" w:hint="eastAsia"/>
          <w:kern w:val="2"/>
          <w:sz w:val="21"/>
          <w:szCs w:val="21"/>
        </w:rPr>
        <w:t>。根据估价委托人提供的《房屋收购协议》</w:t>
      </w:r>
      <w:r>
        <w:rPr>
          <w:rFonts w:ascii="Arial" w:hAnsi="Arial" w:cs="Arial" w:hint="eastAsia"/>
          <w:kern w:val="2"/>
          <w:sz w:val="21"/>
          <w:szCs w:val="21"/>
        </w:rPr>
        <w:t>[</w:t>
      </w:r>
      <w:r>
        <w:rPr>
          <w:rFonts w:ascii="Arial" w:hAnsi="Arial" w:cs="Arial" w:hint="eastAsia"/>
          <w:kern w:val="2"/>
          <w:sz w:val="21"/>
          <w:szCs w:val="21"/>
        </w:rPr>
        <w:t>编号：</w:t>
      </w:r>
      <w:r>
        <w:rPr>
          <w:rFonts w:ascii="Arial" w:hAnsi="Arial" w:cs="Arial" w:hint="eastAsia"/>
          <w:kern w:val="2"/>
          <w:sz w:val="21"/>
          <w:szCs w:val="21"/>
        </w:rPr>
        <w:t>2</w:t>
      </w:r>
      <w:r>
        <w:rPr>
          <w:rFonts w:ascii="Arial" w:hAnsi="Arial" w:cs="Arial"/>
          <w:kern w:val="2"/>
          <w:sz w:val="21"/>
          <w:szCs w:val="21"/>
        </w:rPr>
        <w:t>020-</w:t>
      </w:r>
      <w:r>
        <w:rPr>
          <w:rFonts w:ascii="Arial" w:hAnsi="Arial" w:cs="Arial" w:hint="eastAsia"/>
          <w:kern w:val="2"/>
          <w:sz w:val="21"/>
          <w:szCs w:val="21"/>
        </w:rPr>
        <w:t>新元</w:t>
      </w:r>
      <w:r>
        <w:rPr>
          <w:rFonts w:ascii="Arial" w:hAnsi="Arial" w:cs="Arial" w:hint="eastAsia"/>
          <w:kern w:val="2"/>
          <w:sz w:val="21"/>
          <w:szCs w:val="21"/>
        </w:rPr>
        <w:t>-</w:t>
      </w:r>
      <w:r>
        <w:rPr>
          <w:rFonts w:ascii="Arial" w:hAnsi="Arial" w:cs="Arial" w:hint="eastAsia"/>
          <w:kern w:val="2"/>
          <w:sz w:val="21"/>
          <w:szCs w:val="21"/>
        </w:rPr>
        <w:t>综合</w:t>
      </w:r>
      <w:r>
        <w:rPr>
          <w:rFonts w:ascii="Arial" w:hAnsi="Arial" w:cs="Arial" w:hint="eastAsia"/>
          <w:kern w:val="2"/>
          <w:sz w:val="21"/>
          <w:szCs w:val="21"/>
        </w:rPr>
        <w:t>-</w:t>
      </w:r>
      <w:r>
        <w:rPr>
          <w:rFonts w:ascii="Arial" w:hAnsi="Arial" w:cs="Arial"/>
          <w:kern w:val="2"/>
          <w:sz w:val="21"/>
          <w:szCs w:val="21"/>
        </w:rPr>
        <w:t>17]</w:t>
      </w:r>
      <w:r>
        <w:rPr>
          <w:rFonts w:ascii="Arial" w:hAnsi="Arial" w:cs="Arial" w:hint="eastAsia"/>
          <w:kern w:val="2"/>
          <w:sz w:val="21"/>
          <w:szCs w:val="21"/>
        </w:rPr>
        <w:t>及</w:t>
      </w:r>
      <w:r>
        <w:rPr>
          <w:rFonts w:ascii="Arial" w:hAnsi="Arial" w:cs="Arial" w:hint="eastAsia"/>
          <w:sz w:val="21"/>
          <w:szCs w:val="21"/>
        </w:rPr>
        <w:t>介绍，</w:t>
      </w:r>
      <w:r>
        <w:rPr>
          <w:rFonts w:ascii="Arial" w:hAnsi="Arial" w:cs="Arial" w:hint="eastAsia"/>
          <w:kern w:val="2"/>
          <w:sz w:val="21"/>
          <w:szCs w:val="21"/>
        </w:rPr>
        <w:t>北京市北京经济技术开发区博兴九路</w:t>
      </w:r>
      <w:r>
        <w:rPr>
          <w:rFonts w:ascii="Arial" w:hAnsi="Arial" w:cs="Arial" w:hint="eastAsia"/>
          <w:kern w:val="2"/>
          <w:sz w:val="21"/>
          <w:szCs w:val="21"/>
        </w:rPr>
        <w:t>19</w:t>
      </w:r>
      <w:r>
        <w:rPr>
          <w:rFonts w:ascii="Arial" w:hAnsi="Arial" w:cs="Arial" w:hint="eastAsia"/>
          <w:kern w:val="2"/>
          <w:sz w:val="21"/>
          <w:szCs w:val="21"/>
        </w:rPr>
        <w:t>号院一区</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5</w:t>
      </w:r>
      <w:r>
        <w:rPr>
          <w:rFonts w:ascii="Arial" w:hAnsi="Arial" w:cs="Arial" w:hint="eastAsia"/>
          <w:kern w:val="2"/>
          <w:sz w:val="21"/>
          <w:szCs w:val="21"/>
        </w:rPr>
        <w:t>幢（</w:t>
      </w:r>
      <w:r>
        <w:rPr>
          <w:rFonts w:ascii="Arial" w:hAnsi="Arial" w:cs="Arial" w:hint="eastAsia"/>
          <w:kern w:val="2"/>
          <w:sz w:val="21"/>
          <w:szCs w:val="21"/>
        </w:rPr>
        <w:t>X13</w:t>
      </w:r>
      <w:r>
        <w:rPr>
          <w:rFonts w:ascii="Arial" w:hAnsi="Arial" w:cs="Arial" w:hint="eastAsia"/>
          <w:kern w:val="2"/>
          <w:sz w:val="21"/>
          <w:szCs w:val="21"/>
        </w:rPr>
        <w:t>海棠苑）公共租赁住房项目所属宗地权利类型为国有建设用地使用权，</w:t>
      </w:r>
      <w:r>
        <w:rPr>
          <w:rFonts w:ascii="Arial" w:hAnsi="Arial" w:cs="Arial" w:hint="eastAsia"/>
          <w:sz w:val="21"/>
          <w:szCs w:val="21"/>
        </w:rPr>
        <w:t>用途为住宅，</w:t>
      </w:r>
      <w:r>
        <w:rPr>
          <w:rFonts w:ascii="Arial" w:hAnsi="Arial" w:cs="Arial" w:hint="eastAsia"/>
          <w:kern w:val="2"/>
          <w:sz w:val="21"/>
          <w:szCs w:val="21"/>
        </w:rPr>
        <w:t>由北京首开住总房地产开发有限公司以招拍挂方式取得。</w:t>
      </w:r>
      <w:r>
        <w:rPr>
          <w:rFonts w:ascii="Arial" w:hAnsi="Arial" w:cs="Arial"/>
          <w:sz w:val="21"/>
          <w:szCs w:val="21"/>
        </w:rPr>
        <w:t xml:space="preserve"> </w:t>
      </w:r>
    </w:p>
    <w:p w14:paraId="2FEC4E51" w14:textId="77777777" w:rsidR="00000000" w:rsidRDefault="00000000">
      <w:pPr>
        <w:wordWrap w:val="0"/>
        <w:overflowPunct w:val="0"/>
        <w:spacing w:line="480" w:lineRule="auto"/>
        <w:ind w:firstLineChars="200" w:firstLine="420"/>
        <w:jc w:val="both"/>
        <w:textAlignment w:val="auto"/>
        <w:rPr>
          <w:rFonts w:ascii="Arial" w:hAnsi="Arial" w:cs="Arial" w:hint="eastAsia"/>
          <w:kern w:val="2"/>
          <w:sz w:val="21"/>
          <w:szCs w:val="21"/>
        </w:rPr>
      </w:pPr>
      <w:r>
        <w:rPr>
          <w:rFonts w:ascii="Arial" w:hAnsi="Arial" w:cs="Arial" w:hint="eastAsia"/>
          <w:sz w:val="21"/>
          <w:szCs w:val="21"/>
        </w:rPr>
        <w:t>根据</w:t>
      </w:r>
      <w:r>
        <w:rPr>
          <w:rFonts w:ascii="Arial" w:hAnsi="Arial" w:cs="Arial" w:hint="eastAsia"/>
          <w:kern w:val="2"/>
          <w:sz w:val="21"/>
          <w:szCs w:val="21"/>
        </w:rPr>
        <w:t>估价委托人</w:t>
      </w:r>
      <w:r>
        <w:rPr>
          <w:rFonts w:ascii="Arial" w:hAnsi="Arial" w:cs="Arial" w:hint="eastAsia"/>
          <w:sz w:val="21"/>
          <w:szCs w:val="21"/>
        </w:rPr>
        <w:t>介绍，北京市</w:t>
      </w:r>
      <w:r>
        <w:rPr>
          <w:rFonts w:ascii="Arial" w:hAnsi="Arial" w:cs="Arial" w:hint="eastAsia"/>
          <w:kern w:val="2"/>
          <w:sz w:val="21"/>
          <w:szCs w:val="21"/>
        </w:rPr>
        <w:t>北京经济技术开发区鹿海园五里</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13</w:t>
      </w:r>
      <w:r>
        <w:rPr>
          <w:rFonts w:ascii="Arial" w:hAnsi="Arial" w:cs="Arial" w:hint="eastAsia"/>
          <w:kern w:val="2"/>
          <w:sz w:val="21"/>
          <w:szCs w:val="21"/>
        </w:rPr>
        <w:t>幢（</w:t>
      </w:r>
      <w:r>
        <w:rPr>
          <w:rFonts w:ascii="Arial" w:hAnsi="Arial" w:cs="Arial" w:hint="eastAsia"/>
          <w:kern w:val="2"/>
          <w:sz w:val="21"/>
          <w:szCs w:val="21"/>
        </w:rPr>
        <w:t>X38</w:t>
      </w:r>
      <w:r>
        <w:rPr>
          <w:rFonts w:ascii="Arial" w:hAnsi="Arial" w:cs="Arial" w:hint="eastAsia"/>
          <w:kern w:val="2"/>
          <w:sz w:val="21"/>
          <w:szCs w:val="21"/>
        </w:rPr>
        <w:t>鹿海园五里）</w:t>
      </w:r>
      <w:r>
        <w:rPr>
          <w:rFonts w:ascii="Arial" w:hAnsi="Arial" w:cs="Arial"/>
          <w:kern w:val="2"/>
          <w:sz w:val="21"/>
          <w:szCs w:val="21"/>
        </w:rPr>
        <w:t>公共租赁住房</w:t>
      </w:r>
      <w:r>
        <w:rPr>
          <w:rFonts w:ascii="Arial" w:hAnsi="Arial" w:cs="Arial" w:hint="eastAsia"/>
          <w:sz w:val="21"/>
          <w:szCs w:val="21"/>
        </w:rPr>
        <w:t>项目</w:t>
      </w:r>
      <w:r>
        <w:rPr>
          <w:rFonts w:ascii="Arial" w:hAnsi="Arial" w:cs="Arial" w:hint="eastAsia"/>
          <w:kern w:val="2"/>
          <w:sz w:val="21"/>
          <w:szCs w:val="21"/>
        </w:rPr>
        <w:t>所属宗地权利类型为国有建设用地使用权，权利性质为划拨</w:t>
      </w:r>
      <w:r>
        <w:rPr>
          <w:rFonts w:ascii="Arial" w:hAnsi="Arial" w:cs="Arial" w:hint="eastAsia"/>
          <w:sz w:val="21"/>
          <w:szCs w:val="21"/>
        </w:rPr>
        <w:t>。</w:t>
      </w:r>
    </w:p>
    <w:p w14:paraId="17853A2B"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sz w:val="21"/>
          <w:szCs w:val="21"/>
        </w:rPr>
        <w:t>估价对象所属项目用地四至：</w:t>
      </w:r>
    </w:p>
    <w:p w14:paraId="6D1534B2" w14:textId="77777777" w:rsidR="00000000" w:rsidRDefault="00000000">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北京市北京经济技术开发区博兴九路</w:t>
      </w:r>
      <w:r>
        <w:rPr>
          <w:rFonts w:ascii="Arial" w:hAnsi="Arial" w:cs="Arial" w:hint="eastAsia"/>
          <w:kern w:val="2"/>
          <w:sz w:val="21"/>
          <w:szCs w:val="21"/>
        </w:rPr>
        <w:t>19</w:t>
      </w:r>
      <w:r>
        <w:rPr>
          <w:rFonts w:ascii="Arial" w:hAnsi="Arial" w:cs="Arial" w:hint="eastAsia"/>
          <w:kern w:val="2"/>
          <w:sz w:val="21"/>
          <w:szCs w:val="21"/>
        </w:rPr>
        <w:t>号院一区</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5</w:t>
      </w:r>
      <w:r>
        <w:rPr>
          <w:rFonts w:ascii="Arial" w:hAnsi="Arial" w:cs="Arial" w:hint="eastAsia"/>
          <w:kern w:val="2"/>
          <w:sz w:val="21"/>
          <w:szCs w:val="21"/>
        </w:rPr>
        <w:t>幢（</w:t>
      </w:r>
      <w:r>
        <w:rPr>
          <w:rFonts w:ascii="Arial" w:hAnsi="Arial" w:cs="Arial" w:hint="eastAsia"/>
          <w:kern w:val="2"/>
          <w:sz w:val="21"/>
          <w:szCs w:val="21"/>
        </w:rPr>
        <w:t>X13</w:t>
      </w:r>
      <w:r>
        <w:rPr>
          <w:rFonts w:ascii="Arial" w:hAnsi="Arial" w:cs="Arial" w:hint="eastAsia"/>
          <w:kern w:val="2"/>
          <w:sz w:val="21"/>
          <w:szCs w:val="21"/>
        </w:rPr>
        <w:t>海棠苑）公共租赁住房项目，现状四至为东至博兴九路，西至博兴十路，南至泰河路，北至凉水河二街。</w:t>
      </w:r>
    </w:p>
    <w:p w14:paraId="61938FE4" w14:textId="77777777" w:rsidR="00000000" w:rsidRDefault="00000000">
      <w:pPr>
        <w:wordWrap w:val="0"/>
        <w:overflowPunct w:val="0"/>
        <w:spacing w:line="480" w:lineRule="auto"/>
        <w:ind w:firstLineChars="200" w:firstLine="420"/>
        <w:jc w:val="both"/>
        <w:textAlignment w:val="auto"/>
        <w:rPr>
          <w:rFonts w:ascii="Arial" w:hAnsi="Arial" w:cs="Arial" w:hint="eastAsia"/>
          <w:sz w:val="21"/>
          <w:szCs w:val="21"/>
        </w:rPr>
      </w:pPr>
      <w:r>
        <w:rPr>
          <w:rFonts w:ascii="Arial" w:hAnsi="Arial" w:cs="Arial" w:hint="eastAsia"/>
          <w:kern w:val="2"/>
          <w:sz w:val="21"/>
          <w:szCs w:val="21"/>
        </w:rPr>
        <w:t>北京市北京经济技术开发区鹿海园五里</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13</w:t>
      </w:r>
      <w:r>
        <w:rPr>
          <w:rFonts w:ascii="Arial" w:hAnsi="Arial" w:cs="Arial" w:hint="eastAsia"/>
          <w:kern w:val="2"/>
          <w:sz w:val="21"/>
          <w:szCs w:val="21"/>
        </w:rPr>
        <w:t>幢（</w:t>
      </w:r>
      <w:r>
        <w:rPr>
          <w:rFonts w:ascii="Arial" w:hAnsi="Arial" w:cs="Arial" w:hint="eastAsia"/>
          <w:kern w:val="2"/>
          <w:sz w:val="21"/>
          <w:szCs w:val="21"/>
        </w:rPr>
        <w:t>X38</w:t>
      </w:r>
      <w:r>
        <w:rPr>
          <w:rFonts w:ascii="Arial" w:hAnsi="Arial" w:cs="Arial" w:hint="eastAsia"/>
          <w:kern w:val="2"/>
          <w:sz w:val="21"/>
          <w:szCs w:val="21"/>
        </w:rPr>
        <w:t>鹿海园五里）</w:t>
      </w:r>
      <w:r>
        <w:rPr>
          <w:rFonts w:ascii="Arial" w:hAnsi="Arial" w:cs="Arial"/>
          <w:kern w:val="2"/>
          <w:sz w:val="21"/>
          <w:szCs w:val="21"/>
        </w:rPr>
        <w:t>公共租赁住房</w:t>
      </w:r>
      <w:r>
        <w:rPr>
          <w:rFonts w:ascii="Arial" w:hAnsi="Arial" w:cs="Arial" w:hint="eastAsia"/>
          <w:sz w:val="21"/>
          <w:szCs w:val="21"/>
        </w:rPr>
        <w:t>项目，</w:t>
      </w:r>
      <w:r>
        <w:rPr>
          <w:rFonts w:ascii="Arial" w:hAnsi="Arial" w:cs="Arial" w:hint="eastAsia"/>
          <w:kern w:val="2"/>
          <w:sz w:val="21"/>
          <w:szCs w:val="21"/>
        </w:rPr>
        <w:t>项目现状四至为东至博兴七路，西至博兴八路，南至泰河三街，北至泰河二街</w:t>
      </w:r>
      <w:r>
        <w:rPr>
          <w:rFonts w:ascii="Arial" w:hAnsi="Arial" w:cs="Arial" w:hint="eastAsia"/>
          <w:sz w:val="21"/>
          <w:szCs w:val="21"/>
        </w:rPr>
        <w:t>。</w:t>
      </w:r>
    </w:p>
    <w:p w14:paraId="75040826"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Pr>
          <w:rFonts w:ascii="Arial" w:hAnsi="Arial" w:cs="Arial"/>
          <w:sz w:val="21"/>
          <w:szCs w:val="21"/>
        </w:rPr>
        <w:t>估价对象所属项目用地</w:t>
      </w:r>
      <w:r>
        <w:rPr>
          <w:rFonts w:ascii="Arial" w:hAnsi="Arial" w:cs="Arial" w:hint="eastAsia"/>
          <w:sz w:val="21"/>
          <w:szCs w:val="21"/>
        </w:rPr>
        <w:t>均</w:t>
      </w:r>
      <w:r>
        <w:rPr>
          <w:rFonts w:ascii="Arial" w:hAnsi="Arial" w:cs="Arial"/>
          <w:sz w:val="21"/>
          <w:szCs w:val="21"/>
        </w:rPr>
        <w:t>呈</w:t>
      </w:r>
      <w:r>
        <w:rPr>
          <w:rFonts w:ascii="Arial" w:hAnsi="Arial" w:cs="Arial" w:hint="eastAsia"/>
          <w:sz w:val="21"/>
          <w:szCs w:val="21"/>
        </w:rPr>
        <w:t>较</w:t>
      </w:r>
      <w:r>
        <w:rPr>
          <w:rFonts w:ascii="Arial" w:hAnsi="Arial" w:cs="Arial"/>
          <w:sz w:val="21"/>
          <w:szCs w:val="21"/>
        </w:rPr>
        <w:t>规则形状，</w:t>
      </w:r>
      <w:r>
        <w:rPr>
          <w:rFonts w:ascii="Arial" w:hAnsi="Arial" w:cs="Arial" w:hint="eastAsia"/>
          <w:sz w:val="21"/>
          <w:szCs w:val="21"/>
        </w:rPr>
        <w:t>对利用无不良影响，</w:t>
      </w:r>
      <w:r>
        <w:rPr>
          <w:rFonts w:ascii="Arial" w:hAnsi="Arial" w:cs="Arial"/>
          <w:sz w:val="21"/>
          <w:szCs w:val="21"/>
        </w:rPr>
        <w:t>场地</w:t>
      </w:r>
      <w:r>
        <w:rPr>
          <w:rFonts w:ascii="Arial" w:hAnsi="Arial" w:cs="Arial" w:hint="eastAsia"/>
          <w:sz w:val="21"/>
          <w:szCs w:val="21"/>
        </w:rPr>
        <w:t>呈</w:t>
      </w:r>
      <w:r>
        <w:rPr>
          <w:rFonts w:ascii="Arial" w:hAnsi="Arial" w:cs="Arial"/>
          <w:sz w:val="21"/>
          <w:szCs w:val="21"/>
        </w:rPr>
        <w:t>较平坦地势</w:t>
      </w:r>
      <w:r>
        <w:rPr>
          <w:rFonts w:ascii="Arial" w:hAnsi="Arial" w:cs="Arial" w:hint="eastAsia"/>
          <w:sz w:val="21"/>
          <w:szCs w:val="21"/>
        </w:rPr>
        <w:t>，工程地质条件良好，无不良地质现象</w:t>
      </w:r>
      <w:r>
        <w:rPr>
          <w:rFonts w:ascii="Arial" w:hAnsi="Arial" w:cs="Arial"/>
          <w:sz w:val="21"/>
          <w:szCs w:val="21"/>
        </w:rPr>
        <w:t>。</w:t>
      </w:r>
      <w:r>
        <w:rPr>
          <w:rFonts w:ascii="Arial" w:hAnsi="Arial" w:cs="Arial" w:hint="eastAsia"/>
          <w:sz w:val="21"/>
          <w:szCs w:val="21"/>
        </w:rPr>
        <w:t>估价对象现状均已完成开发建设，土地利用程度高。</w:t>
      </w:r>
    </w:p>
    <w:p w14:paraId="36B99058"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）开发程度</w:t>
      </w:r>
      <w:r>
        <w:rPr>
          <w:rFonts w:ascii="Arial" w:hAnsi="Arial" w:cs="Arial"/>
          <w:sz w:val="21"/>
          <w:szCs w:val="21"/>
        </w:rPr>
        <w:t>：</w:t>
      </w:r>
    </w:p>
    <w:p w14:paraId="07E3413C" w14:textId="77777777" w:rsidR="00000000" w:rsidRDefault="00000000">
      <w:pPr>
        <w:wordWrap w:val="0"/>
        <w:overflowPunct w:val="0"/>
        <w:spacing w:line="480" w:lineRule="auto"/>
        <w:ind w:firstLineChars="200" w:firstLine="420"/>
        <w:jc w:val="both"/>
        <w:textAlignment w:val="auto"/>
        <w:rPr>
          <w:rFonts w:ascii="Arial" w:hAnsi="Arial" w:cs="Arial" w:hint="eastAsia"/>
          <w:kern w:val="2"/>
          <w:sz w:val="21"/>
          <w:szCs w:val="21"/>
        </w:rPr>
      </w:pPr>
      <w:r>
        <w:rPr>
          <w:rFonts w:ascii="Arial" w:hAnsi="Arial" w:cs="Arial"/>
          <w:kern w:val="2"/>
          <w:sz w:val="21"/>
          <w:szCs w:val="21"/>
        </w:rPr>
        <w:t>估价对象所在区域市政基础设施完备，为</w:t>
      </w:r>
      <w:r>
        <w:rPr>
          <w:rFonts w:ascii="Arial" w:hAnsi="Arial" w:cs="Arial"/>
          <w:kern w:val="2"/>
          <w:sz w:val="21"/>
          <w:szCs w:val="21"/>
        </w:rPr>
        <w:t>“</w:t>
      </w:r>
      <w:r>
        <w:rPr>
          <w:rFonts w:ascii="Arial" w:hAnsi="Arial" w:cs="Arial" w:hint="eastAsia"/>
          <w:kern w:val="2"/>
          <w:sz w:val="21"/>
          <w:szCs w:val="21"/>
        </w:rPr>
        <w:t>七</w:t>
      </w:r>
      <w:r>
        <w:rPr>
          <w:rFonts w:ascii="Arial" w:hAnsi="Arial" w:cs="Arial"/>
          <w:kern w:val="2"/>
          <w:sz w:val="21"/>
          <w:szCs w:val="21"/>
        </w:rPr>
        <w:t>通</w:t>
      </w:r>
      <w:r>
        <w:rPr>
          <w:rFonts w:ascii="Arial" w:hAnsi="Arial" w:cs="Arial"/>
          <w:kern w:val="2"/>
          <w:sz w:val="21"/>
          <w:szCs w:val="21"/>
        </w:rPr>
        <w:t>”</w:t>
      </w:r>
      <w:r>
        <w:rPr>
          <w:rFonts w:ascii="Arial" w:hAnsi="Arial" w:cs="Arial"/>
          <w:kern w:val="2"/>
          <w:sz w:val="21"/>
          <w:szCs w:val="21"/>
        </w:rPr>
        <w:t>（即通路、通电、通讯</w:t>
      </w:r>
      <w:r>
        <w:rPr>
          <w:rFonts w:ascii="Arial" w:hAnsi="Arial" w:cs="Arial" w:hint="eastAsia"/>
          <w:kern w:val="2"/>
          <w:sz w:val="21"/>
          <w:szCs w:val="21"/>
        </w:rPr>
        <w:t>、</w:t>
      </w:r>
      <w:r>
        <w:rPr>
          <w:rFonts w:ascii="Arial" w:hAnsi="Arial" w:cs="Arial"/>
          <w:kern w:val="2"/>
          <w:sz w:val="21"/>
          <w:szCs w:val="21"/>
        </w:rPr>
        <w:t>通上水、通下水、通燃气、</w:t>
      </w:r>
      <w:r>
        <w:rPr>
          <w:rFonts w:ascii="Arial" w:hAnsi="Arial" w:cs="Arial"/>
          <w:kern w:val="2"/>
          <w:sz w:val="21"/>
          <w:szCs w:val="21"/>
        </w:rPr>
        <w:lastRenderedPageBreak/>
        <w:t>通热力），且保证程度高。</w:t>
      </w:r>
    </w:p>
    <w:p w14:paraId="344A564A" w14:textId="77777777" w:rsidR="00000000" w:rsidRDefault="00000000">
      <w:pPr>
        <w:wordWrap w:val="0"/>
        <w:overflowPunct w:val="0"/>
        <w:spacing w:line="480" w:lineRule="auto"/>
        <w:ind w:firstLineChars="200" w:firstLine="420"/>
        <w:jc w:val="both"/>
        <w:textAlignment w:val="auto"/>
        <w:rPr>
          <w:rFonts w:ascii="Arial" w:hAnsi="Arial" w:cs="Arial" w:hint="eastAsia"/>
          <w:color w:val="E36C0A"/>
          <w:sz w:val="21"/>
          <w:szCs w:val="21"/>
        </w:rPr>
      </w:pPr>
      <w:r>
        <w:rPr>
          <w:rFonts w:ascii="Arial" w:hAnsi="Arial" w:cs="Arial" w:hint="eastAsia"/>
          <w:kern w:val="2"/>
          <w:sz w:val="21"/>
          <w:szCs w:val="21"/>
        </w:rPr>
        <w:t>综上所述，</w:t>
      </w:r>
      <w:r>
        <w:rPr>
          <w:rFonts w:ascii="Arial" w:hAnsi="Arial" w:cs="Arial"/>
          <w:kern w:val="2"/>
          <w:sz w:val="21"/>
          <w:szCs w:val="21"/>
        </w:rPr>
        <w:t>估价对象</w:t>
      </w:r>
      <w:r>
        <w:rPr>
          <w:rFonts w:ascii="Arial" w:hAnsi="Arial" w:cs="Arial" w:hint="eastAsia"/>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ascii="Arial" w:hAnsi="Arial" w:cs="Arial" w:hint="eastAsia"/>
          <w:sz w:val="21"/>
          <w:szCs w:val="21"/>
        </w:rPr>
        <w:t>。</w:t>
      </w:r>
    </w:p>
    <w:p w14:paraId="22DD3744" w14:textId="77777777" w:rsidR="00000000" w:rsidRDefault="00000000">
      <w:pPr>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建筑物实物状况</w:t>
      </w:r>
    </w:p>
    <w:p w14:paraId="1B9DF223" w14:textId="77777777" w:rsidR="00000000" w:rsidRDefault="00000000">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）建设规模：</w:t>
      </w:r>
      <w:r>
        <w:rPr>
          <w:rFonts w:ascii="Arial" w:hAnsi="Arial" w:cs="Arial"/>
          <w:bCs/>
          <w:color w:val="000000"/>
          <w:sz w:val="21"/>
          <w:szCs w:val="21"/>
        </w:rPr>
        <w:t>估价对象</w:t>
      </w:r>
      <w:r>
        <w:rPr>
          <w:rFonts w:ascii="Arial" w:hAnsi="Arial" w:cs="Arial" w:hint="eastAsia"/>
          <w:bCs/>
          <w:color w:val="000000"/>
          <w:sz w:val="21"/>
          <w:szCs w:val="21"/>
        </w:rPr>
        <w:t>由</w:t>
      </w:r>
      <w:r>
        <w:rPr>
          <w:rFonts w:ascii="Arial" w:hAnsi="Arial" w:cs="Arial" w:hint="eastAsia"/>
          <w:kern w:val="2"/>
          <w:sz w:val="21"/>
          <w:szCs w:val="21"/>
        </w:rPr>
        <w:t>北京市北京经济技术开发区博兴九路</w:t>
      </w:r>
      <w:r>
        <w:rPr>
          <w:rFonts w:ascii="Arial" w:hAnsi="Arial" w:cs="Arial" w:hint="eastAsia"/>
          <w:kern w:val="2"/>
          <w:sz w:val="21"/>
          <w:szCs w:val="21"/>
        </w:rPr>
        <w:t>19</w:t>
      </w:r>
      <w:r>
        <w:rPr>
          <w:rFonts w:ascii="Arial" w:hAnsi="Arial" w:cs="Arial" w:hint="eastAsia"/>
          <w:kern w:val="2"/>
          <w:sz w:val="21"/>
          <w:szCs w:val="21"/>
        </w:rPr>
        <w:t>号院一区</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5</w:t>
      </w:r>
      <w:r>
        <w:rPr>
          <w:rFonts w:ascii="Arial" w:hAnsi="Arial" w:cs="Arial" w:hint="eastAsia"/>
          <w:kern w:val="2"/>
          <w:sz w:val="21"/>
          <w:szCs w:val="21"/>
        </w:rPr>
        <w:t>幢（</w:t>
      </w:r>
      <w:r>
        <w:rPr>
          <w:rFonts w:ascii="Arial" w:hAnsi="Arial" w:cs="Arial" w:hint="eastAsia"/>
          <w:kern w:val="2"/>
          <w:sz w:val="21"/>
          <w:szCs w:val="21"/>
        </w:rPr>
        <w:t>X13</w:t>
      </w:r>
      <w:r>
        <w:rPr>
          <w:rFonts w:ascii="Arial" w:hAnsi="Arial" w:cs="Arial" w:hint="eastAsia"/>
          <w:kern w:val="2"/>
          <w:sz w:val="21"/>
          <w:szCs w:val="21"/>
        </w:rPr>
        <w:t>海棠苑）共</w:t>
      </w:r>
      <w:r>
        <w:rPr>
          <w:rFonts w:ascii="Arial" w:hAnsi="Arial" w:cs="Arial" w:hint="eastAsia"/>
          <w:kern w:val="2"/>
          <w:sz w:val="21"/>
          <w:szCs w:val="21"/>
        </w:rPr>
        <w:t>1487</w:t>
      </w:r>
      <w:r>
        <w:rPr>
          <w:rFonts w:ascii="Arial" w:hAnsi="Arial" w:cs="Arial" w:hint="eastAsia"/>
          <w:kern w:val="2"/>
          <w:sz w:val="21"/>
          <w:szCs w:val="21"/>
        </w:rPr>
        <w:t>套、北京经济技术开发区鹿海园五里</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13</w:t>
      </w:r>
      <w:r>
        <w:rPr>
          <w:rFonts w:ascii="Arial" w:hAnsi="Arial" w:cs="Arial" w:hint="eastAsia"/>
          <w:kern w:val="2"/>
          <w:sz w:val="21"/>
          <w:szCs w:val="21"/>
        </w:rPr>
        <w:t>幢（</w:t>
      </w:r>
      <w:r>
        <w:rPr>
          <w:rFonts w:ascii="Arial" w:hAnsi="Arial" w:cs="Arial" w:hint="eastAsia"/>
          <w:kern w:val="2"/>
          <w:sz w:val="21"/>
          <w:szCs w:val="21"/>
        </w:rPr>
        <w:t>X38</w:t>
      </w:r>
      <w:r>
        <w:rPr>
          <w:rFonts w:ascii="Arial" w:hAnsi="Arial" w:cs="Arial" w:hint="eastAsia"/>
          <w:kern w:val="2"/>
          <w:sz w:val="21"/>
          <w:szCs w:val="21"/>
        </w:rPr>
        <w:t>鹿海园五里）共</w:t>
      </w:r>
      <w:r>
        <w:rPr>
          <w:rFonts w:ascii="Arial" w:hAnsi="Arial" w:cs="Arial" w:hint="eastAsia"/>
          <w:kern w:val="2"/>
          <w:sz w:val="21"/>
          <w:szCs w:val="21"/>
        </w:rPr>
        <w:t>1231</w:t>
      </w:r>
      <w:r>
        <w:rPr>
          <w:rFonts w:ascii="Arial" w:hAnsi="Arial" w:cs="Arial" w:hint="eastAsia"/>
          <w:kern w:val="2"/>
          <w:sz w:val="21"/>
          <w:szCs w:val="21"/>
        </w:rPr>
        <w:t>套组成，共</w:t>
      </w:r>
      <w:r>
        <w:rPr>
          <w:rFonts w:ascii="Arial" w:hAnsi="Arial" w:cs="Arial"/>
          <w:kern w:val="2"/>
          <w:sz w:val="21"/>
          <w:szCs w:val="21"/>
        </w:rPr>
        <w:t>2718</w:t>
      </w:r>
      <w:r>
        <w:rPr>
          <w:rFonts w:ascii="Arial" w:hAnsi="Arial" w:cs="Arial" w:hint="eastAsia"/>
          <w:kern w:val="2"/>
          <w:sz w:val="21"/>
          <w:szCs w:val="21"/>
        </w:rPr>
        <w:t>套公共租赁住房，总建筑面积</w:t>
      </w:r>
      <w:r>
        <w:rPr>
          <w:rFonts w:ascii="Arial" w:hAnsi="Arial" w:cs="Arial"/>
          <w:kern w:val="2"/>
          <w:sz w:val="21"/>
          <w:szCs w:val="21"/>
        </w:rPr>
        <w:t>202563.58</w:t>
      </w:r>
      <w:r>
        <w:rPr>
          <w:rFonts w:ascii="Arial" w:hAnsi="Arial" w:cs="Arial" w:hint="eastAsia"/>
          <w:kern w:val="2"/>
          <w:sz w:val="21"/>
          <w:szCs w:val="21"/>
        </w:rPr>
        <w:t>平方米。</w:t>
      </w:r>
    </w:p>
    <w:p w14:paraId="155EF8AB" w14:textId="77777777" w:rsidR="00000000" w:rsidRDefault="00000000">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北京市北京经济技术开发区博兴九路</w:t>
      </w:r>
      <w:r>
        <w:rPr>
          <w:rFonts w:ascii="Arial" w:hAnsi="Arial" w:cs="Arial" w:hint="eastAsia"/>
          <w:kern w:val="2"/>
          <w:sz w:val="21"/>
          <w:szCs w:val="21"/>
        </w:rPr>
        <w:t>19</w:t>
      </w:r>
      <w:r>
        <w:rPr>
          <w:rFonts w:ascii="Arial" w:hAnsi="Arial" w:cs="Arial" w:hint="eastAsia"/>
          <w:kern w:val="2"/>
          <w:sz w:val="21"/>
          <w:szCs w:val="21"/>
        </w:rPr>
        <w:t>号院一区</w:t>
      </w:r>
      <w:r>
        <w:rPr>
          <w:rFonts w:ascii="Arial" w:hAnsi="Arial" w:cs="Arial" w:hint="eastAsia"/>
          <w:kern w:val="2"/>
          <w:sz w:val="21"/>
          <w:szCs w:val="21"/>
        </w:rPr>
        <w:t>1</w:t>
      </w:r>
      <w:r>
        <w:rPr>
          <w:rFonts w:ascii="Arial" w:hAnsi="Arial" w:cs="Arial"/>
          <w:kern w:val="2"/>
          <w:sz w:val="21"/>
          <w:szCs w:val="21"/>
        </w:rPr>
        <w:t>-5</w:t>
      </w:r>
      <w:r>
        <w:rPr>
          <w:rFonts w:ascii="Arial" w:hAnsi="Arial" w:cs="Arial" w:hint="eastAsia"/>
          <w:kern w:val="2"/>
          <w:sz w:val="21"/>
          <w:szCs w:val="21"/>
        </w:rPr>
        <w:t>号楼，建筑类型均为板塔结合，楼宇主体建筑结构为装配式剪力墙（钢混），建筑层数均为地上</w:t>
      </w:r>
      <w:r>
        <w:rPr>
          <w:rFonts w:ascii="Arial" w:hAnsi="Arial" w:cs="Arial" w:hint="eastAsia"/>
          <w:kern w:val="2"/>
          <w:sz w:val="21"/>
          <w:szCs w:val="21"/>
        </w:rPr>
        <w:t>1</w:t>
      </w:r>
      <w:r>
        <w:rPr>
          <w:rFonts w:ascii="Arial" w:hAnsi="Arial" w:cs="Arial"/>
          <w:kern w:val="2"/>
          <w:sz w:val="21"/>
          <w:szCs w:val="21"/>
        </w:rPr>
        <w:t>6</w:t>
      </w:r>
      <w:r>
        <w:rPr>
          <w:rFonts w:ascii="Arial" w:hAnsi="Arial" w:cs="Arial" w:hint="eastAsia"/>
          <w:kern w:val="2"/>
          <w:sz w:val="21"/>
          <w:szCs w:val="21"/>
        </w:rPr>
        <w:t>层、地下</w:t>
      </w:r>
      <w:r>
        <w:rPr>
          <w:rFonts w:ascii="Arial" w:hAnsi="Arial" w:cs="Arial" w:hint="eastAsia"/>
          <w:kern w:val="2"/>
          <w:sz w:val="21"/>
          <w:szCs w:val="21"/>
        </w:rPr>
        <w:t>1</w:t>
      </w:r>
      <w:r>
        <w:rPr>
          <w:rFonts w:ascii="Arial" w:hAnsi="Arial" w:cs="Arial" w:hint="eastAsia"/>
          <w:kern w:val="2"/>
          <w:sz w:val="21"/>
          <w:szCs w:val="21"/>
        </w:rPr>
        <w:t>层，层高</w:t>
      </w:r>
      <w:r>
        <w:rPr>
          <w:rFonts w:ascii="Arial" w:hAnsi="Arial" w:cs="Arial"/>
          <w:kern w:val="2"/>
          <w:sz w:val="21"/>
          <w:szCs w:val="21"/>
        </w:rPr>
        <w:t>2.7</w:t>
      </w:r>
      <w:r>
        <w:rPr>
          <w:rFonts w:ascii="Arial" w:hAnsi="Arial" w:cs="Arial" w:hint="eastAsia"/>
          <w:kern w:val="2"/>
          <w:sz w:val="21"/>
          <w:szCs w:val="21"/>
        </w:rPr>
        <w:t>米。根据估价委托人提供的《估价委托书》及《房屋收购协议》</w:t>
      </w:r>
      <w:r>
        <w:rPr>
          <w:rFonts w:ascii="Arial" w:hAnsi="Arial" w:cs="Arial" w:hint="eastAsia"/>
          <w:kern w:val="2"/>
          <w:sz w:val="21"/>
          <w:szCs w:val="21"/>
        </w:rPr>
        <w:t>[</w:t>
      </w:r>
      <w:r>
        <w:rPr>
          <w:rFonts w:ascii="Arial" w:hAnsi="Arial" w:cs="Arial" w:hint="eastAsia"/>
          <w:kern w:val="2"/>
          <w:sz w:val="21"/>
          <w:szCs w:val="21"/>
        </w:rPr>
        <w:t>编号：</w:t>
      </w:r>
      <w:r>
        <w:rPr>
          <w:rFonts w:ascii="Arial" w:hAnsi="Arial" w:cs="Arial" w:hint="eastAsia"/>
          <w:kern w:val="2"/>
          <w:sz w:val="21"/>
          <w:szCs w:val="21"/>
        </w:rPr>
        <w:t>2</w:t>
      </w:r>
      <w:r>
        <w:rPr>
          <w:rFonts w:ascii="Arial" w:hAnsi="Arial" w:cs="Arial"/>
          <w:kern w:val="2"/>
          <w:sz w:val="21"/>
          <w:szCs w:val="21"/>
        </w:rPr>
        <w:t>020-</w:t>
      </w:r>
      <w:r>
        <w:rPr>
          <w:rFonts w:ascii="Arial" w:hAnsi="Arial" w:cs="Arial" w:hint="eastAsia"/>
          <w:kern w:val="2"/>
          <w:sz w:val="21"/>
          <w:szCs w:val="21"/>
        </w:rPr>
        <w:t>新元</w:t>
      </w:r>
      <w:r>
        <w:rPr>
          <w:rFonts w:ascii="Arial" w:hAnsi="Arial" w:cs="Arial" w:hint="eastAsia"/>
          <w:kern w:val="2"/>
          <w:sz w:val="21"/>
          <w:szCs w:val="21"/>
        </w:rPr>
        <w:t>-</w:t>
      </w:r>
      <w:r>
        <w:rPr>
          <w:rFonts w:ascii="Arial" w:hAnsi="Arial" w:cs="Arial" w:hint="eastAsia"/>
          <w:kern w:val="2"/>
          <w:sz w:val="21"/>
          <w:szCs w:val="21"/>
        </w:rPr>
        <w:t>综合</w:t>
      </w:r>
      <w:r>
        <w:rPr>
          <w:rFonts w:ascii="Arial" w:hAnsi="Arial" w:cs="Arial" w:hint="eastAsia"/>
          <w:kern w:val="2"/>
          <w:sz w:val="21"/>
          <w:szCs w:val="21"/>
        </w:rPr>
        <w:t>-</w:t>
      </w:r>
      <w:r>
        <w:rPr>
          <w:rFonts w:ascii="Arial" w:hAnsi="Arial" w:cs="Arial"/>
          <w:kern w:val="2"/>
          <w:sz w:val="21"/>
          <w:szCs w:val="21"/>
        </w:rPr>
        <w:t>17]</w:t>
      </w:r>
      <w:r>
        <w:rPr>
          <w:rFonts w:ascii="Arial" w:hAnsi="Arial" w:cs="Arial" w:hint="eastAsia"/>
          <w:kern w:val="2"/>
          <w:sz w:val="21"/>
          <w:szCs w:val="21"/>
        </w:rPr>
        <w:t>，确定本次估价范围建筑面积</w:t>
      </w:r>
      <w:r>
        <w:rPr>
          <w:rFonts w:ascii="Arial" w:hAnsi="Arial" w:cs="Arial"/>
          <w:kern w:val="2"/>
          <w:sz w:val="21"/>
          <w:szCs w:val="21"/>
        </w:rPr>
        <w:t>80734.26</w:t>
      </w:r>
      <w:r>
        <w:rPr>
          <w:rFonts w:ascii="Arial" w:hAnsi="Arial" w:cs="Arial" w:hint="eastAsia"/>
          <w:kern w:val="2"/>
          <w:sz w:val="21"/>
          <w:szCs w:val="21"/>
        </w:rPr>
        <w:t>平方米，可对外配租房屋共计</w:t>
      </w:r>
      <w:r>
        <w:rPr>
          <w:rFonts w:ascii="Arial" w:hAnsi="Arial" w:cs="Arial"/>
          <w:kern w:val="2"/>
          <w:sz w:val="21"/>
          <w:szCs w:val="21"/>
        </w:rPr>
        <w:t>1487</w:t>
      </w:r>
      <w:r>
        <w:rPr>
          <w:rFonts w:ascii="Arial" w:hAnsi="Arial" w:cs="Arial" w:hint="eastAsia"/>
          <w:kern w:val="2"/>
          <w:sz w:val="21"/>
          <w:szCs w:val="21"/>
        </w:rPr>
        <w:t>套。房源具体户型等情况详见下表：</w:t>
      </w:r>
    </w:p>
    <w:tbl>
      <w:tblPr>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7"/>
        <w:gridCol w:w="2716"/>
        <w:gridCol w:w="1265"/>
        <w:gridCol w:w="2896"/>
        <w:gridCol w:w="1325"/>
      </w:tblGrid>
      <w:tr w:rsidR="00000000" w14:paraId="7C8CE3EC" w14:textId="77777777">
        <w:trPr>
          <w:trHeight w:val="340"/>
          <w:jc w:val="center"/>
        </w:trPr>
        <w:tc>
          <w:tcPr>
            <w:tcW w:w="585" w:type="pct"/>
            <w:vAlign w:val="center"/>
          </w:tcPr>
          <w:p w14:paraId="77766453"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户</w:t>
            </w:r>
            <w:r>
              <w:rPr>
                <w:rFonts w:ascii="华文细黑" w:eastAsia="华文细黑" w:hAnsi="华文细黑" w:cs="Arial"/>
                <w:kern w:val="2"/>
                <w:sz w:val="18"/>
                <w:szCs w:val="18"/>
              </w:rPr>
              <w:t>型</w:t>
            </w:r>
          </w:p>
        </w:tc>
        <w:tc>
          <w:tcPr>
            <w:tcW w:w="1462" w:type="pct"/>
            <w:vAlign w:val="center"/>
          </w:tcPr>
          <w:p w14:paraId="13F3CACD"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各套建筑面积（㎡）</w:t>
            </w:r>
          </w:p>
        </w:tc>
        <w:tc>
          <w:tcPr>
            <w:tcW w:w="681" w:type="pct"/>
            <w:vAlign w:val="center"/>
          </w:tcPr>
          <w:p w14:paraId="0AB7DDB0"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套数</w:t>
            </w:r>
          </w:p>
        </w:tc>
        <w:tc>
          <w:tcPr>
            <w:tcW w:w="1559" w:type="pct"/>
            <w:vAlign w:val="center"/>
          </w:tcPr>
          <w:p w14:paraId="4AC059CA"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总建筑面积（㎡）</w:t>
            </w:r>
          </w:p>
        </w:tc>
        <w:tc>
          <w:tcPr>
            <w:tcW w:w="713" w:type="pct"/>
            <w:vAlign w:val="center"/>
          </w:tcPr>
          <w:p w14:paraId="504184B5"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朝向</w:t>
            </w:r>
          </w:p>
        </w:tc>
      </w:tr>
      <w:tr w:rsidR="00000000" w14:paraId="67C5BF88" w14:textId="77777777">
        <w:trPr>
          <w:trHeight w:val="340"/>
          <w:jc w:val="center"/>
        </w:trPr>
        <w:tc>
          <w:tcPr>
            <w:tcW w:w="585" w:type="pct"/>
            <w:vAlign w:val="center"/>
          </w:tcPr>
          <w:p w14:paraId="4410E293" w14:textId="77777777" w:rsidR="00000000" w:rsidRDefault="00000000">
            <w:pPr>
              <w:overflowPunct w:val="0"/>
              <w:spacing w:line="240"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开间</w:t>
            </w:r>
          </w:p>
        </w:tc>
        <w:tc>
          <w:tcPr>
            <w:tcW w:w="1462" w:type="pct"/>
            <w:vAlign w:val="center"/>
          </w:tcPr>
          <w:p w14:paraId="56D0F565" w14:textId="77777777" w:rsidR="00000000" w:rsidRDefault="00000000">
            <w:pPr>
              <w:widowControl/>
              <w:adjustRightInd/>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25.44-50.91</w:t>
            </w:r>
          </w:p>
        </w:tc>
        <w:tc>
          <w:tcPr>
            <w:tcW w:w="681" w:type="pct"/>
            <w:vAlign w:val="center"/>
          </w:tcPr>
          <w:p w14:paraId="29631549" w14:textId="77777777" w:rsidR="00000000" w:rsidRDefault="00000000">
            <w:pPr>
              <w:widowControl/>
              <w:adjustRightInd/>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201</w:t>
            </w:r>
          </w:p>
        </w:tc>
        <w:tc>
          <w:tcPr>
            <w:tcW w:w="1559" w:type="pct"/>
            <w:vAlign w:val="center"/>
          </w:tcPr>
          <w:p w14:paraId="59345315" w14:textId="77777777" w:rsidR="00000000" w:rsidRDefault="00000000">
            <w:pPr>
              <w:widowControl/>
              <w:adjustRightInd/>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9227.08</w:t>
            </w:r>
          </w:p>
        </w:tc>
        <w:tc>
          <w:tcPr>
            <w:tcW w:w="713" w:type="pct"/>
            <w:vAlign w:val="center"/>
          </w:tcPr>
          <w:p w14:paraId="476423FF" w14:textId="77777777" w:rsidR="00000000" w:rsidRDefault="00000000">
            <w:pPr>
              <w:widowControl/>
              <w:adjustRightInd/>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南</w:t>
            </w:r>
          </w:p>
        </w:tc>
      </w:tr>
      <w:tr w:rsidR="00000000" w14:paraId="640112C9" w14:textId="77777777">
        <w:trPr>
          <w:trHeight w:val="340"/>
          <w:jc w:val="center"/>
        </w:trPr>
        <w:tc>
          <w:tcPr>
            <w:tcW w:w="585" w:type="pct"/>
            <w:vMerge w:val="restart"/>
            <w:vAlign w:val="center"/>
          </w:tcPr>
          <w:p w14:paraId="2851B2B4"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一</w:t>
            </w:r>
            <w:r>
              <w:rPr>
                <w:rFonts w:ascii="华文细黑" w:eastAsia="华文细黑" w:hAnsi="华文细黑" w:cs="Arial"/>
                <w:kern w:val="2"/>
                <w:sz w:val="18"/>
                <w:szCs w:val="18"/>
              </w:rPr>
              <w:t>居</w:t>
            </w:r>
          </w:p>
        </w:tc>
        <w:tc>
          <w:tcPr>
            <w:tcW w:w="1462" w:type="pct"/>
            <w:vAlign w:val="center"/>
          </w:tcPr>
          <w:p w14:paraId="61416540"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50.91-62.94</w:t>
            </w:r>
          </w:p>
        </w:tc>
        <w:tc>
          <w:tcPr>
            <w:tcW w:w="681" w:type="pct"/>
            <w:vAlign w:val="center"/>
          </w:tcPr>
          <w:p w14:paraId="24D63B7E"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427</w:t>
            </w:r>
          </w:p>
        </w:tc>
        <w:tc>
          <w:tcPr>
            <w:tcW w:w="1559" w:type="pct"/>
            <w:vAlign w:val="center"/>
          </w:tcPr>
          <w:p w14:paraId="49B51230"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24126.11</w:t>
            </w:r>
          </w:p>
        </w:tc>
        <w:tc>
          <w:tcPr>
            <w:tcW w:w="713" w:type="pct"/>
            <w:vAlign w:val="center"/>
          </w:tcPr>
          <w:p w14:paraId="428784DE"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东</w:t>
            </w:r>
          </w:p>
        </w:tc>
      </w:tr>
      <w:tr w:rsidR="00000000" w14:paraId="72376711" w14:textId="77777777">
        <w:trPr>
          <w:trHeight w:val="340"/>
          <w:jc w:val="center"/>
        </w:trPr>
        <w:tc>
          <w:tcPr>
            <w:tcW w:w="585" w:type="pct"/>
            <w:vMerge/>
            <w:vAlign w:val="center"/>
          </w:tcPr>
          <w:p w14:paraId="183A9691"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p>
        </w:tc>
        <w:tc>
          <w:tcPr>
            <w:tcW w:w="1462" w:type="pct"/>
            <w:vAlign w:val="center"/>
          </w:tcPr>
          <w:p w14:paraId="1AAF0195"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38.46-51.96</w:t>
            </w:r>
          </w:p>
        </w:tc>
        <w:tc>
          <w:tcPr>
            <w:tcW w:w="681" w:type="pct"/>
            <w:vAlign w:val="center"/>
          </w:tcPr>
          <w:p w14:paraId="46DC80DA"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231</w:t>
            </w:r>
          </w:p>
        </w:tc>
        <w:tc>
          <w:tcPr>
            <w:tcW w:w="1559" w:type="pct"/>
            <w:vAlign w:val="center"/>
          </w:tcPr>
          <w:p w14:paraId="14480F3A"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11061.45</w:t>
            </w:r>
          </w:p>
        </w:tc>
        <w:tc>
          <w:tcPr>
            <w:tcW w:w="713" w:type="pct"/>
            <w:vAlign w:val="center"/>
          </w:tcPr>
          <w:p w14:paraId="2B7CEA5B"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南</w:t>
            </w:r>
          </w:p>
        </w:tc>
      </w:tr>
      <w:tr w:rsidR="00000000" w14:paraId="3C109B97" w14:textId="77777777">
        <w:trPr>
          <w:trHeight w:val="340"/>
          <w:jc w:val="center"/>
        </w:trPr>
        <w:tc>
          <w:tcPr>
            <w:tcW w:w="585" w:type="pct"/>
            <w:vMerge/>
            <w:vAlign w:val="center"/>
          </w:tcPr>
          <w:p w14:paraId="5279F85A"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p>
        </w:tc>
        <w:tc>
          <w:tcPr>
            <w:tcW w:w="1462" w:type="pct"/>
            <w:vAlign w:val="center"/>
          </w:tcPr>
          <w:p w14:paraId="2C39743B"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51.05-60.85</w:t>
            </w:r>
          </w:p>
        </w:tc>
        <w:tc>
          <w:tcPr>
            <w:tcW w:w="681" w:type="pct"/>
            <w:vAlign w:val="center"/>
          </w:tcPr>
          <w:p w14:paraId="332CC59D"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442</w:t>
            </w:r>
          </w:p>
        </w:tc>
        <w:tc>
          <w:tcPr>
            <w:tcW w:w="1559" w:type="pct"/>
            <w:vAlign w:val="center"/>
          </w:tcPr>
          <w:p w14:paraId="57A5EB21"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24982.07</w:t>
            </w:r>
          </w:p>
        </w:tc>
        <w:tc>
          <w:tcPr>
            <w:tcW w:w="713" w:type="pct"/>
            <w:vAlign w:val="center"/>
          </w:tcPr>
          <w:p w14:paraId="133A3BB0"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西</w:t>
            </w:r>
          </w:p>
        </w:tc>
      </w:tr>
      <w:tr w:rsidR="00000000" w14:paraId="2CAE59B4" w14:textId="77777777">
        <w:trPr>
          <w:trHeight w:val="340"/>
          <w:jc w:val="center"/>
        </w:trPr>
        <w:tc>
          <w:tcPr>
            <w:tcW w:w="2047" w:type="pct"/>
            <w:gridSpan w:val="2"/>
            <w:vAlign w:val="center"/>
          </w:tcPr>
          <w:p w14:paraId="642DC2B9"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小计</w:t>
            </w:r>
          </w:p>
        </w:tc>
        <w:tc>
          <w:tcPr>
            <w:tcW w:w="681" w:type="pct"/>
            <w:vAlign w:val="center"/>
          </w:tcPr>
          <w:p w14:paraId="4A942F5D"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w:t>
            </w:r>
            <w:r>
              <w:rPr>
                <w:rFonts w:ascii="华文细黑" w:eastAsia="华文细黑" w:hAnsi="华文细黑" w:cs="Arial"/>
                <w:kern w:val="2"/>
                <w:sz w:val="18"/>
                <w:szCs w:val="18"/>
              </w:rPr>
              <w:t>100</w:t>
            </w:r>
          </w:p>
        </w:tc>
        <w:tc>
          <w:tcPr>
            <w:tcW w:w="1559" w:type="pct"/>
            <w:vAlign w:val="center"/>
          </w:tcPr>
          <w:p w14:paraId="31E9DBCD"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kern w:val="2"/>
                <w:sz w:val="18"/>
                <w:szCs w:val="18"/>
              </w:rPr>
              <w:t>60169.63</w:t>
            </w:r>
          </w:p>
        </w:tc>
        <w:tc>
          <w:tcPr>
            <w:tcW w:w="713" w:type="pct"/>
            <w:vAlign w:val="center"/>
          </w:tcPr>
          <w:p w14:paraId="73A21937"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w:t>
            </w:r>
          </w:p>
        </w:tc>
      </w:tr>
      <w:tr w:rsidR="00000000" w14:paraId="3CB42B16" w14:textId="77777777">
        <w:trPr>
          <w:trHeight w:val="340"/>
          <w:jc w:val="center"/>
        </w:trPr>
        <w:tc>
          <w:tcPr>
            <w:tcW w:w="585" w:type="pct"/>
            <w:vMerge w:val="restart"/>
            <w:vAlign w:val="center"/>
          </w:tcPr>
          <w:p w14:paraId="37B418A5"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二</w:t>
            </w:r>
            <w:r>
              <w:rPr>
                <w:rFonts w:ascii="华文细黑" w:eastAsia="华文细黑" w:hAnsi="华文细黑" w:cs="Arial"/>
                <w:kern w:val="2"/>
                <w:sz w:val="18"/>
                <w:szCs w:val="18"/>
              </w:rPr>
              <w:t>居</w:t>
            </w:r>
          </w:p>
        </w:tc>
        <w:tc>
          <w:tcPr>
            <w:tcW w:w="1462" w:type="pct"/>
            <w:vAlign w:val="center"/>
          </w:tcPr>
          <w:p w14:paraId="13224C02"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60.42-61.34</w:t>
            </w:r>
          </w:p>
        </w:tc>
        <w:tc>
          <w:tcPr>
            <w:tcW w:w="681" w:type="pct"/>
            <w:vAlign w:val="center"/>
          </w:tcPr>
          <w:p w14:paraId="25CAA8F1"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92</w:t>
            </w:r>
          </w:p>
        </w:tc>
        <w:tc>
          <w:tcPr>
            <w:tcW w:w="1559" w:type="pct"/>
            <w:vAlign w:val="center"/>
          </w:tcPr>
          <w:p w14:paraId="6ABFF293"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5608.43</w:t>
            </w:r>
          </w:p>
        </w:tc>
        <w:tc>
          <w:tcPr>
            <w:tcW w:w="713" w:type="pct"/>
            <w:vAlign w:val="center"/>
          </w:tcPr>
          <w:p w14:paraId="60C9E71D"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东</w:t>
            </w:r>
          </w:p>
        </w:tc>
      </w:tr>
      <w:tr w:rsidR="00000000" w14:paraId="2FFD42E3" w14:textId="77777777">
        <w:trPr>
          <w:trHeight w:val="340"/>
          <w:jc w:val="center"/>
        </w:trPr>
        <w:tc>
          <w:tcPr>
            <w:tcW w:w="585" w:type="pct"/>
            <w:vMerge/>
            <w:vAlign w:val="center"/>
          </w:tcPr>
          <w:p w14:paraId="66E5C5E1"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p>
        </w:tc>
        <w:tc>
          <w:tcPr>
            <w:tcW w:w="1462" w:type="pct"/>
            <w:vAlign w:val="center"/>
          </w:tcPr>
          <w:p w14:paraId="17E52F3E"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60.42-61.34</w:t>
            </w:r>
          </w:p>
        </w:tc>
        <w:tc>
          <w:tcPr>
            <w:tcW w:w="681" w:type="pct"/>
            <w:vAlign w:val="center"/>
          </w:tcPr>
          <w:p w14:paraId="4E522395"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94</w:t>
            </w:r>
          </w:p>
        </w:tc>
        <w:tc>
          <w:tcPr>
            <w:tcW w:w="1559" w:type="pct"/>
            <w:vAlign w:val="center"/>
          </w:tcPr>
          <w:p w14:paraId="402BDE99"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5729.12</w:t>
            </w:r>
          </w:p>
        </w:tc>
        <w:tc>
          <w:tcPr>
            <w:tcW w:w="713" w:type="pct"/>
            <w:vAlign w:val="center"/>
          </w:tcPr>
          <w:p w14:paraId="6E077AC1"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西</w:t>
            </w:r>
          </w:p>
        </w:tc>
      </w:tr>
      <w:tr w:rsidR="00000000" w14:paraId="70FE1348" w14:textId="77777777">
        <w:trPr>
          <w:trHeight w:val="340"/>
          <w:jc w:val="center"/>
        </w:trPr>
        <w:tc>
          <w:tcPr>
            <w:tcW w:w="2047" w:type="pct"/>
            <w:gridSpan w:val="2"/>
            <w:vAlign w:val="center"/>
          </w:tcPr>
          <w:p w14:paraId="21FBD336"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小计</w:t>
            </w:r>
          </w:p>
        </w:tc>
        <w:tc>
          <w:tcPr>
            <w:tcW w:w="681" w:type="pct"/>
            <w:vAlign w:val="center"/>
          </w:tcPr>
          <w:p w14:paraId="54E282CD"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w:t>
            </w:r>
            <w:r>
              <w:rPr>
                <w:rFonts w:ascii="华文细黑" w:eastAsia="华文细黑" w:hAnsi="华文细黑" w:cs="Arial"/>
                <w:kern w:val="2"/>
                <w:sz w:val="18"/>
                <w:szCs w:val="18"/>
              </w:rPr>
              <w:t>86</w:t>
            </w:r>
          </w:p>
        </w:tc>
        <w:tc>
          <w:tcPr>
            <w:tcW w:w="1559" w:type="pct"/>
            <w:vAlign w:val="center"/>
          </w:tcPr>
          <w:p w14:paraId="10C0D78E"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w:t>
            </w:r>
            <w:r>
              <w:rPr>
                <w:rFonts w:ascii="华文细黑" w:eastAsia="华文细黑" w:hAnsi="华文细黑" w:cs="Arial"/>
                <w:kern w:val="2"/>
                <w:sz w:val="18"/>
                <w:szCs w:val="18"/>
              </w:rPr>
              <w:t>1337.55</w:t>
            </w:r>
          </w:p>
        </w:tc>
        <w:tc>
          <w:tcPr>
            <w:tcW w:w="713" w:type="pct"/>
            <w:vAlign w:val="center"/>
          </w:tcPr>
          <w:p w14:paraId="511A1756"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w:t>
            </w:r>
          </w:p>
        </w:tc>
      </w:tr>
      <w:tr w:rsidR="00000000" w14:paraId="329B5295" w14:textId="77777777">
        <w:trPr>
          <w:trHeight w:val="340"/>
          <w:jc w:val="center"/>
        </w:trPr>
        <w:tc>
          <w:tcPr>
            <w:tcW w:w="2047" w:type="pct"/>
            <w:gridSpan w:val="2"/>
            <w:vAlign w:val="center"/>
          </w:tcPr>
          <w:p w14:paraId="5E36B793"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合计</w:t>
            </w:r>
          </w:p>
        </w:tc>
        <w:tc>
          <w:tcPr>
            <w:tcW w:w="681" w:type="pct"/>
            <w:vAlign w:val="center"/>
          </w:tcPr>
          <w:p w14:paraId="742D7D82"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w:t>
            </w:r>
            <w:r>
              <w:rPr>
                <w:rFonts w:ascii="华文细黑" w:eastAsia="华文细黑" w:hAnsi="华文细黑" w:cs="Arial"/>
                <w:kern w:val="2"/>
                <w:sz w:val="18"/>
                <w:szCs w:val="18"/>
              </w:rPr>
              <w:t>487</w:t>
            </w:r>
          </w:p>
        </w:tc>
        <w:tc>
          <w:tcPr>
            <w:tcW w:w="1559" w:type="pct"/>
            <w:vAlign w:val="center"/>
          </w:tcPr>
          <w:p w14:paraId="1034CEC7"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8</w:t>
            </w:r>
            <w:r>
              <w:rPr>
                <w:rFonts w:ascii="华文细黑" w:eastAsia="华文细黑" w:hAnsi="华文细黑" w:cs="Arial"/>
                <w:kern w:val="2"/>
                <w:sz w:val="18"/>
                <w:szCs w:val="18"/>
              </w:rPr>
              <w:t>0734.26</w:t>
            </w:r>
          </w:p>
        </w:tc>
        <w:tc>
          <w:tcPr>
            <w:tcW w:w="713" w:type="pct"/>
            <w:vAlign w:val="center"/>
          </w:tcPr>
          <w:p w14:paraId="54ED6728"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w:t>
            </w:r>
          </w:p>
        </w:tc>
      </w:tr>
    </w:tbl>
    <w:p w14:paraId="0BBBEAEF" w14:textId="77777777" w:rsidR="00000000" w:rsidRDefault="00000000">
      <w:pPr>
        <w:wordWrap w:val="0"/>
        <w:overflowPunct w:val="0"/>
        <w:spacing w:beforeLines="100" w:before="240"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北京经济技术开发区鹿海园五里</w:t>
      </w:r>
      <w:r>
        <w:rPr>
          <w:rFonts w:ascii="Arial" w:hAnsi="Arial" w:cs="Arial" w:hint="eastAsia"/>
          <w:kern w:val="2"/>
          <w:sz w:val="21"/>
          <w:szCs w:val="21"/>
        </w:rPr>
        <w:t>1</w:t>
      </w:r>
      <w:r>
        <w:rPr>
          <w:rFonts w:ascii="Arial" w:hAnsi="Arial" w:cs="Arial"/>
          <w:kern w:val="2"/>
          <w:sz w:val="21"/>
          <w:szCs w:val="21"/>
        </w:rPr>
        <w:t>-13</w:t>
      </w:r>
      <w:r>
        <w:rPr>
          <w:rFonts w:ascii="Arial" w:hAnsi="Arial" w:cs="Arial" w:hint="eastAsia"/>
          <w:kern w:val="2"/>
          <w:sz w:val="21"/>
          <w:szCs w:val="21"/>
        </w:rPr>
        <w:t>号楼，建筑类型均为高层板楼，楼宇主体建筑结构为装配式剪力墙（钢混），建筑层数多为地上</w:t>
      </w:r>
      <w:r>
        <w:rPr>
          <w:rFonts w:ascii="Arial" w:hAnsi="Arial" w:cs="Arial"/>
          <w:kern w:val="2"/>
          <w:sz w:val="21"/>
          <w:szCs w:val="21"/>
        </w:rPr>
        <w:t>20</w:t>
      </w:r>
      <w:r>
        <w:rPr>
          <w:rFonts w:ascii="Arial" w:hAnsi="Arial" w:cs="Arial" w:hint="eastAsia"/>
          <w:kern w:val="2"/>
          <w:sz w:val="21"/>
          <w:szCs w:val="21"/>
        </w:rPr>
        <w:t>层。根据估价委托人提供的《估价委托书》及《房屋交接书》，确定本次估价范围建筑面积</w:t>
      </w:r>
      <w:r>
        <w:rPr>
          <w:rFonts w:ascii="Arial" w:hAnsi="Arial" w:cs="Arial"/>
          <w:kern w:val="2"/>
          <w:sz w:val="21"/>
          <w:szCs w:val="21"/>
        </w:rPr>
        <w:t>121829.32</w:t>
      </w:r>
      <w:r>
        <w:rPr>
          <w:rFonts w:ascii="Arial" w:hAnsi="Arial" w:cs="Arial" w:hint="eastAsia"/>
          <w:kern w:val="2"/>
          <w:sz w:val="21"/>
          <w:szCs w:val="21"/>
        </w:rPr>
        <w:t>平方米，可对外配租房屋共计</w:t>
      </w:r>
      <w:r>
        <w:rPr>
          <w:rFonts w:ascii="Arial" w:hAnsi="Arial" w:cs="Arial"/>
          <w:kern w:val="2"/>
          <w:sz w:val="21"/>
          <w:szCs w:val="21"/>
        </w:rPr>
        <w:t>1231</w:t>
      </w:r>
      <w:r>
        <w:rPr>
          <w:rFonts w:ascii="Arial" w:hAnsi="Arial" w:cs="Arial" w:hint="eastAsia"/>
          <w:kern w:val="2"/>
          <w:sz w:val="21"/>
          <w:szCs w:val="21"/>
        </w:rPr>
        <w:t>套。房源具体户型等情况详见下表：</w:t>
      </w:r>
    </w:p>
    <w:tbl>
      <w:tblPr>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7"/>
        <w:gridCol w:w="2716"/>
        <w:gridCol w:w="1265"/>
        <w:gridCol w:w="2896"/>
        <w:gridCol w:w="1325"/>
      </w:tblGrid>
      <w:tr w:rsidR="00000000" w14:paraId="56652496" w14:textId="77777777">
        <w:trPr>
          <w:trHeight w:val="340"/>
          <w:tblHeader/>
          <w:jc w:val="center"/>
        </w:trPr>
        <w:tc>
          <w:tcPr>
            <w:tcW w:w="585" w:type="pct"/>
            <w:vAlign w:val="center"/>
          </w:tcPr>
          <w:p w14:paraId="43308D45"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户</w:t>
            </w:r>
            <w:r>
              <w:rPr>
                <w:rFonts w:ascii="华文细黑" w:eastAsia="华文细黑" w:hAnsi="华文细黑" w:cs="Arial"/>
                <w:kern w:val="2"/>
                <w:sz w:val="18"/>
                <w:szCs w:val="18"/>
              </w:rPr>
              <w:t>型</w:t>
            </w:r>
          </w:p>
        </w:tc>
        <w:tc>
          <w:tcPr>
            <w:tcW w:w="1462" w:type="pct"/>
            <w:vAlign w:val="center"/>
          </w:tcPr>
          <w:p w14:paraId="38A85D9E"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各套建筑面积（㎡）</w:t>
            </w:r>
          </w:p>
        </w:tc>
        <w:tc>
          <w:tcPr>
            <w:tcW w:w="681" w:type="pct"/>
            <w:vAlign w:val="center"/>
          </w:tcPr>
          <w:p w14:paraId="2E1C502A"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套数</w:t>
            </w:r>
          </w:p>
        </w:tc>
        <w:tc>
          <w:tcPr>
            <w:tcW w:w="1559" w:type="pct"/>
            <w:vAlign w:val="center"/>
          </w:tcPr>
          <w:p w14:paraId="0F3C25F7"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总建筑面积（㎡）</w:t>
            </w:r>
          </w:p>
        </w:tc>
        <w:tc>
          <w:tcPr>
            <w:tcW w:w="713" w:type="pct"/>
            <w:vAlign w:val="center"/>
          </w:tcPr>
          <w:p w14:paraId="11892BE1"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kern w:val="2"/>
                <w:sz w:val="18"/>
                <w:szCs w:val="18"/>
              </w:rPr>
              <w:t>朝向</w:t>
            </w:r>
          </w:p>
        </w:tc>
      </w:tr>
      <w:tr w:rsidR="00000000" w14:paraId="3255BC16" w14:textId="77777777">
        <w:trPr>
          <w:trHeight w:val="340"/>
          <w:jc w:val="center"/>
        </w:trPr>
        <w:tc>
          <w:tcPr>
            <w:tcW w:w="585" w:type="pct"/>
            <w:vMerge w:val="restart"/>
            <w:vAlign w:val="center"/>
          </w:tcPr>
          <w:p w14:paraId="01398422" w14:textId="77777777" w:rsidR="00000000" w:rsidRDefault="00000000">
            <w:pPr>
              <w:overflowPunct w:val="0"/>
              <w:spacing w:line="240"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一</w:t>
            </w:r>
            <w:r>
              <w:rPr>
                <w:rFonts w:ascii="华文细黑" w:eastAsia="华文细黑" w:hAnsi="华文细黑" w:cs="Arial"/>
                <w:kern w:val="2"/>
                <w:sz w:val="18"/>
                <w:szCs w:val="18"/>
              </w:rPr>
              <w:t>居</w:t>
            </w:r>
          </w:p>
        </w:tc>
        <w:tc>
          <w:tcPr>
            <w:tcW w:w="1462" w:type="pct"/>
            <w:vAlign w:val="center"/>
          </w:tcPr>
          <w:p w14:paraId="168EC693" w14:textId="77777777" w:rsidR="00000000" w:rsidRDefault="00000000">
            <w:pPr>
              <w:widowControl/>
              <w:adjustRightInd/>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51.15-71.3</w:t>
            </w:r>
          </w:p>
        </w:tc>
        <w:tc>
          <w:tcPr>
            <w:tcW w:w="681" w:type="pct"/>
            <w:vAlign w:val="center"/>
          </w:tcPr>
          <w:p w14:paraId="7E64AE0C" w14:textId="77777777" w:rsidR="00000000" w:rsidRDefault="00000000">
            <w:pPr>
              <w:widowControl/>
              <w:adjustRightInd/>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110</w:t>
            </w:r>
          </w:p>
        </w:tc>
        <w:tc>
          <w:tcPr>
            <w:tcW w:w="1559" w:type="pct"/>
            <w:vAlign w:val="center"/>
          </w:tcPr>
          <w:p w14:paraId="7775F3FC" w14:textId="77777777" w:rsidR="00000000" w:rsidRDefault="00000000">
            <w:pPr>
              <w:widowControl/>
              <w:adjustRightInd/>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7338.79</w:t>
            </w:r>
          </w:p>
        </w:tc>
        <w:tc>
          <w:tcPr>
            <w:tcW w:w="713" w:type="pct"/>
          </w:tcPr>
          <w:p w14:paraId="031E0941" w14:textId="77777777" w:rsidR="00000000" w:rsidRDefault="00000000">
            <w:pPr>
              <w:overflowPunct w:val="0"/>
              <w:spacing w:line="240"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东</w:t>
            </w:r>
          </w:p>
        </w:tc>
      </w:tr>
      <w:tr w:rsidR="00000000" w14:paraId="117B92F3" w14:textId="77777777">
        <w:trPr>
          <w:trHeight w:val="340"/>
          <w:jc w:val="center"/>
        </w:trPr>
        <w:tc>
          <w:tcPr>
            <w:tcW w:w="585" w:type="pct"/>
            <w:vMerge/>
            <w:vAlign w:val="center"/>
          </w:tcPr>
          <w:p w14:paraId="1E1D57B0" w14:textId="77777777" w:rsidR="00000000" w:rsidRDefault="00000000">
            <w:pPr>
              <w:overflowPunct w:val="0"/>
              <w:spacing w:line="240" w:lineRule="auto"/>
              <w:jc w:val="center"/>
              <w:textAlignment w:val="auto"/>
              <w:rPr>
                <w:rFonts w:ascii="华文细黑" w:eastAsia="华文细黑" w:hAnsi="华文细黑" w:cs="Arial" w:hint="eastAsia"/>
                <w:kern w:val="2"/>
                <w:sz w:val="18"/>
                <w:szCs w:val="18"/>
              </w:rPr>
            </w:pPr>
          </w:p>
        </w:tc>
        <w:tc>
          <w:tcPr>
            <w:tcW w:w="1462" w:type="pct"/>
            <w:vAlign w:val="center"/>
          </w:tcPr>
          <w:p w14:paraId="66B9AE30"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70-71.05</w:t>
            </w:r>
          </w:p>
        </w:tc>
        <w:tc>
          <w:tcPr>
            <w:tcW w:w="681" w:type="pct"/>
            <w:vAlign w:val="center"/>
          </w:tcPr>
          <w:p w14:paraId="7C5C4A90"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114</w:t>
            </w:r>
          </w:p>
        </w:tc>
        <w:tc>
          <w:tcPr>
            <w:tcW w:w="1559" w:type="pct"/>
            <w:vAlign w:val="center"/>
          </w:tcPr>
          <w:p w14:paraId="7BA5826D"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8063.76</w:t>
            </w:r>
          </w:p>
        </w:tc>
        <w:tc>
          <w:tcPr>
            <w:tcW w:w="713" w:type="pct"/>
          </w:tcPr>
          <w:p w14:paraId="17898337" w14:textId="77777777" w:rsidR="00000000" w:rsidRDefault="00000000">
            <w:pPr>
              <w:overflowPunct w:val="0"/>
              <w:spacing w:line="240"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南</w:t>
            </w:r>
          </w:p>
        </w:tc>
      </w:tr>
      <w:tr w:rsidR="00000000" w14:paraId="2FE7613E" w14:textId="77777777">
        <w:trPr>
          <w:trHeight w:val="340"/>
          <w:jc w:val="center"/>
        </w:trPr>
        <w:tc>
          <w:tcPr>
            <w:tcW w:w="585" w:type="pct"/>
            <w:vMerge/>
            <w:vAlign w:val="center"/>
          </w:tcPr>
          <w:p w14:paraId="4CC13012" w14:textId="77777777" w:rsidR="00000000" w:rsidRDefault="00000000">
            <w:pPr>
              <w:overflowPunct w:val="0"/>
              <w:spacing w:line="240" w:lineRule="auto"/>
              <w:jc w:val="center"/>
              <w:textAlignment w:val="auto"/>
              <w:rPr>
                <w:rFonts w:ascii="华文细黑" w:eastAsia="华文细黑" w:hAnsi="华文细黑" w:cs="Arial" w:hint="eastAsia"/>
                <w:kern w:val="2"/>
                <w:sz w:val="18"/>
                <w:szCs w:val="18"/>
              </w:rPr>
            </w:pPr>
          </w:p>
        </w:tc>
        <w:tc>
          <w:tcPr>
            <w:tcW w:w="1462" w:type="pct"/>
            <w:vAlign w:val="center"/>
          </w:tcPr>
          <w:p w14:paraId="2A5DFA6E"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51.14-71.3</w:t>
            </w:r>
          </w:p>
        </w:tc>
        <w:tc>
          <w:tcPr>
            <w:tcW w:w="681" w:type="pct"/>
            <w:vAlign w:val="center"/>
          </w:tcPr>
          <w:p w14:paraId="725D2A45"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110</w:t>
            </w:r>
          </w:p>
        </w:tc>
        <w:tc>
          <w:tcPr>
            <w:tcW w:w="1559" w:type="pct"/>
            <w:vAlign w:val="center"/>
          </w:tcPr>
          <w:p w14:paraId="7B2B90E0"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7307.39</w:t>
            </w:r>
          </w:p>
        </w:tc>
        <w:tc>
          <w:tcPr>
            <w:tcW w:w="713" w:type="pct"/>
          </w:tcPr>
          <w:p w14:paraId="5161CC4C" w14:textId="77777777" w:rsidR="00000000" w:rsidRDefault="00000000">
            <w:pPr>
              <w:overflowPunct w:val="0"/>
              <w:spacing w:line="240"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西</w:t>
            </w:r>
          </w:p>
        </w:tc>
      </w:tr>
      <w:tr w:rsidR="00000000" w14:paraId="04EF66D1" w14:textId="77777777">
        <w:trPr>
          <w:trHeight w:val="340"/>
          <w:jc w:val="center"/>
        </w:trPr>
        <w:tc>
          <w:tcPr>
            <w:tcW w:w="2047" w:type="pct"/>
            <w:gridSpan w:val="2"/>
            <w:vAlign w:val="center"/>
          </w:tcPr>
          <w:p w14:paraId="5A8A54FF"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小计</w:t>
            </w:r>
          </w:p>
        </w:tc>
        <w:tc>
          <w:tcPr>
            <w:tcW w:w="681" w:type="pct"/>
            <w:vAlign w:val="center"/>
          </w:tcPr>
          <w:p w14:paraId="07EBB3CD"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3</w:t>
            </w:r>
            <w:r>
              <w:rPr>
                <w:rFonts w:ascii="华文细黑" w:eastAsia="华文细黑" w:hAnsi="华文细黑" w:cs="Arial"/>
                <w:kern w:val="2"/>
                <w:sz w:val="18"/>
                <w:szCs w:val="18"/>
              </w:rPr>
              <w:t>34</w:t>
            </w:r>
          </w:p>
        </w:tc>
        <w:tc>
          <w:tcPr>
            <w:tcW w:w="1559" w:type="pct"/>
            <w:vAlign w:val="center"/>
          </w:tcPr>
          <w:p w14:paraId="785D67EE"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r>
              <w:rPr>
                <w:rFonts w:ascii="华文细黑" w:eastAsia="华文细黑" w:hAnsi="华文细黑" w:cs="Arial"/>
                <w:kern w:val="2"/>
                <w:sz w:val="18"/>
                <w:szCs w:val="18"/>
              </w:rPr>
              <w:t>2709.94</w:t>
            </w:r>
          </w:p>
        </w:tc>
        <w:tc>
          <w:tcPr>
            <w:tcW w:w="713" w:type="pct"/>
          </w:tcPr>
          <w:p w14:paraId="326918F6" w14:textId="77777777" w:rsidR="00000000" w:rsidRDefault="00000000">
            <w:pPr>
              <w:overflowPunct w:val="0"/>
              <w:spacing w:line="240"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w:t>
            </w:r>
          </w:p>
        </w:tc>
      </w:tr>
      <w:tr w:rsidR="00000000" w14:paraId="5E513353" w14:textId="77777777">
        <w:trPr>
          <w:trHeight w:val="340"/>
          <w:jc w:val="center"/>
        </w:trPr>
        <w:tc>
          <w:tcPr>
            <w:tcW w:w="585" w:type="pct"/>
            <w:vMerge w:val="restart"/>
            <w:vAlign w:val="center"/>
          </w:tcPr>
          <w:p w14:paraId="6F482468"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lastRenderedPageBreak/>
              <w:t>二</w:t>
            </w:r>
            <w:r>
              <w:rPr>
                <w:rFonts w:ascii="华文细黑" w:eastAsia="华文细黑" w:hAnsi="华文细黑" w:cs="Arial"/>
                <w:kern w:val="2"/>
                <w:sz w:val="18"/>
                <w:szCs w:val="18"/>
              </w:rPr>
              <w:t>居</w:t>
            </w:r>
          </w:p>
        </w:tc>
        <w:tc>
          <w:tcPr>
            <w:tcW w:w="1462" w:type="pct"/>
            <w:vAlign w:val="center"/>
          </w:tcPr>
          <w:p w14:paraId="3DA9AABC"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98.27-98.36</w:t>
            </w:r>
          </w:p>
        </w:tc>
        <w:tc>
          <w:tcPr>
            <w:tcW w:w="681" w:type="pct"/>
            <w:vAlign w:val="center"/>
          </w:tcPr>
          <w:p w14:paraId="3107B900"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80</w:t>
            </w:r>
          </w:p>
        </w:tc>
        <w:tc>
          <w:tcPr>
            <w:tcW w:w="1559" w:type="pct"/>
            <w:vAlign w:val="center"/>
          </w:tcPr>
          <w:p w14:paraId="10511284"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7867.72</w:t>
            </w:r>
          </w:p>
        </w:tc>
        <w:tc>
          <w:tcPr>
            <w:tcW w:w="713" w:type="pct"/>
          </w:tcPr>
          <w:p w14:paraId="113FF972" w14:textId="77777777" w:rsidR="00000000" w:rsidRDefault="00000000">
            <w:pPr>
              <w:overflowPunct w:val="0"/>
              <w:spacing w:line="240"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北</w:t>
            </w:r>
          </w:p>
        </w:tc>
      </w:tr>
      <w:tr w:rsidR="00000000" w14:paraId="71117DBB" w14:textId="77777777">
        <w:trPr>
          <w:trHeight w:val="340"/>
          <w:jc w:val="center"/>
        </w:trPr>
        <w:tc>
          <w:tcPr>
            <w:tcW w:w="585" w:type="pct"/>
            <w:vMerge/>
            <w:vAlign w:val="center"/>
          </w:tcPr>
          <w:p w14:paraId="6C2AD7BC"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p>
        </w:tc>
        <w:tc>
          <w:tcPr>
            <w:tcW w:w="1462" w:type="pct"/>
            <w:vAlign w:val="center"/>
          </w:tcPr>
          <w:p w14:paraId="42A3264E"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94.39-110.57</w:t>
            </w:r>
          </w:p>
        </w:tc>
        <w:tc>
          <w:tcPr>
            <w:tcW w:w="681" w:type="pct"/>
            <w:vAlign w:val="center"/>
          </w:tcPr>
          <w:p w14:paraId="08016478"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501</w:t>
            </w:r>
          </w:p>
        </w:tc>
        <w:tc>
          <w:tcPr>
            <w:tcW w:w="1559" w:type="pct"/>
            <w:vAlign w:val="center"/>
          </w:tcPr>
          <w:p w14:paraId="3877F2D0"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52828.51</w:t>
            </w:r>
          </w:p>
        </w:tc>
        <w:tc>
          <w:tcPr>
            <w:tcW w:w="713" w:type="pct"/>
          </w:tcPr>
          <w:p w14:paraId="6CAAD746" w14:textId="77777777" w:rsidR="00000000" w:rsidRDefault="00000000">
            <w:pPr>
              <w:overflowPunct w:val="0"/>
              <w:spacing w:line="240"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南北</w:t>
            </w:r>
          </w:p>
        </w:tc>
      </w:tr>
      <w:tr w:rsidR="00000000" w14:paraId="54F92C18" w14:textId="77777777">
        <w:trPr>
          <w:trHeight w:val="340"/>
          <w:jc w:val="center"/>
        </w:trPr>
        <w:tc>
          <w:tcPr>
            <w:tcW w:w="585" w:type="pct"/>
            <w:vMerge/>
            <w:vAlign w:val="center"/>
          </w:tcPr>
          <w:p w14:paraId="47115EF4"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p>
        </w:tc>
        <w:tc>
          <w:tcPr>
            <w:tcW w:w="1462" w:type="pct"/>
            <w:vAlign w:val="center"/>
          </w:tcPr>
          <w:p w14:paraId="00747F66"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91.83-92.52</w:t>
            </w:r>
          </w:p>
        </w:tc>
        <w:tc>
          <w:tcPr>
            <w:tcW w:w="681" w:type="pct"/>
            <w:vAlign w:val="center"/>
          </w:tcPr>
          <w:p w14:paraId="10482DD8"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75</w:t>
            </w:r>
          </w:p>
        </w:tc>
        <w:tc>
          <w:tcPr>
            <w:tcW w:w="1559" w:type="pct"/>
            <w:vAlign w:val="center"/>
          </w:tcPr>
          <w:p w14:paraId="3C137D61"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6922.55</w:t>
            </w:r>
          </w:p>
        </w:tc>
        <w:tc>
          <w:tcPr>
            <w:tcW w:w="713" w:type="pct"/>
          </w:tcPr>
          <w:p w14:paraId="52BDC346" w14:textId="77777777" w:rsidR="00000000" w:rsidRDefault="00000000">
            <w:pPr>
              <w:overflowPunct w:val="0"/>
              <w:spacing w:line="240"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南</w:t>
            </w:r>
          </w:p>
        </w:tc>
      </w:tr>
      <w:tr w:rsidR="00000000" w14:paraId="4A56E299" w14:textId="77777777">
        <w:trPr>
          <w:trHeight w:val="340"/>
          <w:jc w:val="center"/>
        </w:trPr>
        <w:tc>
          <w:tcPr>
            <w:tcW w:w="2047" w:type="pct"/>
            <w:gridSpan w:val="2"/>
            <w:vAlign w:val="center"/>
          </w:tcPr>
          <w:p w14:paraId="761D827C"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小计</w:t>
            </w:r>
          </w:p>
        </w:tc>
        <w:tc>
          <w:tcPr>
            <w:tcW w:w="681" w:type="pct"/>
            <w:vAlign w:val="center"/>
          </w:tcPr>
          <w:p w14:paraId="6523D338"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6</w:t>
            </w:r>
            <w:r>
              <w:rPr>
                <w:rFonts w:ascii="华文细黑" w:eastAsia="华文细黑" w:hAnsi="华文细黑" w:cs="Arial"/>
                <w:kern w:val="2"/>
                <w:sz w:val="18"/>
                <w:szCs w:val="18"/>
              </w:rPr>
              <w:t>56</w:t>
            </w:r>
          </w:p>
        </w:tc>
        <w:tc>
          <w:tcPr>
            <w:tcW w:w="1559" w:type="pct"/>
            <w:vAlign w:val="center"/>
          </w:tcPr>
          <w:p w14:paraId="2A6AF512"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6</w:t>
            </w:r>
            <w:r>
              <w:rPr>
                <w:rFonts w:ascii="华文细黑" w:eastAsia="华文细黑" w:hAnsi="华文细黑" w:cs="Arial"/>
                <w:kern w:val="2"/>
                <w:sz w:val="18"/>
                <w:szCs w:val="18"/>
              </w:rPr>
              <w:t>7618.78</w:t>
            </w:r>
          </w:p>
        </w:tc>
        <w:tc>
          <w:tcPr>
            <w:tcW w:w="713" w:type="pct"/>
          </w:tcPr>
          <w:p w14:paraId="64487254" w14:textId="77777777" w:rsidR="00000000" w:rsidRDefault="00000000">
            <w:pPr>
              <w:overflowPunct w:val="0"/>
              <w:spacing w:line="240"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w:t>
            </w:r>
          </w:p>
        </w:tc>
      </w:tr>
      <w:tr w:rsidR="00000000" w14:paraId="165AD88F" w14:textId="77777777">
        <w:trPr>
          <w:trHeight w:val="340"/>
          <w:jc w:val="center"/>
        </w:trPr>
        <w:tc>
          <w:tcPr>
            <w:tcW w:w="585" w:type="pct"/>
            <w:vAlign w:val="center"/>
          </w:tcPr>
          <w:p w14:paraId="023FD882"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三</w:t>
            </w:r>
            <w:r>
              <w:rPr>
                <w:rFonts w:ascii="华文细黑" w:eastAsia="华文细黑" w:hAnsi="华文细黑" w:cs="Arial"/>
                <w:kern w:val="2"/>
                <w:sz w:val="18"/>
                <w:szCs w:val="18"/>
              </w:rPr>
              <w:t>居</w:t>
            </w:r>
          </w:p>
        </w:tc>
        <w:tc>
          <w:tcPr>
            <w:tcW w:w="1462" w:type="pct"/>
            <w:vAlign w:val="center"/>
          </w:tcPr>
          <w:p w14:paraId="6661AD4B"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123.14-131.57</w:t>
            </w:r>
          </w:p>
        </w:tc>
        <w:tc>
          <w:tcPr>
            <w:tcW w:w="681" w:type="pct"/>
            <w:vAlign w:val="center"/>
          </w:tcPr>
          <w:p w14:paraId="4C420DAF"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241</w:t>
            </w:r>
          </w:p>
        </w:tc>
        <w:tc>
          <w:tcPr>
            <w:tcW w:w="1559" w:type="pct"/>
            <w:vAlign w:val="center"/>
          </w:tcPr>
          <w:p w14:paraId="1D13D196" w14:textId="77777777" w:rsidR="00000000" w:rsidRDefault="00000000">
            <w:pPr>
              <w:spacing w:line="240" w:lineRule="auto"/>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31500.6</w:t>
            </w:r>
          </w:p>
        </w:tc>
        <w:tc>
          <w:tcPr>
            <w:tcW w:w="713" w:type="pct"/>
          </w:tcPr>
          <w:p w14:paraId="1C5C2742" w14:textId="77777777" w:rsidR="00000000" w:rsidRDefault="00000000">
            <w:pPr>
              <w:overflowPunct w:val="0"/>
              <w:spacing w:line="240" w:lineRule="auto"/>
              <w:jc w:val="center"/>
              <w:textAlignment w:val="auto"/>
              <w:rPr>
                <w:rFonts w:ascii="华文细黑" w:eastAsia="华文细黑" w:hAnsi="华文细黑" w:cs="Arial"/>
                <w:kern w:val="2"/>
                <w:sz w:val="18"/>
                <w:szCs w:val="18"/>
              </w:rPr>
            </w:pPr>
            <w:r>
              <w:rPr>
                <w:rFonts w:ascii="华文细黑" w:eastAsia="华文细黑" w:hAnsi="华文细黑" w:cs="Arial" w:hint="eastAsia"/>
                <w:kern w:val="2"/>
                <w:sz w:val="18"/>
                <w:szCs w:val="18"/>
              </w:rPr>
              <w:t>南北</w:t>
            </w:r>
          </w:p>
        </w:tc>
      </w:tr>
      <w:tr w:rsidR="00000000" w14:paraId="42DE43CC" w14:textId="77777777">
        <w:trPr>
          <w:trHeight w:val="340"/>
          <w:jc w:val="center"/>
        </w:trPr>
        <w:tc>
          <w:tcPr>
            <w:tcW w:w="2047" w:type="pct"/>
            <w:gridSpan w:val="2"/>
            <w:vAlign w:val="center"/>
          </w:tcPr>
          <w:p w14:paraId="3632A7AA" w14:textId="77777777" w:rsidR="00000000" w:rsidRDefault="00000000">
            <w:pPr>
              <w:overflowPunct w:val="0"/>
              <w:spacing w:line="240"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合计</w:t>
            </w:r>
          </w:p>
        </w:tc>
        <w:tc>
          <w:tcPr>
            <w:tcW w:w="681" w:type="pct"/>
            <w:vAlign w:val="center"/>
          </w:tcPr>
          <w:p w14:paraId="5056E3B2" w14:textId="77777777" w:rsidR="00000000" w:rsidRDefault="00000000">
            <w:pPr>
              <w:overflowPunct w:val="0"/>
              <w:spacing w:line="240"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kern w:val="2"/>
                <w:sz w:val="18"/>
                <w:szCs w:val="18"/>
              </w:rPr>
              <w:t>1231</w:t>
            </w:r>
          </w:p>
        </w:tc>
        <w:tc>
          <w:tcPr>
            <w:tcW w:w="1559" w:type="pct"/>
            <w:vAlign w:val="center"/>
          </w:tcPr>
          <w:p w14:paraId="306A13AF" w14:textId="77777777" w:rsidR="00000000" w:rsidRDefault="00000000">
            <w:pPr>
              <w:overflowPunct w:val="0"/>
              <w:spacing w:line="240"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kern w:val="2"/>
                <w:sz w:val="18"/>
                <w:szCs w:val="18"/>
              </w:rPr>
              <w:t>121829.32</w:t>
            </w:r>
          </w:p>
        </w:tc>
        <w:tc>
          <w:tcPr>
            <w:tcW w:w="713" w:type="pct"/>
            <w:vAlign w:val="center"/>
          </w:tcPr>
          <w:p w14:paraId="7081E941" w14:textId="77777777" w:rsidR="00000000" w:rsidRDefault="00000000">
            <w:pPr>
              <w:overflowPunct w:val="0"/>
              <w:spacing w:line="240" w:lineRule="auto"/>
              <w:jc w:val="center"/>
              <w:textAlignment w:val="auto"/>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w:t>
            </w:r>
          </w:p>
        </w:tc>
      </w:tr>
    </w:tbl>
    <w:p w14:paraId="63DBB336" w14:textId="77777777" w:rsidR="00000000" w:rsidRDefault="00000000">
      <w:pPr>
        <w:wordWrap w:val="0"/>
        <w:overflowPunct w:val="0"/>
        <w:spacing w:beforeLines="100" w:before="240" w:line="480" w:lineRule="auto"/>
        <w:ind w:firstLineChars="200" w:firstLine="420"/>
        <w:jc w:val="both"/>
        <w:textAlignment w:val="auto"/>
        <w:rPr>
          <w:rFonts w:ascii="Arial" w:hAnsi="Arial" w:cs="Arial" w:hint="eastAsia"/>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）建筑结构：估价对象所属楼宇建筑结构均为</w:t>
      </w:r>
      <w:r>
        <w:rPr>
          <w:rFonts w:ascii="Arial" w:hAnsi="Arial" w:cs="Arial" w:hint="eastAsia"/>
          <w:kern w:val="2"/>
          <w:sz w:val="21"/>
          <w:szCs w:val="21"/>
        </w:rPr>
        <w:t>装配式剪力墙（钢混）</w:t>
      </w:r>
      <w:r>
        <w:rPr>
          <w:rFonts w:ascii="Arial" w:hAnsi="Arial" w:cs="Arial" w:hint="eastAsia"/>
          <w:sz w:val="21"/>
          <w:szCs w:val="21"/>
        </w:rPr>
        <w:t>结构。</w:t>
      </w:r>
    </w:p>
    <w:p w14:paraId="7E77111B" w14:textId="77777777" w:rsidR="00000000" w:rsidRDefault="00000000">
      <w:pPr>
        <w:wordWrap w:val="0"/>
        <w:overflowPunct w:val="0"/>
        <w:spacing w:line="480" w:lineRule="auto"/>
        <w:ind w:firstLineChars="200" w:firstLine="420"/>
        <w:jc w:val="both"/>
        <w:textAlignment w:val="auto"/>
        <w:rPr>
          <w:rFonts w:ascii="Arial" w:hAnsi="Arial" w:cs="Arial" w:hint="eastAsia"/>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）建筑外观：</w:t>
      </w:r>
      <w:r>
        <w:rPr>
          <w:rFonts w:ascii="Arial" w:hAnsi="Arial" w:cs="Arial" w:hint="eastAsia"/>
          <w:kern w:val="2"/>
          <w:sz w:val="21"/>
          <w:szCs w:val="21"/>
        </w:rPr>
        <w:t>X13</w:t>
      </w:r>
      <w:r>
        <w:rPr>
          <w:rFonts w:ascii="Arial" w:hAnsi="Arial" w:cs="Arial" w:hint="eastAsia"/>
          <w:kern w:val="2"/>
          <w:sz w:val="21"/>
          <w:szCs w:val="21"/>
        </w:rPr>
        <w:t>海棠苑楼型</w:t>
      </w:r>
      <w:r>
        <w:rPr>
          <w:rFonts w:ascii="Arial" w:hAnsi="Arial" w:cs="Arial" w:hint="eastAsia"/>
          <w:sz w:val="21"/>
          <w:szCs w:val="21"/>
        </w:rPr>
        <w:t>为板塔结合，</w:t>
      </w:r>
      <w:r>
        <w:rPr>
          <w:rFonts w:ascii="Arial" w:hAnsi="Arial" w:cs="Arial" w:hint="eastAsia"/>
          <w:kern w:val="2"/>
          <w:sz w:val="21"/>
          <w:szCs w:val="21"/>
        </w:rPr>
        <w:t>X38</w:t>
      </w:r>
      <w:r>
        <w:rPr>
          <w:rFonts w:ascii="Arial" w:hAnsi="Arial" w:cs="Arial" w:hint="eastAsia"/>
          <w:kern w:val="2"/>
          <w:sz w:val="21"/>
          <w:szCs w:val="21"/>
        </w:rPr>
        <w:t>鹿海园五里楼型</w:t>
      </w:r>
      <w:r>
        <w:rPr>
          <w:rFonts w:ascii="Arial" w:hAnsi="Arial" w:cs="Arial" w:hint="eastAsia"/>
          <w:sz w:val="21"/>
          <w:szCs w:val="21"/>
        </w:rPr>
        <w:t>为高层板楼。</w:t>
      </w:r>
    </w:p>
    <w:p w14:paraId="38D827A1" w14:textId="77777777" w:rsidR="00000000" w:rsidRDefault="00000000">
      <w:pPr>
        <w:wordWrap w:val="0"/>
        <w:overflowPunct w:val="0"/>
        <w:spacing w:line="480" w:lineRule="auto"/>
        <w:ind w:firstLineChars="200" w:firstLine="420"/>
        <w:jc w:val="both"/>
        <w:textAlignment w:val="auto"/>
        <w:rPr>
          <w:rFonts w:ascii="Arial" w:hAnsi="Arial" w:cs="Arial" w:hint="eastAsia"/>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）设施设备：估价对象所在项目均配套设施完备，给排水、电力、电讯、暖通等齐全；防火栓、安防系统等设备齐全。部分户型配备家具家电。</w:t>
      </w:r>
    </w:p>
    <w:p w14:paraId="577517D7" w14:textId="77777777" w:rsidR="00000000" w:rsidRDefault="00000000">
      <w:pPr>
        <w:wordWrap w:val="0"/>
        <w:overflowPunct w:val="0"/>
        <w:spacing w:line="480" w:lineRule="auto"/>
        <w:ind w:firstLineChars="200" w:firstLine="420"/>
        <w:jc w:val="both"/>
        <w:textAlignment w:val="auto"/>
        <w:rPr>
          <w:rFonts w:ascii="Arial" w:hAnsi="Arial" w:cs="Arial" w:hint="eastAsia"/>
          <w:sz w:val="21"/>
          <w:szCs w:val="21"/>
        </w:rPr>
      </w:pP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装饰装修：根据估价委托人介绍及估价人员实地查勘，估价对象均为普通装修，外立面喷涂料，公共部分首层地面贴砖，顶棚、墙面刷涂料。室内地面铺设木地板，墙面刷涂料，顶棚刷涂料；厨房地面铺设地砖，墙面为墙砖或</w:t>
      </w:r>
      <w:r>
        <w:rPr>
          <w:rFonts w:ascii="Arial" w:hAnsi="Arial" w:cs="Arial" w:hint="eastAsia"/>
          <w:sz w:val="21"/>
          <w:szCs w:val="21"/>
        </w:rPr>
        <w:t>PVC</w:t>
      </w:r>
      <w:r>
        <w:rPr>
          <w:rFonts w:ascii="Arial" w:hAnsi="Arial" w:cs="Arial" w:hint="eastAsia"/>
          <w:sz w:val="21"/>
          <w:szCs w:val="21"/>
        </w:rPr>
        <w:t>，顶棚为铝扣板；卫生间地面铺设地砖，墙面为墙砖或</w:t>
      </w:r>
      <w:r>
        <w:rPr>
          <w:rFonts w:ascii="Arial" w:hAnsi="Arial" w:cs="Arial" w:hint="eastAsia"/>
          <w:sz w:val="21"/>
          <w:szCs w:val="21"/>
        </w:rPr>
        <w:t>PVC</w:t>
      </w:r>
      <w:r>
        <w:rPr>
          <w:rFonts w:ascii="Arial" w:hAnsi="Arial" w:cs="Arial" w:hint="eastAsia"/>
          <w:sz w:val="21"/>
          <w:szCs w:val="21"/>
        </w:rPr>
        <w:t>，顶棚为铝扣板。</w:t>
      </w:r>
    </w:p>
    <w:p w14:paraId="42207077" w14:textId="77777777" w:rsidR="00000000" w:rsidRDefault="00000000">
      <w:pPr>
        <w:wordWrap w:val="0"/>
        <w:overflowPunct w:val="0"/>
        <w:spacing w:line="480" w:lineRule="auto"/>
        <w:ind w:firstLineChars="200" w:firstLine="420"/>
        <w:jc w:val="both"/>
        <w:textAlignment w:val="auto"/>
        <w:rPr>
          <w:rFonts w:ascii="Arial" w:hAnsi="Arial" w:cs="Arial" w:hint="eastAsia"/>
          <w:sz w:val="21"/>
          <w:szCs w:val="21"/>
        </w:rPr>
      </w:pPr>
      <w:r>
        <w:rPr>
          <w:rFonts w:ascii="Arial" w:hAnsi="Arial" w:cs="Arial" w:hint="eastAsia"/>
          <w:sz w:val="21"/>
          <w:szCs w:val="21"/>
        </w:rPr>
        <w:t>（</w:t>
      </w:r>
      <w:r>
        <w:rPr>
          <w:rFonts w:ascii="Arial" w:hAnsi="Arial" w:cs="Arial" w:hint="eastAsia"/>
          <w:sz w:val="21"/>
          <w:szCs w:val="21"/>
        </w:rPr>
        <w:t>6</w:t>
      </w:r>
      <w:r>
        <w:rPr>
          <w:rFonts w:ascii="Arial" w:hAnsi="Arial" w:cs="Arial" w:hint="eastAsia"/>
          <w:sz w:val="21"/>
          <w:szCs w:val="21"/>
        </w:rPr>
        <w:t>）新旧程度：截至价值时点，估价对象观察成新度较高，建成年代较近，综合成新度较高。</w:t>
      </w:r>
    </w:p>
    <w:p w14:paraId="71876B81" w14:textId="77777777" w:rsidR="00000000" w:rsidRDefault="00000000">
      <w:pPr>
        <w:wordWrap w:val="0"/>
        <w:overflowPunct w:val="0"/>
        <w:spacing w:line="480" w:lineRule="auto"/>
        <w:ind w:firstLineChars="200" w:firstLine="420"/>
        <w:jc w:val="both"/>
        <w:textAlignment w:val="auto"/>
        <w:rPr>
          <w:rFonts w:ascii="Arial" w:hAnsi="Arial" w:cs="Arial" w:hint="eastAsia"/>
          <w:sz w:val="21"/>
          <w:szCs w:val="21"/>
        </w:rPr>
      </w:pPr>
      <w:r>
        <w:rPr>
          <w:rFonts w:ascii="Arial" w:hAnsi="Arial" w:cs="Arial" w:hint="eastAsia"/>
          <w:sz w:val="21"/>
          <w:szCs w:val="21"/>
        </w:rPr>
        <w:t>（</w:t>
      </w:r>
      <w:r>
        <w:rPr>
          <w:rFonts w:ascii="Arial" w:hAnsi="Arial" w:cs="Arial" w:hint="eastAsia"/>
          <w:sz w:val="21"/>
          <w:szCs w:val="21"/>
        </w:rPr>
        <w:t>7</w:t>
      </w:r>
      <w:r>
        <w:rPr>
          <w:rFonts w:ascii="Arial" w:hAnsi="Arial" w:cs="Arial" w:hint="eastAsia"/>
          <w:sz w:val="21"/>
          <w:szCs w:val="21"/>
        </w:rPr>
        <w:t>）户型设计：</w:t>
      </w:r>
    </w:p>
    <w:p w14:paraId="733431BD" w14:textId="77777777" w:rsidR="00000000" w:rsidRDefault="00000000">
      <w:pPr>
        <w:wordWrap w:val="0"/>
        <w:overflowPunct w:val="0"/>
        <w:spacing w:line="480" w:lineRule="auto"/>
        <w:ind w:firstLineChars="200" w:firstLine="420"/>
        <w:jc w:val="both"/>
        <w:textAlignment w:val="auto"/>
        <w:rPr>
          <w:rFonts w:ascii="Arial" w:hAnsi="Arial" w:cs="Arial" w:hint="eastAsia"/>
          <w:sz w:val="21"/>
          <w:szCs w:val="21"/>
        </w:rPr>
      </w:pPr>
      <w:r>
        <w:rPr>
          <w:rFonts w:ascii="Arial" w:hAnsi="Arial" w:cs="Arial" w:hint="eastAsia"/>
          <w:sz w:val="21"/>
          <w:szCs w:val="21"/>
        </w:rPr>
        <w:t>X13</w:t>
      </w:r>
      <w:r>
        <w:rPr>
          <w:rFonts w:ascii="Arial" w:hAnsi="Arial" w:cs="Arial" w:hint="eastAsia"/>
          <w:sz w:val="21"/>
          <w:szCs w:val="21"/>
        </w:rPr>
        <w:t>海棠苑共</w:t>
      </w:r>
      <w:r>
        <w:rPr>
          <w:rFonts w:ascii="Arial" w:hAnsi="Arial" w:cs="Arial" w:hint="eastAsia"/>
          <w:sz w:val="21"/>
          <w:szCs w:val="21"/>
        </w:rPr>
        <w:t>1487</w:t>
      </w:r>
      <w:r>
        <w:rPr>
          <w:rFonts w:ascii="Arial" w:hAnsi="Arial" w:cs="Arial" w:hint="eastAsia"/>
          <w:sz w:val="21"/>
          <w:szCs w:val="21"/>
        </w:rPr>
        <w:t>套，有三种户型，分别为开间、一居室、二居室。其中，开间共</w:t>
      </w:r>
      <w:r>
        <w:rPr>
          <w:rFonts w:ascii="Arial" w:hAnsi="Arial" w:cs="Arial" w:hint="eastAsia"/>
          <w:sz w:val="21"/>
          <w:szCs w:val="21"/>
        </w:rPr>
        <w:t>201</w:t>
      </w:r>
      <w:r>
        <w:rPr>
          <w:rFonts w:ascii="Arial" w:hAnsi="Arial" w:cs="Arial" w:hint="eastAsia"/>
          <w:sz w:val="21"/>
          <w:szCs w:val="21"/>
        </w:rPr>
        <w:t>套，面积控制在</w:t>
      </w:r>
      <w:r>
        <w:rPr>
          <w:rFonts w:ascii="Arial" w:hAnsi="Arial" w:cs="Arial" w:hint="eastAsia"/>
          <w:sz w:val="21"/>
          <w:szCs w:val="21"/>
        </w:rPr>
        <w:t>25.44-50.91</w:t>
      </w:r>
      <w:r>
        <w:rPr>
          <w:rFonts w:ascii="Arial" w:hAnsi="Arial" w:cs="Arial" w:hint="eastAsia"/>
          <w:sz w:val="21"/>
          <w:szCs w:val="21"/>
        </w:rPr>
        <w:t>平方米；一居室共</w:t>
      </w:r>
      <w:r>
        <w:rPr>
          <w:rFonts w:ascii="Arial" w:hAnsi="Arial" w:cs="Arial" w:hint="eastAsia"/>
          <w:sz w:val="21"/>
          <w:szCs w:val="21"/>
        </w:rPr>
        <w:t>1100</w:t>
      </w:r>
      <w:r>
        <w:rPr>
          <w:rFonts w:ascii="Arial" w:hAnsi="Arial" w:cs="Arial" w:hint="eastAsia"/>
          <w:sz w:val="21"/>
          <w:szCs w:val="21"/>
        </w:rPr>
        <w:t>套，面积控制</w:t>
      </w:r>
      <w:r>
        <w:rPr>
          <w:rFonts w:ascii="Arial" w:hAnsi="Arial" w:cs="Arial" w:hint="eastAsia"/>
          <w:sz w:val="21"/>
          <w:szCs w:val="21"/>
        </w:rPr>
        <w:t>38.46-62.94</w:t>
      </w:r>
      <w:r>
        <w:rPr>
          <w:rFonts w:ascii="Arial" w:hAnsi="Arial" w:cs="Arial" w:hint="eastAsia"/>
          <w:sz w:val="21"/>
          <w:szCs w:val="21"/>
        </w:rPr>
        <w:t>平方米；二居室共</w:t>
      </w:r>
      <w:r>
        <w:rPr>
          <w:rFonts w:ascii="Arial" w:hAnsi="Arial" w:cs="Arial" w:hint="eastAsia"/>
          <w:sz w:val="21"/>
          <w:szCs w:val="21"/>
        </w:rPr>
        <w:t>186</w:t>
      </w:r>
      <w:r>
        <w:rPr>
          <w:rFonts w:ascii="Arial" w:hAnsi="Arial" w:cs="Arial" w:hint="eastAsia"/>
          <w:sz w:val="21"/>
          <w:szCs w:val="21"/>
        </w:rPr>
        <w:t>套，面积约控制为</w:t>
      </w:r>
      <w:r>
        <w:rPr>
          <w:rFonts w:ascii="Arial" w:hAnsi="Arial" w:cs="Arial" w:hint="eastAsia"/>
          <w:sz w:val="21"/>
          <w:szCs w:val="21"/>
        </w:rPr>
        <w:t>60.42-61.34</w:t>
      </w:r>
      <w:r>
        <w:rPr>
          <w:rFonts w:ascii="Arial" w:hAnsi="Arial" w:cs="Arial" w:hint="eastAsia"/>
          <w:sz w:val="21"/>
          <w:szCs w:val="21"/>
        </w:rPr>
        <w:t>平方米。</w:t>
      </w:r>
    </w:p>
    <w:p w14:paraId="346525DC" w14:textId="77777777" w:rsidR="00000000" w:rsidRDefault="00000000">
      <w:pPr>
        <w:wordWrap w:val="0"/>
        <w:overflowPunct w:val="0"/>
        <w:spacing w:line="480" w:lineRule="auto"/>
        <w:ind w:firstLineChars="200" w:firstLine="420"/>
        <w:jc w:val="both"/>
        <w:textAlignment w:val="auto"/>
        <w:rPr>
          <w:rFonts w:ascii="Arial" w:hAnsi="Arial" w:cs="Arial" w:hint="eastAsia"/>
          <w:sz w:val="21"/>
          <w:szCs w:val="21"/>
        </w:rPr>
      </w:pPr>
      <w:r>
        <w:rPr>
          <w:rFonts w:ascii="Arial" w:hAnsi="Arial" w:cs="Arial" w:hint="eastAsia"/>
          <w:sz w:val="21"/>
          <w:szCs w:val="21"/>
        </w:rPr>
        <w:t>X38</w:t>
      </w:r>
      <w:r>
        <w:rPr>
          <w:rFonts w:ascii="Arial" w:hAnsi="Arial" w:cs="Arial" w:hint="eastAsia"/>
          <w:sz w:val="21"/>
          <w:szCs w:val="21"/>
        </w:rPr>
        <w:t>鹿海园五里共</w:t>
      </w:r>
      <w:r>
        <w:rPr>
          <w:rFonts w:ascii="Arial" w:hAnsi="Arial" w:cs="Arial" w:hint="eastAsia"/>
          <w:sz w:val="21"/>
          <w:szCs w:val="21"/>
        </w:rPr>
        <w:t>1231</w:t>
      </w:r>
      <w:r>
        <w:rPr>
          <w:rFonts w:ascii="Arial" w:hAnsi="Arial" w:cs="Arial" w:hint="eastAsia"/>
          <w:sz w:val="21"/>
          <w:szCs w:val="21"/>
        </w:rPr>
        <w:t>套，有三种户型，分别为一居室、二居室、三居室。其中，一居室共</w:t>
      </w:r>
      <w:r>
        <w:rPr>
          <w:rFonts w:ascii="Arial" w:hAnsi="Arial" w:cs="Arial" w:hint="eastAsia"/>
          <w:sz w:val="21"/>
          <w:szCs w:val="21"/>
        </w:rPr>
        <w:t>334</w:t>
      </w:r>
      <w:r>
        <w:rPr>
          <w:rFonts w:ascii="Arial" w:hAnsi="Arial" w:cs="Arial" w:hint="eastAsia"/>
          <w:sz w:val="21"/>
          <w:szCs w:val="21"/>
        </w:rPr>
        <w:t>套，面积约控制在</w:t>
      </w:r>
      <w:r>
        <w:rPr>
          <w:rFonts w:ascii="Arial" w:hAnsi="Arial" w:cs="Arial" w:hint="eastAsia"/>
          <w:sz w:val="21"/>
          <w:szCs w:val="21"/>
        </w:rPr>
        <w:t>51.14-71.30</w:t>
      </w:r>
      <w:r>
        <w:rPr>
          <w:rFonts w:ascii="Arial" w:hAnsi="Arial" w:cs="Arial" w:hint="eastAsia"/>
          <w:sz w:val="21"/>
          <w:szCs w:val="21"/>
        </w:rPr>
        <w:t>平方米；二居室共</w:t>
      </w:r>
      <w:r>
        <w:rPr>
          <w:rFonts w:ascii="Arial" w:hAnsi="Arial" w:cs="Arial" w:hint="eastAsia"/>
          <w:sz w:val="21"/>
          <w:szCs w:val="21"/>
        </w:rPr>
        <w:t>656</w:t>
      </w:r>
      <w:r>
        <w:rPr>
          <w:rFonts w:ascii="Arial" w:hAnsi="Arial" w:cs="Arial" w:hint="eastAsia"/>
          <w:sz w:val="21"/>
          <w:szCs w:val="21"/>
        </w:rPr>
        <w:t>套，面积控制在</w:t>
      </w:r>
      <w:r>
        <w:rPr>
          <w:rFonts w:ascii="Arial" w:hAnsi="Arial" w:cs="Arial" w:hint="eastAsia"/>
          <w:sz w:val="21"/>
          <w:szCs w:val="21"/>
        </w:rPr>
        <w:t>91.83-110.57</w:t>
      </w:r>
      <w:r>
        <w:rPr>
          <w:rFonts w:ascii="Arial" w:hAnsi="Arial" w:cs="Arial" w:hint="eastAsia"/>
          <w:sz w:val="21"/>
          <w:szCs w:val="21"/>
        </w:rPr>
        <w:t>平方米；三居室共</w:t>
      </w:r>
      <w:r>
        <w:rPr>
          <w:rFonts w:ascii="Arial" w:hAnsi="Arial" w:cs="Arial" w:hint="eastAsia"/>
          <w:sz w:val="21"/>
          <w:szCs w:val="21"/>
        </w:rPr>
        <w:t>241</w:t>
      </w:r>
      <w:r>
        <w:rPr>
          <w:rFonts w:ascii="Arial" w:hAnsi="Arial" w:cs="Arial" w:hint="eastAsia"/>
          <w:sz w:val="21"/>
          <w:szCs w:val="21"/>
        </w:rPr>
        <w:t>套，面积为</w:t>
      </w:r>
      <w:r>
        <w:rPr>
          <w:rFonts w:ascii="Arial" w:hAnsi="Arial" w:cs="Arial" w:hint="eastAsia"/>
          <w:sz w:val="21"/>
          <w:szCs w:val="21"/>
        </w:rPr>
        <w:t>123.14-131.57</w:t>
      </w:r>
      <w:r>
        <w:rPr>
          <w:rFonts w:ascii="Arial" w:hAnsi="Arial" w:cs="Arial" w:hint="eastAsia"/>
          <w:sz w:val="21"/>
          <w:szCs w:val="21"/>
        </w:rPr>
        <w:t>平方米。</w:t>
      </w:r>
    </w:p>
    <w:p w14:paraId="276A28B0" w14:textId="77777777" w:rsidR="00000000" w:rsidRDefault="00000000">
      <w:pPr>
        <w:wordWrap w:val="0"/>
        <w:overflowPunct w:val="0"/>
        <w:spacing w:line="480" w:lineRule="auto"/>
        <w:ind w:firstLineChars="200" w:firstLine="420"/>
        <w:jc w:val="both"/>
        <w:textAlignment w:val="auto"/>
        <w:rPr>
          <w:rFonts w:ascii="Arial" w:hAnsi="Arial" w:cs="Arial" w:hint="eastAsia"/>
          <w:sz w:val="21"/>
          <w:szCs w:val="21"/>
        </w:rPr>
      </w:pPr>
      <w:r>
        <w:rPr>
          <w:rFonts w:ascii="Arial" w:hAnsi="Arial" w:cs="Arial" w:hint="eastAsia"/>
          <w:sz w:val="21"/>
          <w:szCs w:val="21"/>
        </w:rPr>
        <w:t>（</w:t>
      </w:r>
      <w:r>
        <w:rPr>
          <w:rFonts w:ascii="Arial" w:hAnsi="Arial" w:cs="Arial" w:hint="eastAsia"/>
          <w:sz w:val="21"/>
          <w:szCs w:val="21"/>
        </w:rPr>
        <w:t>8</w:t>
      </w:r>
      <w:r>
        <w:rPr>
          <w:rFonts w:ascii="Arial" w:hAnsi="Arial" w:cs="Arial" w:hint="eastAsia"/>
          <w:sz w:val="21"/>
          <w:szCs w:val="21"/>
        </w:rPr>
        <w:t>）朝向：</w:t>
      </w:r>
    </w:p>
    <w:p w14:paraId="2EA7B185" w14:textId="77777777" w:rsidR="00000000" w:rsidRDefault="00000000">
      <w:pPr>
        <w:wordWrap w:val="0"/>
        <w:overflowPunct w:val="0"/>
        <w:spacing w:line="480" w:lineRule="auto"/>
        <w:ind w:firstLineChars="200" w:firstLine="420"/>
        <w:jc w:val="both"/>
        <w:textAlignment w:val="auto"/>
        <w:rPr>
          <w:rFonts w:ascii="Arial" w:hAnsi="Arial" w:cs="Arial" w:hint="eastAsia"/>
          <w:sz w:val="21"/>
          <w:szCs w:val="21"/>
        </w:rPr>
      </w:pPr>
      <w:r>
        <w:rPr>
          <w:rFonts w:ascii="Arial" w:hAnsi="Arial" w:cs="Arial" w:hint="eastAsia"/>
          <w:sz w:val="21"/>
          <w:szCs w:val="21"/>
        </w:rPr>
        <w:t>X13</w:t>
      </w:r>
      <w:r>
        <w:rPr>
          <w:rFonts w:ascii="Arial" w:hAnsi="Arial" w:cs="Arial" w:hint="eastAsia"/>
          <w:sz w:val="21"/>
          <w:szCs w:val="21"/>
        </w:rPr>
        <w:t>海棠苑朝向为西、东、南，以朝西为主。</w:t>
      </w:r>
    </w:p>
    <w:p w14:paraId="7251FD07" w14:textId="77777777" w:rsidR="00000000" w:rsidRDefault="00000000">
      <w:pPr>
        <w:wordWrap w:val="0"/>
        <w:overflowPunct w:val="0"/>
        <w:spacing w:line="480" w:lineRule="auto"/>
        <w:ind w:firstLineChars="200" w:firstLine="420"/>
        <w:jc w:val="both"/>
        <w:textAlignment w:val="auto"/>
        <w:rPr>
          <w:rFonts w:ascii="Arial" w:hAnsi="Arial" w:cs="Arial" w:hint="eastAsia"/>
          <w:sz w:val="21"/>
          <w:szCs w:val="21"/>
        </w:rPr>
      </w:pPr>
      <w:r>
        <w:rPr>
          <w:rFonts w:ascii="Arial" w:hAnsi="Arial" w:cs="Arial" w:hint="eastAsia"/>
          <w:sz w:val="21"/>
          <w:szCs w:val="21"/>
        </w:rPr>
        <w:t>X38</w:t>
      </w:r>
      <w:r>
        <w:rPr>
          <w:rFonts w:ascii="Arial" w:hAnsi="Arial" w:cs="Arial" w:hint="eastAsia"/>
          <w:sz w:val="21"/>
          <w:szCs w:val="21"/>
        </w:rPr>
        <w:t>鹿海园五里朝向为南北、南、西、东、北，以朝南北为主。</w:t>
      </w:r>
    </w:p>
    <w:p w14:paraId="4E64DAD8" w14:textId="77777777" w:rsidR="00000000" w:rsidRDefault="00000000">
      <w:pPr>
        <w:wordWrap w:val="0"/>
        <w:overflowPunct w:val="0"/>
        <w:spacing w:line="480" w:lineRule="auto"/>
        <w:ind w:firstLineChars="200" w:firstLine="420"/>
        <w:jc w:val="both"/>
        <w:textAlignment w:val="auto"/>
        <w:rPr>
          <w:rFonts w:ascii="Arial" w:hAnsi="Arial" w:cs="Arial" w:hint="eastAsia"/>
          <w:sz w:val="21"/>
          <w:szCs w:val="21"/>
        </w:rPr>
      </w:pPr>
      <w:r>
        <w:rPr>
          <w:rFonts w:ascii="Arial" w:hAnsi="Arial" w:cs="Arial" w:hint="eastAsia"/>
          <w:sz w:val="21"/>
          <w:szCs w:val="21"/>
        </w:rPr>
        <w:t>3.</w:t>
      </w:r>
      <w:r>
        <w:rPr>
          <w:rFonts w:ascii="Arial" w:hAnsi="Arial" w:cs="Arial" w:hint="eastAsia"/>
          <w:sz w:val="21"/>
          <w:szCs w:val="21"/>
        </w:rPr>
        <w:t>对价格影响的分析</w:t>
      </w:r>
    </w:p>
    <w:p w14:paraId="0E2C807D" w14:textId="77777777" w:rsidR="00000000" w:rsidRDefault="00000000">
      <w:pPr>
        <w:spacing w:line="560" w:lineRule="exact"/>
        <w:ind w:firstLineChars="200" w:firstLine="420"/>
        <w:rPr>
          <w:rFonts w:ascii="Arial" w:hAnsi="Arial" w:cs="Arial"/>
          <w:sz w:val="21"/>
          <w:szCs w:val="21"/>
        </w:rPr>
      </w:pPr>
      <w:r>
        <w:rPr>
          <w:rFonts w:ascii="Arial" w:hAnsi="Arial" w:cs="Arial"/>
          <w:sz w:val="21"/>
          <w:szCs w:val="21"/>
        </w:rPr>
        <w:lastRenderedPageBreak/>
        <w:t>估价对象作为住宅使用，通用性相对较好，能完全满足大部分求租者的需求，因此将会在一定程度上影响其租金价格水平。</w:t>
      </w:r>
    </w:p>
    <w:p w14:paraId="5C4A0417" w14:textId="77777777" w:rsidR="00000000" w:rsidRDefault="00000000">
      <w:pPr>
        <w:pStyle w:val="2"/>
        <w:numPr>
          <w:ilvl w:val="0"/>
          <w:numId w:val="0"/>
        </w:numPr>
        <w:tabs>
          <w:tab w:val="left" w:pos="360"/>
        </w:tabs>
        <w:spacing w:beforeLines="100" w:before="240" w:line="480" w:lineRule="auto"/>
        <w:ind w:left="360" w:hangingChars="171" w:hanging="360"/>
        <w:jc w:val="both"/>
        <w:rPr>
          <w:rFonts w:eastAsia="宋体"/>
          <w:kern w:val="2"/>
          <w:sz w:val="21"/>
          <w:szCs w:val="21"/>
        </w:rPr>
      </w:pPr>
      <w:bookmarkStart w:id="46" w:name="_Toc14311"/>
      <w:r>
        <w:rPr>
          <w:rFonts w:eastAsia="宋体"/>
          <w:kern w:val="2"/>
          <w:sz w:val="21"/>
          <w:szCs w:val="21"/>
        </w:rPr>
        <w:t>（</w:t>
      </w:r>
      <w:r>
        <w:rPr>
          <w:rFonts w:eastAsia="宋体" w:hint="eastAsia"/>
          <w:kern w:val="2"/>
          <w:sz w:val="21"/>
          <w:szCs w:val="21"/>
        </w:rPr>
        <w:t>三</w:t>
      </w:r>
      <w:r>
        <w:rPr>
          <w:rFonts w:eastAsia="宋体"/>
          <w:kern w:val="2"/>
          <w:sz w:val="21"/>
          <w:szCs w:val="21"/>
        </w:rPr>
        <w:t>）权益状况分析</w:t>
      </w:r>
      <w:bookmarkEnd w:id="46"/>
    </w:p>
    <w:p w14:paraId="1E8BC78A" w14:textId="77777777" w:rsidR="00000000" w:rsidRDefault="00000000">
      <w:pPr>
        <w:spacing w:line="480" w:lineRule="auto"/>
        <w:ind w:firstLineChars="200" w:firstLine="420"/>
        <w:rPr>
          <w:rFonts w:ascii="Arial" w:hAnsi="Arial" w:cs="Arial"/>
          <w:sz w:val="21"/>
          <w:szCs w:val="21"/>
        </w:rPr>
      </w:pPr>
      <w:r>
        <w:rPr>
          <w:rFonts w:ascii="Arial" w:hAnsi="Arial" w:cs="Arial" w:hint="eastAsia"/>
          <w:sz w:val="21"/>
          <w:szCs w:val="21"/>
        </w:rPr>
        <w:t>1.</w:t>
      </w:r>
      <w:r>
        <w:rPr>
          <w:rFonts w:ascii="Arial" w:hAnsi="Arial" w:cs="Arial" w:hint="eastAsia"/>
          <w:sz w:val="21"/>
          <w:szCs w:val="21"/>
        </w:rPr>
        <w:t>根据注册房地产估价师实地查勘及领勘人介绍，于价值时点，估价对象部分已公开配租，结合本次估价目的，未考虑现有租约对估价结果的影响。</w:t>
      </w:r>
    </w:p>
    <w:p w14:paraId="7372C329" w14:textId="77777777" w:rsidR="00000000" w:rsidRDefault="00000000">
      <w:pPr>
        <w:spacing w:line="480" w:lineRule="auto"/>
        <w:ind w:firstLineChars="200" w:firstLine="420"/>
        <w:jc w:val="both"/>
        <w:rPr>
          <w:rFonts w:ascii="Arial" w:hAnsi="Arial" w:cs="Arial"/>
          <w:sz w:val="21"/>
          <w:szCs w:val="21"/>
        </w:rPr>
      </w:pPr>
      <w:r>
        <w:rPr>
          <w:rFonts w:ascii="Arial" w:hAnsi="Arial" w:cs="Arial" w:hint="eastAsia"/>
          <w:sz w:val="21"/>
          <w:szCs w:val="21"/>
        </w:rPr>
        <w:t>2.</w:t>
      </w:r>
      <w:r>
        <w:rPr>
          <w:rFonts w:ascii="Arial" w:hAnsi="Arial" w:cs="Arial" w:hint="eastAsia"/>
          <w:sz w:val="21"/>
          <w:szCs w:val="21"/>
        </w:rPr>
        <w:t>经估价委托人介绍，估价对象于价值时点不存在抵押权、地役权、查封等他项权利，根据估价目的，本次评估设定估价对象于价值时点不存在抵押权、地役权、查封等他项权利。</w:t>
      </w:r>
    </w:p>
    <w:p w14:paraId="14B5E76B" w14:textId="77777777" w:rsidR="00000000" w:rsidRDefault="00000000">
      <w:pPr>
        <w:spacing w:line="480" w:lineRule="auto"/>
        <w:ind w:firstLineChars="200" w:firstLine="422"/>
        <w:jc w:val="both"/>
        <w:rPr>
          <w:rFonts w:ascii="Arial" w:hAnsi="Arial" w:cs="Arial" w:hint="eastAsia"/>
          <w:b/>
          <w:bCs/>
          <w:sz w:val="21"/>
          <w:szCs w:val="21"/>
        </w:rPr>
      </w:pPr>
    </w:p>
    <w:p w14:paraId="217BC086" w14:textId="77777777" w:rsidR="00000000" w:rsidRDefault="00000000">
      <w:pPr>
        <w:spacing w:line="480" w:lineRule="auto"/>
        <w:ind w:firstLineChars="200" w:firstLine="422"/>
        <w:jc w:val="both"/>
        <w:rPr>
          <w:rFonts w:ascii="Arial" w:hAnsi="Arial" w:cs="Arial"/>
          <w:b/>
          <w:bCs/>
          <w:sz w:val="21"/>
          <w:szCs w:val="21"/>
        </w:rPr>
      </w:pPr>
    </w:p>
    <w:p w14:paraId="2395A78D" w14:textId="77777777" w:rsidR="00000000" w:rsidRDefault="00000000">
      <w:pPr>
        <w:pStyle w:val="2"/>
        <w:numPr>
          <w:ilvl w:val="0"/>
          <w:numId w:val="0"/>
        </w:numPr>
        <w:tabs>
          <w:tab w:val="left" w:pos="360"/>
        </w:tabs>
        <w:spacing w:line="480" w:lineRule="auto"/>
        <w:ind w:left="358" w:hangingChars="170" w:hanging="358"/>
        <w:jc w:val="both"/>
        <w:rPr>
          <w:rFonts w:eastAsia="宋体"/>
          <w:kern w:val="2"/>
          <w:sz w:val="21"/>
          <w:szCs w:val="21"/>
        </w:rPr>
      </w:pPr>
      <w:r>
        <w:rPr>
          <w:rFonts w:eastAsia="宋体"/>
          <w:kern w:val="2"/>
          <w:sz w:val="21"/>
          <w:szCs w:val="21"/>
        </w:rPr>
        <w:br w:type="page"/>
      </w:r>
      <w:bookmarkStart w:id="47" w:name="_Toc16429"/>
      <w:r>
        <w:rPr>
          <w:rFonts w:eastAsia="宋体"/>
          <w:kern w:val="2"/>
          <w:sz w:val="21"/>
          <w:szCs w:val="21"/>
        </w:rPr>
        <w:lastRenderedPageBreak/>
        <w:t>二、市场背景描述与分析</w:t>
      </w:r>
      <w:bookmarkEnd w:id="47"/>
    </w:p>
    <w:p w14:paraId="3F49A204" w14:textId="77777777" w:rsidR="00000000" w:rsidRDefault="00000000">
      <w:pPr>
        <w:overflowPunct w:val="0"/>
        <w:spacing w:line="480" w:lineRule="auto"/>
        <w:ind w:right="205"/>
        <w:jc w:val="both"/>
        <w:textAlignment w:val="auto"/>
        <w:rPr>
          <w:rFonts w:ascii="Arial" w:hAnsi="Arial"/>
          <w:b/>
          <w:bCs/>
          <w:sz w:val="21"/>
          <w:szCs w:val="21"/>
        </w:rPr>
      </w:pPr>
      <w:r>
        <w:rPr>
          <w:rFonts w:ascii="Arial" w:hAnsi="Arial" w:hint="eastAsia"/>
          <w:b/>
          <w:bCs/>
          <w:sz w:val="21"/>
          <w:szCs w:val="21"/>
        </w:rPr>
        <w:t>（一）类似房地产市场状况</w:t>
      </w:r>
    </w:p>
    <w:p w14:paraId="06D94C79" w14:textId="77777777" w:rsidR="00000000" w:rsidRDefault="00000000">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1.</w:t>
      </w:r>
      <w:r>
        <w:rPr>
          <w:rFonts w:ascii="Arial" w:hAnsi="Arial" w:cs="Arial" w:hint="eastAsia"/>
          <w:sz w:val="21"/>
          <w:szCs w:val="21"/>
        </w:rPr>
        <w:t>宏观环境</w:t>
      </w:r>
    </w:p>
    <w:p w14:paraId="59576957" w14:textId="77777777" w:rsidR="00000000" w:rsidRDefault="00000000">
      <w:pPr>
        <w:widowControl/>
        <w:adjustRightInd/>
        <w:spacing w:line="480" w:lineRule="auto"/>
        <w:ind w:firstLineChars="250" w:firstLine="525"/>
        <w:jc w:val="both"/>
        <w:textAlignment w:val="auto"/>
        <w:rPr>
          <w:rFonts w:ascii="Arial" w:hAnsi="Arial" w:hint="eastAsia"/>
          <w:color w:val="000000"/>
          <w:sz w:val="21"/>
          <w:szCs w:val="21"/>
        </w:rPr>
      </w:pPr>
      <w:bookmarkStart w:id="48" w:name="OLE_LINK34"/>
      <w:bookmarkStart w:id="49" w:name="OLE_LINK33"/>
      <w:r>
        <w:rPr>
          <w:rFonts w:ascii="Arial" w:hAnsi="Arial" w:hint="eastAsia"/>
          <w:color w:val="000000"/>
          <w:sz w:val="21"/>
          <w:szCs w:val="21"/>
        </w:rPr>
        <w:t>北京市位于北纬</w:t>
      </w:r>
      <w:r>
        <w:rPr>
          <w:rFonts w:ascii="Arial" w:hAnsi="Arial" w:hint="eastAsia"/>
          <w:color w:val="000000"/>
          <w:sz w:val="21"/>
          <w:szCs w:val="21"/>
        </w:rPr>
        <w:t>39</w:t>
      </w:r>
      <w:r>
        <w:rPr>
          <w:rFonts w:ascii="Arial" w:hAnsi="Arial" w:hint="eastAsia"/>
          <w:color w:val="000000"/>
          <w:sz w:val="21"/>
          <w:szCs w:val="21"/>
        </w:rPr>
        <w:t>度</w:t>
      </w:r>
      <w:r>
        <w:rPr>
          <w:rFonts w:ascii="Arial" w:hAnsi="Arial" w:hint="eastAsia"/>
          <w:color w:val="000000"/>
          <w:sz w:val="21"/>
          <w:szCs w:val="21"/>
        </w:rPr>
        <w:t>56</w:t>
      </w:r>
      <w:r>
        <w:rPr>
          <w:rFonts w:ascii="Arial" w:hAnsi="Arial" w:hint="eastAsia"/>
          <w:color w:val="000000"/>
          <w:sz w:val="21"/>
          <w:szCs w:val="21"/>
        </w:rPr>
        <w:t>分，东经</w:t>
      </w:r>
      <w:r>
        <w:rPr>
          <w:rFonts w:ascii="Arial" w:hAnsi="Arial" w:hint="eastAsia"/>
          <w:color w:val="000000"/>
          <w:sz w:val="21"/>
          <w:szCs w:val="21"/>
        </w:rPr>
        <w:t>116</w:t>
      </w:r>
      <w:r>
        <w:rPr>
          <w:rFonts w:ascii="Arial" w:hAnsi="Arial" w:hint="eastAsia"/>
          <w:color w:val="000000"/>
          <w:sz w:val="21"/>
          <w:szCs w:val="21"/>
        </w:rPr>
        <w:t>度</w:t>
      </w:r>
      <w:r>
        <w:rPr>
          <w:rFonts w:ascii="Arial" w:hAnsi="Arial" w:hint="eastAsia"/>
          <w:color w:val="000000"/>
          <w:sz w:val="21"/>
          <w:szCs w:val="21"/>
        </w:rPr>
        <w:t>20</w:t>
      </w:r>
      <w:r>
        <w:rPr>
          <w:rFonts w:ascii="Arial" w:hAnsi="Arial" w:hint="eastAsia"/>
          <w:color w:val="000000"/>
          <w:sz w:val="21"/>
          <w:szCs w:val="21"/>
        </w:rPr>
        <w:t>分，地处华北大平原的北部，北京市土地面积</w:t>
      </w:r>
      <w:r>
        <w:rPr>
          <w:rFonts w:ascii="Arial" w:hAnsi="Arial" w:hint="eastAsia"/>
          <w:color w:val="000000"/>
          <w:sz w:val="21"/>
          <w:szCs w:val="21"/>
        </w:rPr>
        <w:t>16410.54</w:t>
      </w:r>
      <w:r>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Pr>
          <w:rFonts w:ascii="Arial" w:hAnsi="Arial" w:hint="eastAsia"/>
          <w:color w:val="000000"/>
          <w:sz w:val="21"/>
          <w:szCs w:val="21"/>
        </w:rPr>
        <w:t>16</w:t>
      </w:r>
      <w:r>
        <w:rPr>
          <w:rFonts w:ascii="Arial" w:hAnsi="Arial" w:hint="eastAsia"/>
          <w:color w:val="000000"/>
          <w:sz w:val="21"/>
          <w:szCs w:val="21"/>
        </w:rPr>
        <w:t>区格局，即东城、西城、海淀、朝阳、丰台、顺义、昌平、通州、门头沟、石景山、房山、大兴、怀柔、平谷、密云、延庆。</w:t>
      </w:r>
    </w:p>
    <w:p w14:paraId="09710EF8" w14:textId="77777777" w:rsidR="00000000" w:rsidRDefault="00000000">
      <w:pPr>
        <w:widowControl/>
        <w:adjustRightInd/>
        <w:spacing w:line="480" w:lineRule="auto"/>
        <w:ind w:firstLineChars="250" w:firstLine="525"/>
        <w:jc w:val="both"/>
        <w:textAlignment w:val="auto"/>
        <w:rPr>
          <w:rFonts w:ascii="Arial" w:hAnsi="Arial" w:hint="eastAsia"/>
          <w:color w:val="000000"/>
          <w:sz w:val="21"/>
          <w:szCs w:val="21"/>
        </w:rPr>
      </w:pPr>
      <w:r>
        <w:rPr>
          <w:rFonts w:ascii="Arial" w:hAnsi="Arial"/>
          <w:sz w:val="21"/>
          <w:szCs w:val="21"/>
        </w:rPr>
        <w:t>截至</w:t>
      </w:r>
      <w:r>
        <w:rPr>
          <w:rFonts w:ascii="Arial" w:hAnsi="Arial"/>
          <w:sz w:val="21"/>
          <w:szCs w:val="21"/>
        </w:rPr>
        <w:t>2024</w:t>
      </w:r>
      <w:r>
        <w:rPr>
          <w:rFonts w:ascii="Arial" w:hAnsi="Arial"/>
          <w:sz w:val="21"/>
          <w:szCs w:val="21"/>
        </w:rPr>
        <w:t>年年末，北京市常住人口为</w:t>
      </w:r>
      <w:r>
        <w:rPr>
          <w:rFonts w:ascii="Arial" w:hAnsi="Arial"/>
          <w:sz w:val="21"/>
          <w:szCs w:val="21"/>
        </w:rPr>
        <w:t>2183.2</w:t>
      </w:r>
      <w:r>
        <w:rPr>
          <w:rFonts w:ascii="Arial" w:hAnsi="Arial"/>
          <w:sz w:val="21"/>
          <w:szCs w:val="21"/>
        </w:rPr>
        <w:t>万人，从年龄构成看，</w:t>
      </w:r>
      <w:r>
        <w:rPr>
          <w:rFonts w:ascii="Arial" w:hAnsi="Arial"/>
          <w:sz w:val="21"/>
          <w:szCs w:val="21"/>
        </w:rPr>
        <w:t>0-14</w:t>
      </w:r>
      <w:r>
        <w:rPr>
          <w:rFonts w:ascii="Arial" w:hAnsi="Arial"/>
          <w:sz w:val="21"/>
          <w:szCs w:val="21"/>
        </w:rPr>
        <w:t>岁常住人口</w:t>
      </w:r>
      <w:r>
        <w:rPr>
          <w:rFonts w:ascii="Arial" w:hAnsi="Arial"/>
          <w:sz w:val="21"/>
          <w:szCs w:val="21"/>
        </w:rPr>
        <w:t>261.2</w:t>
      </w:r>
      <w:r>
        <w:rPr>
          <w:rFonts w:ascii="Arial" w:hAnsi="Arial"/>
          <w:sz w:val="21"/>
          <w:szCs w:val="21"/>
        </w:rPr>
        <w:t>万人，占全市常住人口的比重为</w:t>
      </w:r>
      <w:r>
        <w:rPr>
          <w:rFonts w:ascii="Arial" w:hAnsi="Arial"/>
          <w:sz w:val="21"/>
          <w:szCs w:val="21"/>
        </w:rPr>
        <w:t>12.0%</w:t>
      </w:r>
      <w:r>
        <w:rPr>
          <w:rFonts w:ascii="Arial" w:hAnsi="Arial"/>
          <w:sz w:val="21"/>
          <w:szCs w:val="21"/>
        </w:rPr>
        <w:t>；</w:t>
      </w:r>
      <w:r>
        <w:rPr>
          <w:rFonts w:ascii="Arial" w:hAnsi="Arial"/>
          <w:sz w:val="21"/>
          <w:szCs w:val="21"/>
        </w:rPr>
        <w:t>15-59</w:t>
      </w:r>
      <w:r>
        <w:rPr>
          <w:rFonts w:ascii="Arial" w:hAnsi="Arial"/>
          <w:sz w:val="21"/>
          <w:szCs w:val="21"/>
        </w:rPr>
        <w:t>岁常住人口</w:t>
      </w:r>
      <w:r>
        <w:rPr>
          <w:rFonts w:ascii="Arial" w:hAnsi="Arial"/>
          <w:sz w:val="21"/>
          <w:szCs w:val="21"/>
        </w:rPr>
        <w:t>1408.0</w:t>
      </w:r>
      <w:r>
        <w:rPr>
          <w:rFonts w:ascii="Arial" w:hAnsi="Arial"/>
          <w:sz w:val="21"/>
          <w:szCs w:val="21"/>
        </w:rPr>
        <w:t>万人，占</w:t>
      </w:r>
      <w:r>
        <w:rPr>
          <w:rFonts w:ascii="Arial" w:hAnsi="Arial"/>
          <w:sz w:val="21"/>
          <w:szCs w:val="21"/>
        </w:rPr>
        <w:t>64.5%</w:t>
      </w:r>
      <w:r>
        <w:rPr>
          <w:rFonts w:ascii="Arial" w:hAnsi="Arial"/>
          <w:sz w:val="21"/>
          <w:szCs w:val="21"/>
        </w:rPr>
        <w:t>；</w:t>
      </w:r>
      <w:r>
        <w:rPr>
          <w:rFonts w:ascii="Arial" w:hAnsi="Arial"/>
          <w:sz w:val="21"/>
          <w:szCs w:val="21"/>
        </w:rPr>
        <w:t>60</w:t>
      </w:r>
      <w:r>
        <w:rPr>
          <w:rFonts w:ascii="Arial" w:hAnsi="Arial"/>
          <w:sz w:val="21"/>
          <w:szCs w:val="21"/>
        </w:rPr>
        <w:t>岁及以上常住人口</w:t>
      </w:r>
      <w:r>
        <w:rPr>
          <w:rFonts w:ascii="Arial" w:hAnsi="Arial"/>
          <w:sz w:val="21"/>
          <w:szCs w:val="21"/>
        </w:rPr>
        <w:t>514.0</w:t>
      </w:r>
      <w:r>
        <w:rPr>
          <w:rFonts w:ascii="Arial" w:hAnsi="Arial"/>
          <w:sz w:val="21"/>
          <w:szCs w:val="21"/>
        </w:rPr>
        <w:t>万人，占</w:t>
      </w:r>
      <w:r>
        <w:rPr>
          <w:rFonts w:ascii="Arial" w:hAnsi="Arial"/>
          <w:sz w:val="21"/>
          <w:szCs w:val="21"/>
        </w:rPr>
        <w:t>23.5%</w:t>
      </w:r>
      <w:r>
        <w:rPr>
          <w:rFonts w:ascii="Arial" w:hAnsi="Arial" w:hint="eastAsia"/>
          <w:color w:val="000000"/>
          <w:sz w:val="21"/>
          <w:szCs w:val="21"/>
        </w:rPr>
        <w:t>。</w:t>
      </w:r>
    </w:p>
    <w:p w14:paraId="5157E3D5" w14:textId="77777777" w:rsidR="00000000" w:rsidRDefault="00000000">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w:t>
      </w:r>
      <w:r>
        <w:rPr>
          <w:rFonts w:ascii="Arial" w:eastAsia="方正黑体简体" w:hAnsi="Arial" w:hint="eastAsia"/>
          <w:bCs/>
          <w:color w:val="000000"/>
          <w:szCs w:val="24"/>
        </w:rPr>
        <w:t>20</w:t>
      </w:r>
      <w:r>
        <w:rPr>
          <w:rFonts w:ascii="Arial" w:eastAsia="方正黑体简体" w:hAnsi="Arial"/>
          <w:bCs/>
          <w:color w:val="000000"/>
          <w:szCs w:val="24"/>
        </w:rPr>
        <w:t>-202</w:t>
      </w:r>
      <w:r>
        <w:rPr>
          <w:rFonts w:ascii="Arial" w:eastAsia="方正黑体简体" w:hAnsi="Arial" w:hint="eastAsia"/>
          <w:bCs/>
          <w:color w:val="000000"/>
          <w:szCs w:val="24"/>
        </w:rPr>
        <w:t>4</w:t>
      </w:r>
      <w:r>
        <w:rPr>
          <w:rFonts w:ascii="Arial" w:eastAsia="方正黑体简体" w:hAnsi="Arial" w:hint="eastAsia"/>
          <w:bCs/>
          <w:color w:val="000000"/>
          <w:szCs w:val="24"/>
        </w:rPr>
        <w:t>年常住人口增量及增长速度</w:t>
      </w:r>
    </w:p>
    <w:p w14:paraId="33CC54DF" w14:textId="2B9A96B8" w:rsidR="00000000" w:rsidRDefault="008F534B">
      <w:pPr>
        <w:widowControl/>
        <w:adjustRightInd/>
        <w:spacing w:line="480" w:lineRule="auto"/>
        <w:jc w:val="center"/>
        <w:textAlignment w:val="auto"/>
        <w:rPr>
          <w:rFonts w:ascii="Arial" w:hAnsi="Arial" w:hint="eastAsia"/>
          <w:color w:val="000000"/>
          <w:sz w:val="21"/>
          <w:szCs w:val="21"/>
        </w:rPr>
      </w:pPr>
      <w:r>
        <w:rPr>
          <w:rFonts w:ascii="Arial" w:eastAsia="仿宋" w:hAnsi="Arial" w:cs="Arial"/>
          <w:noProof/>
          <w:sz w:val="28"/>
          <w:szCs w:val="28"/>
        </w:rPr>
        <w:drawing>
          <wp:inline distT="0" distB="0" distL="0" distR="0" wp14:anchorId="4FA46D05" wp14:editId="475F3C56">
            <wp:extent cx="5902960" cy="2172970"/>
            <wp:effectExtent l="0" t="0" r="0" b="0"/>
            <wp:docPr id="6" name="图片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bookmarkEnd w:id="48"/>
    <w:bookmarkEnd w:id="49"/>
    <w:p w14:paraId="40E0B778" w14:textId="77777777" w:rsidR="00000000" w:rsidRDefault="00000000">
      <w:pPr>
        <w:widowControl/>
        <w:adjustRightInd/>
        <w:spacing w:line="480" w:lineRule="auto"/>
        <w:ind w:firstLineChars="250" w:firstLine="525"/>
        <w:jc w:val="both"/>
        <w:textAlignment w:val="auto"/>
        <w:rPr>
          <w:rFonts w:ascii="Arial" w:hAnsi="Arial" w:hint="eastAsia"/>
          <w:color w:val="000000"/>
          <w:sz w:val="21"/>
          <w:szCs w:val="21"/>
        </w:rPr>
      </w:pPr>
      <w:r>
        <w:rPr>
          <w:rFonts w:ascii="Arial" w:hAnsi="Arial" w:hint="eastAsia"/>
          <w:color w:val="000000"/>
          <w:sz w:val="21"/>
          <w:szCs w:val="21"/>
        </w:rPr>
        <w:t>根据北京市统计局地区生产总值统一核算结果，</w:t>
      </w:r>
      <w:r>
        <w:rPr>
          <w:rFonts w:ascii="Arial" w:hAnsi="Arial" w:hint="eastAsia"/>
          <w:color w:val="000000"/>
          <w:sz w:val="21"/>
          <w:szCs w:val="21"/>
        </w:rPr>
        <w:t>2025</w:t>
      </w:r>
      <w:r>
        <w:rPr>
          <w:rFonts w:ascii="Arial" w:hAnsi="Arial" w:hint="eastAsia"/>
          <w:color w:val="000000"/>
          <w:sz w:val="21"/>
          <w:szCs w:val="21"/>
        </w:rPr>
        <w:t>年前三季度，北京市实现地区生产总值</w:t>
      </w:r>
      <w:r>
        <w:rPr>
          <w:rFonts w:ascii="Arial" w:hAnsi="Arial" w:hint="eastAsia"/>
          <w:color w:val="000000"/>
          <w:sz w:val="21"/>
          <w:szCs w:val="21"/>
        </w:rPr>
        <w:t>38415.9</w:t>
      </w:r>
      <w:r>
        <w:rPr>
          <w:rFonts w:ascii="Arial" w:hAnsi="Arial" w:hint="eastAsia"/>
          <w:color w:val="000000"/>
          <w:sz w:val="21"/>
          <w:szCs w:val="21"/>
        </w:rPr>
        <w:t>亿元，按不变价格计算，同比增长</w:t>
      </w:r>
      <w:r>
        <w:rPr>
          <w:rFonts w:ascii="Arial" w:hAnsi="Arial" w:hint="eastAsia"/>
          <w:color w:val="000000"/>
          <w:sz w:val="21"/>
          <w:szCs w:val="21"/>
        </w:rPr>
        <w:t>5.6%</w:t>
      </w:r>
      <w:r>
        <w:rPr>
          <w:rFonts w:ascii="Arial" w:hAnsi="Arial" w:hint="eastAsia"/>
          <w:color w:val="000000"/>
          <w:sz w:val="21"/>
          <w:szCs w:val="21"/>
        </w:rPr>
        <w:t>。分产业看，第一产业实现增加值</w:t>
      </w:r>
      <w:r>
        <w:rPr>
          <w:rFonts w:ascii="Arial" w:hAnsi="Arial" w:hint="eastAsia"/>
          <w:color w:val="000000"/>
          <w:sz w:val="21"/>
          <w:szCs w:val="21"/>
        </w:rPr>
        <w:t>77.9</w:t>
      </w:r>
      <w:r>
        <w:rPr>
          <w:rFonts w:ascii="Arial" w:hAnsi="Arial" w:hint="eastAsia"/>
          <w:color w:val="000000"/>
          <w:sz w:val="21"/>
          <w:szCs w:val="21"/>
        </w:rPr>
        <w:t>亿元，下降</w:t>
      </w:r>
      <w:r>
        <w:rPr>
          <w:rFonts w:ascii="Arial" w:hAnsi="Arial" w:hint="eastAsia"/>
          <w:color w:val="000000"/>
          <w:sz w:val="21"/>
          <w:szCs w:val="21"/>
        </w:rPr>
        <w:t>1.1%</w:t>
      </w:r>
      <w:r>
        <w:rPr>
          <w:rFonts w:ascii="Arial" w:hAnsi="Arial" w:hint="eastAsia"/>
          <w:color w:val="000000"/>
          <w:sz w:val="21"/>
          <w:szCs w:val="21"/>
        </w:rPr>
        <w:t>；第二产业实现增加值</w:t>
      </w:r>
      <w:r>
        <w:rPr>
          <w:rFonts w:ascii="Arial" w:hAnsi="Arial" w:hint="eastAsia"/>
          <w:color w:val="000000"/>
          <w:sz w:val="21"/>
          <w:szCs w:val="21"/>
        </w:rPr>
        <w:t>5055.9</w:t>
      </w:r>
      <w:r>
        <w:rPr>
          <w:rFonts w:ascii="Arial" w:hAnsi="Arial" w:hint="eastAsia"/>
          <w:color w:val="000000"/>
          <w:sz w:val="21"/>
          <w:szCs w:val="21"/>
        </w:rPr>
        <w:t>亿元，增长</w:t>
      </w:r>
      <w:r>
        <w:rPr>
          <w:rFonts w:ascii="Arial" w:hAnsi="Arial" w:hint="eastAsia"/>
          <w:color w:val="000000"/>
          <w:sz w:val="21"/>
          <w:szCs w:val="21"/>
        </w:rPr>
        <w:t>4.0%</w:t>
      </w:r>
      <w:r>
        <w:rPr>
          <w:rFonts w:ascii="Arial" w:hAnsi="Arial" w:hint="eastAsia"/>
          <w:color w:val="000000"/>
          <w:sz w:val="21"/>
          <w:szCs w:val="21"/>
        </w:rPr>
        <w:t>；第三产业实现增加值</w:t>
      </w:r>
      <w:r>
        <w:rPr>
          <w:rFonts w:ascii="Arial" w:hAnsi="Arial" w:hint="eastAsia"/>
          <w:color w:val="000000"/>
          <w:sz w:val="21"/>
          <w:szCs w:val="21"/>
        </w:rPr>
        <w:t>33282.0</w:t>
      </w:r>
      <w:r>
        <w:rPr>
          <w:rFonts w:ascii="Arial" w:hAnsi="Arial" w:hint="eastAsia"/>
          <w:color w:val="000000"/>
          <w:sz w:val="21"/>
          <w:szCs w:val="21"/>
        </w:rPr>
        <w:t>亿元，增长</w:t>
      </w:r>
      <w:r>
        <w:rPr>
          <w:rFonts w:ascii="Arial" w:hAnsi="Arial" w:hint="eastAsia"/>
          <w:color w:val="000000"/>
          <w:sz w:val="21"/>
          <w:szCs w:val="21"/>
        </w:rPr>
        <w:t>5.8%</w:t>
      </w:r>
      <w:r>
        <w:rPr>
          <w:rFonts w:ascii="Arial" w:hAnsi="Arial" w:hint="eastAsia"/>
          <w:color w:val="000000"/>
          <w:sz w:val="21"/>
          <w:szCs w:val="21"/>
        </w:rPr>
        <w:t>。</w:t>
      </w:r>
    </w:p>
    <w:p w14:paraId="07EB42E0" w14:textId="77777777" w:rsidR="00000000" w:rsidRDefault="00000000">
      <w:pPr>
        <w:widowControl/>
        <w:adjustRightInd/>
        <w:spacing w:line="480" w:lineRule="auto"/>
        <w:ind w:firstLineChars="250" w:firstLine="525"/>
        <w:jc w:val="both"/>
        <w:textAlignment w:val="auto"/>
        <w:rPr>
          <w:rFonts w:ascii="Arial" w:hAnsi="Arial" w:hint="eastAsia"/>
          <w:color w:val="000000"/>
          <w:sz w:val="21"/>
          <w:szCs w:val="21"/>
        </w:rPr>
      </w:pPr>
      <w:r>
        <w:rPr>
          <w:rFonts w:ascii="Arial" w:hAnsi="Arial" w:hint="eastAsia"/>
          <w:color w:val="000000"/>
          <w:sz w:val="21"/>
          <w:szCs w:val="21"/>
        </w:rPr>
        <w:t>2025</w:t>
      </w:r>
      <w:r>
        <w:rPr>
          <w:rFonts w:ascii="Arial" w:hAnsi="Arial" w:hint="eastAsia"/>
          <w:color w:val="000000"/>
          <w:sz w:val="21"/>
          <w:szCs w:val="21"/>
        </w:rPr>
        <w:t>年前三季度，北京市固定资产投资（不含农户）同比增长</w:t>
      </w:r>
      <w:r>
        <w:rPr>
          <w:rFonts w:ascii="Arial" w:hAnsi="Arial" w:hint="eastAsia"/>
          <w:color w:val="000000"/>
          <w:sz w:val="21"/>
          <w:szCs w:val="21"/>
        </w:rPr>
        <w:t>9.0%</w:t>
      </w:r>
      <w:r>
        <w:rPr>
          <w:rFonts w:ascii="Arial" w:hAnsi="Arial" w:hint="eastAsia"/>
          <w:color w:val="000000"/>
          <w:sz w:val="21"/>
          <w:szCs w:val="21"/>
        </w:rPr>
        <w:t>。其中，反映企业扩大生产能力的设备购置投资增长</w:t>
      </w:r>
      <w:r>
        <w:rPr>
          <w:rFonts w:ascii="Arial" w:hAnsi="Arial" w:hint="eastAsia"/>
          <w:color w:val="000000"/>
          <w:sz w:val="21"/>
          <w:szCs w:val="21"/>
        </w:rPr>
        <w:t>83.1%</w:t>
      </w:r>
      <w:r>
        <w:rPr>
          <w:rFonts w:ascii="Arial" w:hAnsi="Arial" w:hint="eastAsia"/>
          <w:color w:val="000000"/>
          <w:sz w:val="21"/>
          <w:szCs w:val="21"/>
        </w:rPr>
        <w:t>，占全市固定资产投资的比重进一步提升至</w:t>
      </w:r>
      <w:r>
        <w:rPr>
          <w:rFonts w:ascii="Arial" w:hAnsi="Arial" w:hint="eastAsia"/>
          <w:color w:val="000000"/>
          <w:sz w:val="21"/>
          <w:szCs w:val="21"/>
        </w:rPr>
        <w:t>29.3%</w:t>
      </w:r>
      <w:r>
        <w:rPr>
          <w:rFonts w:ascii="Arial" w:hAnsi="Arial" w:hint="eastAsia"/>
          <w:color w:val="000000"/>
          <w:sz w:val="21"/>
          <w:szCs w:val="21"/>
        </w:rPr>
        <w:t>。分领域看，基础设施投资增长</w:t>
      </w:r>
      <w:r>
        <w:rPr>
          <w:rFonts w:ascii="Arial" w:hAnsi="Arial" w:hint="eastAsia"/>
          <w:color w:val="000000"/>
          <w:sz w:val="21"/>
          <w:szCs w:val="21"/>
        </w:rPr>
        <w:t>2.3%</w:t>
      </w:r>
      <w:r>
        <w:rPr>
          <w:rFonts w:ascii="Arial" w:hAnsi="Arial" w:hint="eastAsia"/>
          <w:color w:val="000000"/>
          <w:sz w:val="21"/>
          <w:szCs w:val="21"/>
        </w:rPr>
        <w:t>，制造业投资增长</w:t>
      </w:r>
      <w:r>
        <w:rPr>
          <w:rFonts w:ascii="Arial" w:hAnsi="Arial" w:hint="eastAsia"/>
          <w:color w:val="000000"/>
          <w:sz w:val="21"/>
          <w:szCs w:val="21"/>
        </w:rPr>
        <w:t>5.4%</w:t>
      </w:r>
      <w:r>
        <w:rPr>
          <w:rFonts w:ascii="Arial" w:hAnsi="Arial" w:hint="eastAsia"/>
          <w:color w:val="000000"/>
          <w:sz w:val="21"/>
          <w:szCs w:val="21"/>
        </w:rPr>
        <w:t>，房地产开发投资下降</w:t>
      </w:r>
      <w:r>
        <w:rPr>
          <w:rFonts w:ascii="Arial" w:hAnsi="Arial" w:hint="eastAsia"/>
          <w:color w:val="000000"/>
          <w:sz w:val="21"/>
          <w:szCs w:val="21"/>
        </w:rPr>
        <w:t>13.7%</w:t>
      </w:r>
      <w:r>
        <w:rPr>
          <w:rFonts w:ascii="Arial" w:hAnsi="Arial" w:hint="eastAsia"/>
          <w:color w:val="000000"/>
          <w:sz w:val="21"/>
          <w:szCs w:val="21"/>
        </w:rPr>
        <w:t>。分产业看，第一产业投资</w:t>
      </w:r>
      <w:r>
        <w:rPr>
          <w:rFonts w:ascii="Arial" w:hAnsi="Arial" w:hint="eastAsia"/>
          <w:color w:val="000000"/>
          <w:sz w:val="21"/>
          <w:szCs w:val="21"/>
        </w:rPr>
        <w:lastRenderedPageBreak/>
        <w:t>增长</w:t>
      </w:r>
      <w:r>
        <w:rPr>
          <w:rFonts w:ascii="Arial" w:hAnsi="Arial" w:hint="eastAsia"/>
          <w:color w:val="000000"/>
          <w:sz w:val="21"/>
          <w:szCs w:val="21"/>
        </w:rPr>
        <w:t>23.8%</w:t>
      </w:r>
      <w:r>
        <w:rPr>
          <w:rFonts w:ascii="Arial" w:hAnsi="Arial" w:hint="eastAsia"/>
          <w:color w:val="000000"/>
          <w:sz w:val="21"/>
          <w:szCs w:val="21"/>
        </w:rPr>
        <w:t>，第二产业投资增长</w:t>
      </w:r>
      <w:r>
        <w:rPr>
          <w:rFonts w:ascii="Arial" w:hAnsi="Arial" w:hint="eastAsia"/>
          <w:color w:val="000000"/>
          <w:sz w:val="21"/>
          <w:szCs w:val="21"/>
        </w:rPr>
        <w:t>10.4%</w:t>
      </w:r>
      <w:r>
        <w:rPr>
          <w:rFonts w:ascii="Arial" w:hAnsi="Arial" w:hint="eastAsia"/>
          <w:color w:val="000000"/>
          <w:sz w:val="21"/>
          <w:szCs w:val="21"/>
        </w:rPr>
        <w:t>，第三产业投资增长</w:t>
      </w:r>
      <w:r>
        <w:rPr>
          <w:rFonts w:ascii="Arial" w:hAnsi="Arial" w:hint="eastAsia"/>
          <w:color w:val="000000"/>
          <w:sz w:val="21"/>
          <w:szCs w:val="21"/>
        </w:rPr>
        <w:t>8.8%</w:t>
      </w:r>
      <w:r>
        <w:rPr>
          <w:rFonts w:ascii="Arial" w:hAnsi="Arial" w:hint="eastAsia"/>
          <w:color w:val="000000"/>
          <w:sz w:val="21"/>
          <w:szCs w:val="21"/>
        </w:rPr>
        <w:t>。在信息传输、软件和信息技术服务业带动下，高技术产业投资保持活跃，增长</w:t>
      </w:r>
      <w:r>
        <w:rPr>
          <w:rFonts w:ascii="Arial" w:hAnsi="Arial" w:hint="eastAsia"/>
          <w:color w:val="000000"/>
          <w:sz w:val="21"/>
          <w:szCs w:val="21"/>
        </w:rPr>
        <w:t>51.7%</w:t>
      </w:r>
      <w:r>
        <w:rPr>
          <w:rFonts w:ascii="Arial" w:hAnsi="Arial" w:hint="eastAsia"/>
          <w:color w:val="000000"/>
          <w:sz w:val="21"/>
          <w:szCs w:val="21"/>
        </w:rPr>
        <w:t>。</w:t>
      </w:r>
    </w:p>
    <w:p w14:paraId="67713B67" w14:textId="77777777" w:rsidR="00000000" w:rsidRDefault="00000000">
      <w:pPr>
        <w:widowControl/>
        <w:adjustRightInd/>
        <w:spacing w:line="480" w:lineRule="auto"/>
        <w:ind w:firstLineChars="250" w:firstLine="525"/>
        <w:jc w:val="both"/>
        <w:textAlignment w:val="auto"/>
        <w:rPr>
          <w:rFonts w:ascii="Arial" w:hAnsi="Arial" w:hint="eastAsia"/>
          <w:color w:val="000000"/>
          <w:sz w:val="21"/>
          <w:szCs w:val="21"/>
        </w:rPr>
      </w:pPr>
      <w:r>
        <w:rPr>
          <w:rFonts w:ascii="Arial" w:hAnsi="Arial" w:hint="eastAsia"/>
          <w:color w:val="000000"/>
          <w:sz w:val="21"/>
          <w:szCs w:val="21"/>
        </w:rPr>
        <w:t>2025</w:t>
      </w:r>
      <w:r>
        <w:rPr>
          <w:rFonts w:ascii="Arial" w:hAnsi="Arial" w:hint="eastAsia"/>
          <w:color w:val="000000"/>
          <w:sz w:val="21"/>
          <w:szCs w:val="21"/>
        </w:rPr>
        <w:t>年前三季度，北京市房屋施工面积</w:t>
      </w:r>
      <w:r>
        <w:rPr>
          <w:rFonts w:ascii="Arial" w:hAnsi="Arial" w:hint="eastAsia"/>
          <w:color w:val="000000"/>
          <w:sz w:val="21"/>
          <w:szCs w:val="21"/>
        </w:rPr>
        <w:t>10150.0</w:t>
      </w:r>
      <w:r>
        <w:rPr>
          <w:rFonts w:ascii="Arial" w:hAnsi="Arial" w:hint="eastAsia"/>
          <w:color w:val="000000"/>
          <w:sz w:val="21"/>
          <w:szCs w:val="21"/>
        </w:rPr>
        <w:t>万平方米，同比下降</w:t>
      </w:r>
      <w:r>
        <w:rPr>
          <w:rFonts w:ascii="Arial" w:hAnsi="Arial" w:hint="eastAsia"/>
          <w:color w:val="000000"/>
          <w:sz w:val="21"/>
          <w:szCs w:val="21"/>
        </w:rPr>
        <w:t>7.8%</w:t>
      </w:r>
      <w:r>
        <w:rPr>
          <w:rFonts w:ascii="Arial" w:hAnsi="Arial" w:hint="eastAsia"/>
          <w:color w:val="000000"/>
          <w:sz w:val="21"/>
          <w:szCs w:val="21"/>
        </w:rPr>
        <w:t>，其中住宅施工面积</w:t>
      </w:r>
      <w:r>
        <w:rPr>
          <w:rFonts w:ascii="Arial" w:hAnsi="Arial" w:hint="eastAsia"/>
          <w:color w:val="000000"/>
          <w:sz w:val="21"/>
          <w:szCs w:val="21"/>
        </w:rPr>
        <w:t>5050.5</w:t>
      </w:r>
      <w:r>
        <w:rPr>
          <w:rFonts w:ascii="Arial" w:hAnsi="Arial" w:hint="eastAsia"/>
          <w:color w:val="000000"/>
          <w:sz w:val="21"/>
          <w:szCs w:val="21"/>
        </w:rPr>
        <w:t>万平方米，下降</w:t>
      </w:r>
      <w:r>
        <w:rPr>
          <w:rFonts w:ascii="Arial" w:hAnsi="Arial" w:hint="eastAsia"/>
          <w:color w:val="000000"/>
          <w:sz w:val="21"/>
          <w:szCs w:val="21"/>
        </w:rPr>
        <w:t>8.5%</w:t>
      </w:r>
      <w:r>
        <w:rPr>
          <w:rFonts w:ascii="Arial" w:hAnsi="Arial" w:hint="eastAsia"/>
          <w:color w:val="000000"/>
          <w:sz w:val="21"/>
          <w:szCs w:val="21"/>
        </w:rPr>
        <w:t>。全市新建商品房销售面积</w:t>
      </w:r>
      <w:r>
        <w:rPr>
          <w:rFonts w:ascii="Arial" w:hAnsi="Arial" w:hint="eastAsia"/>
          <w:color w:val="000000"/>
          <w:sz w:val="21"/>
          <w:szCs w:val="21"/>
        </w:rPr>
        <w:t>739.6</w:t>
      </w:r>
      <w:r>
        <w:rPr>
          <w:rFonts w:ascii="Arial" w:hAnsi="Arial" w:hint="eastAsia"/>
          <w:color w:val="000000"/>
          <w:sz w:val="21"/>
          <w:szCs w:val="21"/>
        </w:rPr>
        <w:t>万平方米，同比下降</w:t>
      </w:r>
      <w:r>
        <w:rPr>
          <w:rFonts w:ascii="Arial" w:hAnsi="Arial" w:hint="eastAsia"/>
          <w:color w:val="000000"/>
          <w:sz w:val="21"/>
          <w:szCs w:val="21"/>
        </w:rPr>
        <w:t>3.5%</w:t>
      </w:r>
      <w:r>
        <w:rPr>
          <w:rFonts w:ascii="Arial" w:hAnsi="Arial" w:hint="eastAsia"/>
          <w:color w:val="000000"/>
          <w:sz w:val="21"/>
          <w:szCs w:val="21"/>
        </w:rPr>
        <w:t>，其中住宅销售面积</w:t>
      </w:r>
      <w:r>
        <w:rPr>
          <w:rFonts w:ascii="Arial" w:hAnsi="Arial" w:hint="eastAsia"/>
          <w:color w:val="000000"/>
          <w:sz w:val="21"/>
          <w:szCs w:val="21"/>
        </w:rPr>
        <w:t>491.7</w:t>
      </w:r>
      <w:r>
        <w:rPr>
          <w:rFonts w:ascii="Arial" w:hAnsi="Arial" w:hint="eastAsia"/>
          <w:color w:val="000000"/>
          <w:sz w:val="21"/>
          <w:szCs w:val="21"/>
        </w:rPr>
        <w:t>万平方米，下降</w:t>
      </w:r>
      <w:r>
        <w:rPr>
          <w:rFonts w:ascii="Arial" w:hAnsi="Arial" w:hint="eastAsia"/>
          <w:color w:val="000000"/>
          <w:sz w:val="21"/>
          <w:szCs w:val="21"/>
        </w:rPr>
        <w:t>8.2%</w:t>
      </w:r>
      <w:r>
        <w:rPr>
          <w:rFonts w:ascii="Arial" w:hAnsi="Arial" w:hint="eastAsia"/>
          <w:color w:val="000000"/>
          <w:sz w:val="21"/>
          <w:szCs w:val="21"/>
        </w:rPr>
        <w:t>，住宅中的纯商品住宅销售面积增长</w:t>
      </w:r>
      <w:r>
        <w:rPr>
          <w:rFonts w:ascii="Arial" w:hAnsi="Arial" w:hint="eastAsia"/>
          <w:color w:val="000000"/>
          <w:sz w:val="21"/>
          <w:szCs w:val="21"/>
        </w:rPr>
        <w:t>20.1%</w:t>
      </w:r>
      <w:r>
        <w:rPr>
          <w:rFonts w:ascii="Arial" w:hAnsi="Arial" w:hint="eastAsia"/>
          <w:color w:val="000000"/>
          <w:sz w:val="21"/>
          <w:szCs w:val="21"/>
        </w:rPr>
        <w:t>。</w:t>
      </w:r>
    </w:p>
    <w:p w14:paraId="7E00C8D0" w14:textId="77777777" w:rsidR="00000000" w:rsidRDefault="00000000">
      <w:pPr>
        <w:widowControl/>
        <w:adjustRightInd/>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2025</w:t>
      </w:r>
      <w:r>
        <w:rPr>
          <w:rFonts w:ascii="Arial" w:hAnsi="Arial" w:hint="eastAsia"/>
          <w:color w:val="000000"/>
          <w:sz w:val="21"/>
          <w:szCs w:val="21"/>
        </w:rPr>
        <w:t>年前三季度，北京市房地产开发投资同比下降</w:t>
      </w:r>
      <w:r>
        <w:rPr>
          <w:rFonts w:ascii="Arial" w:hAnsi="Arial" w:hint="eastAsia"/>
          <w:color w:val="000000"/>
          <w:sz w:val="21"/>
          <w:szCs w:val="21"/>
        </w:rPr>
        <w:t>13.7%</w:t>
      </w:r>
      <w:r>
        <w:rPr>
          <w:rFonts w:ascii="Arial" w:hAnsi="Arial" w:hint="eastAsia"/>
          <w:color w:val="000000"/>
          <w:sz w:val="21"/>
          <w:szCs w:val="21"/>
        </w:rPr>
        <w:t>，房屋新开工面积</w:t>
      </w:r>
      <w:r>
        <w:rPr>
          <w:rFonts w:ascii="Arial" w:hAnsi="Arial" w:hint="eastAsia"/>
          <w:color w:val="000000"/>
          <w:sz w:val="21"/>
          <w:szCs w:val="21"/>
        </w:rPr>
        <w:t>912</w:t>
      </w:r>
      <w:r>
        <w:rPr>
          <w:rFonts w:ascii="Arial" w:hAnsi="Arial" w:hint="eastAsia"/>
          <w:color w:val="000000"/>
          <w:sz w:val="21"/>
          <w:szCs w:val="21"/>
        </w:rPr>
        <w:t>万平方米，同比下降</w:t>
      </w:r>
      <w:r>
        <w:rPr>
          <w:rFonts w:ascii="Arial" w:hAnsi="Arial" w:hint="eastAsia"/>
          <w:color w:val="000000"/>
          <w:sz w:val="21"/>
          <w:szCs w:val="21"/>
        </w:rPr>
        <w:t>7.4%</w:t>
      </w:r>
      <w:r>
        <w:rPr>
          <w:rFonts w:ascii="Arial" w:hAnsi="Arial" w:hint="eastAsia"/>
          <w:color w:val="000000"/>
          <w:sz w:val="21"/>
          <w:szCs w:val="21"/>
        </w:rPr>
        <w:t>。其中，住宅新开工面积</w:t>
      </w:r>
      <w:r>
        <w:rPr>
          <w:rFonts w:ascii="Arial" w:hAnsi="Arial" w:hint="eastAsia"/>
          <w:color w:val="000000"/>
          <w:sz w:val="21"/>
          <w:szCs w:val="21"/>
        </w:rPr>
        <w:t>576.6</w:t>
      </w:r>
      <w:r>
        <w:rPr>
          <w:rFonts w:ascii="Arial" w:hAnsi="Arial" w:hint="eastAsia"/>
          <w:color w:val="000000"/>
          <w:sz w:val="21"/>
          <w:szCs w:val="21"/>
        </w:rPr>
        <w:t>万平方米，下降</w:t>
      </w:r>
      <w:r>
        <w:rPr>
          <w:rFonts w:ascii="Arial" w:hAnsi="Arial" w:hint="eastAsia"/>
          <w:color w:val="000000"/>
          <w:sz w:val="21"/>
          <w:szCs w:val="21"/>
        </w:rPr>
        <w:t>6%</w:t>
      </w:r>
      <w:r>
        <w:rPr>
          <w:rFonts w:ascii="Arial" w:hAnsi="Arial" w:hint="eastAsia"/>
          <w:color w:val="000000"/>
          <w:sz w:val="21"/>
          <w:szCs w:val="21"/>
        </w:rPr>
        <w:t>；办公楼</w:t>
      </w:r>
      <w:r>
        <w:rPr>
          <w:rFonts w:ascii="Arial" w:hAnsi="Arial" w:hint="eastAsia"/>
          <w:color w:val="000000"/>
          <w:sz w:val="21"/>
          <w:szCs w:val="21"/>
        </w:rPr>
        <w:t>26.7</w:t>
      </w:r>
      <w:r>
        <w:rPr>
          <w:rFonts w:ascii="Arial" w:hAnsi="Arial" w:hint="eastAsia"/>
          <w:color w:val="000000"/>
          <w:sz w:val="21"/>
          <w:szCs w:val="21"/>
        </w:rPr>
        <w:t>万平方米，增长</w:t>
      </w:r>
      <w:r>
        <w:rPr>
          <w:rFonts w:ascii="Arial" w:hAnsi="Arial" w:hint="eastAsia"/>
          <w:color w:val="000000"/>
          <w:sz w:val="21"/>
          <w:szCs w:val="21"/>
        </w:rPr>
        <w:t>39%</w:t>
      </w:r>
      <w:r>
        <w:rPr>
          <w:rFonts w:ascii="Arial" w:hAnsi="Arial" w:hint="eastAsia"/>
          <w:color w:val="000000"/>
          <w:sz w:val="21"/>
          <w:szCs w:val="21"/>
        </w:rPr>
        <w:t>；商业营业用房</w:t>
      </w:r>
      <w:r>
        <w:rPr>
          <w:rFonts w:ascii="Arial" w:hAnsi="Arial" w:hint="eastAsia"/>
          <w:color w:val="000000"/>
          <w:sz w:val="21"/>
          <w:szCs w:val="21"/>
        </w:rPr>
        <w:t>45.7</w:t>
      </w:r>
      <w:r>
        <w:rPr>
          <w:rFonts w:ascii="Arial" w:hAnsi="Arial" w:hint="eastAsia"/>
          <w:color w:val="000000"/>
          <w:sz w:val="21"/>
          <w:szCs w:val="21"/>
        </w:rPr>
        <w:t>万平方米，增长</w:t>
      </w:r>
      <w:r>
        <w:rPr>
          <w:rFonts w:ascii="Arial" w:hAnsi="Arial" w:hint="eastAsia"/>
          <w:color w:val="000000"/>
          <w:sz w:val="21"/>
          <w:szCs w:val="21"/>
        </w:rPr>
        <w:t>0.3%</w:t>
      </w:r>
      <w:r>
        <w:rPr>
          <w:rFonts w:ascii="Arial" w:hAnsi="Arial" w:hint="eastAsia"/>
          <w:color w:val="000000"/>
          <w:sz w:val="21"/>
          <w:szCs w:val="21"/>
        </w:rPr>
        <w:t>。</w:t>
      </w:r>
    </w:p>
    <w:p w14:paraId="7F24D110" w14:textId="77777777" w:rsidR="00000000" w:rsidRDefault="00000000">
      <w:pPr>
        <w:widowControl/>
        <w:adjustRightInd/>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北京市房屋竣工面积</w:t>
      </w:r>
      <w:r>
        <w:rPr>
          <w:rFonts w:ascii="Arial" w:hAnsi="Arial" w:hint="eastAsia"/>
          <w:color w:val="000000"/>
          <w:sz w:val="21"/>
          <w:szCs w:val="21"/>
        </w:rPr>
        <w:t>787.8</w:t>
      </w:r>
      <w:r>
        <w:rPr>
          <w:rFonts w:ascii="Arial" w:hAnsi="Arial" w:hint="eastAsia"/>
          <w:color w:val="000000"/>
          <w:sz w:val="21"/>
          <w:szCs w:val="21"/>
        </w:rPr>
        <w:t>万平方米，同比增长</w:t>
      </w:r>
      <w:r>
        <w:rPr>
          <w:rFonts w:ascii="Arial" w:hAnsi="Arial" w:hint="eastAsia"/>
          <w:color w:val="000000"/>
          <w:sz w:val="21"/>
          <w:szCs w:val="21"/>
        </w:rPr>
        <w:t>6.1%</w:t>
      </w:r>
      <w:r>
        <w:rPr>
          <w:rFonts w:ascii="Arial" w:hAnsi="Arial" w:hint="eastAsia"/>
          <w:color w:val="000000"/>
          <w:sz w:val="21"/>
          <w:szCs w:val="21"/>
        </w:rPr>
        <w:t>。其中，住宅竣工面积</w:t>
      </w:r>
      <w:r>
        <w:rPr>
          <w:rFonts w:ascii="Arial" w:hAnsi="Arial" w:hint="eastAsia"/>
          <w:color w:val="000000"/>
          <w:sz w:val="21"/>
          <w:szCs w:val="21"/>
        </w:rPr>
        <w:t>403.3</w:t>
      </w:r>
      <w:r>
        <w:rPr>
          <w:rFonts w:ascii="Arial" w:hAnsi="Arial" w:hint="eastAsia"/>
          <w:color w:val="000000"/>
          <w:sz w:val="21"/>
          <w:szCs w:val="21"/>
        </w:rPr>
        <w:t>万平方米，下降</w:t>
      </w:r>
      <w:r>
        <w:rPr>
          <w:rFonts w:ascii="Arial" w:hAnsi="Arial" w:hint="eastAsia"/>
          <w:color w:val="000000"/>
          <w:sz w:val="21"/>
          <w:szCs w:val="21"/>
        </w:rPr>
        <w:t>1.5%</w:t>
      </w:r>
      <w:r>
        <w:rPr>
          <w:rFonts w:ascii="Arial" w:hAnsi="Arial" w:hint="eastAsia"/>
          <w:color w:val="000000"/>
          <w:sz w:val="21"/>
          <w:szCs w:val="21"/>
        </w:rPr>
        <w:t>；办公楼</w:t>
      </w:r>
      <w:r>
        <w:rPr>
          <w:rFonts w:ascii="Arial" w:hAnsi="Arial" w:hint="eastAsia"/>
          <w:color w:val="000000"/>
          <w:sz w:val="21"/>
          <w:szCs w:val="21"/>
        </w:rPr>
        <w:t>23.2</w:t>
      </w:r>
      <w:r>
        <w:rPr>
          <w:rFonts w:ascii="Arial" w:hAnsi="Arial" w:hint="eastAsia"/>
          <w:color w:val="000000"/>
          <w:sz w:val="21"/>
          <w:szCs w:val="21"/>
        </w:rPr>
        <w:t>万平方米，下降</w:t>
      </w:r>
      <w:r>
        <w:rPr>
          <w:rFonts w:ascii="Arial" w:hAnsi="Arial" w:hint="eastAsia"/>
          <w:color w:val="000000"/>
          <w:sz w:val="21"/>
          <w:szCs w:val="21"/>
        </w:rPr>
        <w:t>33%</w:t>
      </w:r>
      <w:r>
        <w:rPr>
          <w:rFonts w:ascii="Arial" w:hAnsi="Arial" w:hint="eastAsia"/>
          <w:color w:val="000000"/>
          <w:sz w:val="21"/>
          <w:szCs w:val="21"/>
        </w:rPr>
        <w:t>；商业营业用房</w:t>
      </w:r>
      <w:r>
        <w:rPr>
          <w:rFonts w:ascii="Arial" w:hAnsi="Arial" w:hint="eastAsia"/>
          <w:color w:val="000000"/>
          <w:sz w:val="21"/>
          <w:szCs w:val="21"/>
        </w:rPr>
        <w:t>78.7</w:t>
      </w:r>
      <w:r>
        <w:rPr>
          <w:rFonts w:ascii="Arial" w:hAnsi="Arial" w:hint="eastAsia"/>
          <w:color w:val="000000"/>
          <w:sz w:val="21"/>
          <w:szCs w:val="21"/>
        </w:rPr>
        <w:t>万平方米，增长</w:t>
      </w:r>
      <w:r>
        <w:rPr>
          <w:rFonts w:ascii="Arial" w:hAnsi="Arial" w:hint="eastAsia"/>
          <w:color w:val="000000"/>
          <w:sz w:val="21"/>
          <w:szCs w:val="21"/>
        </w:rPr>
        <w:t>1.2</w:t>
      </w:r>
      <w:r>
        <w:rPr>
          <w:rFonts w:ascii="Arial" w:hAnsi="Arial" w:hint="eastAsia"/>
          <w:color w:val="000000"/>
          <w:sz w:val="21"/>
          <w:szCs w:val="21"/>
        </w:rPr>
        <w:t>倍。</w:t>
      </w:r>
    </w:p>
    <w:p w14:paraId="42755C9B" w14:textId="77777777" w:rsidR="00000000" w:rsidRDefault="00000000">
      <w:pPr>
        <w:widowControl/>
        <w:adjustRightInd/>
        <w:spacing w:line="480" w:lineRule="auto"/>
        <w:ind w:firstLineChars="250" w:firstLine="525"/>
        <w:jc w:val="both"/>
        <w:textAlignment w:val="auto"/>
        <w:rPr>
          <w:rFonts w:ascii="Arial" w:hAnsi="Arial" w:hint="eastAsia"/>
          <w:color w:val="000000"/>
          <w:sz w:val="21"/>
          <w:szCs w:val="21"/>
        </w:rPr>
      </w:pPr>
      <w:r>
        <w:rPr>
          <w:rFonts w:ascii="Arial" w:hAnsi="Arial" w:hint="eastAsia"/>
          <w:color w:val="000000"/>
          <w:sz w:val="21"/>
          <w:szCs w:val="21"/>
        </w:rPr>
        <w:t>总的来看，</w:t>
      </w:r>
      <w:r>
        <w:rPr>
          <w:rFonts w:ascii="Arial" w:hAnsi="Arial" w:hint="eastAsia"/>
          <w:color w:val="000000"/>
          <w:sz w:val="21"/>
          <w:szCs w:val="21"/>
        </w:rPr>
        <w:t>2025</w:t>
      </w:r>
      <w:r>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p>
    <w:p w14:paraId="2B6E81A6" w14:textId="77777777" w:rsidR="00000000" w:rsidRDefault="00000000">
      <w:pPr>
        <w:widowControl/>
        <w:overflowPunct w:val="0"/>
        <w:adjustRightInd/>
        <w:spacing w:line="480" w:lineRule="auto"/>
        <w:ind w:firstLineChars="200" w:firstLine="420"/>
        <w:jc w:val="both"/>
        <w:textAlignment w:val="auto"/>
        <w:rPr>
          <w:rFonts w:ascii="Arial" w:hAnsi="Arial"/>
          <w:color w:val="000000"/>
          <w:sz w:val="21"/>
          <w:szCs w:val="21"/>
        </w:rPr>
      </w:pPr>
      <w:r>
        <w:rPr>
          <w:rFonts w:ascii="Arial" w:hAnsi="Arial"/>
          <w:color w:val="000000"/>
          <w:sz w:val="21"/>
          <w:szCs w:val="21"/>
        </w:rPr>
        <w:t>2.</w:t>
      </w:r>
      <w:r>
        <w:rPr>
          <w:rFonts w:ascii="Arial" w:hAnsi="Arial" w:hint="eastAsia"/>
          <w:color w:val="000000"/>
          <w:sz w:val="21"/>
          <w:szCs w:val="21"/>
        </w:rPr>
        <w:t>土地市场</w:t>
      </w:r>
    </w:p>
    <w:p w14:paraId="497080E4" w14:textId="77777777" w:rsidR="00000000" w:rsidRDefault="00000000">
      <w:pPr>
        <w:widowControl/>
        <w:overflowPunct w:val="0"/>
        <w:adjustRightInd/>
        <w:spacing w:line="480" w:lineRule="auto"/>
        <w:ind w:firstLineChars="200" w:firstLine="420"/>
        <w:jc w:val="both"/>
        <w:textAlignment w:val="auto"/>
        <w:rPr>
          <w:rFonts w:ascii="Arial" w:hAnsi="Arial"/>
          <w:color w:val="000000"/>
          <w:sz w:val="21"/>
          <w:szCs w:val="21"/>
        </w:rPr>
      </w:pPr>
      <w:r>
        <w:rPr>
          <w:rFonts w:ascii="Arial" w:hAnsi="Arial" w:hint="eastAsia"/>
          <w:color w:val="000000"/>
          <w:sz w:val="21"/>
          <w:szCs w:val="21"/>
        </w:rPr>
        <w:t>（</w:t>
      </w:r>
      <w:r>
        <w:rPr>
          <w:rFonts w:ascii="Arial" w:hAnsi="Arial" w:hint="eastAsia"/>
          <w:color w:val="000000"/>
          <w:sz w:val="21"/>
          <w:szCs w:val="21"/>
        </w:rPr>
        <w:t>1</w:t>
      </w:r>
      <w:r>
        <w:rPr>
          <w:rFonts w:ascii="Arial" w:hAnsi="Arial" w:hint="eastAsia"/>
          <w:color w:val="000000"/>
          <w:sz w:val="21"/>
          <w:szCs w:val="21"/>
        </w:rPr>
        <w:t>）土地供求情况</w:t>
      </w:r>
    </w:p>
    <w:p w14:paraId="7C0D7E85" w14:textId="77777777" w:rsidR="00000000" w:rsidRDefault="00000000">
      <w:pPr>
        <w:widowControl/>
        <w:adjustRightInd/>
        <w:spacing w:line="480" w:lineRule="auto"/>
        <w:ind w:firstLineChars="250" w:firstLine="525"/>
        <w:jc w:val="both"/>
        <w:textAlignment w:val="auto"/>
        <w:rPr>
          <w:rFonts w:ascii="Arial" w:hAnsi="Arial" w:hint="eastAsia"/>
          <w:color w:val="000000"/>
          <w:sz w:val="21"/>
          <w:szCs w:val="21"/>
        </w:rPr>
      </w:pPr>
      <w:r>
        <w:rPr>
          <w:rFonts w:ascii="Arial" w:hAnsi="Arial"/>
          <w:color w:val="000000"/>
          <w:sz w:val="21"/>
          <w:szCs w:val="21"/>
        </w:rPr>
        <w:t>202</w:t>
      </w:r>
      <w:r>
        <w:rPr>
          <w:rFonts w:ascii="Arial" w:hAnsi="Arial" w:hint="eastAsia"/>
          <w:color w:val="000000"/>
          <w:sz w:val="21"/>
          <w:szCs w:val="21"/>
        </w:rPr>
        <w:t>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北京商品住宅用地共推出</w:t>
      </w:r>
      <w:r>
        <w:rPr>
          <w:rFonts w:ascii="Arial" w:hAnsi="Arial" w:hint="eastAsia"/>
          <w:color w:val="000000"/>
          <w:sz w:val="21"/>
          <w:szCs w:val="21"/>
        </w:rPr>
        <w:t>8</w:t>
      </w:r>
      <w:r>
        <w:rPr>
          <w:rFonts w:ascii="Arial" w:hAnsi="Arial"/>
          <w:color w:val="000000"/>
          <w:sz w:val="21"/>
          <w:szCs w:val="21"/>
        </w:rPr>
        <w:t>宗，累计供应规划建面</w:t>
      </w:r>
      <w:r>
        <w:rPr>
          <w:rFonts w:ascii="Arial" w:hAnsi="Arial" w:hint="eastAsia"/>
          <w:color w:val="000000"/>
          <w:sz w:val="21"/>
          <w:szCs w:val="21"/>
        </w:rPr>
        <w:t>44.96</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w:t>
      </w:r>
      <w:r>
        <w:rPr>
          <w:rFonts w:ascii="Arial" w:hAnsi="Arial" w:hint="eastAsia"/>
          <w:color w:val="000000"/>
          <w:sz w:val="21"/>
          <w:szCs w:val="21"/>
        </w:rPr>
        <w:t>下降</w:t>
      </w:r>
      <w:r>
        <w:rPr>
          <w:rFonts w:ascii="Arial" w:hAnsi="Arial" w:hint="eastAsia"/>
          <w:color w:val="000000"/>
          <w:sz w:val="21"/>
          <w:szCs w:val="21"/>
        </w:rPr>
        <w:t>57.1</w:t>
      </w:r>
      <w:r>
        <w:rPr>
          <w:rFonts w:ascii="Arial" w:hAnsi="Arial"/>
          <w:color w:val="000000"/>
          <w:sz w:val="21"/>
          <w:szCs w:val="21"/>
        </w:rPr>
        <w:t>%</w:t>
      </w:r>
      <w:r>
        <w:rPr>
          <w:rFonts w:ascii="Arial" w:hAnsi="Arial"/>
          <w:color w:val="000000"/>
          <w:sz w:val="21"/>
          <w:szCs w:val="21"/>
        </w:rPr>
        <w:t>；</w:t>
      </w:r>
      <w:r>
        <w:rPr>
          <w:rFonts w:ascii="Arial" w:hAnsi="Arial"/>
          <w:color w:val="000000"/>
          <w:sz w:val="21"/>
          <w:szCs w:val="21"/>
        </w:rPr>
        <w:t>202</w:t>
      </w:r>
      <w:r>
        <w:rPr>
          <w:rFonts w:ascii="Arial" w:hAnsi="Arial" w:hint="eastAsia"/>
          <w:color w:val="000000"/>
          <w:sz w:val="21"/>
          <w:szCs w:val="21"/>
        </w:rPr>
        <w:t>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北京商品住宅用地</w:t>
      </w:r>
      <w:r>
        <w:rPr>
          <w:rFonts w:ascii="Arial" w:hAnsi="Arial" w:hint="eastAsia"/>
          <w:color w:val="000000"/>
          <w:sz w:val="21"/>
          <w:szCs w:val="21"/>
        </w:rPr>
        <w:t>共</w:t>
      </w:r>
      <w:r>
        <w:rPr>
          <w:rFonts w:ascii="Arial" w:hAnsi="Arial"/>
          <w:color w:val="000000"/>
          <w:sz w:val="21"/>
          <w:szCs w:val="21"/>
        </w:rPr>
        <w:t>成交</w:t>
      </w:r>
      <w:r>
        <w:rPr>
          <w:rFonts w:ascii="Arial" w:hAnsi="Arial" w:hint="eastAsia"/>
          <w:color w:val="000000"/>
          <w:sz w:val="21"/>
          <w:szCs w:val="21"/>
        </w:rPr>
        <w:t>7</w:t>
      </w:r>
      <w:r>
        <w:rPr>
          <w:rFonts w:ascii="Arial" w:hAnsi="Arial"/>
          <w:color w:val="000000"/>
          <w:sz w:val="21"/>
          <w:szCs w:val="21"/>
        </w:rPr>
        <w:t>宗，成交规划建面</w:t>
      </w:r>
      <w:r>
        <w:rPr>
          <w:rFonts w:ascii="Arial" w:hAnsi="Arial" w:hint="eastAsia"/>
          <w:color w:val="000000"/>
          <w:sz w:val="21"/>
          <w:szCs w:val="21"/>
        </w:rPr>
        <w:t>32.01</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，同比下降</w:t>
      </w:r>
      <w:r>
        <w:rPr>
          <w:rFonts w:ascii="Arial" w:hAnsi="Arial" w:hint="eastAsia"/>
          <w:color w:val="000000"/>
          <w:sz w:val="21"/>
          <w:szCs w:val="21"/>
        </w:rPr>
        <w:t>70.8</w:t>
      </w:r>
      <w:r>
        <w:rPr>
          <w:rFonts w:ascii="Arial" w:hAnsi="Arial"/>
          <w:color w:val="000000"/>
          <w:sz w:val="21"/>
          <w:szCs w:val="21"/>
        </w:rPr>
        <w:t>%</w:t>
      </w:r>
      <w:r>
        <w:rPr>
          <w:rFonts w:ascii="Arial" w:hAnsi="Arial"/>
          <w:color w:val="000000"/>
          <w:sz w:val="21"/>
          <w:szCs w:val="21"/>
        </w:rPr>
        <w:t>；</w:t>
      </w:r>
      <w:r>
        <w:rPr>
          <w:rFonts w:ascii="Arial" w:hAnsi="Arial" w:hint="eastAsia"/>
          <w:color w:val="000000"/>
          <w:sz w:val="21"/>
          <w:szCs w:val="21"/>
        </w:rPr>
        <w:t>土地成交价款合计</w:t>
      </w:r>
      <w:r>
        <w:rPr>
          <w:rFonts w:ascii="Arial" w:hAnsi="Arial" w:hint="eastAsia"/>
          <w:color w:val="000000"/>
          <w:sz w:val="21"/>
          <w:szCs w:val="21"/>
        </w:rPr>
        <w:t>115.77</w:t>
      </w:r>
      <w:r>
        <w:rPr>
          <w:rFonts w:ascii="Arial" w:hAnsi="Arial" w:hint="eastAsia"/>
          <w:color w:val="000000"/>
          <w:sz w:val="21"/>
          <w:szCs w:val="21"/>
        </w:rPr>
        <w:t>亿元，同比下降</w:t>
      </w:r>
      <w:r>
        <w:rPr>
          <w:rFonts w:ascii="Arial" w:hAnsi="Arial" w:hint="eastAsia"/>
          <w:color w:val="000000"/>
          <w:sz w:val="21"/>
          <w:szCs w:val="21"/>
        </w:rPr>
        <w:t>58.7%</w:t>
      </w:r>
      <w:r>
        <w:rPr>
          <w:rFonts w:ascii="Arial" w:hAnsi="Arial" w:hint="eastAsia"/>
          <w:color w:val="000000"/>
          <w:sz w:val="21"/>
          <w:szCs w:val="21"/>
        </w:rPr>
        <w:t>。与上半年相比，三季度土地市场明显转冷，住宅用地供求规模显著下降，除太阳宫地块外，均底价成交。</w:t>
      </w:r>
    </w:p>
    <w:p w14:paraId="2CBBB066" w14:textId="666AEFE5" w:rsidR="00000000" w:rsidRDefault="008F534B">
      <w:pPr>
        <w:overflowPunct w:val="0"/>
        <w:spacing w:line="360" w:lineRule="auto"/>
        <w:jc w:val="center"/>
        <w:rPr>
          <w:rFonts w:ascii="Arial" w:eastAsia="仿宋_GB2312" w:hAnsi="Arial"/>
          <w:b/>
          <w:bCs/>
          <w:color w:val="000000"/>
          <w:szCs w:val="24"/>
        </w:rPr>
      </w:pPr>
      <w:r>
        <w:rPr>
          <w:noProof/>
        </w:rPr>
        <w:lastRenderedPageBreak/>
        <w:drawing>
          <wp:inline distT="0" distB="0" distL="0" distR="0" wp14:anchorId="71F7283D" wp14:editId="747C7A40">
            <wp:extent cx="4533900" cy="2438400"/>
            <wp:effectExtent l="0" t="0" r="0" b="0"/>
            <wp:docPr id="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33900" cy="2438400"/>
                    </a:xfrm>
                    <a:prstGeom prst="rect">
                      <a:avLst/>
                    </a:prstGeom>
                    <a:noFill/>
                    <a:ln>
                      <a:noFill/>
                    </a:ln>
                  </pic:spPr>
                </pic:pic>
              </a:graphicData>
            </a:graphic>
          </wp:inline>
        </w:drawing>
      </w:r>
    </w:p>
    <w:p w14:paraId="376B0B1A" w14:textId="77777777" w:rsidR="00000000" w:rsidRDefault="00000000">
      <w:pPr>
        <w:widowControl/>
        <w:overflowPunct w:val="0"/>
        <w:adjustRightInd/>
        <w:spacing w:line="480" w:lineRule="auto"/>
        <w:ind w:firstLineChars="200" w:firstLine="420"/>
        <w:jc w:val="both"/>
        <w:textAlignment w:val="auto"/>
        <w:rPr>
          <w:rFonts w:ascii="Arial" w:hAnsi="Arial" w:hint="eastAsia"/>
          <w:sz w:val="21"/>
          <w:szCs w:val="21"/>
        </w:rPr>
      </w:pPr>
      <w:r>
        <w:rPr>
          <w:rFonts w:ascii="Arial" w:hAnsi="Arial" w:hint="eastAsia"/>
          <w:sz w:val="21"/>
          <w:szCs w:val="21"/>
        </w:rPr>
        <w:t>（</w:t>
      </w:r>
      <w:r>
        <w:rPr>
          <w:rFonts w:ascii="Arial" w:hAnsi="Arial" w:hint="eastAsia"/>
          <w:sz w:val="21"/>
          <w:szCs w:val="21"/>
        </w:rPr>
        <w:t>2</w:t>
      </w:r>
      <w:r>
        <w:rPr>
          <w:rFonts w:ascii="Arial" w:hAnsi="Arial" w:hint="eastAsia"/>
          <w:sz w:val="21"/>
          <w:szCs w:val="21"/>
        </w:rPr>
        <w:t>）土地成交情况</w:t>
      </w:r>
    </w:p>
    <w:p w14:paraId="2095BA51" w14:textId="77777777" w:rsidR="00000000" w:rsidRDefault="00000000">
      <w:pPr>
        <w:widowControl/>
        <w:adjustRightInd/>
        <w:spacing w:line="480" w:lineRule="auto"/>
        <w:ind w:firstLineChars="250" w:firstLine="525"/>
        <w:jc w:val="both"/>
        <w:textAlignment w:val="auto"/>
        <w:rPr>
          <w:rFonts w:ascii="Arial" w:hAnsi="Arial" w:hint="eastAsia"/>
          <w:color w:val="000000"/>
          <w:sz w:val="21"/>
          <w:szCs w:val="21"/>
        </w:rPr>
      </w:pPr>
      <w:r>
        <w:rPr>
          <w:rFonts w:ascii="Arial" w:hAnsi="Arial"/>
          <w:color w:val="000000"/>
          <w:sz w:val="21"/>
          <w:szCs w:val="21"/>
        </w:rPr>
        <w:t>2025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，北京市商品住宅用地中心城区朝阳、丰台累计成交</w:t>
      </w:r>
      <w:r>
        <w:rPr>
          <w:rFonts w:ascii="Arial" w:hAnsi="Arial" w:hint="eastAsia"/>
          <w:color w:val="000000"/>
          <w:sz w:val="21"/>
          <w:szCs w:val="21"/>
        </w:rPr>
        <w:t>3</w:t>
      </w:r>
      <w:r>
        <w:rPr>
          <w:rFonts w:ascii="Arial" w:hAnsi="Arial"/>
          <w:color w:val="000000"/>
          <w:sz w:val="21"/>
          <w:szCs w:val="21"/>
        </w:rPr>
        <w:t>宗宅地，累计成交规划建面</w:t>
      </w:r>
      <w:r>
        <w:rPr>
          <w:rFonts w:ascii="Arial" w:hAnsi="Arial" w:hint="eastAsia"/>
          <w:color w:val="000000"/>
          <w:sz w:val="21"/>
          <w:szCs w:val="21"/>
        </w:rPr>
        <w:t>11.61</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，占比</w:t>
      </w:r>
      <w:r>
        <w:rPr>
          <w:rFonts w:ascii="Arial" w:hAnsi="Arial" w:hint="eastAsia"/>
          <w:color w:val="000000"/>
          <w:sz w:val="21"/>
          <w:szCs w:val="21"/>
        </w:rPr>
        <w:t>36</w:t>
      </w:r>
      <w:r>
        <w:rPr>
          <w:rFonts w:ascii="Arial" w:hAnsi="Arial"/>
          <w:color w:val="000000"/>
          <w:sz w:val="21"/>
          <w:szCs w:val="21"/>
        </w:rPr>
        <w:t>%</w:t>
      </w:r>
      <w:r>
        <w:rPr>
          <w:rFonts w:ascii="Arial" w:hAnsi="Arial"/>
          <w:color w:val="000000"/>
          <w:sz w:val="21"/>
          <w:szCs w:val="21"/>
        </w:rPr>
        <w:t>，较上年同期增长</w:t>
      </w:r>
      <w:r>
        <w:rPr>
          <w:rFonts w:ascii="Arial" w:hAnsi="Arial" w:hint="eastAsia"/>
          <w:color w:val="000000"/>
          <w:sz w:val="21"/>
          <w:szCs w:val="21"/>
        </w:rPr>
        <w:t>21</w:t>
      </w:r>
      <w:r>
        <w:rPr>
          <w:rFonts w:ascii="Arial" w:hAnsi="Arial"/>
          <w:color w:val="000000"/>
          <w:sz w:val="21"/>
          <w:szCs w:val="21"/>
        </w:rPr>
        <w:t>个百分点。近郊区主要集中在</w:t>
      </w:r>
      <w:r>
        <w:rPr>
          <w:rFonts w:ascii="Arial" w:hAnsi="Arial" w:hint="eastAsia"/>
          <w:color w:val="000000"/>
          <w:sz w:val="21"/>
          <w:szCs w:val="21"/>
        </w:rPr>
        <w:t>昌平、门头沟和</w:t>
      </w:r>
      <w:r>
        <w:rPr>
          <w:rFonts w:ascii="Arial" w:hAnsi="Arial"/>
          <w:color w:val="000000"/>
          <w:sz w:val="21"/>
          <w:szCs w:val="21"/>
        </w:rPr>
        <w:t>顺义，累计成交</w:t>
      </w:r>
      <w:r>
        <w:rPr>
          <w:rFonts w:ascii="Arial" w:hAnsi="Arial" w:hint="eastAsia"/>
          <w:color w:val="000000"/>
          <w:sz w:val="21"/>
          <w:szCs w:val="21"/>
        </w:rPr>
        <w:t>16.78</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，占比为</w:t>
      </w:r>
      <w:r>
        <w:rPr>
          <w:rFonts w:ascii="Arial" w:hAnsi="Arial" w:hint="eastAsia"/>
          <w:color w:val="000000"/>
          <w:sz w:val="21"/>
          <w:szCs w:val="21"/>
        </w:rPr>
        <w:t>52</w:t>
      </w:r>
      <w:r>
        <w:rPr>
          <w:rFonts w:ascii="Arial" w:hAnsi="Arial"/>
          <w:color w:val="000000"/>
          <w:sz w:val="21"/>
          <w:szCs w:val="21"/>
        </w:rPr>
        <w:t>%</w:t>
      </w:r>
      <w:r>
        <w:rPr>
          <w:rFonts w:ascii="Arial" w:hAnsi="Arial"/>
          <w:color w:val="000000"/>
          <w:sz w:val="21"/>
          <w:szCs w:val="21"/>
        </w:rPr>
        <w:t>，较去年同期下降</w:t>
      </w:r>
      <w:r>
        <w:rPr>
          <w:rFonts w:ascii="Arial" w:hAnsi="Arial" w:hint="eastAsia"/>
          <w:color w:val="000000"/>
          <w:sz w:val="21"/>
          <w:szCs w:val="21"/>
        </w:rPr>
        <w:t>33</w:t>
      </w:r>
      <w:r>
        <w:rPr>
          <w:rFonts w:ascii="Arial" w:hAnsi="Arial"/>
          <w:color w:val="000000"/>
          <w:sz w:val="21"/>
          <w:szCs w:val="21"/>
        </w:rPr>
        <w:t>个百分点；</w:t>
      </w:r>
      <w:r>
        <w:rPr>
          <w:rFonts w:ascii="Arial" w:hAnsi="Arial" w:hint="eastAsia"/>
          <w:color w:val="000000"/>
          <w:sz w:val="21"/>
          <w:szCs w:val="21"/>
        </w:rPr>
        <w:t>延庆</w:t>
      </w:r>
      <w:r>
        <w:rPr>
          <w:rFonts w:ascii="Arial" w:hAnsi="Arial"/>
          <w:color w:val="000000"/>
          <w:sz w:val="21"/>
          <w:szCs w:val="21"/>
        </w:rPr>
        <w:t>区成交</w:t>
      </w:r>
      <w:r>
        <w:rPr>
          <w:rFonts w:ascii="Arial" w:hAnsi="Arial" w:hint="eastAsia"/>
          <w:color w:val="000000"/>
          <w:sz w:val="21"/>
          <w:szCs w:val="21"/>
        </w:rPr>
        <w:t>1</w:t>
      </w:r>
      <w:r>
        <w:rPr>
          <w:rFonts w:ascii="Arial" w:hAnsi="Arial" w:hint="eastAsia"/>
          <w:color w:val="000000"/>
          <w:sz w:val="21"/>
          <w:szCs w:val="21"/>
        </w:rPr>
        <w:t>宗宅地，占比</w:t>
      </w:r>
      <w:r>
        <w:rPr>
          <w:rFonts w:ascii="Arial" w:hAnsi="Arial" w:hint="eastAsia"/>
          <w:color w:val="000000"/>
          <w:sz w:val="21"/>
          <w:szCs w:val="21"/>
        </w:rPr>
        <w:t>11%</w:t>
      </w:r>
      <w:r>
        <w:rPr>
          <w:rFonts w:ascii="Arial" w:hAnsi="Arial" w:hint="eastAsia"/>
          <w:color w:val="000000"/>
          <w:sz w:val="21"/>
          <w:szCs w:val="21"/>
        </w:rPr>
        <w:t>。</w:t>
      </w:r>
    </w:p>
    <w:p w14:paraId="2B196F0C" w14:textId="3E2B85A7" w:rsidR="00000000" w:rsidRDefault="008F534B">
      <w:pPr>
        <w:overflowPunct w:val="0"/>
        <w:spacing w:line="360" w:lineRule="auto"/>
        <w:jc w:val="center"/>
        <w:textAlignment w:val="auto"/>
        <w:rPr>
          <w:rFonts w:ascii="Arial" w:eastAsia="仿宋_GB2312" w:hAnsi="Arial" w:hint="eastAsia"/>
          <w:bCs/>
          <w:color w:val="000000"/>
          <w:sz w:val="28"/>
          <w:szCs w:val="28"/>
        </w:rPr>
      </w:pPr>
      <w:r>
        <w:rPr>
          <w:noProof/>
        </w:rPr>
        <w:drawing>
          <wp:inline distT="0" distB="0" distL="0" distR="0" wp14:anchorId="31CF9AAE" wp14:editId="2A05DE3D">
            <wp:extent cx="5905500" cy="2946400"/>
            <wp:effectExtent l="0" t="0" r="0" b="0"/>
            <wp:docPr id="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5500" cy="2946400"/>
                    </a:xfrm>
                    <a:prstGeom prst="rect">
                      <a:avLst/>
                    </a:prstGeom>
                    <a:noFill/>
                    <a:ln>
                      <a:noFill/>
                    </a:ln>
                  </pic:spPr>
                </pic:pic>
              </a:graphicData>
            </a:graphic>
          </wp:inline>
        </w:drawing>
      </w:r>
    </w:p>
    <w:p w14:paraId="09C5ECFD" w14:textId="77777777" w:rsidR="00000000" w:rsidRDefault="00000000">
      <w:pPr>
        <w:widowControl/>
        <w:overflowPunct w:val="0"/>
        <w:adjustRightInd/>
        <w:spacing w:line="480" w:lineRule="auto"/>
        <w:ind w:firstLineChars="200" w:firstLine="420"/>
        <w:jc w:val="both"/>
        <w:textAlignment w:val="auto"/>
        <w:rPr>
          <w:rFonts w:ascii="Arial" w:hAnsi="Arial" w:hint="eastAsia"/>
          <w:sz w:val="21"/>
          <w:szCs w:val="28"/>
        </w:rPr>
      </w:pPr>
      <w:r>
        <w:rPr>
          <w:rFonts w:ascii="Arial" w:hAnsi="Arial" w:hint="eastAsia"/>
          <w:color w:val="000000"/>
          <w:sz w:val="21"/>
          <w:szCs w:val="21"/>
        </w:rPr>
        <w:t>从不同区域来看，中心城区成交规模同比下降</w:t>
      </w:r>
      <w:r>
        <w:rPr>
          <w:rFonts w:ascii="Arial" w:hAnsi="Arial" w:hint="eastAsia"/>
          <w:color w:val="000000"/>
          <w:sz w:val="21"/>
          <w:szCs w:val="21"/>
        </w:rPr>
        <w:t>31%</w:t>
      </w:r>
      <w:r>
        <w:rPr>
          <w:rFonts w:ascii="Arial" w:hAnsi="Arial" w:hint="eastAsia"/>
          <w:color w:val="000000"/>
          <w:sz w:val="21"/>
          <w:szCs w:val="21"/>
        </w:rPr>
        <w:t>，其中东城、海淀无成交；近郊区成交规模同比下降</w:t>
      </w:r>
      <w:r>
        <w:rPr>
          <w:rFonts w:ascii="Arial" w:hAnsi="Arial" w:hint="eastAsia"/>
          <w:color w:val="000000"/>
          <w:sz w:val="21"/>
          <w:szCs w:val="21"/>
        </w:rPr>
        <w:t>82%</w:t>
      </w:r>
      <w:r>
        <w:rPr>
          <w:rFonts w:ascii="Arial" w:hAnsi="Arial" w:hint="eastAsia"/>
          <w:color w:val="000000"/>
          <w:sz w:val="21"/>
          <w:szCs w:val="21"/>
        </w:rPr>
        <w:t>，其中大兴、房山、通州均无住宅用地成交，顺义同比下降</w:t>
      </w:r>
      <w:r>
        <w:rPr>
          <w:rFonts w:ascii="Arial" w:hAnsi="Arial" w:hint="eastAsia"/>
          <w:color w:val="000000"/>
          <w:sz w:val="21"/>
          <w:szCs w:val="21"/>
        </w:rPr>
        <w:t>80%</w:t>
      </w:r>
      <w:r>
        <w:rPr>
          <w:rFonts w:ascii="Arial" w:hAnsi="Arial" w:hint="eastAsia"/>
          <w:color w:val="000000"/>
          <w:sz w:val="21"/>
          <w:szCs w:val="21"/>
        </w:rPr>
        <w:t>，门头沟和昌平同比分别下降</w:t>
      </w:r>
      <w:r>
        <w:rPr>
          <w:rFonts w:ascii="Arial" w:hAnsi="Arial" w:hint="eastAsia"/>
          <w:color w:val="000000"/>
          <w:sz w:val="21"/>
          <w:szCs w:val="21"/>
        </w:rPr>
        <w:t>52%</w:t>
      </w:r>
      <w:r>
        <w:rPr>
          <w:rFonts w:ascii="Arial" w:hAnsi="Arial" w:hint="eastAsia"/>
          <w:color w:val="000000"/>
          <w:sz w:val="21"/>
          <w:szCs w:val="21"/>
        </w:rPr>
        <w:t>和</w:t>
      </w:r>
      <w:r>
        <w:rPr>
          <w:rFonts w:ascii="Arial" w:hAnsi="Arial" w:hint="eastAsia"/>
          <w:color w:val="000000"/>
          <w:sz w:val="21"/>
          <w:szCs w:val="21"/>
        </w:rPr>
        <w:t>42%</w:t>
      </w:r>
      <w:r>
        <w:rPr>
          <w:rFonts w:ascii="Arial" w:hAnsi="Arial" w:hint="eastAsia"/>
          <w:sz w:val="21"/>
          <w:szCs w:val="28"/>
        </w:rPr>
        <w:t>。</w:t>
      </w:r>
    </w:p>
    <w:p w14:paraId="09216048" w14:textId="0395B688" w:rsidR="00000000" w:rsidRDefault="008F534B">
      <w:pPr>
        <w:widowControl/>
        <w:overflowPunct w:val="0"/>
        <w:adjustRightInd/>
        <w:spacing w:line="480" w:lineRule="auto"/>
        <w:jc w:val="center"/>
        <w:textAlignment w:val="auto"/>
        <w:rPr>
          <w:rFonts w:hint="eastAsia"/>
        </w:rPr>
      </w:pPr>
      <w:r>
        <w:rPr>
          <w:noProof/>
        </w:rPr>
        <w:lastRenderedPageBreak/>
        <w:drawing>
          <wp:inline distT="0" distB="0" distL="0" distR="0" wp14:anchorId="046DDC0F" wp14:editId="5F98CA4C">
            <wp:extent cx="4267200" cy="3683000"/>
            <wp:effectExtent l="0" t="0" r="0" b="0"/>
            <wp:docPr id="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67200" cy="3683000"/>
                    </a:xfrm>
                    <a:prstGeom prst="rect">
                      <a:avLst/>
                    </a:prstGeom>
                    <a:noFill/>
                    <a:ln>
                      <a:noFill/>
                    </a:ln>
                  </pic:spPr>
                </pic:pic>
              </a:graphicData>
            </a:graphic>
          </wp:inline>
        </w:drawing>
      </w:r>
    </w:p>
    <w:p w14:paraId="607770BD" w14:textId="77777777" w:rsidR="00000000" w:rsidRDefault="00000000">
      <w:pPr>
        <w:overflowPunct w:val="0"/>
        <w:spacing w:line="480" w:lineRule="auto"/>
        <w:ind w:firstLineChars="200" w:firstLine="420"/>
        <w:jc w:val="both"/>
        <w:textAlignment w:val="auto"/>
        <w:rPr>
          <w:rFonts w:ascii="Arial" w:hAnsi="Arial" w:cs="宋体" w:hint="eastAsia"/>
          <w:sz w:val="21"/>
          <w:szCs w:val="21"/>
        </w:rPr>
      </w:pPr>
      <w:r>
        <w:rPr>
          <w:rFonts w:ascii="Arial" w:hAnsi="Arial" w:cs="宋体" w:hint="eastAsia"/>
          <w:sz w:val="21"/>
          <w:szCs w:val="21"/>
        </w:rPr>
        <w:t>（</w:t>
      </w:r>
      <w:r>
        <w:rPr>
          <w:rFonts w:ascii="Arial" w:hAnsi="Arial" w:hint="eastAsia"/>
          <w:sz w:val="21"/>
        </w:rPr>
        <w:t>3</w:t>
      </w:r>
      <w:r>
        <w:rPr>
          <w:rFonts w:ascii="Arial" w:hAnsi="Arial" w:cs="宋体" w:hint="eastAsia"/>
          <w:sz w:val="21"/>
          <w:szCs w:val="21"/>
        </w:rPr>
        <w:t>）土地成交价格</w:t>
      </w:r>
    </w:p>
    <w:p w14:paraId="612CE08B" w14:textId="77777777" w:rsidR="00000000" w:rsidRDefault="00000000">
      <w:pPr>
        <w:widowControl/>
        <w:overflowPunct w:val="0"/>
        <w:adjustRightInd/>
        <w:spacing w:line="480" w:lineRule="auto"/>
        <w:ind w:firstLineChars="200" w:firstLine="420"/>
        <w:jc w:val="both"/>
        <w:textAlignment w:val="auto"/>
        <w:rPr>
          <w:rFonts w:ascii="Arial" w:hAnsi="Arial"/>
          <w:color w:val="000000"/>
          <w:sz w:val="21"/>
          <w:szCs w:val="21"/>
        </w:rPr>
      </w:pPr>
      <w:r>
        <w:rPr>
          <w:rFonts w:ascii="Arial" w:hAnsi="Arial"/>
          <w:color w:val="000000"/>
          <w:sz w:val="21"/>
          <w:szCs w:val="21"/>
        </w:rPr>
        <w:t>2025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，在</w:t>
      </w:r>
      <w:r>
        <w:rPr>
          <w:rFonts w:ascii="Arial" w:hAnsi="Arial" w:hint="eastAsia"/>
          <w:color w:val="000000"/>
          <w:sz w:val="21"/>
          <w:szCs w:val="21"/>
        </w:rPr>
        <w:t>朝阳太阳宫、呼家楼以及丰台岳各庄</w:t>
      </w:r>
      <w:r>
        <w:rPr>
          <w:rFonts w:ascii="Arial" w:hAnsi="Arial"/>
          <w:color w:val="000000"/>
          <w:sz w:val="21"/>
          <w:szCs w:val="21"/>
        </w:rPr>
        <w:t>地块带动下，北京宅地整体成交楼面均价</w:t>
      </w:r>
      <w:r>
        <w:rPr>
          <w:rFonts w:ascii="Arial" w:hAnsi="Arial" w:hint="eastAsia"/>
          <w:color w:val="000000"/>
          <w:sz w:val="21"/>
          <w:szCs w:val="21"/>
        </w:rPr>
        <w:t>36161</w:t>
      </w:r>
      <w:r>
        <w:rPr>
          <w:rFonts w:ascii="Arial" w:hAnsi="Arial"/>
          <w:color w:val="000000"/>
          <w:sz w:val="21"/>
          <w:szCs w:val="21"/>
        </w:rPr>
        <w:t>元</w:t>
      </w:r>
      <w:r>
        <w:rPr>
          <w:rFonts w:ascii="Arial" w:hAnsi="Arial"/>
          <w:color w:val="000000"/>
          <w:sz w:val="21"/>
          <w:szCs w:val="21"/>
        </w:rPr>
        <w:t>/</w:t>
      </w:r>
      <w:r>
        <w:rPr>
          <w:rFonts w:ascii="Arial" w:hAnsi="Arial" w:hint="eastAsia"/>
          <w:color w:val="000000"/>
          <w:sz w:val="21"/>
          <w:szCs w:val="21"/>
        </w:rPr>
        <w:t>平方米</w:t>
      </w:r>
      <w:r>
        <w:rPr>
          <w:rFonts w:ascii="Arial" w:hAnsi="Arial"/>
          <w:color w:val="000000"/>
          <w:sz w:val="21"/>
          <w:szCs w:val="21"/>
        </w:rPr>
        <w:t>，同比增长</w:t>
      </w:r>
      <w:r>
        <w:rPr>
          <w:rFonts w:ascii="Arial" w:hAnsi="Arial" w:hint="eastAsia"/>
          <w:color w:val="000000"/>
          <w:sz w:val="21"/>
          <w:szCs w:val="21"/>
        </w:rPr>
        <w:t>41.4</w:t>
      </w:r>
      <w:r>
        <w:rPr>
          <w:rFonts w:ascii="Arial" w:hAnsi="Arial"/>
          <w:color w:val="000000"/>
          <w:sz w:val="21"/>
          <w:szCs w:val="21"/>
        </w:rPr>
        <w:t>%</w:t>
      </w:r>
      <w:r>
        <w:rPr>
          <w:rFonts w:ascii="Arial" w:hAnsi="Arial"/>
          <w:color w:val="000000"/>
          <w:sz w:val="21"/>
          <w:szCs w:val="21"/>
        </w:rPr>
        <w:t>。溢价率方面，受</w:t>
      </w:r>
      <w:r>
        <w:rPr>
          <w:rFonts w:ascii="Arial" w:hAnsi="Arial" w:hint="eastAsia"/>
          <w:color w:val="000000"/>
          <w:sz w:val="21"/>
          <w:szCs w:val="21"/>
        </w:rPr>
        <w:t>朝阳太阳宫</w:t>
      </w:r>
      <w:r>
        <w:rPr>
          <w:rFonts w:ascii="Arial" w:hAnsi="Arial"/>
          <w:color w:val="000000"/>
          <w:sz w:val="21"/>
          <w:szCs w:val="21"/>
        </w:rPr>
        <w:t>高溢价地块的带动下，</w:t>
      </w:r>
      <w:r>
        <w:rPr>
          <w:rFonts w:ascii="Arial" w:hAnsi="Arial" w:hint="eastAsia"/>
          <w:color w:val="000000"/>
          <w:sz w:val="21"/>
          <w:szCs w:val="21"/>
        </w:rPr>
        <w:t>三季度</w:t>
      </w:r>
      <w:r>
        <w:rPr>
          <w:rFonts w:ascii="Arial" w:hAnsi="Arial"/>
          <w:color w:val="000000"/>
          <w:sz w:val="21"/>
          <w:szCs w:val="21"/>
        </w:rPr>
        <w:t>北京宅地成交溢价率</w:t>
      </w:r>
      <w:r>
        <w:rPr>
          <w:rFonts w:ascii="Arial" w:hAnsi="Arial" w:hint="eastAsia"/>
          <w:color w:val="000000"/>
          <w:sz w:val="21"/>
          <w:szCs w:val="21"/>
        </w:rPr>
        <w:t>11.7</w:t>
      </w:r>
      <w:r>
        <w:rPr>
          <w:rFonts w:ascii="Arial" w:hAnsi="Arial"/>
          <w:color w:val="000000"/>
          <w:sz w:val="21"/>
          <w:szCs w:val="21"/>
        </w:rPr>
        <w:t>%</w:t>
      </w:r>
      <w:r>
        <w:rPr>
          <w:rFonts w:ascii="Arial" w:hAnsi="Arial"/>
          <w:color w:val="000000"/>
          <w:sz w:val="21"/>
          <w:szCs w:val="21"/>
        </w:rPr>
        <w:t>，同比提升</w:t>
      </w:r>
      <w:r>
        <w:rPr>
          <w:rFonts w:ascii="Arial" w:hAnsi="Arial" w:hint="eastAsia"/>
          <w:color w:val="000000"/>
          <w:sz w:val="21"/>
          <w:szCs w:val="21"/>
        </w:rPr>
        <w:t>10.4</w:t>
      </w:r>
      <w:r>
        <w:rPr>
          <w:rFonts w:ascii="Arial" w:hAnsi="Arial"/>
          <w:color w:val="000000"/>
          <w:sz w:val="21"/>
          <w:szCs w:val="21"/>
        </w:rPr>
        <w:t>个百分点。整体来看</w:t>
      </w:r>
      <w:r>
        <w:rPr>
          <w:rFonts w:ascii="Arial" w:hAnsi="Arial" w:hint="eastAsia"/>
          <w:color w:val="000000"/>
          <w:sz w:val="21"/>
          <w:szCs w:val="21"/>
        </w:rPr>
        <w:t>，三季度北京宅地市场热度较低，仅太阳宫地块热度较高，经过超</w:t>
      </w:r>
      <w:r>
        <w:rPr>
          <w:rFonts w:ascii="Arial" w:hAnsi="Arial" w:hint="eastAsia"/>
          <w:color w:val="000000"/>
          <w:sz w:val="21"/>
          <w:szCs w:val="21"/>
        </w:rPr>
        <w:t>330</w:t>
      </w:r>
      <w:r>
        <w:rPr>
          <w:rFonts w:ascii="Arial" w:hAnsi="Arial" w:hint="eastAsia"/>
          <w:color w:val="000000"/>
          <w:sz w:val="21"/>
          <w:szCs w:val="21"/>
        </w:rPr>
        <w:t>轮现场举牌竞价成交，溢价率</w:t>
      </w:r>
      <w:r>
        <w:rPr>
          <w:rFonts w:ascii="Arial" w:hAnsi="Arial" w:hint="eastAsia"/>
          <w:color w:val="000000"/>
          <w:sz w:val="21"/>
          <w:szCs w:val="21"/>
        </w:rPr>
        <w:t>39.18%</w:t>
      </w:r>
      <w:r>
        <w:rPr>
          <w:rFonts w:ascii="Arial" w:hAnsi="Arial"/>
          <w:color w:val="000000"/>
          <w:sz w:val="21"/>
          <w:szCs w:val="21"/>
        </w:rPr>
        <w:t>，</w:t>
      </w:r>
      <w:r>
        <w:rPr>
          <w:rFonts w:ascii="Arial" w:hAnsi="Arial" w:hint="eastAsia"/>
          <w:color w:val="000000"/>
          <w:sz w:val="21"/>
          <w:szCs w:val="21"/>
        </w:rPr>
        <w:t>而其余</w:t>
      </w:r>
      <w:r>
        <w:rPr>
          <w:rFonts w:ascii="Arial" w:hAnsi="Arial" w:hint="eastAsia"/>
          <w:color w:val="000000"/>
          <w:sz w:val="21"/>
          <w:szCs w:val="21"/>
        </w:rPr>
        <w:t>6</w:t>
      </w:r>
      <w:r>
        <w:rPr>
          <w:rFonts w:ascii="Arial" w:hAnsi="Arial"/>
          <w:color w:val="000000"/>
          <w:sz w:val="21"/>
          <w:szCs w:val="21"/>
        </w:rPr>
        <w:t>宗地块</w:t>
      </w:r>
      <w:r>
        <w:rPr>
          <w:rFonts w:ascii="Arial" w:hAnsi="Arial" w:hint="eastAsia"/>
          <w:color w:val="000000"/>
          <w:sz w:val="21"/>
          <w:szCs w:val="21"/>
        </w:rPr>
        <w:t>均</w:t>
      </w:r>
      <w:r>
        <w:rPr>
          <w:rFonts w:ascii="Arial" w:hAnsi="Arial"/>
          <w:color w:val="000000"/>
          <w:sz w:val="21"/>
          <w:szCs w:val="21"/>
        </w:rPr>
        <w:t>以底价成交。</w:t>
      </w:r>
    </w:p>
    <w:p w14:paraId="11AF2531" w14:textId="2E183581" w:rsidR="00000000" w:rsidRDefault="008F534B">
      <w:pPr>
        <w:spacing w:line="480" w:lineRule="auto"/>
        <w:jc w:val="center"/>
        <w:rPr>
          <w:rFonts w:ascii="Arial" w:hAnsi="Arial" w:cs="Arial"/>
          <w:sz w:val="21"/>
          <w:szCs w:val="21"/>
        </w:rPr>
      </w:pPr>
      <w:r>
        <w:rPr>
          <w:noProof/>
        </w:rPr>
        <w:lastRenderedPageBreak/>
        <w:drawing>
          <wp:inline distT="0" distB="0" distL="0" distR="0" wp14:anchorId="059FCC92" wp14:editId="33E33294">
            <wp:extent cx="5905500" cy="3314700"/>
            <wp:effectExtent l="0" t="0" r="0" b="0"/>
            <wp:docPr id="1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5500" cy="3314700"/>
                    </a:xfrm>
                    <a:prstGeom prst="rect">
                      <a:avLst/>
                    </a:prstGeom>
                    <a:noFill/>
                    <a:ln>
                      <a:noFill/>
                    </a:ln>
                  </pic:spPr>
                </pic:pic>
              </a:graphicData>
            </a:graphic>
          </wp:inline>
        </w:drawing>
      </w:r>
    </w:p>
    <w:p w14:paraId="07328379" w14:textId="77777777" w:rsidR="00000000" w:rsidRDefault="00000000">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3.</w:t>
      </w:r>
      <w:r>
        <w:rPr>
          <w:rFonts w:ascii="Arial" w:hAnsi="Arial" w:hint="eastAsia"/>
          <w:sz w:val="21"/>
          <w:szCs w:val="28"/>
        </w:rPr>
        <w:t>商品房住宅市场</w:t>
      </w:r>
    </w:p>
    <w:p w14:paraId="37EA750D" w14:textId="77777777" w:rsidR="00000000" w:rsidRDefault="00000000">
      <w:pPr>
        <w:overflowPunct w:val="0"/>
        <w:spacing w:line="480" w:lineRule="auto"/>
        <w:ind w:firstLineChars="200" w:firstLine="420"/>
        <w:jc w:val="both"/>
        <w:textAlignment w:val="auto"/>
        <w:rPr>
          <w:rFonts w:ascii="Arial" w:hAnsi="Arial" w:hint="eastAsia"/>
          <w:sz w:val="21"/>
          <w:szCs w:val="28"/>
        </w:rPr>
      </w:pPr>
      <w:r>
        <w:rPr>
          <w:rFonts w:ascii="Arial" w:hAnsi="Arial" w:hint="eastAsia"/>
          <w:sz w:val="21"/>
          <w:szCs w:val="28"/>
        </w:rPr>
        <w:t>（</w:t>
      </w:r>
      <w:r>
        <w:rPr>
          <w:rFonts w:ascii="Arial" w:hAnsi="Arial" w:hint="eastAsia"/>
          <w:sz w:val="21"/>
          <w:szCs w:val="28"/>
        </w:rPr>
        <w:t>1</w:t>
      </w:r>
      <w:r>
        <w:rPr>
          <w:rFonts w:ascii="Arial" w:hAnsi="Arial" w:hint="eastAsia"/>
          <w:sz w:val="21"/>
          <w:szCs w:val="28"/>
        </w:rPr>
        <w:t>）商品住宅供给状况</w:t>
      </w:r>
    </w:p>
    <w:p w14:paraId="38994120" w14:textId="77777777" w:rsidR="00000000" w:rsidRDefault="00000000">
      <w:pPr>
        <w:spacing w:line="360" w:lineRule="auto"/>
        <w:ind w:firstLineChars="200" w:firstLine="420"/>
        <w:jc w:val="both"/>
        <w:outlineLvl w:val="0"/>
        <w:rPr>
          <w:rFonts w:ascii="Arial" w:hAnsi="Arial"/>
          <w:sz w:val="21"/>
          <w:szCs w:val="28"/>
        </w:rPr>
      </w:pPr>
      <w:r>
        <w:rPr>
          <w:rFonts w:ascii="Arial" w:hAnsi="Arial"/>
          <w:color w:val="000000"/>
          <w:sz w:val="21"/>
          <w:szCs w:val="21"/>
        </w:rPr>
        <w:t>2025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北京商品住宅（不含保障</w:t>
      </w:r>
      <w:r>
        <w:rPr>
          <w:rFonts w:ascii="Arial" w:hAnsi="Arial" w:hint="eastAsia"/>
          <w:color w:val="000000"/>
          <w:sz w:val="21"/>
          <w:szCs w:val="21"/>
        </w:rPr>
        <w:t>性住</w:t>
      </w:r>
      <w:r>
        <w:rPr>
          <w:rFonts w:ascii="Arial" w:hAnsi="Arial"/>
          <w:color w:val="000000"/>
          <w:sz w:val="21"/>
          <w:szCs w:val="21"/>
        </w:rPr>
        <w:t>房）累计供应</w:t>
      </w:r>
      <w:r>
        <w:rPr>
          <w:rFonts w:ascii="Arial" w:hAnsi="Arial" w:hint="eastAsia"/>
          <w:color w:val="000000"/>
          <w:sz w:val="21"/>
          <w:szCs w:val="21"/>
        </w:rPr>
        <w:t>100</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w:t>
      </w:r>
      <w:r>
        <w:rPr>
          <w:rFonts w:ascii="Arial" w:hAnsi="Arial" w:hint="eastAsia"/>
          <w:color w:val="000000"/>
          <w:sz w:val="21"/>
          <w:szCs w:val="21"/>
        </w:rPr>
        <w:t>月均供应量居近几年同期低位</w:t>
      </w:r>
      <w:r>
        <w:rPr>
          <w:rFonts w:ascii="Arial" w:hAnsi="Arial"/>
          <w:color w:val="000000"/>
          <w:sz w:val="21"/>
          <w:szCs w:val="21"/>
        </w:rPr>
        <w:t>。</w:t>
      </w:r>
      <w:r>
        <w:rPr>
          <w:rFonts w:ascii="Arial" w:hAnsi="Arial" w:hint="eastAsia"/>
          <w:color w:val="000000"/>
          <w:sz w:val="21"/>
          <w:szCs w:val="21"/>
        </w:rPr>
        <w:t>整体来看，伴随着存量库存的去化，房企入市积极性有所增强，但整体供应量较去年同期仍略有不足。具体来看，</w:t>
      </w:r>
      <w:r>
        <w:rPr>
          <w:rFonts w:ascii="Arial" w:hAnsi="Arial" w:hint="eastAsia"/>
          <w:color w:val="000000"/>
          <w:sz w:val="21"/>
          <w:szCs w:val="21"/>
        </w:rPr>
        <w:t>7</w:t>
      </w:r>
      <w:r>
        <w:rPr>
          <w:rFonts w:ascii="Arial" w:hAnsi="Arial" w:hint="eastAsia"/>
          <w:color w:val="000000"/>
          <w:sz w:val="21"/>
          <w:szCs w:val="21"/>
        </w:rPr>
        <w:t>月，受季节性因素的影响，房企入市积极性明显下滑，新增供应规模月</w:t>
      </w:r>
      <w:r>
        <w:rPr>
          <w:rFonts w:ascii="Arial" w:hAnsi="Arial" w:hint="eastAsia"/>
          <w:color w:val="000000"/>
          <w:sz w:val="21"/>
          <w:szCs w:val="21"/>
        </w:rPr>
        <w:t>18.93</w:t>
      </w:r>
      <w:r>
        <w:rPr>
          <w:rFonts w:ascii="Arial" w:hAnsi="Arial" w:hint="eastAsia"/>
          <w:color w:val="000000"/>
          <w:sz w:val="21"/>
          <w:szCs w:val="21"/>
        </w:rPr>
        <w:t>万平方米，环比减少</w:t>
      </w:r>
      <w:r>
        <w:rPr>
          <w:rFonts w:ascii="Arial" w:hAnsi="Arial" w:hint="eastAsia"/>
          <w:color w:val="000000"/>
          <w:sz w:val="21"/>
          <w:szCs w:val="21"/>
        </w:rPr>
        <w:t>51%</w:t>
      </w:r>
      <w:r>
        <w:rPr>
          <w:rFonts w:ascii="Arial" w:hAnsi="Arial" w:hint="eastAsia"/>
          <w:color w:val="000000"/>
          <w:sz w:val="21"/>
          <w:szCs w:val="21"/>
        </w:rPr>
        <w:t>；</w:t>
      </w:r>
      <w:r>
        <w:rPr>
          <w:rFonts w:ascii="Arial" w:hAnsi="Arial" w:hint="eastAsia"/>
          <w:color w:val="000000"/>
          <w:sz w:val="21"/>
          <w:szCs w:val="21"/>
        </w:rPr>
        <w:t>8</w:t>
      </w:r>
      <w:r>
        <w:rPr>
          <w:rFonts w:ascii="Arial" w:hAnsi="Arial" w:hint="eastAsia"/>
          <w:color w:val="000000"/>
          <w:sz w:val="21"/>
          <w:szCs w:val="21"/>
        </w:rPr>
        <w:t>月新增供应规模约</w:t>
      </w:r>
      <w:r>
        <w:rPr>
          <w:rFonts w:ascii="Arial" w:hAnsi="Arial" w:hint="eastAsia"/>
          <w:color w:val="000000"/>
          <w:sz w:val="21"/>
          <w:szCs w:val="21"/>
        </w:rPr>
        <w:t>18.52</w:t>
      </w:r>
      <w:r>
        <w:rPr>
          <w:rFonts w:ascii="Arial" w:hAnsi="Arial" w:hint="eastAsia"/>
          <w:color w:val="000000"/>
          <w:sz w:val="21"/>
          <w:szCs w:val="21"/>
        </w:rPr>
        <w:t>万平方米，环比减少</w:t>
      </w:r>
      <w:r>
        <w:rPr>
          <w:rFonts w:ascii="Arial" w:hAnsi="Arial" w:hint="eastAsia"/>
          <w:color w:val="000000"/>
          <w:sz w:val="21"/>
          <w:szCs w:val="21"/>
        </w:rPr>
        <w:t>2%</w:t>
      </w:r>
      <w:r>
        <w:rPr>
          <w:rFonts w:ascii="Arial" w:hAnsi="Arial" w:hint="eastAsia"/>
          <w:color w:val="000000"/>
          <w:sz w:val="21"/>
          <w:szCs w:val="21"/>
        </w:rPr>
        <w:t>；</w:t>
      </w:r>
      <w:r>
        <w:rPr>
          <w:rFonts w:ascii="Arial" w:hAnsi="Arial" w:hint="eastAsia"/>
          <w:color w:val="000000"/>
          <w:sz w:val="21"/>
          <w:szCs w:val="21"/>
        </w:rPr>
        <w:t>9</w:t>
      </w:r>
      <w:r>
        <w:rPr>
          <w:rFonts w:ascii="Arial" w:hAnsi="Arial" w:hint="eastAsia"/>
          <w:color w:val="000000"/>
          <w:sz w:val="21"/>
          <w:szCs w:val="21"/>
        </w:rPr>
        <w:t>月，随着“金九银十”行业传统旺季的来临，房企供应节奏有所加快，在中建·运河玖院、首钢璟悦长安、中海瑞文里、建发金茂观宸等项目积极入市带动下，新房供应量环比涨幅达</w:t>
      </w:r>
      <w:r>
        <w:rPr>
          <w:rFonts w:ascii="Arial" w:hAnsi="Arial" w:hint="eastAsia"/>
          <w:color w:val="000000"/>
          <w:sz w:val="21"/>
          <w:szCs w:val="21"/>
        </w:rPr>
        <w:t>239%</w:t>
      </w:r>
      <w:r>
        <w:rPr>
          <w:rFonts w:ascii="Arial" w:hAnsi="Arial" w:hint="eastAsia"/>
          <w:color w:val="000000"/>
          <w:sz w:val="21"/>
          <w:szCs w:val="21"/>
        </w:rPr>
        <w:t>，累计来看，三季度北京商品住宅市场累计供应规模约为</w:t>
      </w:r>
      <w:r>
        <w:rPr>
          <w:rFonts w:ascii="Arial" w:hAnsi="Arial" w:hint="eastAsia"/>
          <w:color w:val="000000"/>
          <w:sz w:val="21"/>
          <w:szCs w:val="21"/>
        </w:rPr>
        <w:t>100.28</w:t>
      </w:r>
      <w:r>
        <w:rPr>
          <w:rFonts w:ascii="Arial" w:hAnsi="Arial" w:hint="eastAsia"/>
          <w:color w:val="000000"/>
          <w:sz w:val="21"/>
          <w:szCs w:val="21"/>
        </w:rPr>
        <w:t>万平方米，同比减少约</w:t>
      </w:r>
      <w:r>
        <w:rPr>
          <w:rFonts w:ascii="Arial" w:hAnsi="Arial" w:hint="eastAsia"/>
          <w:color w:val="000000"/>
          <w:sz w:val="21"/>
          <w:szCs w:val="21"/>
        </w:rPr>
        <w:t>38%</w:t>
      </w:r>
      <w:r>
        <w:rPr>
          <w:rFonts w:ascii="Arial" w:hAnsi="Arial" w:hint="eastAsia"/>
          <w:color w:val="000000"/>
          <w:sz w:val="21"/>
          <w:szCs w:val="21"/>
        </w:rPr>
        <w:t>，环比减少</w:t>
      </w:r>
      <w:r>
        <w:rPr>
          <w:rFonts w:ascii="Arial" w:hAnsi="Arial" w:hint="eastAsia"/>
          <w:color w:val="000000"/>
          <w:sz w:val="21"/>
          <w:szCs w:val="21"/>
        </w:rPr>
        <w:t>9%</w:t>
      </w:r>
      <w:r>
        <w:rPr>
          <w:rFonts w:ascii="Arial" w:hAnsi="Arial"/>
          <w:sz w:val="21"/>
          <w:szCs w:val="28"/>
        </w:rPr>
        <w:t>。</w:t>
      </w:r>
    </w:p>
    <w:p w14:paraId="6A643473" w14:textId="1B0DD4D5" w:rsidR="00000000" w:rsidRDefault="008F534B">
      <w:pPr>
        <w:overflowPunct w:val="0"/>
        <w:spacing w:line="480" w:lineRule="auto"/>
        <w:jc w:val="both"/>
        <w:textAlignment w:val="auto"/>
        <w:rPr>
          <w:rFonts w:ascii="Arial" w:hAnsi="Arial" w:hint="eastAsia"/>
          <w:sz w:val="21"/>
          <w:szCs w:val="28"/>
        </w:rPr>
      </w:pPr>
      <w:r>
        <w:rPr>
          <w:noProof/>
        </w:rPr>
        <w:lastRenderedPageBreak/>
        <w:drawing>
          <wp:inline distT="0" distB="0" distL="0" distR="0" wp14:anchorId="5E77BB74" wp14:editId="1D09C66C">
            <wp:extent cx="5797550" cy="3390900"/>
            <wp:effectExtent l="0" t="0" r="0" b="0"/>
            <wp:docPr id="1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7550" cy="3390900"/>
                    </a:xfrm>
                    <a:prstGeom prst="rect">
                      <a:avLst/>
                    </a:prstGeom>
                    <a:noFill/>
                    <a:ln>
                      <a:noFill/>
                    </a:ln>
                  </pic:spPr>
                </pic:pic>
              </a:graphicData>
            </a:graphic>
          </wp:inline>
        </w:drawing>
      </w:r>
    </w:p>
    <w:p w14:paraId="213D1917" w14:textId="77777777" w:rsidR="00000000" w:rsidRDefault="00000000">
      <w:pPr>
        <w:spacing w:line="360" w:lineRule="auto"/>
        <w:ind w:firstLineChars="200" w:firstLine="420"/>
        <w:jc w:val="both"/>
        <w:outlineLvl w:val="0"/>
        <w:rPr>
          <w:rFonts w:ascii="Arial" w:hAnsi="Arial"/>
          <w:color w:val="000000"/>
          <w:sz w:val="21"/>
          <w:szCs w:val="21"/>
        </w:rPr>
      </w:pPr>
      <w:r>
        <w:rPr>
          <w:rFonts w:ascii="Arial" w:hAnsi="Arial"/>
          <w:color w:val="000000"/>
          <w:sz w:val="21"/>
          <w:szCs w:val="21"/>
        </w:rPr>
        <w:t>2025</w:t>
      </w:r>
      <w:r>
        <w:rPr>
          <w:rFonts w:ascii="Arial" w:hAnsi="Arial"/>
          <w:color w:val="000000"/>
          <w:sz w:val="21"/>
          <w:szCs w:val="21"/>
        </w:rPr>
        <w:t>年三季度北京商品住宅（不含保障房）库存规模同比增加，但仍居近年同期低位。截至</w:t>
      </w:r>
      <w:r>
        <w:rPr>
          <w:rFonts w:ascii="Arial" w:hAnsi="Arial" w:hint="eastAsia"/>
          <w:color w:val="000000"/>
          <w:sz w:val="21"/>
          <w:szCs w:val="21"/>
        </w:rPr>
        <w:t>9</w:t>
      </w:r>
      <w:r>
        <w:rPr>
          <w:rFonts w:ascii="Arial" w:hAnsi="Arial"/>
          <w:color w:val="000000"/>
          <w:sz w:val="21"/>
          <w:szCs w:val="21"/>
        </w:rPr>
        <w:t>月底，北京商品住宅（不含保障房）库存量约为</w:t>
      </w:r>
      <w:r>
        <w:rPr>
          <w:rFonts w:ascii="Arial" w:hAnsi="Arial"/>
          <w:color w:val="000000"/>
          <w:sz w:val="21"/>
          <w:szCs w:val="21"/>
        </w:rPr>
        <w:t>988.72</w:t>
      </w:r>
      <w:r>
        <w:rPr>
          <w:rFonts w:ascii="Arial" w:hAnsi="Arial"/>
          <w:color w:val="000000"/>
          <w:sz w:val="21"/>
          <w:szCs w:val="21"/>
        </w:rPr>
        <w:t>万平方米，较去年同期增加</w:t>
      </w:r>
      <w:r>
        <w:rPr>
          <w:rFonts w:ascii="Arial" w:hAnsi="Arial"/>
          <w:color w:val="000000"/>
          <w:sz w:val="21"/>
          <w:szCs w:val="21"/>
        </w:rPr>
        <w:t>2%</w:t>
      </w:r>
      <w:r>
        <w:rPr>
          <w:rFonts w:ascii="Arial" w:hAnsi="Arial"/>
          <w:color w:val="000000"/>
          <w:sz w:val="21"/>
          <w:szCs w:val="21"/>
        </w:rPr>
        <w:t>；月度来看，近期北京商品住宅市场库存规模整体呈现出小幅回升的趋势，本月市场供求规模基本均衡，库存规模维持平稳。去年</w:t>
      </w:r>
      <w:r>
        <w:rPr>
          <w:rFonts w:ascii="Arial" w:hAnsi="Arial"/>
          <w:color w:val="000000"/>
          <w:sz w:val="21"/>
          <w:szCs w:val="21"/>
        </w:rPr>
        <w:t>930</w:t>
      </w:r>
      <w:r>
        <w:rPr>
          <w:rFonts w:ascii="Arial" w:hAnsi="Arial"/>
          <w:color w:val="000000"/>
          <w:sz w:val="21"/>
          <w:szCs w:val="21"/>
        </w:rPr>
        <w:t>新政后，市场平均</w:t>
      </w:r>
      <w:r>
        <w:rPr>
          <w:rFonts w:ascii="Arial" w:hAnsi="Arial" w:hint="eastAsia"/>
          <w:color w:val="000000"/>
          <w:sz w:val="21"/>
          <w:szCs w:val="21"/>
        </w:rPr>
        <w:t>去化速度明显加快，叠加库存规模的逐步回落，出清周期呈现出明显的下滑趋势；进入</w:t>
      </w:r>
      <w:r>
        <w:rPr>
          <w:rFonts w:ascii="Arial" w:hAnsi="Arial" w:hint="eastAsia"/>
          <w:color w:val="000000"/>
          <w:sz w:val="21"/>
          <w:szCs w:val="21"/>
        </w:rPr>
        <w:t>2025</w:t>
      </w:r>
      <w:r>
        <w:rPr>
          <w:rFonts w:ascii="Arial" w:hAnsi="Arial" w:hint="eastAsia"/>
          <w:color w:val="000000"/>
          <w:sz w:val="21"/>
          <w:szCs w:val="21"/>
        </w:rPr>
        <w:t>年，伴随着需求的逐步释放，市场去化速度放缓，出清周期再次波动回升，截</w:t>
      </w:r>
      <w:r>
        <w:rPr>
          <w:rFonts w:ascii="Arial" w:hAnsi="Arial"/>
          <w:color w:val="000000"/>
          <w:sz w:val="21"/>
          <w:szCs w:val="21"/>
        </w:rPr>
        <w:t>止到</w:t>
      </w:r>
      <w:r>
        <w:rPr>
          <w:rFonts w:ascii="Arial" w:hAnsi="Arial"/>
          <w:color w:val="000000"/>
          <w:sz w:val="21"/>
          <w:szCs w:val="21"/>
        </w:rPr>
        <w:t>9</w:t>
      </w:r>
      <w:r>
        <w:rPr>
          <w:rFonts w:ascii="Arial" w:hAnsi="Arial"/>
          <w:color w:val="000000"/>
          <w:sz w:val="21"/>
          <w:szCs w:val="21"/>
        </w:rPr>
        <w:t>月去化周期回升至</w:t>
      </w:r>
      <w:r>
        <w:rPr>
          <w:rFonts w:ascii="Arial" w:hAnsi="Arial"/>
          <w:color w:val="000000"/>
          <w:sz w:val="21"/>
          <w:szCs w:val="21"/>
        </w:rPr>
        <w:t>23.0</w:t>
      </w:r>
      <w:r>
        <w:rPr>
          <w:rFonts w:ascii="Arial" w:hAnsi="Arial"/>
          <w:color w:val="000000"/>
          <w:sz w:val="21"/>
          <w:szCs w:val="21"/>
        </w:rPr>
        <w:t>个月。</w:t>
      </w:r>
    </w:p>
    <w:p w14:paraId="3FF83DC1" w14:textId="23508F65" w:rsidR="00000000" w:rsidRDefault="008F534B">
      <w:pPr>
        <w:overflowPunct w:val="0"/>
        <w:spacing w:line="480" w:lineRule="auto"/>
        <w:jc w:val="center"/>
        <w:textAlignment w:val="auto"/>
        <w:rPr>
          <w:rFonts w:ascii="Arial" w:hAnsi="Arial"/>
          <w:sz w:val="21"/>
        </w:rPr>
      </w:pPr>
      <w:r>
        <w:rPr>
          <w:noProof/>
        </w:rPr>
        <w:drawing>
          <wp:inline distT="0" distB="0" distL="0" distR="0" wp14:anchorId="325F36BF" wp14:editId="1D215898">
            <wp:extent cx="5905500" cy="1841500"/>
            <wp:effectExtent l="0" t="0" r="0" b="0"/>
            <wp:docPr id="1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5500" cy="1841500"/>
                    </a:xfrm>
                    <a:prstGeom prst="rect">
                      <a:avLst/>
                    </a:prstGeom>
                    <a:noFill/>
                    <a:ln>
                      <a:noFill/>
                    </a:ln>
                  </pic:spPr>
                </pic:pic>
              </a:graphicData>
            </a:graphic>
          </wp:inline>
        </w:drawing>
      </w:r>
    </w:p>
    <w:p w14:paraId="3165EA02" w14:textId="77777777" w:rsidR="00000000" w:rsidRDefault="00000000">
      <w:pPr>
        <w:overflowPunct w:val="0"/>
        <w:spacing w:line="480" w:lineRule="auto"/>
        <w:ind w:firstLineChars="200" w:firstLine="420"/>
        <w:jc w:val="both"/>
        <w:textAlignment w:val="auto"/>
        <w:rPr>
          <w:rFonts w:ascii="Arial" w:hAnsi="Arial"/>
          <w:bCs/>
          <w:sz w:val="21"/>
          <w:szCs w:val="28"/>
        </w:rPr>
      </w:pPr>
      <w:r>
        <w:rPr>
          <w:rFonts w:ascii="Arial" w:hAnsi="Arial" w:hint="eastAsia"/>
          <w:sz w:val="21"/>
          <w:szCs w:val="28"/>
        </w:rPr>
        <w:t>（</w:t>
      </w:r>
      <w:r>
        <w:rPr>
          <w:rFonts w:ascii="Arial" w:hAnsi="Arial" w:hint="eastAsia"/>
          <w:sz w:val="21"/>
          <w:szCs w:val="28"/>
        </w:rPr>
        <w:t>2</w:t>
      </w:r>
      <w:r>
        <w:rPr>
          <w:rFonts w:ascii="Arial" w:hAnsi="Arial" w:hint="eastAsia"/>
          <w:sz w:val="21"/>
          <w:szCs w:val="28"/>
        </w:rPr>
        <w:t>）商品</w:t>
      </w:r>
      <w:r>
        <w:rPr>
          <w:rFonts w:ascii="Arial" w:hAnsi="Arial" w:hint="eastAsia"/>
          <w:bCs/>
          <w:sz w:val="21"/>
          <w:szCs w:val="28"/>
        </w:rPr>
        <w:t>住宅成交情况</w:t>
      </w:r>
    </w:p>
    <w:p w14:paraId="2DCF20D9" w14:textId="77777777" w:rsidR="00000000" w:rsidRDefault="00000000">
      <w:pPr>
        <w:tabs>
          <w:tab w:val="left" w:pos="426"/>
        </w:tabs>
        <w:overflowPunct w:val="0"/>
        <w:spacing w:line="480" w:lineRule="auto"/>
        <w:ind w:firstLineChars="200" w:firstLine="420"/>
        <w:jc w:val="both"/>
        <w:textAlignment w:val="auto"/>
        <w:rPr>
          <w:rFonts w:ascii="Arial" w:hAnsi="Arial"/>
          <w:sz w:val="21"/>
        </w:rPr>
      </w:pPr>
      <w:r>
        <w:rPr>
          <w:rFonts w:ascii="Arial" w:hAnsi="Arial" w:hint="eastAsia"/>
          <w:sz w:val="21"/>
        </w:rPr>
        <w:t>1</w:t>
      </w:r>
      <w:r>
        <w:rPr>
          <w:rFonts w:ascii="Arial" w:hAnsi="Arial" w:hint="eastAsia"/>
          <w:sz w:val="21"/>
        </w:rPr>
        <w:t>）成交量</w:t>
      </w:r>
    </w:p>
    <w:p w14:paraId="7E2C01AA" w14:textId="77777777" w:rsidR="00000000" w:rsidRDefault="00000000">
      <w:pPr>
        <w:spacing w:line="360" w:lineRule="auto"/>
        <w:ind w:firstLineChars="200" w:firstLine="420"/>
        <w:jc w:val="both"/>
        <w:outlineLvl w:val="0"/>
        <w:rPr>
          <w:rFonts w:ascii="Arial" w:hAnsi="Arial"/>
          <w:sz w:val="21"/>
          <w:szCs w:val="28"/>
        </w:rPr>
      </w:pPr>
      <w:r>
        <w:rPr>
          <w:rFonts w:ascii="Arial" w:hAnsi="Arial"/>
          <w:color w:val="000000"/>
          <w:sz w:val="21"/>
          <w:szCs w:val="21"/>
        </w:rPr>
        <w:t>2025</w:t>
      </w:r>
      <w:r>
        <w:rPr>
          <w:rFonts w:ascii="Arial" w:hAnsi="Arial"/>
          <w:color w:val="000000"/>
          <w:sz w:val="21"/>
          <w:szCs w:val="21"/>
        </w:rPr>
        <w:t>年三季度北京市场活跃度下滑，成交规模同环比均有所减少。</w:t>
      </w:r>
      <w:r>
        <w:rPr>
          <w:rFonts w:ascii="Arial" w:hAnsi="Arial"/>
          <w:color w:val="000000"/>
          <w:sz w:val="21"/>
          <w:szCs w:val="21"/>
        </w:rPr>
        <w:t>2025</w:t>
      </w:r>
      <w:r>
        <w:rPr>
          <w:rFonts w:ascii="Arial" w:hAnsi="Arial"/>
          <w:color w:val="000000"/>
          <w:sz w:val="21"/>
          <w:szCs w:val="21"/>
        </w:rPr>
        <w:t>年</w:t>
      </w:r>
      <w:r>
        <w:rPr>
          <w:rFonts w:ascii="Arial" w:hAnsi="Arial"/>
          <w:color w:val="000000"/>
          <w:sz w:val="21"/>
          <w:szCs w:val="21"/>
        </w:rPr>
        <w:t>1-9</w:t>
      </w:r>
      <w:r>
        <w:rPr>
          <w:rFonts w:ascii="Arial" w:hAnsi="Arial"/>
          <w:color w:val="000000"/>
          <w:sz w:val="21"/>
          <w:szCs w:val="21"/>
        </w:rPr>
        <w:t>月北京新房市场累计成交规模为</w:t>
      </w:r>
      <w:r>
        <w:rPr>
          <w:rFonts w:ascii="Arial" w:hAnsi="Arial"/>
          <w:color w:val="000000"/>
          <w:sz w:val="21"/>
          <w:szCs w:val="21"/>
        </w:rPr>
        <w:t>338.49</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，同比增加</w:t>
      </w:r>
      <w:r>
        <w:rPr>
          <w:rFonts w:ascii="Arial" w:hAnsi="Arial"/>
          <w:color w:val="000000"/>
          <w:sz w:val="21"/>
          <w:szCs w:val="21"/>
        </w:rPr>
        <w:t>12%</w:t>
      </w:r>
      <w:r>
        <w:rPr>
          <w:rFonts w:ascii="Arial" w:hAnsi="Arial"/>
          <w:color w:val="000000"/>
          <w:sz w:val="21"/>
          <w:szCs w:val="21"/>
        </w:rPr>
        <w:t>。其中，三季度来看，北京新房市场活跃度同环比均有所回落，市场活跃度有所下滑，商品住宅累计成交规模约为</w:t>
      </w:r>
      <w:r>
        <w:rPr>
          <w:rFonts w:ascii="Arial" w:hAnsi="Arial"/>
          <w:color w:val="000000"/>
          <w:sz w:val="21"/>
          <w:szCs w:val="21"/>
        </w:rPr>
        <w:t>105.73</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，同比减少</w:t>
      </w:r>
      <w:r>
        <w:rPr>
          <w:rFonts w:ascii="Arial" w:hAnsi="Arial"/>
          <w:color w:val="000000"/>
          <w:sz w:val="21"/>
          <w:szCs w:val="21"/>
        </w:rPr>
        <w:t>0.1%</w:t>
      </w:r>
      <w:r>
        <w:rPr>
          <w:rFonts w:ascii="Arial" w:hAnsi="Arial"/>
          <w:color w:val="000000"/>
          <w:sz w:val="21"/>
          <w:szCs w:val="21"/>
        </w:rPr>
        <w:t>，环比减少</w:t>
      </w:r>
      <w:r>
        <w:rPr>
          <w:rFonts w:ascii="Arial" w:hAnsi="Arial"/>
          <w:color w:val="000000"/>
          <w:sz w:val="21"/>
          <w:szCs w:val="21"/>
        </w:rPr>
        <w:t>17%</w:t>
      </w:r>
      <w:r>
        <w:rPr>
          <w:rFonts w:ascii="Arial" w:hAnsi="Arial"/>
          <w:color w:val="000000"/>
          <w:sz w:val="21"/>
          <w:szCs w:val="21"/>
        </w:rPr>
        <w:t>。分月度来看，</w:t>
      </w:r>
      <w:r>
        <w:rPr>
          <w:rFonts w:ascii="Arial" w:hAnsi="Arial"/>
          <w:color w:val="000000"/>
          <w:sz w:val="21"/>
          <w:szCs w:val="21"/>
        </w:rPr>
        <w:t>7</w:t>
      </w:r>
      <w:r>
        <w:rPr>
          <w:rFonts w:ascii="Arial" w:hAnsi="Arial"/>
          <w:color w:val="000000"/>
          <w:sz w:val="21"/>
          <w:szCs w:val="21"/>
        </w:rPr>
        <w:t>月，受季节性因素的影响，成交规模环比明显下滑。</w:t>
      </w:r>
      <w:r>
        <w:rPr>
          <w:rFonts w:ascii="Arial" w:hAnsi="Arial"/>
          <w:color w:val="000000"/>
          <w:sz w:val="21"/>
          <w:szCs w:val="21"/>
        </w:rPr>
        <w:t>8</w:t>
      </w:r>
      <w:r>
        <w:rPr>
          <w:rFonts w:ascii="Arial" w:hAnsi="Arial"/>
          <w:color w:val="000000"/>
          <w:sz w:val="21"/>
          <w:szCs w:val="21"/>
        </w:rPr>
        <w:t>月</w:t>
      </w:r>
      <w:r>
        <w:rPr>
          <w:rFonts w:ascii="Arial" w:hAnsi="Arial"/>
          <w:color w:val="000000"/>
          <w:sz w:val="21"/>
          <w:szCs w:val="21"/>
        </w:rPr>
        <w:t>8</w:t>
      </w:r>
      <w:r>
        <w:rPr>
          <w:rFonts w:ascii="Arial" w:hAnsi="Arial"/>
          <w:color w:val="000000"/>
          <w:sz w:val="21"/>
          <w:szCs w:val="21"/>
        </w:rPr>
        <w:t>日，北京</w:t>
      </w:r>
      <w:r>
        <w:rPr>
          <w:rFonts w:ascii="Arial" w:hAnsi="Arial"/>
          <w:color w:val="000000"/>
          <w:sz w:val="21"/>
          <w:szCs w:val="21"/>
        </w:rPr>
        <w:lastRenderedPageBreak/>
        <w:t>五环外解除限购同时优化公积金贷款政策，为楼市铺上了防滑垫，当月新房成交量环比略有增长，但鉴于政策力</w:t>
      </w:r>
      <w:r>
        <w:rPr>
          <w:rFonts w:ascii="Arial" w:hAnsi="Arial"/>
          <w:color w:val="000000"/>
          <w:sz w:val="21"/>
          <w:szCs w:val="21"/>
        </w:rPr>
        <w:t xml:space="preserve"> </w:t>
      </w:r>
      <w:r>
        <w:rPr>
          <w:rFonts w:ascii="Arial" w:hAnsi="Arial"/>
          <w:color w:val="000000"/>
          <w:sz w:val="21"/>
          <w:szCs w:val="21"/>
        </w:rPr>
        <w:t>度较为温和，且</w:t>
      </w:r>
      <w:r>
        <w:rPr>
          <w:rFonts w:ascii="Arial" w:hAnsi="Arial"/>
          <w:color w:val="000000"/>
          <w:sz w:val="21"/>
          <w:szCs w:val="21"/>
        </w:rPr>
        <w:t>2024</w:t>
      </w:r>
      <w:r>
        <w:rPr>
          <w:rFonts w:ascii="Arial" w:hAnsi="Arial"/>
          <w:color w:val="000000"/>
          <w:sz w:val="21"/>
          <w:szCs w:val="21"/>
        </w:rPr>
        <w:t>年多轮政策优化后需求已有释放，本次新政的边际效果较为有限。</w:t>
      </w:r>
      <w:r>
        <w:rPr>
          <w:rFonts w:ascii="Arial" w:hAnsi="Arial"/>
          <w:color w:val="000000"/>
          <w:sz w:val="21"/>
          <w:szCs w:val="21"/>
        </w:rPr>
        <w:t>9</w:t>
      </w:r>
      <w:r>
        <w:rPr>
          <w:rFonts w:ascii="Arial" w:hAnsi="Arial"/>
          <w:color w:val="000000"/>
          <w:sz w:val="21"/>
          <w:szCs w:val="21"/>
        </w:rPr>
        <w:t>月，随着</w:t>
      </w:r>
      <w:r>
        <w:rPr>
          <w:rFonts w:ascii="Arial" w:hAnsi="Arial"/>
          <w:color w:val="000000"/>
          <w:sz w:val="21"/>
          <w:szCs w:val="21"/>
        </w:rPr>
        <w:t>“</w:t>
      </w:r>
      <w:r>
        <w:rPr>
          <w:rFonts w:ascii="Arial" w:hAnsi="Arial"/>
          <w:color w:val="000000"/>
          <w:sz w:val="21"/>
          <w:szCs w:val="21"/>
        </w:rPr>
        <w:t>金九银十</w:t>
      </w:r>
      <w:r>
        <w:rPr>
          <w:rFonts w:ascii="Arial" w:hAnsi="Arial"/>
          <w:color w:val="000000"/>
          <w:sz w:val="21"/>
          <w:szCs w:val="21"/>
        </w:rPr>
        <w:t>”</w:t>
      </w:r>
      <w:r>
        <w:rPr>
          <w:rFonts w:ascii="Arial" w:hAnsi="Arial"/>
          <w:color w:val="000000"/>
          <w:sz w:val="21"/>
          <w:szCs w:val="21"/>
        </w:rPr>
        <w:t>行业旺季的到来，房企入市意愿增强，供应量环比大增，带动成交规模环比上行</w:t>
      </w:r>
      <w:r>
        <w:rPr>
          <w:rFonts w:ascii="Arial" w:hAnsi="Arial" w:hint="eastAsia"/>
          <w:sz w:val="21"/>
          <w:szCs w:val="28"/>
        </w:rPr>
        <w:t>。</w:t>
      </w:r>
    </w:p>
    <w:p w14:paraId="7948D8FB" w14:textId="064F74F2" w:rsidR="00000000" w:rsidRDefault="008F534B">
      <w:pPr>
        <w:overflowPunct w:val="0"/>
        <w:spacing w:line="480" w:lineRule="auto"/>
        <w:jc w:val="both"/>
        <w:textAlignment w:val="auto"/>
        <w:rPr>
          <w:rFonts w:ascii="Arial" w:hAnsi="Arial" w:hint="eastAsia"/>
          <w:sz w:val="21"/>
        </w:rPr>
      </w:pPr>
      <w:r>
        <w:rPr>
          <w:noProof/>
        </w:rPr>
        <w:drawing>
          <wp:inline distT="0" distB="0" distL="0" distR="0" wp14:anchorId="09C3FC8E" wp14:editId="2F590CDE">
            <wp:extent cx="5905500" cy="1670050"/>
            <wp:effectExtent l="0" t="0" r="0" b="0"/>
            <wp:docPr id="1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5500" cy="1670050"/>
                    </a:xfrm>
                    <a:prstGeom prst="rect">
                      <a:avLst/>
                    </a:prstGeom>
                    <a:noFill/>
                    <a:ln>
                      <a:noFill/>
                    </a:ln>
                  </pic:spPr>
                </pic:pic>
              </a:graphicData>
            </a:graphic>
          </wp:inline>
        </w:drawing>
      </w:r>
    </w:p>
    <w:p w14:paraId="7AB909B2" w14:textId="77777777" w:rsidR="00000000" w:rsidRDefault="00000000">
      <w:pPr>
        <w:overflowPunct w:val="0"/>
        <w:spacing w:line="480" w:lineRule="auto"/>
        <w:ind w:firstLineChars="200" w:firstLine="420"/>
        <w:textAlignment w:val="auto"/>
        <w:rPr>
          <w:rFonts w:ascii="Arial" w:hAnsi="Arial"/>
          <w:sz w:val="21"/>
        </w:rPr>
      </w:pPr>
      <w:r>
        <w:rPr>
          <w:rFonts w:ascii="Arial" w:hAnsi="Arial" w:hint="eastAsia"/>
          <w:sz w:val="21"/>
        </w:rPr>
        <w:t>2</w:t>
      </w:r>
      <w:r>
        <w:rPr>
          <w:rFonts w:ascii="Arial" w:hAnsi="Arial" w:hint="eastAsia"/>
          <w:sz w:val="21"/>
        </w:rPr>
        <w:t>）成交价格</w:t>
      </w:r>
    </w:p>
    <w:p w14:paraId="27B5DCE3" w14:textId="77777777" w:rsidR="00000000" w:rsidRDefault="00000000">
      <w:pPr>
        <w:overflowPunct w:val="0"/>
        <w:spacing w:line="480" w:lineRule="auto"/>
        <w:ind w:firstLineChars="200" w:firstLine="420"/>
        <w:textAlignment w:val="auto"/>
        <w:rPr>
          <w:rFonts w:ascii="Arial" w:hAnsi="Arial"/>
          <w:sz w:val="21"/>
          <w:szCs w:val="28"/>
        </w:rPr>
      </w:pPr>
      <w:r>
        <w:rPr>
          <w:rFonts w:ascii="Arial" w:hAnsi="Arial" w:hint="eastAsia"/>
          <w:sz w:val="21"/>
          <w:szCs w:val="28"/>
        </w:rPr>
        <w:t>A.</w:t>
      </w:r>
      <w:r>
        <w:rPr>
          <w:rFonts w:ascii="Arial" w:hAnsi="Arial" w:hint="eastAsia"/>
          <w:sz w:val="21"/>
          <w:szCs w:val="28"/>
        </w:rPr>
        <w:t>成交价格</w:t>
      </w:r>
    </w:p>
    <w:p w14:paraId="06E7C79C" w14:textId="77777777" w:rsidR="00000000" w:rsidRDefault="00000000">
      <w:pPr>
        <w:spacing w:line="360" w:lineRule="auto"/>
        <w:ind w:firstLineChars="200" w:firstLine="420"/>
        <w:jc w:val="both"/>
        <w:outlineLvl w:val="0"/>
        <w:rPr>
          <w:rFonts w:ascii="Arial" w:hAnsi="Arial"/>
          <w:sz w:val="21"/>
          <w:szCs w:val="28"/>
        </w:rPr>
      </w:pPr>
      <w:r>
        <w:rPr>
          <w:rFonts w:ascii="Arial" w:hAnsi="Arial"/>
          <w:color w:val="000000"/>
          <w:sz w:val="21"/>
          <w:szCs w:val="21"/>
        </w:rPr>
        <w:t>受结构性因素的影响，三季度北京商品住宅成交均价创同期新高，累计涨幅底部回升。在房地产市场持续深度调整背景下，房企拿地策略转向理性谨慎，为激活市场活力，主城核心区域密集推出多宗配套成熟、开发潜力突出的优质地块。这些地块的入市直接带动中高端改善型产品供应量显著提升，叠加核心区资源稀缺性及改善需求崛起，推动北京楼市成交均价呈现结构性上涨趋势。</w:t>
      </w:r>
      <w:r>
        <w:rPr>
          <w:rFonts w:ascii="Arial" w:hAnsi="Arial"/>
          <w:color w:val="000000"/>
          <w:sz w:val="21"/>
          <w:szCs w:val="21"/>
        </w:rPr>
        <w:t>2025</w:t>
      </w:r>
      <w:r>
        <w:rPr>
          <w:rFonts w:ascii="Arial" w:hAnsi="Arial"/>
          <w:color w:val="000000"/>
          <w:sz w:val="21"/>
          <w:szCs w:val="21"/>
        </w:rPr>
        <w:t>年三季度，中建</w:t>
      </w:r>
      <w:r>
        <w:rPr>
          <w:rFonts w:ascii="Arial" w:hAnsi="Arial"/>
          <w:color w:val="000000"/>
          <w:sz w:val="21"/>
          <w:szCs w:val="21"/>
        </w:rPr>
        <w:t>·</w:t>
      </w:r>
      <w:r>
        <w:rPr>
          <w:rFonts w:ascii="Arial" w:hAnsi="Arial"/>
          <w:color w:val="000000"/>
          <w:sz w:val="21"/>
          <w:szCs w:val="21"/>
        </w:rPr>
        <w:t>运河玖院、华润臻云、建发</w:t>
      </w:r>
      <w:r>
        <w:rPr>
          <w:rFonts w:ascii="Arial" w:hAnsi="Arial"/>
          <w:color w:val="000000"/>
          <w:sz w:val="21"/>
          <w:szCs w:val="21"/>
        </w:rPr>
        <w:t>·</w:t>
      </w:r>
      <w:r>
        <w:rPr>
          <w:rFonts w:ascii="Arial" w:hAnsi="Arial"/>
          <w:color w:val="000000"/>
          <w:sz w:val="21"/>
          <w:szCs w:val="21"/>
        </w:rPr>
        <w:t>海晏、中海萬吉玖序、融创壹号院等项目热销，带动新房成交均价结构性上涨，商品住宅价格指数为</w:t>
      </w:r>
      <w:r>
        <w:rPr>
          <w:rFonts w:ascii="Arial" w:hAnsi="Arial"/>
          <w:color w:val="000000"/>
          <w:sz w:val="21"/>
          <w:szCs w:val="21"/>
        </w:rPr>
        <w:t>46511</w:t>
      </w:r>
      <w:r>
        <w:rPr>
          <w:rFonts w:ascii="Arial" w:hAnsi="Arial"/>
          <w:color w:val="000000"/>
          <w:sz w:val="21"/>
          <w:szCs w:val="21"/>
        </w:rPr>
        <w:t>元</w:t>
      </w:r>
      <w:r>
        <w:rPr>
          <w:rFonts w:ascii="Arial" w:hAnsi="Arial"/>
          <w:color w:val="000000"/>
          <w:sz w:val="21"/>
          <w:szCs w:val="21"/>
        </w:rPr>
        <w:t>/</w:t>
      </w:r>
      <w:r>
        <w:rPr>
          <w:rFonts w:ascii="Arial" w:hAnsi="Arial"/>
          <w:color w:val="000000"/>
          <w:sz w:val="21"/>
          <w:szCs w:val="21"/>
        </w:rPr>
        <w:t>平方米，同比上涨</w:t>
      </w:r>
      <w:r>
        <w:rPr>
          <w:rFonts w:ascii="Arial" w:hAnsi="Arial"/>
          <w:color w:val="000000"/>
          <w:sz w:val="21"/>
          <w:szCs w:val="21"/>
        </w:rPr>
        <w:t>2.4%</w:t>
      </w:r>
      <w:r>
        <w:rPr>
          <w:rFonts w:ascii="Arial" w:hAnsi="Arial"/>
          <w:color w:val="000000"/>
          <w:sz w:val="21"/>
          <w:szCs w:val="21"/>
        </w:rPr>
        <w:t>，同比涨幅居历史同期高位；累计来看，三季度商品住房价格累计上涨</w:t>
      </w:r>
      <w:r>
        <w:rPr>
          <w:rFonts w:ascii="Arial" w:hAnsi="Arial"/>
          <w:color w:val="000000"/>
          <w:sz w:val="21"/>
          <w:szCs w:val="21"/>
        </w:rPr>
        <w:t>0.14%</w:t>
      </w:r>
      <w:r>
        <w:rPr>
          <w:rFonts w:ascii="Arial" w:hAnsi="Arial"/>
          <w:color w:val="000000"/>
          <w:sz w:val="21"/>
          <w:szCs w:val="21"/>
        </w:rPr>
        <w:t>，较去年同期有所改善</w:t>
      </w:r>
      <w:r>
        <w:rPr>
          <w:rFonts w:ascii="Arial" w:hAnsi="Arial"/>
          <w:sz w:val="21"/>
          <w:szCs w:val="28"/>
        </w:rPr>
        <w:t>。</w:t>
      </w:r>
    </w:p>
    <w:p w14:paraId="04E168AB" w14:textId="7295CA00" w:rsidR="00000000" w:rsidRDefault="008F534B">
      <w:pPr>
        <w:tabs>
          <w:tab w:val="left" w:pos="426"/>
        </w:tabs>
        <w:overflowPunct w:val="0"/>
        <w:spacing w:line="480" w:lineRule="auto"/>
        <w:jc w:val="center"/>
        <w:textAlignment w:val="auto"/>
        <w:rPr>
          <w:rFonts w:ascii="Arial" w:hAnsi="Arial"/>
          <w:sz w:val="21"/>
          <w:szCs w:val="28"/>
        </w:rPr>
      </w:pPr>
      <w:r>
        <w:rPr>
          <w:noProof/>
        </w:rPr>
        <w:drawing>
          <wp:inline distT="0" distB="0" distL="0" distR="0" wp14:anchorId="3EBC8BC8" wp14:editId="3E663897">
            <wp:extent cx="5905500" cy="1835150"/>
            <wp:effectExtent l="0" t="0" r="0" b="0"/>
            <wp:docPr id="1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5500" cy="1835150"/>
                    </a:xfrm>
                    <a:prstGeom prst="rect">
                      <a:avLst/>
                    </a:prstGeom>
                    <a:noFill/>
                    <a:ln>
                      <a:noFill/>
                    </a:ln>
                  </pic:spPr>
                </pic:pic>
              </a:graphicData>
            </a:graphic>
          </wp:inline>
        </w:drawing>
      </w:r>
    </w:p>
    <w:p w14:paraId="5679160D" w14:textId="77777777" w:rsidR="00000000" w:rsidRDefault="00000000">
      <w:pPr>
        <w:overflowPunct w:val="0"/>
        <w:spacing w:line="480" w:lineRule="auto"/>
        <w:ind w:firstLineChars="200" w:firstLine="420"/>
        <w:textAlignment w:val="auto"/>
        <w:rPr>
          <w:rFonts w:ascii="Arial" w:hAnsi="Arial" w:hint="eastAsia"/>
          <w:sz w:val="21"/>
          <w:szCs w:val="28"/>
        </w:rPr>
      </w:pPr>
      <w:r>
        <w:rPr>
          <w:rFonts w:ascii="Arial" w:hAnsi="Arial" w:hint="eastAsia"/>
          <w:sz w:val="21"/>
          <w:szCs w:val="28"/>
        </w:rPr>
        <w:t>B.</w:t>
      </w:r>
      <w:r>
        <w:rPr>
          <w:rFonts w:hint="eastAsia"/>
        </w:rPr>
        <w:t xml:space="preserve"> </w:t>
      </w:r>
      <w:r>
        <w:rPr>
          <w:rFonts w:ascii="Arial" w:hAnsi="Arial" w:hint="eastAsia"/>
          <w:sz w:val="21"/>
          <w:szCs w:val="28"/>
        </w:rPr>
        <w:t>成交结构</w:t>
      </w:r>
    </w:p>
    <w:p w14:paraId="7E4FD7D2" w14:textId="77777777" w:rsidR="00000000" w:rsidRDefault="00000000">
      <w:pPr>
        <w:overflowPunct w:val="0"/>
        <w:spacing w:line="480" w:lineRule="auto"/>
        <w:ind w:firstLineChars="200" w:firstLine="420"/>
        <w:jc w:val="both"/>
        <w:textAlignment w:val="auto"/>
        <w:rPr>
          <w:rFonts w:ascii="Arial" w:hAnsi="Arial"/>
          <w:sz w:val="21"/>
          <w:szCs w:val="28"/>
        </w:rPr>
      </w:pPr>
      <w:r>
        <w:rPr>
          <w:rFonts w:ascii="Arial" w:hAnsi="Arial"/>
          <w:sz w:val="21"/>
          <w:szCs w:val="28"/>
        </w:rPr>
        <w:t>2025</w:t>
      </w:r>
      <w:r>
        <w:rPr>
          <w:rFonts w:ascii="Arial" w:hAnsi="Arial"/>
          <w:sz w:val="21"/>
          <w:szCs w:val="28"/>
        </w:rPr>
        <w:t>年三季度，</w:t>
      </w:r>
      <w:r>
        <w:rPr>
          <w:rFonts w:ascii="Arial" w:hAnsi="Arial"/>
          <w:sz w:val="21"/>
          <w:szCs w:val="28"/>
        </w:rPr>
        <w:t>90-200</w:t>
      </w:r>
      <w:r>
        <w:rPr>
          <w:rFonts w:ascii="Arial" w:hAnsi="Arial" w:hint="eastAsia"/>
          <w:sz w:val="21"/>
          <w:szCs w:val="28"/>
        </w:rPr>
        <w:t>平方米</w:t>
      </w:r>
      <w:r>
        <w:rPr>
          <w:rFonts w:ascii="Arial" w:hAnsi="Arial"/>
          <w:sz w:val="21"/>
          <w:szCs w:val="28"/>
        </w:rPr>
        <w:t>面积段的刚改和改善型产品成交占比提升明显，成交套数占比达</w:t>
      </w:r>
      <w:r>
        <w:rPr>
          <w:rFonts w:ascii="Arial" w:hAnsi="Arial"/>
          <w:sz w:val="21"/>
          <w:szCs w:val="28"/>
        </w:rPr>
        <w:t xml:space="preserve"> 71.1%</w:t>
      </w:r>
      <w:r>
        <w:rPr>
          <w:rFonts w:ascii="Arial" w:hAnsi="Arial"/>
          <w:sz w:val="21"/>
          <w:szCs w:val="28"/>
        </w:rPr>
        <w:t>，占比提升</w:t>
      </w:r>
      <w:r>
        <w:rPr>
          <w:rFonts w:ascii="Arial" w:hAnsi="Arial"/>
          <w:sz w:val="21"/>
          <w:szCs w:val="28"/>
        </w:rPr>
        <w:t>5.6</w:t>
      </w:r>
      <w:r>
        <w:rPr>
          <w:rFonts w:ascii="Arial" w:hAnsi="Arial"/>
          <w:sz w:val="21"/>
          <w:szCs w:val="28"/>
        </w:rPr>
        <w:t>个百分点，中低面积段产品成交占比下滑明显，占比为</w:t>
      </w:r>
      <w:r>
        <w:rPr>
          <w:rFonts w:ascii="Arial" w:hAnsi="Arial"/>
          <w:sz w:val="21"/>
          <w:szCs w:val="28"/>
        </w:rPr>
        <w:t>21.6%</w:t>
      </w:r>
      <w:r>
        <w:rPr>
          <w:rFonts w:ascii="Arial" w:hAnsi="Arial"/>
          <w:sz w:val="21"/>
          <w:szCs w:val="28"/>
        </w:rPr>
        <w:t>，同比减少</w:t>
      </w:r>
      <w:r>
        <w:rPr>
          <w:rFonts w:ascii="Arial" w:hAnsi="Arial"/>
          <w:sz w:val="21"/>
          <w:szCs w:val="28"/>
        </w:rPr>
        <w:t>6.6</w:t>
      </w:r>
      <w:r>
        <w:rPr>
          <w:rFonts w:ascii="Arial" w:hAnsi="Arial"/>
          <w:sz w:val="21"/>
          <w:szCs w:val="28"/>
        </w:rPr>
        <w:t>个百分点。成交总价段在</w:t>
      </w:r>
      <w:r>
        <w:rPr>
          <w:rFonts w:ascii="Arial" w:hAnsi="Arial"/>
          <w:sz w:val="21"/>
          <w:szCs w:val="28"/>
        </w:rPr>
        <w:t>500-1200</w:t>
      </w:r>
      <w:r>
        <w:rPr>
          <w:rFonts w:ascii="Arial" w:hAnsi="Arial"/>
          <w:sz w:val="21"/>
          <w:szCs w:val="28"/>
        </w:rPr>
        <w:t>万</w:t>
      </w:r>
      <w:bookmarkStart w:id="50" w:name="OLE_LINK10"/>
      <w:r>
        <w:rPr>
          <w:rFonts w:ascii="Arial" w:hAnsi="Arial" w:hint="eastAsia"/>
          <w:sz w:val="21"/>
          <w:szCs w:val="28"/>
        </w:rPr>
        <w:t>元</w:t>
      </w:r>
      <w:bookmarkEnd w:id="50"/>
      <w:r>
        <w:rPr>
          <w:rFonts w:ascii="Arial" w:hAnsi="Arial"/>
          <w:sz w:val="21"/>
          <w:szCs w:val="28"/>
        </w:rPr>
        <w:t>之间的中高价位段产品成交占比提升较多，较去年同期增加</w:t>
      </w:r>
      <w:r>
        <w:rPr>
          <w:rFonts w:ascii="Arial" w:hAnsi="Arial"/>
          <w:sz w:val="21"/>
          <w:szCs w:val="28"/>
        </w:rPr>
        <w:t>4.3</w:t>
      </w:r>
      <w:r>
        <w:rPr>
          <w:rFonts w:ascii="Arial" w:hAnsi="Arial"/>
          <w:sz w:val="21"/>
          <w:szCs w:val="28"/>
        </w:rPr>
        <w:t>个百分点，其中</w:t>
      </w:r>
      <w:r>
        <w:rPr>
          <w:rFonts w:ascii="Arial" w:hAnsi="Arial"/>
          <w:sz w:val="21"/>
          <w:szCs w:val="28"/>
        </w:rPr>
        <w:t>500-800</w:t>
      </w:r>
      <w:r>
        <w:rPr>
          <w:rFonts w:ascii="Arial" w:hAnsi="Arial"/>
          <w:sz w:val="21"/>
          <w:szCs w:val="28"/>
        </w:rPr>
        <w:t>万</w:t>
      </w:r>
      <w:r>
        <w:rPr>
          <w:rFonts w:ascii="Arial" w:hAnsi="Arial" w:hint="eastAsia"/>
          <w:sz w:val="21"/>
          <w:szCs w:val="28"/>
        </w:rPr>
        <w:t>元</w:t>
      </w:r>
      <w:r>
        <w:rPr>
          <w:rFonts w:ascii="Arial" w:hAnsi="Arial"/>
          <w:sz w:val="21"/>
          <w:szCs w:val="28"/>
        </w:rPr>
        <w:t>之间产品市场占比最高，较去年同期增加</w:t>
      </w:r>
      <w:r>
        <w:rPr>
          <w:rFonts w:ascii="Arial" w:hAnsi="Arial"/>
          <w:sz w:val="21"/>
          <w:szCs w:val="28"/>
        </w:rPr>
        <w:t>5.0</w:t>
      </w:r>
      <w:r>
        <w:rPr>
          <w:rFonts w:ascii="Arial" w:hAnsi="Arial"/>
          <w:sz w:val="21"/>
          <w:szCs w:val="28"/>
        </w:rPr>
        <w:t>个百分点；中低总价段</w:t>
      </w:r>
      <w:r>
        <w:rPr>
          <w:rFonts w:ascii="Arial" w:hAnsi="Arial"/>
          <w:sz w:val="21"/>
          <w:szCs w:val="28"/>
        </w:rPr>
        <w:lastRenderedPageBreak/>
        <w:t>产品成交占比下滑幅度较大，占比较去年同</w:t>
      </w:r>
      <w:r>
        <w:rPr>
          <w:rFonts w:ascii="Arial" w:hAnsi="Arial"/>
          <w:sz w:val="21"/>
          <w:szCs w:val="28"/>
        </w:rPr>
        <w:t xml:space="preserve"> </w:t>
      </w:r>
      <w:r>
        <w:rPr>
          <w:rFonts w:ascii="Arial" w:hAnsi="Arial"/>
          <w:sz w:val="21"/>
          <w:szCs w:val="28"/>
        </w:rPr>
        <w:t>期减少</w:t>
      </w:r>
      <w:r>
        <w:rPr>
          <w:rFonts w:ascii="Arial" w:hAnsi="Arial"/>
          <w:sz w:val="21"/>
          <w:szCs w:val="28"/>
        </w:rPr>
        <w:t>7.6</w:t>
      </w:r>
      <w:r>
        <w:rPr>
          <w:rFonts w:ascii="Arial" w:hAnsi="Arial"/>
          <w:sz w:val="21"/>
          <w:szCs w:val="28"/>
        </w:rPr>
        <w:t>个百分点，其中</w:t>
      </w:r>
      <w:r>
        <w:rPr>
          <w:rFonts w:ascii="Arial" w:hAnsi="Arial"/>
          <w:sz w:val="21"/>
          <w:szCs w:val="28"/>
        </w:rPr>
        <w:t>300-500</w:t>
      </w:r>
      <w:r>
        <w:rPr>
          <w:rFonts w:ascii="Arial" w:hAnsi="Arial"/>
          <w:sz w:val="21"/>
          <w:szCs w:val="28"/>
        </w:rPr>
        <w:t>万</w:t>
      </w:r>
      <w:r>
        <w:rPr>
          <w:rFonts w:ascii="Arial" w:hAnsi="Arial" w:hint="eastAsia"/>
          <w:sz w:val="21"/>
          <w:szCs w:val="28"/>
        </w:rPr>
        <w:t>元</w:t>
      </w:r>
      <w:r>
        <w:rPr>
          <w:rFonts w:ascii="Arial" w:hAnsi="Arial"/>
          <w:sz w:val="21"/>
          <w:szCs w:val="28"/>
        </w:rPr>
        <w:t>之间产品成交占比下滑明显，较去年同期减少</w:t>
      </w:r>
      <w:r>
        <w:rPr>
          <w:rFonts w:ascii="Arial" w:hAnsi="Arial"/>
          <w:sz w:val="21"/>
          <w:szCs w:val="28"/>
        </w:rPr>
        <w:t>4.2</w:t>
      </w:r>
      <w:r>
        <w:rPr>
          <w:rFonts w:ascii="Arial" w:hAnsi="Arial"/>
          <w:sz w:val="21"/>
          <w:szCs w:val="28"/>
        </w:rPr>
        <w:t>个百分点；</w:t>
      </w:r>
      <w:r>
        <w:rPr>
          <w:rFonts w:ascii="Arial" w:hAnsi="Arial"/>
          <w:sz w:val="21"/>
          <w:szCs w:val="28"/>
        </w:rPr>
        <w:t>300</w:t>
      </w:r>
      <w:r>
        <w:rPr>
          <w:rFonts w:ascii="Arial" w:hAnsi="Arial"/>
          <w:sz w:val="21"/>
          <w:szCs w:val="28"/>
        </w:rPr>
        <w:t>万</w:t>
      </w:r>
      <w:r>
        <w:rPr>
          <w:rFonts w:ascii="Arial" w:hAnsi="Arial" w:hint="eastAsia"/>
          <w:sz w:val="21"/>
          <w:szCs w:val="28"/>
        </w:rPr>
        <w:t>元</w:t>
      </w:r>
      <w:r>
        <w:rPr>
          <w:rFonts w:ascii="Arial" w:hAnsi="Arial"/>
          <w:sz w:val="21"/>
          <w:szCs w:val="28"/>
        </w:rPr>
        <w:t>以下产品成交占比下滑</w:t>
      </w:r>
      <w:r>
        <w:rPr>
          <w:rFonts w:ascii="Arial" w:hAnsi="Arial"/>
          <w:sz w:val="21"/>
          <w:szCs w:val="28"/>
        </w:rPr>
        <w:t>3.4</w:t>
      </w:r>
      <w:r>
        <w:rPr>
          <w:rFonts w:ascii="Arial" w:hAnsi="Arial"/>
          <w:sz w:val="21"/>
          <w:szCs w:val="28"/>
        </w:rPr>
        <w:t>个百分点。</w:t>
      </w:r>
    </w:p>
    <w:p w14:paraId="58179118" w14:textId="77777777" w:rsidR="00000000" w:rsidRDefault="00000000">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2025</w:t>
      </w:r>
      <w:r>
        <w:rPr>
          <w:rFonts w:ascii="Arial" w:hAnsi="Arial" w:hint="eastAsia"/>
          <w:sz w:val="21"/>
          <w:szCs w:val="28"/>
        </w:rPr>
        <w:t>年</w:t>
      </w:r>
      <w:r>
        <w:rPr>
          <w:rFonts w:ascii="Arial" w:hAnsi="Arial"/>
          <w:sz w:val="21"/>
          <w:szCs w:val="28"/>
        </w:rPr>
        <w:t>三季度，华润臻云、建发</w:t>
      </w:r>
      <w:r>
        <w:rPr>
          <w:rFonts w:ascii="Arial" w:hAnsi="Arial"/>
          <w:sz w:val="21"/>
          <w:szCs w:val="28"/>
        </w:rPr>
        <w:t>·</w:t>
      </w:r>
      <w:r>
        <w:rPr>
          <w:rFonts w:ascii="Arial" w:hAnsi="Arial"/>
          <w:sz w:val="21"/>
          <w:szCs w:val="28"/>
        </w:rPr>
        <w:t>海晏、中海萬吉玖序、融创壹号院、金茂满曜、颐海澐颂等高端改善项目热销，均位居全市项目销售金额榜</w:t>
      </w:r>
      <w:r>
        <w:rPr>
          <w:rFonts w:ascii="Arial" w:hAnsi="Arial"/>
          <w:sz w:val="21"/>
          <w:szCs w:val="28"/>
        </w:rPr>
        <w:t>TOP10</w:t>
      </w:r>
      <w:r>
        <w:rPr>
          <w:rFonts w:ascii="Arial" w:hAnsi="Arial"/>
          <w:sz w:val="21"/>
          <w:szCs w:val="28"/>
        </w:rPr>
        <w:t>前列，带动中高面积段和高总价产品成交占比出现明显的提升。主要原因一方面是热销项目主力户型位于</w:t>
      </w:r>
      <w:r>
        <w:rPr>
          <w:rFonts w:ascii="Arial" w:hAnsi="Arial"/>
          <w:sz w:val="21"/>
          <w:szCs w:val="28"/>
        </w:rPr>
        <w:t>120-180</w:t>
      </w:r>
      <w:r>
        <w:rPr>
          <w:rFonts w:ascii="Arial" w:hAnsi="Arial" w:hint="eastAsia"/>
          <w:sz w:val="21"/>
          <w:szCs w:val="28"/>
        </w:rPr>
        <w:t>平方米</w:t>
      </w:r>
      <w:r>
        <w:rPr>
          <w:rFonts w:ascii="Arial" w:hAnsi="Arial"/>
          <w:sz w:val="21"/>
          <w:szCs w:val="28"/>
        </w:rPr>
        <w:t>之间；另一方面，入市项目区位优势较为明显，周边产业等配套资源丰富，市场需求支撑度较高，项目成交均价多数均超</w:t>
      </w:r>
      <w:r>
        <w:rPr>
          <w:rFonts w:ascii="Arial" w:hAnsi="Arial"/>
          <w:sz w:val="21"/>
          <w:szCs w:val="28"/>
        </w:rPr>
        <w:t>10</w:t>
      </w:r>
      <w:r>
        <w:rPr>
          <w:rFonts w:ascii="Arial" w:hAnsi="Arial"/>
          <w:sz w:val="21"/>
          <w:szCs w:val="28"/>
        </w:rPr>
        <w:t>万元</w:t>
      </w:r>
      <w:r>
        <w:rPr>
          <w:rFonts w:ascii="Arial" w:hAnsi="Arial"/>
          <w:sz w:val="21"/>
          <w:szCs w:val="28"/>
        </w:rPr>
        <w:t>/</w:t>
      </w:r>
      <w:r>
        <w:rPr>
          <w:rFonts w:ascii="Arial" w:hAnsi="Arial" w:hint="eastAsia"/>
          <w:sz w:val="21"/>
          <w:szCs w:val="28"/>
        </w:rPr>
        <w:t>平方米</w:t>
      </w:r>
      <w:r>
        <w:rPr>
          <w:rFonts w:ascii="Arial" w:hAnsi="Arial"/>
          <w:sz w:val="21"/>
          <w:szCs w:val="28"/>
        </w:rPr>
        <w:t>。</w:t>
      </w:r>
    </w:p>
    <w:p w14:paraId="1B261EA9" w14:textId="4CBDDB15" w:rsidR="00000000" w:rsidRDefault="008F534B">
      <w:pPr>
        <w:overflowPunct w:val="0"/>
        <w:spacing w:line="480" w:lineRule="auto"/>
        <w:jc w:val="center"/>
        <w:textAlignment w:val="auto"/>
        <w:rPr>
          <w:rFonts w:hint="eastAsia"/>
        </w:rPr>
      </w:pPr>
      <w:r>
        <w:rPr>
          <w:noProof/>
        </w:rPr>
        <w:drawing>
          <wp:inline distT="0" distB="0" distL="0" distR="0" wp14:anchorId="624B5A56" wp14:editId="55A597D0">
            <wp:extent cx="5899150" cy="1708150"/>
            <wp:effectExtent l="0" t="0" r="0" b="0"/>
            <wp:docPr id="1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9150" cy="1708150"/>
                    </a:xfrm>
                    <a:prstGeom prst="rect">
                      <a:avLst/>
                    </a:prstGeom>
                    <a:noFill/>
                    <a:ln>
                      <a:noFill/>
                    </a:ln>
                  </pic:spPr>
                </pic:pic>
              </a:graphicData>
            </a:graphic>
          </wp:inline>
        </w:drawing>
      </w:r>
    </w:p>
    <w:p w14:paraId="2073042D" w14:textId="77777777" w:rsidR="00000000" w:rsidRDefault="00000000">
      <w:pPr>
        <w:overflowPunct w:val="0"/>
        <w:spacing w:line="480" w:lineRule="auto"/>
        <w:ind w:firstLineChars="200" w:firstLine="420"/>
        <w:textAlignment w:val="auto"/>
        <w:rPr>
          <w:rFonts w:ascii="Arial" w:hAnsi="Arial"/>
          <w:sz w:val="21"/>
        </w:rPr>
      </w:pPr>
      <w:r>
        <w:rPr>
          <w:rFonts w:ascii="Arial" w:hAnsi="Arial" w:hint="eastAsia"/>
          <w:sz w:val="21"/>
        </w:rPr>
        <w:t>3</w:t>
      </w:r>
      <w:r>
        <w:rPr>
          <w:rFonts w:ascii="Arial" w:hAnsi="Arial" w:hint="eastAsia"/>
          <w:sz w:val="21"/>
        </w:rPr>
        <w:t>）区域成交</w:t>
      </w:r>
    </w:p>
    <w:p w14:paraId="7773F076" w14:textId="77777777" w:rsidR="00000000" w:rsidRDefault="00000000">
      <w:pPr>
        <w:overflowPunct w:val="0"/>
        <w:spacing w:line="480" w:lineRule="auto"/>
        <w:ind w:firstLineChars="200" w:firstLine="420"/>
        <w:jc w:val="both"/>
        <w:textAlignment w:val="auto"/>
        <w:rPr>
          <w:rFonts w:ascii="Arial" w:hAnsi="Arial" w:hint="eastAsia"/>
          <w:sz w:val="21"/>
          <w:szCs w:val="28"/>
        </w:rPr>
      </w:pPr>
      <w:r>
        <w:rPr>
          <w:rFonts w:ascii="Arial" w:hAnsi="Arial"/>
          <w:sz w:val="21"/>
          <w:szCs w:val="28"/>
        </w:rPr>
        <w:t>从区域成交规模来看，近郊六区仍为市场成交主力区域，成交规模占比超五成。</w:t>
      </w:r>
      <w:r>
        <w:rPr>
          <w:rFonts w:ascii="Arial" w:hAnsi="Arial"/>
          <w:sz w:val="21"/>
          <w:szCs w:val="28"/>
        </w:rPr>
        <w:t>2025</w:t>
      </w:r>
      <w:r>
        <w:rPr>
          <w:rFonts w:ascii="Arial" w:hAnsi="Arial"/>
          <w:sz w:val="21"/>
          <w:szCs w:val="28"/>
        </w:rPr>
        <w:t>年三季度近郊六区成交</w:t>
      </w:r>
      <w:r>
        <w:rPr>
          <w:rFonts w:ascii="Arial" w:hAnsi="Arial"/>
          <w:sz w:val="21"/>
          <w:szCs w:val="28"/>
        </w:rPr>
        <w:t>56.17</w:t>
      </w:r>
      <w:r>
        <w:rPr>
          <w:rFonts w:ascii="Arial" w:hAnsi="Arial"/>
          <w:sz w:val="21"/>
          <w:szCs w:val="28"/>
        </w:rPr>
        <w:t>万</w:t>
      </w:r>
      <w:r>
        <w:rPr>
          <w:rFonts w:ascii="Arial" w:hAnsi="Arial" w:hint="eastAsia"/>
          <w:sz w:val="21"/>
          <w:szCs w:val="28"/>
        </w:rPr>
        <w:t>平方米</w:t>
      </w:r>
      <w:r>
        <w:rPr>
          <w:rFonts w:ascii="Arial" w:hAnsi="Arial"/>
          <w:sz w:val="21"/>
          <w:szCs w:val="28"/>
        </w:rPr>
        <w:t>，占比达</w:t>
      </w:r>
      <w:r>
        <w:rPr>
          <w:rFonts w:ascii="Arial" w:hAnsi="Arial"/>
          <w:sz w:val="21"/>
          <w:szCs w:val="28"/>
        </w:rPr>
        <w:t>53.1%</w:t>
      </w:r>
      <w:r>
        <w:rPr>
          <w:rFonts w:ascii="Arial" w:hAnsi="Arial"/>
          <w:sz w:val="21"/>
          <w:szCs w:val="28"/>
        </w:rPr>
        <w:t>；其中，通州、大兴累计成交占全市的比重均超</w:t>
      </w:r>
      <w:r>
        <w:rPr>
          <w:rFonts w:ascii="Arial" w:hAnsi="Arial"/>
          <w:sz w:val="21"/>
          <w:szCs w:val="28"/>
        </w:rPr>
        <w:t>10%</w:t>
      </w:r>
      <w:r>
        <w:rPr>
          <w:rFonts w:ascii="Arial" w:hAnsi="Arial"/>
          <w:sz w:val="21"/>
          <w:szCs w:val="28"/>
        </w:rPr>
        <w:t>。中心城区累计成交</w:t>
      </w:r>
      <w:r>
        <w:rPr>
          <w:rFonts w:ascii="Arial" w:hAnsi="Arial"/>
          <w:sz w:val="21"/>
          <w:szCs w:val="28"/>
        </w:rPr>
        <w:t>42.36</w:t>
      </w:r>
      <w:r>
        <w:rPr>
          <w:rFonts w:ascii="Arial" w:hAnsi="Arial"/>
          <w:sz w:val="21"/>
          <w:szCs w:val="28"/>
        </w:rPr>
        <w:t>万</w:t>
      </w:r>
      <w:r>
        <w:rPr>
          <w:rFonts w:ascii="Arial" w:hAnsi="Arial" w:hint="eastAsia"/>
          <w:sz w:val="21"/>
          <w:szCs w:val="28"/>
        </w:rPr>
        <w:t>平方米</w:t>
      </w:r>
      <w:r>
        <w:rPr>
          <w:rFonts w:ascii="Arial" w:hAnsi="Arial"/>
          <w:sz w:val="21"/>
          <w:szCs w:val="28"/>
        </w:rPr>
        <w:t>，成交占比为</w:t>
      </w:r>
      <w:r>
        <w:rPr>
          <w:rFonts w:ascii="Arial" w:hAnsi="Arial"/>
          <w:sz w:val="21"/>
          <w:szCs w:val="28"/>
        </w:rPr>
        <w:t>40.1%</w:t>
      </w:r>
      <w:r>
        <w:rPr>
          <w:rFonts w:ascii="Arial" w:hAnsi="Arial"/>
          <w:sz w:val="21"/>
          <w:szCs w:val="28"/>
        </w:rPr>
        <w:t>，朝阳、丰台成交规模居前列，成交规模占全市的比重均超</w:t>
      </w:r>
      <w:r>
        <w:rPr>
          <w:rFonts w:ascii="Arial" w:hAnsi="Arial"/>
          <w:sz w:val="21"/>
          <w:szCs w:val="28"/>
        </w:rPr>
        <w:t>10%</w:t>
      </w:r>
      <w:r>
        <w:rPr>
          <w:rFonts w:ascii="Arial" w:hAnsi="Arial"/>
          <w:sz w:val="21"/>
          <w:szCs w:val="28"/>
        </w:rPr>
        <w:t>。</w:t>
      </w:r>
    </w:p>
    <w:p w14:paraId="35DCCEF6" w14:textId="77777777" w:rsidR="00000000" w:rsidRDefault="00000000">
      <w:pPr>
        <w:overflowPunct w:val="0"/>
        <w:spacing w:line="480" w:lineRule="auto"/>
        <w:ind w:firstLineChars="200" w:firstLine="420"/>
        <w:jc w:val="both"/>
        <w:textAlignment w:val="auto"/>
        <w:rPr>
          <w:rFonts w:ascii="Arial" w:hAnsi="Arial" w:hint="eastAsia"/>
          <w:sz w:val="21"/>
          <w:szCs w:val="28"/>
        </w:rPr>
      </w:pPr>
      <w:r>
        <w:rPr>
          <w:rFonts w:ascii="Arial" w:hAnsi="Arial"/>
          <w:sz w:val="21"/>
          <w:szCs w:val="28"/>
        </w:rPr>
        <w:t>从区域成交变化来看，中心城区、远郊区域成交规模增加，近郊区域同比下滑。其中，中心城区同比增加</w:t>
      </w:r>
      <w:r>
        <w:rPr>
          <w:rFonts w:ascii="Arial" w:hAnsi="Arial"/>
          <w:sz w:val="21"/>
          <w:szCs w:val="28"/>
        </w:rPr>
        <w:t>26%</w:t>
      </w:r>
      <w:r>
        <w:rPr>
          <w:rFonts w:ascii="Arial" w:hAnsi="Arial"/>
          <w:sz w:val="21"/>
          <w:szCs w:val="28"/>
        </w:rPr>
        <w:t>，海淀同比增幅超八成，石景山成交同比增加</w:t>
      </w:r>
      <w:r>
        <w:rPr>
          <w:rFonts w:ascii="Arial" w:hAnsi="Arial"/>
          <w:sz w:val="21"/>
          <w:szCs w:val="28"/>
        </w:rPr>
        <w:t>42%</w:t>
      </w:r>
      <w:r>
        <w:rPr>
          <w:rFonts w:ascii="Arial" w:hAnsi="Arial"/>
          <w:sz w:val="21"/>
          <w:szCs w:val="28"/>
        </w:rPr>
        <w:t>，丰台和朝阳成交同比增幅在</w:t>
      </w:r>
      <w:r>
        <w:rPr>
          <w:rFonts w:ascii="Arial" w:hAnsi="Arial"/>
          <w:sz w:val="21"/>
          <w:szCs w:val="28"/>
        </w:rPr>
        <w:t>20%</w:t>
      </w:r>
      <w:r>
        <w:rPr>
          <w:rFonts w:ascii="Arial" w:hAnsi="Arial"/>
          <w:sz w:val="21"/>
          <w:szCs w:val="28"/>
        </w:rPr>
        <w:t>左右，东城区和西城区成交规模同比明显下滑，但基数较小；近郊区域成交同比减少</w:t>
      </w:r>
      <w:r>
        <w:rPr>
          <w:rFonts w:ascii="Arial" w:hAnsi="Arial"/>
          <w:sz w:val="21"/>
          <w:szCs w:val="28"/>
        </w:rPr>
        <w:t>15%</w:t>
      </w:r>
      <w:r>
        <w:rPr>
          <w:rFonts w:ascii="Arial" w:hAnsi="Arial"/>
          <w:sz w:val="21"/>
          <w:szCs w:val="28"/>
        </w:rPr>
        <w:t>，房山和顺义同比领跌，跌幅分别为</w:t>
      </w:r>
      <w:r>
        <w:rPr>
          <w:rFonts w:ascii="Arial" w:hAnsi="Arial"/>
          <w:sz w:val="21"/>
          <w:szCs w:val="28"/>
        </w:rPr>
        <w:t>59%</w:t>
      </w:r>
      <w:r>
        <w:rPr>
          <w:rFonts w:ascii="Arial" w:hAnsi="Arial"/>
          <w:sz w:val="21"/>
          <w:szCs w:val="28"/>
        </w:rPr>
        <w:t>和</w:t>
      </w:r>
      <w:r>
        <w:rPr>
          <w:rFonts w:ascii="Arial" w:hAnsi="Arial"/>
          <w:sz w:val="21"/>
          <w:szCs w:val="28"/>
        </w:rPr>
        <w:t>38%</w:t>
      </w:r>
      <w:r>
        <w:rPr>
          <w:rFonts w:ascii="Arial" w:hAnsi="Arial"/>
          <w:sz w:val="21"/>
          <w:szCs w:val="28"/>
        </w:rPr>
        <w:t>，</w:t>
      </w:r>
      <w:r>
        <w:rPr>
          <w:rFonts w:ascii="Arial" w:hAnsi="Arial"/>
          <w:sz w:val="21"/>
          <w:szCs w:val="28"/>
        </w:rPr>
        <w:t xml:space="preserve"> </w:t>
      </w:r>
      <w:r>
        <w:rPr>
          <w:rFonts w:ascii="Arial" w:hAnsi="Arial"/>
          <w:sz w:val="21"/>
          <w:szCs w:val="28"/>
        </w:rPr>
        <w:t>昌平和大兴成交同比跌幅分别为</w:t>
      </w:r>
      <w:r>
        <w:rPr>
          <w:rFonts w:ascii="Arial" w:hAnsi="Arial"/>
          <w:sz w:val="21"/>
          <w:szCs w:val="28"/>
        </w:rPr>
        <w:t>17%</w:t>
      </w:r>
      <w:r>
        <w:rPr>
          <w:rFonts w:ascii="Arial" w:hAnsi="Arial"/>
          <w:sz w:val="21"/>
          <w:szCs w:val="28"/>
        </w:rPr>
        <w:t>和</w:t>
      </w:r>
      <w:r>
        <w:rPr>
          <w:rFonts w:ascii="Arial" w:hAnsi="Arial"/>
          <w:sz w:val="21"/>
          <w:szCs w:val="28"/>
        </w:rPr>
        <w:t>21%</w:t>
      </w:r>
      <w:r>
        <w:rPr>
          <w:rFonts w:ascii="Arial" w:hAnsi="Arial"/>
          <w:sz w:val="21"/>
          <w:szCs w:val="28"/>
        </w:rPr>
        <w:t>，通州和门头沟成交同比增加；远郊区域成交规模同比增加</w:t>
      </w:r>
      <w:r>
        <w:rPr>
          <w:rFonts w:ascii="Arial" w:hAnsi="Arial"/>
          <w:sz w:val="21"/>
          <w:szCs w:val="28"/>
        </w:rPr>
        <w:t>27%</w:t>
      </w:r>
      <w:r>
        <w:rPr>
          <w:rFonts w:ascii="Arial" w:hAnsi="Arial"/>
          <w:sz w:val="21"/>
          <w:szCs w:val="28"/>
        </w:rPr>
        <w:t>，密云和怀柔增幅明显，平谷和延庆成交同比下跌。</w:t>
      </w:r>
    </w:p>
    <w:p w14:paraId="72FC8303" w14:textId="6FEE06C2" w:rsidR="00000000" w:rsidRDefault="008F534B">
      <w:pPr>
        <w:tabs>
          <w:tab w:val="left" w:pos="0"/>
        </w:tabs>
        <w:overflowPunct w:val="0"/>
        <w:spacing w:line="480" w:lineRule="auto"/>
        <w:jc w:val="center"/>
        <w:textAlignment w:val="auto"/>
      </w:pPr>
      <w:r>
        <w:rPr>
          <w:noProof/>
        </w:rPr>
        <w:lastRenderedPageBreak/>
        <w:drawing>
          <wp:inline distT="0" distB="0" distL="0" distR="0" wp14:anchorId="7FD5778B" wp14:editId="52C52374">
            <wp:extent cx="5905500" cy="1943100"/>
            <wp:effectExtent l="0" t="0" r="0" b="0"/>
            <wp:docPr id="1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5500" cy="1943100"/>
                    </a:xfrm>
                    <a:prstGeom prst="rect">
                      <a:avLst/>
                    </a:prstGeom>
                    <a:noFill/>
                    <a:ln>
                      <a:noFill/>
                    </a:ln>
                  </pic:spPr>
                </pic:pic>
              </a:graphicData>
            </a:graphic>
          </wp:inline>
        </w:drawing>
      </w:r>
    </w:p>
    <w:p w14:paraId="5C3B0D83" w14:textId="77777777" w:rsidR="00000000" w:rsidRDefault="00000000">
      <w:pPr>
        <w:overflowPunct w:val="0"/>
        <w:spacing w:line="480" w:lineRule="auto"/>
        <w:ind w:firstLineChars="200" w:firstLine="420"/>
        <w:jc w:val="both"/>
        <w:textAlignment w:val="auto"/>
        <w:rPr>
          <w:rFonts w:ascii="Arial" w:hAnsi="Arial"/>
          <w:sz w:val="21"/>
          <w:szCs w:val="28"/>
        </w:rPr>
      </w:pPr>
      <w:r>
        <w:rPr>
          <w:rFonts w:ascii="Arial" w:hAnsi="Arial"/>
          <w:sz w:val="21"/>
          <w:szCs w:val="28"/>
        </w:rPr>
        <w:t>从成交价格来看，</w:t>
      </w:r>
      <w:r>
        <w:rPr>
          <w:rFonts w:ascii="Arial" w:hAnsi="Arial" w:hint="eastAsia"/>
          <w:sz w:val="21"/>
          <w:szCs w:val="28"/>
        </w:rPr>
        <w:t>2025</w:t>
      </w:r>
      <w:r>
        <w:rPr>
          <w:rFonts w:ascii="Arial" w:hAnsi="Arial" w:hint="eastAsia"/>
          <w:sz w:val="21"/>
          <w:szCs w:val="28"/>
        </w:rPr>
        <w:t>年三季度中心城区商品住宅（不含保障房）成交均价最高，整体均价超</w:t>
      </w:r>
      <w:r>
        <w:rPr>
          <w:rFonts w:ascii="Arial" w:hAnsi="Arial" w:hint="eastAsia"/>
          <w:sz w:val="21"/>
          <w:szCs w:val="28"/>
        </w:rPr>
        <w:t>10</w:t>
      </w:r>
      <w:r>
        <w:rPr>
          <w:rFonts w:ascii="Arial" w:hAnsi="Arial" w:hint="eastAsia"/>
          <w:sz w:val="21"/>
          <w:szCs w:val="28"/>
        </w:rPr>
        <w:t>万</w:t>
      </w:r>
      <w:r>
        <w:rPr>
          <w:rFonts w:ascii="Arial" w:hAnsi="Arial" w:hint="eastAsia"/>
          <w:sz w:val="21"/>
          <w:szCs w:val="28"/>
        </w:rPr>
        <w:t>/</w:t>
      </w:r>
      <w:r>
        <w:rPr>
          <w:rFonts w:ascii="Arial" w:hAnsi="Arial" w:hint="eastAsia"/>
          <w:sz w:val="21"/>
          <w:szCs w:val="28"/>
        </w:rPr>
        <w:t>平方米，其中东、西城成交均价均超</w:t>
      </w:r>
      <w:r>
        <w:rPr>
          <w:rFonts w:ascii="Arial" w:hAnsi="Arial" w:hint="eastAsia"/>
          <w:sz w:val="21"/>
          <w:szCs w:val="28"/>
        </w:rPr>
        <w:t>12</w:t>
      </w:r>
      <w:r>
        <w:rPr>
          <w:rFonts w:ascii="Arial" w:hAnsi="Arial" w:hint="eastAsia"/>
          <w:sz w:val="21"/>
          <w:szCs w:val="28"/>
        </w:rPr>
        <w:t>万元</w:t>
      </w:r>
      <w:r>
        <w:rPr>
          <w:rFonts w:ascii="Arial" w:hAnsi="Arial" w:hint="eastAsia"/>
          <w:sz w:val="21"/>
          <w:szCs w:val="28"/>
        </w:rPr>
        <w:t>/</w:t>
      </w:r>
      <w:r>
        <w:rPr>
          <w:rFonts w:ascii="Arial" w:hAnsi="Arial" w:hint="eastAsia"/>
          <w:sz w:val="21"/>
          <w:szCs w:val="28"/>
        </w:rPr>
        <w:t>平方米，远郊区整体成交均价最低，整体均价不足</w:t>
      </w:r>
      <w:r>
        <w:rPr>
          <w:rFonts w:ascii="Arial" w:hAnsi="Arial" w:hint="eastAsia"/>
          <w:sz w:val="21"/>
          <w:szCs w:val="28"/>
        </w:rPr>
        <w:t>3</w:t>
      </w:r>
      <w:r>
        <w:rPr>
          <w:rFonts w:ascii="Arial" w:hAnsi="Arial" w:hint="eastAsia"/>
          <w:sz w:val="21"/>
          <w:szCs w:val="28"/>
        </w:rPr>
        <w:t>万</w:t>
      </w:r>
      <w:r>
        <w:rPr>
          <w:rFonts w:ascii="Arial" w:hAnsi="Arial" w:hint="eastAsia"/>
          <w:sz w:val="21"/>
          <w:szCs w:val="28"/>
        </w:rPr>
        <w:t>/</w:t>
      </w:r>
      <w:r>
        <w:rPr>
          <w:rFonts w:ascii="Arial" w:hAnsi="Arial" w:hint="eastAsia"/>
          <w:sz w:val="21"/>
          <w:szCs w:val="28"/>
        </w:rPr>
        <w:t>平方米，其中密云区成交均价最低，上半年成交均价仅</w:t>
      </w:r>
      <w:r>
        <w:rPr>
          <w:rFonts w:ascii="Arial" w:hAnsi="Arial" w:hint="eastAsia"/>
          <w:sz w:val="21"/>
          <w:szCs w:val="28"/>
        </w:rPr>
        <w:t>18794</w:t>
      </w:r>
      <w:r>
        <w:rPr>
          <w:rFonts w:ascii="Arial" w:hAnsi="Arial" w:hint="eastAsia"/>
          <w:sz w:val="21"/>
          <w:szCs w:val="28"/>
        </w:rPr>
        <w:t>元</w:t>
      </w:r>
      <w:r>
        <w:rPr>
          <w:rFonts w:ascii="Arial" w:hAnsi="Arial" w:hint="eastAsia"/>
          <w:sz w:val="21"/>
          <w:szCs w:val="28"/>
        </w:rPr>
        <w:t>/</w:t>
      </w:r>
      <w:r>
        <w:rPr>
          <w:rFonts w:ascii="Arial" w:hAnsi="Arial" w:hint="eastAsia"/>
          <w:sz w:val="21"/>
          <w:szCs w:val="28"/>
        </w:rPr>
        <w:t>平方米</w:t>
      </w:r>
      <w:r>
        <w:rPr>
          <w:rFonts w:ascii="Arial" w:hAnsi="Arial"/>
          <w:sz w:val="21"/>
          <w:szCs w:val="28"/>
        </w:rPr>
        <w:t>。</w:t>
      </w:r>
    </w:p>
    <w:p w14:paraId="60824B81" w14:textId="77777777" w:rsidR="00000000" w:rsidRDefault="00000000">
      <w:pPr>
        <w:overflowPunct w:val="0"/>
        <w:spacing w:line="480" w:lineRule="auto"/>
        <w:ind w:firstLineChars="200" w:firstLine="420"/>
        <w:jc w:val="both"/>
        <w:textAlignment w:val="auto"/>
        <w:rPr>
          <w:rFonts w:ascii="Arial" w:hAnsi="Arial"/>
          <w:sz w:val="21"/>
          <w:szCs w:val="28"/>
        </w:rPr>
      </w:pPr>
      <w:r>
        <w:rPr>
          <w:rFonts w:ascii="Arial" w:hAnsi="Arial"/>
          <w:sz w:val="21"/>
          <w:szCs w:val="28"/>
        </w:rPr>
        <w:t>从价格变化来看，</w:t>
      </w:r>
      <w:r>
        <w:rPr>
          <w:rFonts w:ascii="Arial" w:hAnsi="Arial"/>
          <w:sz w:val="21"/>
          <w:szCs w:val="28"/>
        </w:rPr>
        <w:t>2025</w:t>
      </w:r>
      <w:r>
        <w:rPr>
          <w:rFonts w:ascii="Arial" w:hAnsi="Arial"/>
          <w:sz w:val="21"/>
          <w:szCs w:val="28"/>
        </w:rPr>
        <w:t>年三季度中心城区结构性上涨，近郊区、远郊区房价均有所下跌。其中，中心城区商品住宅成交均价同比上涨</w:t>
      </w:r>
      <w:r>
        <w:rPr>
          <w:rFonts w:ascii="Arial" w:hAnsi="Arial"/>
          <w:sz w:val="21"/>
          <w:szCs w:val="28"/>
        </w:rPr>
        <w:t>7%</w:t>
      </w:r>
      <w:r>
        <w:rPr>
          <w:rFonts w:ascii="Arial" w:hAnsi="Arial"/>
          <w:sz w:val="21"/>
          <w:szCs w:val="28"/>
        </w:rPr>
        <w:t>，海淀区和东城区领涨，同比涨幅分别为</w:t>
      </w:r>
      <w:r>
        <w:rPr>
          <w:rFonts w:ascii="Arial" w:hAnsi="Arial"/>
          <w:sz w:val="21"/>
          <w:szCs w:val="28"/>
        </w:rPr>
        <w:t>26%</w:t>
      </w:r>
      <w:r>
        <w:rPr>
          <w:rFonts w:ascii="Arial" w:hAnsi="Arial"/>
          <w:sz w:val="21"/>
          <w:szCs w:val="28"/>
        </w:rPr>
        <w:t>和</w:t>
      </w:r>
      <w:r>
        <w:rPr>
          <w:rFonts w:ascii="Arial" w:hAnsi="Arial"/>
          <w:sz w:val="21"/>
          <w:szCs w:val="28"/>
        </w:rPr>
        <w:t>20%</w:t>
      </w:r>
      <w:r>
        <w:rPr>
          <w:rFonts w:ascii="Arial" w:hAnsi="Arial"/>
          <w:sz w:val="21"/>
          <w:szCs w:val="28"/>
        </w:rPr>
        <w:t>；近郊区域成交均价同比下跌</w:t>
      </w:r>
      <w:r>
        <w:rPr>
          <w:rFonts w:ascii="Arial" w:hAnsi="Arial"/>
          <w:sz w:val="21"/>
          <w:szCs w:val="28"/>
        </w:rPr>
        <w:t>6%</w:t>
      </w:r>
      <w:r>
        <w:rPr>
          <w:rFonts w:ascii="Arial" w:hAnsi="Arial"/>
          <w:sz w:val="21"/>
          <w:szCs w:val="28"/>
        </w:rPr>
        <w:t>，门头沟和大兴房价下跌明显，同比跌幅均超</w:t>
      </w:r>
      <w:r>
        <w:rPr>
          <w:rFonts w:ascii="Arial" w:hAnsi="Arial"/>
          <w:sz w:val="21"/>
          <w:szCs w:val="28"/>
        </w:rPr>
        <w:t>10%</w:t>
      </w:r>
      <w:r>
        <w:rPr>
          <w:rFonts w:ascii="Arial" w:hAnsi="Arial"/>
          <w:sz w:val="21"/>
          <w:szCs w:val="28"/>
        </w:rPr>
        <w:t>；远郊区域成交均价同比下跌</w:t>
      </w:r>
      <w:r>
        <w:rPr>
          <w:rFonts w:ascii="Arial" w:hAnsi="Arial"/>
          <w:sz w:val="21"/>
          <w:szCs w:val="28"/>
        </w:rPr>
        <w:t>11%</w:t>
      </w:r>
      <w:r>
        <w:rPr>
          <w:rFonts w:ascii="Arial" w:hAnsi="Arial"/>
          <w:sz w:val="21"/>
          <w:szCs w:val="28"/>
        </w:rPr>
        <w:t>，密云和平谷跌幅超</w:t>
      </w:r>
      <w:r>
        <w:rPr>
          <w:rFonts w:ascii="Arial" w:hAnsi="Arial"/>
          <w:sz w:val="21"/>
          <w:szCs w:val="28"/>
        </w:rPr>
        <w:t>20%</w:t>
      </w:r>
      <w:r>
        <w:rPr>
          <w:rFonts w:ascii="Arial" w:hAnsi="Arial"/>
          <w:sz w:val="21"/>
          <w:szCs w:val="28"/>
        </w:rPr>
        <w:t>。</w:t>
      </w:r>
    </w:p>
    <w:p w14:paraId="019789CE" w14:textId="0E8F2F54" w:rsidR="00000000" w:rsidRDefault="008F534B">
      <w:pPr>
        <w:widowControl/>
        <w:spacing w:line="360" w:lineRule="auto"/>
        <w:jc w:val="center"/>
        <w:rPr>
          <w:rFonts w:ascii="Arial" w:eastAsia="仿宋_GB2312" w:hAnsi="Arial" w:cs="Arial" w:hint="eastAsia"/>
          <w:bCs/>
          <w:color w:val="000000"/>
          <w:sz w:val="28"/>
          <w:szCs w:val="28"/>
        </w:rPr>
      </w:pPr>
      <w:r>
        <w:rPr>
          <w:noProof/>
        </w:rPr>
        <w:drawing>
          <wp:inline distT="0" distB="0" distL="0" distR="0" wp14:anchorId="3B581BB0" wp14:editId="09F1712B">
            <wp:extent cx="5905500" cy="1987550"/>
            <wp:effectExtent l="0" t="0" r="0" b="0"/>
            <wp:docPr id="1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5500" cy="1987550"/>
                    </a:xfrm>
                    <a:prstGeom prst="rect">
                      <a:avLst/>
                    </a:prstGeom>
                    <a:noFill/>
                    <a:ln>
                      <a:noFill/>
                    </a:ln>
                  </pic:spPr>
                </pic:pic>
              </a:graphicData>
            </a:graphic>
          </wp:inline>
        </w:drawing>
      </w:r>
    </w:p>
    <w:p w14:paraId="2D8E5391" w14:textId="77777777" w:rsidR="00000000" w:rsidRDefault="00000000">
      <w:pPr>
        <w:widowControl/>
        <w:overflowPunct w:val="0"/>
        <w:adjustRightInd/>
        <w:spacing w:line="480" w:lineRule="auto"/>
        <w:ind w:firstLineChars="200" w:firstLine="420"/>
        <w:jc w:val="both"/>
        <w:textAlignment w:val="auto"/>
        <w:rPr>
          <w:rFonts w:ascii="Arial" w:hAnsi="Arial"/>
          <w:bCs/>
          <w:sz w:val="21"/>
          <w:szCs w:val="28"/>
        </w:rPr>
      </w:pPr>
      <w:r>
        <w:rPr>
          <w:rFonts w:ascii="Arial" w:hAnsi="Arial" w:hint="eastAsia"/>
          <w:bCs/>
          <w:sz w:val="21"/>
          <w:szCs w:val="28"/>
        </w:rPr>
        <w:t>（</w:t>
      </w:r>
      <w:r>
        <w:rPr>
          <w:rFonts w:ascii="Arial" w:hAnsi="Arial" w:hint="eastAsia"/>
          <w:bCs/>
          <w:sz w:val="21"/>
          <w:szCs w:val="28"/>
        </w:rPr>
        <w:t>3</w:t>
      </w:r>
      <w:r>
        <w:rPr>
          <w:rFonts w:ascii="Arial" w:hAnsi="Arial" w:hint="eastAsia"/>
          <w:bCs/>
          <w:sz w:val="21"/>
          <w:szCs w:val="28"/>
        </w:rPr>
        <w:t>）存量房住宅市场</w:t>
      </w:r>
    </w:p>
    <w:p w14:paraId="4828B034" w14:textId="77777777" w:rsidR="00000000" w:rsidRDefault="00000000">
      <w:pPr>
        <w:overflowPunct w:val="0"/>
        <w:spacing w:line="480" w:lineRule="auto"/>
        <w:ind w:firstLineChars="200" w:firstLine="420"/>
        <w:jc w:val="both"/>
        <w:textAlignment w:val="auto"/>
        <w:rPr>
          <w:rFonts w:ascii="Arial" w:hAnsi="Arial"/>
          <w:sz w:val="21"/>
        </w:rPr>
      </w:pPr>
      <w:r>
        <w:rPr>
          <w:rFonts w:ascii="Arial" w:hAnsi="Arial" w:hint="eastAsia"/>
          <w:sz w:val="21"/>
        </w:rPr>
        <w:t>1</w:t>
      </w:r>
      <w:r>
        <w:rPr>
          <w:rFonts w:ascii="Arial" w:hAnsi="Arial" w:hint="eastAsia"/>
          <w:sz w:val="21"/>
        </w:rPr>
        <w:t>）市场运行状况</w:t>
      </w:r>
    </w:p>
    <w:p w14:paraId="5BFC87A7" w14:textId="77777777" w:rsidR="00000000" w:rsidRDefault="00000000">
      <w:pPr>
        <w:tabs>
          <w:tab w:val="left" w:pos="426"/>
        </w:tabs>
        <w:overflowPunct w:val="0"/>
        <w:spacing w:line="480" w:lineRule="auto"/>
        <w:ind w:firstLineChars="200" w:firstLine="420"/>
        <w:jc w:val="both"/>
        <w:textAlignment w:val="auto"/>
        <w:rPr>
          <w:rFonts w:ascii="Arial" w:hAnsi="Arial" w:hint="eastAsia"/>
          <w:sz w:val="21"/>
          <w:szCs w:val="28"/>
        </w:rPr>
      </w:pPr>
      <w:r>
        <w:rPr>
          <w:rFonts w:ascii="Arial" w:hAnsi="Arial" w:hint="eastAsia"/>
          <w:sz w:val="21"/>
          <w:szCs w:val="28"/>
        </w:rPr>
        <w:t>2025</w:t>
      </w:r>
      <w:r>
        <w:rPr>
          <w:rFonts w:ascii="Arial" w:hAnsi="Arial" w:hint="eastAsia"/>
          <w:sz w:val="21"/>
          <w:szCs w:val="28"/>
        </w:rPr>
        <w:t>年三季度，北京</w:t>
      </w:r>
      <w:bookmarkStart w:id="51" w:name="OLE_LINK11"/>
      <w:r>
        <w:rPr>
          <w:rFonts w:ascii="Arial" w:hAnsi="Arial" w:hint="eastAsia"/>
          <w:sz w:val="21"/>
          <w:szCs w:val="28"/>
        </w:rPr>
        <w:t>存量</w:t>
      </w:r>
      <w:bookmarkEnd w:id="51"/>
      <w:r>
        <w:rPr>
          <w:rFonts w:ascii="Arial" w:hAnsi="Arial" w:hint="eastAsia"/>
          <w:sz w:val="21"/>
          <w:szCs w:val="28"/>
        </w:rPr>
        <w:t>房市场活跃度有所下滑，累计成交</w:t>
      </w:r>
      <w:r>
        <w:rPr>
          <w:rFonts w:ascii="Arial" w:hAnsi="Arial" w:hint="eastAsia"/>
          <w:sz w:val="21"/>
          <w:szCs w:val="28"/>
        </w:rPr>
        <w:t>5.16</w:t>
      </w:r>
      <w:r>
        <w:rPr>
          <w:rFonts w:ascii="Arial" w:hAnsi="Arial" w:hint="eastAsia"/>
          <w:sz w:val="21"/>
          <w:szCs w:val="28"/>
        </w:rPr>
        <w:t>万套，环比下降</w:t>
      </w:r>
      <w:r>
        <w:rPr>
          <w:rFonts w:ascii="Arial" w:hAnsi="Arial" w:hint="eastAsia"/>
          <w:sz w:val="21"/>
          <w:szCs w:val="28"/>
        </w:rPr>
        <w:t>6.7%</w:t>
      </w:r>
      <w:r>
        <w:rPr>
          <w:rFonts w:ascii="Arial" w:hAnsi="Arial" w:hint="eastAsia"/>
          <w:sz w:val="21"/>
          <w:szCs w:val="28"/>
        </w:rPr>
        <w:t>，同比下降</w:t>
      </w:r>
      <w:r>
        <w:rPr>
          <w:rFonts w:ascii="Arial" w:hAnsi="Arial" w:hint="eastAsia"/>
          <w:sz w:val="21"/>
          <w:szCs w:val="28"/>
        </w:rPr>
        <w:t>2.9%</w:t>
      </w:r>
      <w:r>
        <w:rPr>
          <w:rFonts w:ascii="Arial" w:hAnsi="Arial" w:hint="eastAsia"/>
          <w:sz w:val="21"/>
          <w:szCs w:val="28"/>
        </w:rPr>
        <w:t>。从月度趋势来看，北京存量房市场热度先降后升，</w:t>
      </w:r>
      <w:r>
        <w:rPr>
          <w:rFonts w:ascii="Arial" w:hAnsi="Arial" w:hint="eastAsia"/>
          <w:sz w:val="21"/>
          <w:szCs w:val="28"/>
        </w:rPr>
        <w:t>7/8</w:t>
      </w:r>
      <w:r>
        <w:rPr>
          <w:rFonts w:ascii="Arial" w:hAnsi="Arial" w:hint="eastAsia"/>
          <w:sz w:val="21"/>
          <w:szCs w:val="28"/>
        </w:rPr>
        <w:t>月北京存量商品住宅成交规模降至</w:t>
      </w:r>
      <w:r>
        <w:rPr>
          <w:rFonts w:ascii="Arial" w:hAnsi="Arial" w:hint="eastAsia"/>
          <w:sz w:val="21"/>
          <w:szCs w:val="28"/>
        </w:rPr>
        <w:t>1.3</w:t>
      </w:r>
      <w:r>
        <w:rPr>
          <w:rFonts w:ascii="Arial" w:hAnsi="Arial" w:hint="eastAsia"/>
          <w:sz w:val="21"/>
          <w:szCs w:val="28"/>
        </w:rPr>
        <w:t>万套上下；</w:t>
      </w:r>
      <w:r>
        <w:rPr>
          <w:rFonts w:ascii="Arial" w:hAnsi="Arial" w:hint="eastAsia"/>
          <w:sz w:val="21"/>
          <w:szCs w:val="28"/>
        </w:rPr>
        <w:t>8</w:t>
      </w:r>
      <w:r>
        <w:rPr>
          <w:rFonts w:ascii="Arial" w:hAnsi="Arial" w:hint="eastAsia"/>
          <w:sz w:val="21"/>
          <w:szCs w:val="28"/>
        </w:rPr>
        <w:t>月下旬，受楼市新政效果刺激，成交量逐步上涨，</w:t>
      </w:r>
      <w:r>
        <w:rPr>
          <w:rFonts w:ascii="Arial" w:hAnsi="Arial" w:hint="eastAsia"/>
          <w:sz w:val="21"/>
          <w:szCs w:val="28"/>
        </w:rPr>
        <w:t>9</w:t>
      </w:r>
      <w:r>
        <w:rPr>
          <w:rFonts w:ascii="Arial" w:hAnsi="Arial" w:hint="eastAsia"/>
          <w:sz w:val="21"/>
          <w:szCs w:val="28"/>
        </w:rPr>
        <w:t>月累计成交</w:t>
      </w:r>
      <w:r>
        <w:rPr>
          <w:rFonts w:ascii="Arial" w:hAnsi="Arial" w:hint="eastAsia"/>
          <w:sz w:val="21"/>
          <w:szCs w:val="28"/>
        </w:rPr>
        <w:t>15843</w:t>
      </w:r>
      <w:r>
        <w:rPr>
          <w:rFonts w:ascii="Arial" w:hAnsi="Arial" w:hint="eastAsia"/>
          <w:sz w:val="21"/>
          <w:szCs w:val="28"/>
        </w:rPr>
        <w:t>套，创近半年月度新高。</w:t>
      </w:r>
    </w:p>
    <w:p w14:paraId="01ED0237" w14:textId="77777777" w:rsidR="00000000" w:rsidRDefault="00000000">
      <w:pPr>
        <w:tabs>
          <w:tab w:val="left" w:pos="426"/>
        </w:tabs>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lastRenderedPageBreak/>
        <w:t>2025</w:t>
      </w:r>
      <w:r>
        <w:rPr>
          <w:rFonts w:ascii="Arial" w:hAnsi="Arial" w:hint="eastAsia"/>
          <w:sz w:val="21"/>
          <w:szCs w:val="28"/>
        </w:rPr>
        <w:t>年</w:t>
      </w:r>
      <w:r>
        <w:rPr>
          <w:rFonts w:ascii="Arial" w:hAnsi="Arial"/>
          <w:sz w:val="21"/>
          <w:szCs w:val="28"/>
        </w:rPr>
        <w:t>三季年，北京</w:t>
      </w:r>
      <w:r>
        <w:rPr>
          <w:rFonts w:ascii="Arial" w:hAnsi="Arial" w:hint="eastAsia"/>
          <w:sz w:val="21"/>
          <w:szCs w:val="28"/>
        </w:rPr>
        <w:t>存量</w:t>
      </w:r>
      <w:r>
        <w:rPr>
          <w:rFonts w:ascii="Arial" w:hAnsi="Arial"/>
          <w:sz w:val="21"/>
          <w:szCs w:val="28"/>
        </w:rPr>
        <w:t>房市场延续</w:t>
      </w:r>
      <w:r>
        <w:rPr>
          <w:rFonts w:ascii="Arial" w:hAnsi="Arial"/>
          <w:sz w:val="21"/>
          <w:szCs w:val="28"/>
        </w:rPr>
        <w:t>“</w:t>
      </w:r>
      <w:r>
        <w:rPr>
          <w:rFonts w:ascii="Arial" w:hAnsi="Arial"/>
          <w:sz w:val="21"/>
          <w:szCs w:val="28"/>
        </w:rPr>
        <w:t>以价换量</w:t>
      </w:r>
      <w:r>
        <w:rPr>
          <w:rFonts w:ascii="Arial" w:hAnsi="Arial"/>
          <w:sz w:val="21"/>
          <w:szCs w:val="28"/>
        </w:rPr>
        <w:t>”</w:t>
      </w:r>
      <w:r>
        <w:rPr>
          <w:rFonts w:ascii="Arial" w:hAnsi="Arial"/>
          <w:sz w:val="21"/>
          <w:szCs w:val="28"/>
        </w:rPr>
        <w:t>主旋律。从统计局数据来看，二季度以来，受</w:t>
      </w:r>
      <w:r>
        <w:rPr>
          <w:rFonts w:ascii="Arial" w:hAnsi="Arial" w:hint="eastAsia"/>
          <w:sz w:val="21"/>
          <w:szCs w:val="28"/>
        </w:rPr>
        <w:t>存量</w:t>
      </w:r>
      <w:r>
        <w:rPr>
          <w:rFonts w:ascii="Arial" w:hAnsi="Arial"/>
          <w:sz w:val="21"/>
          <w:szCs w:val="28"/>
        </w:rPr>
        <w:t>房挂牌增加，学区需求下滑等因素影响，北京</w:t>
      </w:r>
      <w:r>
        <w:rPr>
          <w:rFonts w:ascii="Arial" w:hAnsi="Arial" w:hint="eastAsia"/>
          <w:sz w:val="21"/>
          <w:szCs w:val="28"/>
        </w:rPr>
        <w:t>存量</w:t>
      </w:r>
      <w:r>
        <w:rPr>
          <w:rFonts w:ascii="Arial" w:hAnsi="Arial"/>
          <w:sz w:val="21"/>
          <w:szCs w:val="28"/>
        </w:rPr>
        <w:t>房价格指数环比持续下跌，三季度房价跌幅呈扩大趋势，</w:t>
      </w:r>
      <w:r>
        <w:rPr>
          <w:rFonts w:ascii="Arial" w:hAnsi="Arial"/>
          <w:sz w:val="21"/>
          <w:szCs w:val="28"/>
        </w:rPr>
        <w:t>7</w:t>
      </w:r>
      <w:r>
        <w:rPr>
          <w:rFonts w:ascii="Arial" w:hAnsi="Arial"/>
          <w:sz w:val="21"/>
          <w:szCs w:val="28"/>
        </w:rPr>
        <w:t>月跌幅</w:t>
      </w:r>
      <w:r>
        <w:rPr>
          <w:rFonts w:ascii="Arial" w:hAnsi="Arial"/>
          <w:sz w:val="21"/>
          <w:szCs w:val="28"/>
        </w:rPr>
        <w:t>1.1%</w:t>
      </w:r>
      <w:r>
        <w:rPr>
          <w:rFonts w:ascii="Arial" w:hAnsi="Arial"/>
          <w:sz w:val="21"/>
          <w:szCs w:val="28"/>
        </w:rPr>
        <w:t>，</w:t>
      </w:r>
      <w:r>
        <w:rPr>
          <w:rFonts w:ascii="Arial" w:hAnsi="Arial"/>
          <w:sz w:val="21"/>
          <w:szCs w:val="28"/>
        </w:rPr>
        <w:t>8</w:t>
      </w:r>
      <w:r>
        <w:rPr>
          <w:rFonts w:ascii="Arial" w:hAnsi="Arial"/>
          <w:sz w:val="21"/>
          <w:szCs w:val="28"/>
        </w:rPr>
        <w:t>月跌幅再次扩大至</w:t>
      </w:r>
      <w:r>
        <w:rPr>
          <w:rFonts w:ascii="Arial" w:hAnsi="Arial"/>
          <w:sz w:val="21"/>
          <w:szCs w:val="28"/>
        </w:rPr>
        <w:t>1.2%</w:t>
      </w:r>
      <w:r>
        <w:rPr>
          <w:rFonts w:ascii="Arial" w:hAnsi="Arial"/>
          <w:sz w:val="21"/>
          <w:szCs w:val="28"/>
        </w:rPr>
        <w:t>，</w:t>
      </w:r>
      <w:r>
        <w:rPr>
          <w:rFonts w:ascii="Arial" w:hAnsi="Arial"/>
          <w:sz w:val="21"/>
          <w:szCs w:val="28"/>
        </w:rPr>
        <w:t>9</w:t>
      </w:r>
      <w:r>
        <w:rPr>
          <w:rFonts w:ascii="Arial" w:hAnsi="Arial"/>
          <w:sz w:val="21"/>
          <w:szCs w:val="28"/>
        </w:rPr>
        <w:t>月跌幅缩小至</w:t>
      </w:r>
      <w:r>
        <w:rPr>
          <w:rFonts w:ascii="Arial" w:hAnsi="Arial"/>
          <w:sz w:val="21"/>
          <w:szCs w:val="28"/>
        </w:rPr>
        <w:t>0.9%</w:t>
      </w:r>
      <w:r>
        <w:rPr>
          <w:rFonts w:ascii="Arial" w:hAnsi="Arial"/>
          <w:sz w:val="21"/>
          <w:szCs w:val="28"/>
        </w:rPr>
        <w:t>。</w:t>
      </w:r>
    </w:p>
    <w:p w14:paraId="7C7AA4B6" w14:textId="0BCEF37B" w:rsidR="00000000" w:rsidRDefault="008F534B">
      <w:pPr>
        <w:tabs>
          <w:tab w:val="left" w:pos="0"/>
        </w:tabs>
        <w:overflowPunct w:val="0"/>
        <w:spacing w:line="480" w:lineRule="auto"/>
        <w:jc w:val="center"/>
        <w:textAlignment w:val="auto"/>
        <w:rPr>
          <w:rFonts w:ascii="Arial" w:hAnsi="Arial"/>
          <w:sz w:val="21"/>
        </w:rPr>
      </w:pPr>
      <w:r>
        <w:rPr>
          <w:noProof/>
        </w:rPr>
        <w:drawing>
          <wp:inline distT="0" distB="0" distL="0" distR="0" wp14:anchorId="3E2B0315" wp14:editId="67A04DA0">
            <wp:extent cx="5905500" cy="1638300"/>
            <wp:effectExtent l="0" t="0" r="0" b="0"/>
            <wp:docPr id="1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5500" cy="1638300"/>
                    </a:xfrm>
                    <a:prstGeom prst="rect">
                      <a:avLst/>
                    </a:prstGeom>
                    <a:noFill/>
                    <a:ln>
                      <a:noFill/>
                    </a:ln>
                  </pic:spPr>
                </pic:pic>
              </a:graphicData>
            </a:graphic>
          </wp:inline>
        </w:drawing>
      </w:r>
    </w:p>
    <w:p w14:paraId="080DC4D2" w14:textId="77777777" w:rsidR="00000000" w:rsidRDefault="00000000">
      <w:pPr>
        <w:overflowPunct w:val="0"/>
        <w:spacing w:line="480" w:lineRule="auto"/>
        <w:ind w:firstLineChars="200" w:firstLine="420"/>
        <w:jc w:val="both"/>
        <w:textAlignment w:val="auto"/>
        <w:rPr>
          <w:rFonts w:ascii="Arial" w:hAnsi="Arial"/>
          <w:sz w:val="21"/>
        </w:rPr>
      </w:pPr>
      <w:r>
        <w:rPr>
          <w:rFonts w:ascii="Arial" w:hAnsi="Arial" w:hint="eastAsia"/>
          <w:sz w:val="21"/>
        </w:rPr>
        <w:t>2</w:t>
      </w:r>
      <w:r>
        <w:rPr>
          <w:rFonts w:ascii="Arial" w:hAnsi="Arial" w:hint="eastAsia"/>
          <w:sz w:val="21"/>
        </w:rPr>
        <w:t>）各区县统计</w:t>
      </w:r>
    </w:p>
    <w:p w14:paraId="134469A9" w14:textId="77777777" w:rsidR="00000000" w:rsidRDefault="00000000">
      <w:pPr>
        <w:overflowPunct w:val="0"/>
        <w:spacing w:line="480" w:lineRule="auto"/>
        <w:ind w:firstLine="420"/>
        <w:jc w:val="both"/>
        <w:textAlignment w:val="auto"/>
        <w:rPr>
          <w:rFonts w:ascii="Arial" w:hAnsi="Arial"/>
          <w:color w:val="000000"/>
          <w:sz w:val="21"/>
        </w:rPr>
      </w:pPr>
      <w:bookmarkStart w:id="52" w:name="OLE_LINK8"/>
      <w:bookmarkStart w:id="53" w:name="OLE_LINK9"/>
      <w:r>
        <w:rPr>
          <w:rFonts w:ascii="Arial" w:hAnsi="Arial"/>
          <w:color w:val="000000"/>
          <w:sz w:val="21"/>
        </w:rPr>
        <w:t>分区域来看，</w:t>
      </w:r>
      <w:r>
        <w:rPr>
          <w:rFonts w:ascii="Arial" w:hAnsi="Arial" w:hint="eastAsia"/>
          <w:color w:val="000000"/>
          <w:sz w:val="21"/>
        </w:rPr>
        <w:t>2025</w:t>
      </w:r>
      <w:r>
        <w:rPr>
          <w:rFonts w:ascii="Arial" w:hAnsi="Arial" w:hint="eastAsia"/>
          <w:color w:val="000000"/>
          <w:sz w:val="21"/>
        </w:rPr>
        <w:t>年三季度朝阳存量房成交规模较大，成交规模达</w:t>
      </w:r>
      <w:r>
        <w:rPr>
          <w:rFonts w:ascii="Arial" w:hAnsi="Arial" w:hint="eastAsia"/>
          <w:color w:val="000000"/>
          <w:sz w:val="21"/>
        </w:rPr>
        <w:t>87.22</w:t>
      </w:r>
      <w:r>
        <w:rPr>
          <w:rFonts w:ascii="Arial" w:hAnsi="Arial" w:hint="eastAsia"/>
          <w:color w:val="000000"/>
          <w:sz w:val="21"/>
        </w:rPr>
        <w:t>万平方米，居各区第一位；海淀、丰台、昌平成交面积均超过</w:t>
      </w:r>
      <w:r>
        <w:rPr>
          <w:rFonts w:ascii="Arial" w:hAnsi="Arial" w:hint="eastAsia"/>
          <w:color w:val="000000"/>
          <w:sz w:val="21"/>
        </w:rPr>
        <w:t>30</w:t>
      </w:r>
      <w:r>
        <w:rPr>
          <w:rFonts w:ascii="Arial" w:hAnsi="Arial" w:hint="eastAsia"/>
          <w:color w:val="000000"/>
          <w:sz w:val="21"/>
        </w:rPr>
        <w:t>万平方米，成交规模居第二梯队；另外，远郊各区以及近郊的门头沟存量房市场活跃度相对较低，成交规模均不足</w:t>
      </w:r>
      <w:r>
        <w:rPr>
          <w:rFonts w:ascii="Arial" w:hAnsi="Arial" w:hint="eastAsia"/>
          <w:color w:val="000000"/>
          <w:sz w:val="21"/>
        </w:rPr>
        <w:t>10</w:t>
      </w:r>
      <w:r>
        <w:rPr>
          <w:rFonts w:ascii="Arial" w:hAnsi="Arial" w:hint="eastAsia"/>
          <w:color w:val="000000"/>
          <w:sz w:val="21"/>
        </w:rPr>
        <w:t>万平方米。</w:t>
      </w:r>
    </w:p>
    <w:p w14:paraId="429622CE" w14:textId="77777777" w:rsidR="00000000"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从同比变化来看，三季度，除门头沟、平谷、大兴、通州外，其他区域存量房成交规模均同比下跌，中心城区整体成交规模同比下跌</w:t>
      </w:r>
      <w:r>
        <w:rPr>
          <w:rFonts w:ascii="Arial" w:hAnsi="Arial" w:hint="eastAsia"/>
          <w:color w:val="000000"/>
          <w:sz w:val="21"/>
        </w:rPr>
        <w:t>8%</w:t>
      </w:r>
      <w:r>
        <w:rPr>
          <w:rFonts w:ascii="Arial" w:hAnsi="Arial" w:hint="eastAsia"/>
          <w:color w:val="000000"/>
          <w:sz w:val="21"/>
        </w:rPr>
        <w:t>，其中石景山区各同比下跌</w:t>
      </w:r>
      <w:r>
        <w:rPr>
          <w:rFonts w:ascii="Arial" w:hAnsi="Arial" w:hint="eastAsia"/>
          <w:color w:val="000000"/>
          <w:sz w:val="21"/>
        </w:rPr>
        <w:t>14%</w:t>
      </w:r>
      <w:r>
        <w:rPr>
          <w:rFonts w:ascii="Arial" w:hAnsi="Arial" w:hint="eastAsia"/>
          <w:color w:val="000000"/>
          <w:sz w:val="21"/>
        </w:rPr>
        <w:t>。成交价格方面，上半年西城区成交价格最高，达</w:t>
      </w:r>
      <w:r>
        <w:rPr>
          <w:rFonts w:ascii="Arial" w:hAnsi="Arial" w:hint="eastAsia"/>
          <w:color w:val="000000"/>
          <w:sz w:val="21"/>
        </w:rPr>
        <w:t>93558</w:t>
      </w:r>
      <w:r>
        <w:rPr>
          <w:rFonts w:ascii="Arial" w:hAnsi="Arial" w:hint="eastAsia"/>
          <w:color w:val="000000"/>
          <w:sz w:val="21"/>
        </w:rPr>
        <w:t>元</w:t>
      </w:r>
      <w:r>
        <w:rPr>
          <w:rFonts w:ascii="Arial" w:hAnsi="Arial" w:hint="eastAsia"/>
          <w:color w:val="000000"/>
          <w:sz w:val="21"/>
        </w:rPr>
        <w:t>/</w:t>
      </w:r>
      <w:r>
        <w:rPr>
          <w:rFonts w:ascii="Arial" w:hAnsi="Arial" w:hint="eastAsia"/>
          <w:color w:val="000000"/>
          <w:sz w:val="21"/>
        </w:rPr>
        <w:t>平方米；其次为东城区，为</w:t>
      </w:r>
      <w:r>
        <w:rPr>
          <w:rFonts w:ascii="Arial" w:hAnsi="Arial" w:hint="eastAsia"/>
          <w:color w:val="000000"/>
          <w:sz w:val="21"/>
        </w:rPr>
        <w:t>78189</w:t>
      </w:r>
      <w:r>
        <w:rPr>
          <w:rFonts w:ascii="Arial" w:hAnsi="Arial" w:hint="eastAsia"/>
          <w:color w:val="000000"/>
          <w:sz w:val="21"/>
        </w:rPr>
        <w:t>元</w:t>
      </w:r>
      <w:r>
        <w:rPr>
          <w:rFonts w:ascii="Arial" w:hAnsi="Arial" w:hint="eastAsia"/>
          <w:color w:val="000000"/>
          <w:sz w:val="21"/>
        </w:rPr>
        <w:t>/</w:t>
      </w:r>
      <w:r>
        <w:rPr>
          <w:rFonts w:ascii="Arial" w:hAnsi="Arial" w:hint="eastAsia"/>
          <w:color w:val="000000"/>
          <w:sz w:val="21"/>
        </w:rPr>
        <w:t>平方米</w:t>
      </w:r>
      <w:r>
        <w:rPr>
          <w:rFonts w:ascii="Arial" w:hAnsi="Arial"/>
          <w:color w:val="000000"/>
          <w:sz w:val="21"/>
        </w:rPr>
        <w:t>。</w:t>
      </w:r>
    </w:p>
    <w:p w14:paraId="14C20B56" w14:textId="5DDDCFB5" w:rsidR="00000000" w:rsidRDefault="008F534B">
      <w:pPr>
        <w:widowControl/>
        <w:spacing w:line="360" w:lineRule="auto"/>
        <w:jc w:val="center"/>
        <w:rPr>
          <w:rFonts w:ascii="Arial" w:eastAsia="仿宋_GB2312" w:hAnsi="Arial" w:cs="Arial" w:hint="eastAsia"/>
          <w:bCs/>
          <w:color w:val="000000"/>
          <w:sz w:val="28"/>
          <w:szCs w:val="28"/>
        </w:rPr>
      </w:pPr>
      <w:r>
        <w:rPr>
          <w:noProof/>
        </w:rPr>
        <w:drawing>
          <wp:inline distT="0" distB="0" distL="0" distR="0" wp14:anchorId="132215CC" wp14:editId="4A9C00F7">
            <wp:extent cx="5905500" cy="2082800"/>
            <wp:effectExtent l="0" t="0" r="0" b="0"/>
            <wp:docPr id="1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5500" cy="2082800"/>
                    </a:xfrm>
                    <a:prstGeom prst="rect">
                      <a:avLst/>
                    </a:prstGeom>
                    <a:noFill/>
                    <a:ln>
                      <a:noFill/>
                    </a:ln>
                  </pic:spPr>
                </pic:pic>
              </a:graphicData>
            </a:graphic>
          </wp:inline>
        </w:drawing>
      </w:r>
    </w:p>
    <w:p w14:paraId="73399531" w14:textId="77777777" w:rsidR="00000000" w:rsidRDefault="00000000">
      <w:pPr>
        <w:overflowPunct w:val="0"/>
        <w:spacing w:line="480" w:lineRule="auto"/>
        <w:ind w:firstLine="420"/>
        <w:jc w:val="both"/>
        <w:textAlignment w:val="auto"/>
        <w:rPr>
          <w:rFonts w:ascii="Arial" w:hAnsi="Arial"/>
          <w:color w:val="000000"/>
          <w:sz w:val="21"/>
        </w:rPr>
      </w:pPr>
      <w:r>
        <w:rPr>
          <w:rFonts w:ascii="Arial" w:hAnsi="Arial"/>
          <w:color w:val="000000"/>
          <w:sz w:val="21"/>
        </w:rPr>
        <w:t>整体来看，北京市</w:t>
      </w:r>
      <w:r>
        <w:rPr>
          <w:rFonts w:ascii="Arial" w:hAnsi="Arial" w:hint="eastAsia"/>
          <w:color w:val="000000"/>
          <w:sz w:val="21"/>
        </w:rPr>
        <w:t>存量</w:t>
      </w:r>
      <w:r>
        <w:rPr>
          <w:rFonts w:ascii="Arial" w:hAnsi="Arial"/>
          <w:color w:val="000000"/>
          <w:sz w:val="21"/>
        </w:rPr>
        <w:t>房对新房市场的分流效应逐步增强。</w:t>
      </w:r>
      <w:r>
        <w:rPr>
          <w:rFonts w:ascii="Arial" w:hAnsi="Arial"/>
          <w:color w:val="000000"/>
          <w:sz w:val="21"/>
        </w:rPr>
        <w:t>2021</w:t>
      </w:r>
      <w:r>
        <w:rPr>
          <w:rFonts w:ascii="Arial" w:hAnsi="Arial"/>
          <w:color w:val="000000"/>
          <w:sz w:val="21"/>
        </w:rPr>
        <w:t>年以来，北京市</w:t>
      </w:r>
      <w:r>
        <w:rPr>
          <w:rFonts w:ascii="Arial" w:hAnsi="Arial" w:hint="eastAsia"/>
          <w:color w:val="000000"/>
          <w:sz w:val="21"/>
        </w:rPr>
        <w:t>存量</w:t>
      </w:r>
      <w:r>
        <w:rPr>
          <w:rFonts w:ascii="Arial" w:hAnsi="Arial"/>
          <w:color w:val="000000"/>
          <w:sz w:val="21"/>
        </w:rPr>
        <w:t>房成交占比波动增加。</w:t>
      </w:r>
      <w:r>
        <w:rPr>
          <w:rFonts w:ascii="Arial" w:hAnsi="Arial"/>
          <w:color w:val="000000"/>
          <w:sz w:val="21"/>
        </w:rPr>
        <w:t>2025</w:t>
      </w:r>
      <w:r>
        <w:rPr>
          <w:rFonts w:ascii="Arial" w:hAnsi="Arial"/>
          <w:color w:val="000000"/>
          <w:sz w:val="21"/>
        </w:rPr>
        <w:t>年三季度，北京新房市场虽有海淀、朝阳、通州</w:t>
      </w:r>
      <w:r>
        <w:rPr>
          <w:rFonts w:ascii="Arial" w:hAnsi="Arial"/>
          <w:color w:val="000000"/>
          <w:sz w:val="21"/>
        </w:rPr>
        <w:t xml:space="preserve"> </w:t>
      </w:r>
      <w:r>
        <w:rPr>
          <w:rFonts w:ascii="Arial" w:hAnsi="Arial"/>
          <w:color w:val="000000"/>
          <w:sz w:val="21"/>
        </w:rPr>
        <w:t>等项目的局部高热现象，但整体市场持续承压，累计成交套数不足</w:t>
      </w:r>
      <w:r>
        <w:rPr>
          <w:rFonts w:ascii="Arial" w:hAnsi="Arial"/>
          <w:color w:val="000000"/>
          <w:sz w:val="21"/>
        </w:rPr>
        <w:t>1</w:t>
      </w:r>
      <w:r>
        <w:rPr>
          <w:rFonts w:ascii="Arial" w:hAnsi="Arial"/>
          <w:color w:val="000000"/>
          <w:sz w:val="21"/>
        </w:rPr>
        <w:t>万套，为近年季度低位；</w:t>
      </w:r>
      <w:r>
        <w:rPr>
          <w:rFonts w:ascii="Arial" w:hAnsi="Arial" w:hint="eastAsia"/>
          <w:color w:val="000000"/>
          <w:sz w:val="21"/>
        </w:rPr>
        <w:t>存量</w:t>
      </w:r>
      <w:r>
        <w:rPr>
          <w:rFonts w:ascii="Arial" w:hAnsi="Arial"/>
          <w:color w:val="000000"/>
          <w:sz w:val="21"/>
        </w:rPr>
        <w:t>房市场热度虽有所下降，但成交套数依然保持较高水平。</w:t>
      </w:r>
      <w:r>
        <w:rPr>
          <w:rFonts w:ascii="Arial" w:hAnsi="Arial"/>
          <w:color w:val="000000"/>
          <w:sz w:val="21"/>
        </w:rPr>
        <w:t xml:space="preserve">2025 </w:t>
      </w:r>
      <w:r>
        <w:rPr>
          <w:rFonts w:ascii="Arial" w:hAnsi="Arial"/>
          <w:color w:val="000000"/>
          <w:sz w:val="21"/>
        </w:rPr>
        <w:t>年三季度北京</w:t>
      </w:r>
      <w:r>
        <w:rPr>
          <w:rFonts w:ascii="Arial" w:hAnsi="Arial" w:hint="eastAsia"/>
          <w:color w:val="000000"/>
          <w:sz w:val="21"/>
        </w:rPr>
        <w:t>存量</w:t>
      </w:r>
      <w:r>
        <w:rPr>
          <w:rFonts w:ascii="Arial" w:hAnsi="Arial"/>
          <w:color w:val="000000"/>
          <w:sz w:val="21"/>
        </w:rPr>
        <w:t>商品住宅累计成交套数占比升至</w:t>
      </w:r>
      <w:r>
        <w:rPr>
          <w:rFonts w:ascii="Arial" w:hAnsi="Arial"/>
          <w:color w:val="000000"/>
          <w:sz w:val="21"/>
        </w:rPr>
        <w:t>81%</w:t>
      </w:r>
      <w:r>
        <w:rPr>
          <w:rFonts w:ascii="Arial" w:hAnsi="Arial"/>
          <w:color w:val="000000"/>
          <w:sz w:val="21"/>
        </w:rPr>
        <w:t>，较上年同期提高</w:t>
      </w:r>
      <w:r>
        <w:rPr>
          <w:rFonts w:ascii="Arial" w:hAnsi="Arial"/>
          <w:color w:val="000000"/>
          <w:sz w:val="21"/>
        </w:rPr>
        <w:t>4</w:t>
      </w:r>
      <w:r>
        <w:rPr>
          <w:rFonts w:ascii="Arial" w:hAnsi="Arial"/>
          <w:color w:val="000000"/>
          <w:sz w:val="21"/>
        </w:rPr>
        <w:lastRenderedPageBreak/>
        <w:t>个百分点。</w:t>
      </w:r>
    </w:p>
    <w:p w14:paraId="031D666D" w14:textId="16066AE5" w:rsidR="00000000" w:rsidRDefault="008F534B">
      <w:pPr>
        <w:overflowPunct w:val="0"/>
        <w:spacing w:line="480" w:lineRule="auto"/>
        <w:jc w:val="both"/>
        <w:textAlignment w:val="auto"/>
        <w:rPr>
          <w:rFonts w:ascii="Arial" w:hAnsi="Arial" w:hint="eastAsia"/>
          <w:color w:val="000000"/>
          <w:sz w:val="21"/>
        </w:rPr>
      </w:pPr>
      <w:r>
        <w:rPr>
          <w:noProof/>
        </w:rPr>
        <w:drawing>
          <wp:inline distT="0" distB="0" distL="0" distR="0" wp14:anchorId="1DAAEC6F" wp14:editId="006DF96D">
            <wp:extent cx="5911850" cy="1720850"/>
            <wp:effectExtent l="0" t="0" r="0" b="0"/>
            <wp:docPr id="2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11850" cy="1720850"/>
                    </a:xfrm>
                    <a:prstGeom prst="rect">
                      <a:avLst/>
                    </a:prstGeom>
                    <a:noFill/>
                    <a:ln>
                      <a:noFill/>
                    </a:ln>
                  </pic:spPr>
                </pic:pic>
              </a:graphicData>
            </a:graphic>
          </wp:inline>
        </w:drawing>
      </w:r>
    </w:p>
    <w:p w14:paraId="19EF0D2F" w14:textId="77777777" w:rsidR="00000000" w:rsidRDefault="00000000">
      <w:pPr>
        <w:overflowPunct w:val="0"/>
        <w:spacing w:line="480" w:lineRule="auto"/>
        <w:ind w:firstLineChars="200" w:firstLine="420"/>
        <w:jc w:val="both"/>
        <w:textAlignment w:val="auto"/>
        <w:rPr>
          <w:rFonts w:ascii="Arial" w:hAnsi="Arial"/>
          <w:color w:val="000000"/>
          <w:sz w:val="21"/>
          <w:szCs w:val="28"/>
        </w:rPr>
      </w:pPr>
      <w:r>
        <w:rPr>
          <w:rFonts w:ascii="Arial" w:hAnsi="Arial" w:hint="eastAsia"/>
          <w:color w:val="000000"/>
          <w:sz w:val="21"/>
          <w:szCs w:val="28"/>
        </w:rPr>
        <w:t>4.</w:t>
      </w:r>
      <w:r>
        <w:rPr>
          <w:rFonts w:ascii="Arial" w:hAnsi="Arial" w:hint="eastAsia"/>
          <w:color w:val="000000"/>
          <w:sz w:val="21"/>
          <w:szCs w:val="28"/>
        </w:rPr>
        <w:t>产业政策</w:t>
      </w:r>
    </w:p>
    <w:p w14:paraId="02D996A7" w14:textId="77777777" w:rsidR="00000000" w:rsidRDefault="00000000">
      <w:pPr>
        <w:overflowPunct w:val="0"/>
        <w:spacing w:line="480" w:lineRule="auto"/>
        <w:ind w:firstLine="420"/>
        <w:jc w:val="both"/>
        <w:textAlignment w:val="auto"/>
        <w:rPr>
          <w:rFonts w:ascii="Arial" w:hAnsi="Arial" w:hint="eastAsia"/>
          <w:b/>
          <w:color w:val="000000"/>
          <w:sz w:val="21"/>
        </w:rPr>
      </w:pPr>
      <w:r>
        <w:rPr>
          <w:rFonts w:ascii="Arial" w:hAnsi="Arial" w:hint="eastAsia"/>
          <w:b/>
          <w:color w:val="000000"/>
          <w:sz w:val="21"/>
        </w:rPr>
        <w:t>全国：</w:t>
      </w:r>
    </w:p>
    <w:p w14:paraId="70752F3A" w14:textId="77777777" w:rsidR="00000000" w:rsidRDefault="00000000">
      <w:pPr>
        <w:overflowPunct w:val="0"/>
        <w:spacing w:line="480" w:lineRule="auto"/>
        <w:ind w:firstLine="420"/>
        <w:jc w:val="both"/>
        <w:textAlignment w:val="auto"/>
        <w:rPr>
          <w:rFonts w:ascii="Arial" w:hAnsi="Arial"/>
          <w:color w:val="000000"/>
          <w:sz w:val="21"/>
        </w:rPr>
      </w:pPr>
      <w:r>
        <w:rPr>
          <w:rFonts w:ascii="Arial" w:hAnsi="Arial"/>
          <w:color w:val="000000"/>
          <w:sz w:val="21"/>
        </w:rPr>
        <w:t>2024</w:t>
      </w:r>
      <w:r>
        <w:rPr>
          <w:rFonts w:ascii="Arial" w:hAnsi="Arial"/>
          <w:color w:val="000000"/>
          <w:sz w:val="21"/>
        </w:rPr>
        <w:t>年</w:t>
      </w:r>
      <w:r>
        <w:rPr>
          <w:rFonts w:ascii="Arial" w:hAnsi="Arial"/>
          <w:color w:val="000000"/>
          <w:sz w:val="21"/>
        </w:rPr>
        <w:t>9</w:t>
      </w:r>
      <w:r>
        <w:rPr>
          <w:rFonts w:ascii="Arial" w:hAnsi="Arial"/>
          <w:color w:val="000000"/>
          <w:sz w:val="21"/>
        </w:rPr>
        <w:t>月</w:t>
      </w:r>
      <w:r>
        <w:rPr>
          <w:rFonts w:ascii="Arial" w:hAnsi="Arial"/>
          <w:color w:val="000000"/>
          <w:sz w:val="21"/>
        </w:rPr>
        <w:t>26</w:t>
      </w:r>
      <w:r>
        <w:rPr>
          <w:rFonts w:ascii="Arial" w:hAnsi="Arial"/>
          <w:color w:val="000000"/>
          <w:sz w:val="21"/>
        </w:rPr>
        <w:t>日，中共中央政治局召开会议，分析研究当前经济形势，部署下一步经济工作。会议对房地产政策进行了重点部署，首次提出要</w:t>
      </w:r>
      <w:r>
        <w:rPr>
          <w:rFonts w:ascii="Arial" w:hAnsi="Arial"/>
          <w:color w:val="000000"/>
          <w:sz w:val="21"/>
        </w:rPr>
        <w:t>“</w:t>
      </w:r>
      <w:r>
        <w:rPr>
          <w:rFonts w:ascii="Arial" w:hAnsi="Arial"/>
          <w:color w:val="000000"/>
          <w:sz w:val="21"/>
        </w:rPr>
        <w:t>促进房地产市场止跌回稳</w:t>
      </w:r>
      <w:r>
        <w:rPr>
          <w:rFonts w:ascii="Arial" w:hAnsi="Arial"/>
          <w:color w:val="000000"/>
          <w:sz w:val="21"/>
        </w:rPr>
        <w:t>”</w:t>
      </w:r>
      <w:r>
        <w:rPr>
          <w:rFonts w:ascii="Arial" w:hAnsi="Arial"/>
          <w:color w:val="000000"/>
          <w:sz w:val="21"/>
        </w:rPr>
        <w:t>，强调稳定房地产市场对宏观经济的重要性。具体措施包括：</w:t>
      </w:r>
      <w:r>
        <w:rPr>
          <w:rFonts w:ascii="Arial" w:hAnsi="Arial" w:hint="eastAsia"/>
          <w:color w:val="000000"/>
          <w:sz w:val="21"/>
        </w:rPr>
        <w:t>一、</w:t>
      </w:r>
      <w:r>
        <w:rPr>
          <w:rFonts w:ascii="Arial" w:hAnsi="Arial"/>
          <w:color w:val="000000"/>
          <w:sz w:val="21"/>
        </w:rPr>
        <w:t>商品房建设：严控增量、优化存量、提高质量，意味着未来土地和住房供应将结合城市实际需求，不能盲目扩大。</w:t>
      </w:r>
      <w:r>
        <w:rPr>
          <w:rFonts w:ascii="Arial" w:hAnsi="Arial" w:hint="eastAsia"/>
          <w:color w:val="000000"/>
          <w:sz w:val="21"/>
        </w:rPr>
        <w:t>二、</w:t>
      </w:r>
      <w:r>
        <w:rPr>
          <w:rFonts w:ascii="Arial" w:hAnsi="Arial"/>
          <w:color w:val="000000"/>
          <w:sz w:val="21"/>
        </w:rPr>
        <w:t>住房限购政策：调整住房限购政策，降低存量房贷利率，以提振市场信心。</w:t>
      </w:r>
      <w:r>
        <w:rPr>
          <w:rFonts w:ascii="Arial" w:hAnsi="Arial" w:hint="eastAsia"/>
          <w:color w:val="000000"/>
          <w:sz w:val="21"/>
        </w:rPr>
        <w:t>三、</w:t>
      </w:r>
      <w:r>
        <w:rPr>
          <w:rFonts w:ascii="Arial" w:hAnsi="Arial"/>
          <w:color w:val="000000"/>
          <w:sz w:val="21"/>
        </w:rPr>
        <w:t>项目贷款：加大</w:t>
      </w:r>
      <w:r>
        <w:rPr>
          <w:rFonts w:ascii="Arial" w:hAnsi="Arial"/>
          <w:color w:val="000000"/>
          <w:sz w:val="21"/>
        </w:rPr>
        <w:t>“</w:t>
      </w:r>
      <w:r>
        <w:rPr>
          <w:rFonts w:ascii="Arial" w:hAnsi="Arial"/>
          <w:color w:val="000000"/>
          <w:sz w:val="21"/>
        </w:rPr>
        <w:t>白名单</w:t>
      </w:r>
      <w:r>
        <w:rPr>
          <w:rFonts w:ascii="Arial" w:hAnsi="Arial"/>
          <w:color w:val="000000"/>
          <w:sz w:val="21"/>
        </w:rPr>
        <w:t>”</w:t>
      </w:r>
      <w:r>
        <w:rPr>
          <w:rFonts w:ascii="Arial" w:hAnsi="Arial"/>
          <w:color w:val="000000"/>
          <w:sz w:val="21"/>
        </w:rPr>
        <w:t>项目贷款投放力度，支持盘活存量闲置土地。</w:t>
      </w:r>
      <w:r>
        <w:rPr>
          <w:rFonts w:ascii="Arial" w:hAnsi="Arial" w:hint="eastAsia"/>
          <w:color w:val="000000"/>
          <w:sz w:val="21"/>
        </w:rPr>
        <w:t>四、</w:t>
      </w:r>
      <w:r>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Pr>
          <w:rFonts w:ascii="Arial" w:hAnsi="Arial" w:hint="eastAsia"/>
          <w:color w:val="000000"/>
          <w:sz w:val="21"/>
        </w:rPr>
        <w:t>。</w:t>
      </w:r>
    </w:p>
    <w:p w14:paraId="5AA1A481" w14:textId="77777777" w:rsidR="00000000"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2024</w:t>
      </w:r>
      <w:r>
        <w:rPr>
          <w:rFonts w:ascii="Arial" w:hAnsi="Arial"/>
          <w:color w:val="000000"/>
          <w:sz w:val="21"/>
        </w:rPr>
        <w:t>年</w:t>
      </w:r>
      <w:r>
        <w:rPr>
          <w:rFonts w:ascii="Arial" w:hAnsi="Arial"/>
          <w:color w:val="000000"/>
          <w:sz w:val="21"/>
        </w:rPr>
        <w:t>12</w:t>
      </w:r>
      <w:r>
        <w:rPr>
          <w:rFonts w:ascii="Arial" w:hAnsi="Arial"/>
          <w:color w:val="000000"/>
          <w:sz w:val="21"/>
        </w:rPr>
        <w:t>月</w:t>
      </w:r>
      <w:r>
        <w:rPr>
          <w:rFonts w:ascii="Arial" w:hAnsi="Arial"/>
          <w:color w:val="000000"/>
          <w:sz w:val="21"/>
        </w:rPr>
        <w:t>11</w:t>
      </w:r>
      <w:r>
        <w:rPr>
          <w:rFonts w:ascii="Arial" w:hAnsi="Arial"/>
          <w:color w:val="000000"/>
          <w:sz w:val="21"/>
        </w:rPr>
        <w:t>日至</w:t>
      </w:r>
      <w:r>
        <w:rPr>
          <w:rFonts w:ascii="Arial" w:hAnsi="Arial"/>
          <w:color w:val="000000"/>
          <w:sz w:val="21"/>
        </w:rPr>
        <w:t>12</w:t>
      </w:r>
      <w:r>
        <w:rPr>
          <w:rFonts w:ascii="Arial" w:hAnsi="Arial"/>
          <w:color w:val="000000"/>
          <w:sz w:val="21"/>
        </w:rPr>
        <w:t>日，</w:t>
      </w:r>
      <w:r>
        <w:rPr>
          <w:rFonts w:ascii="Arial" w:hAnsi="Arial"/>
          <w:color w:val="000000"/>
          <w:sz w:val="21"/>
        </w:rPr>
        <w:t>202</w:t>
      </w:r>
      <w:r>
        <w:rPr>
          <w:rFonts w:ascii="Arial" w:hAnsi="Arial" w:hint="eastAsia"/>
          <w:color w:val="000000"/>
          <w:sz w:val="21"/>
        </w:rPr>
        <w:t>4</w:t>
      </w:r>
      <w:r>
        <w:rPr>
          <w:rFonts w:ascii="Arial" w:hAnsi="Arial"/>
          <w:color w:val="000000"/>
          <w:sz w:val="21"/>
        </w:rPr>
        <w:t>年中央经济工作会议举行</w:t>
      </w:r>
      <w:r>
        <w:rPr>
          <w:rFonts w:ascii="Arial" w:hAnsi="Arial" w:hint="eastAsia"/>
          <w:color w:val="000000"/>
          <w:sz w:val="21"/>
        </w:rPr>
        <w:t>。会议总结</w:t>
      </w:r>
      <w:r>
        <w:rPr>
          <w:rFonts w:ascii="Arial" w:hAnsi="Arial" w:hint="eastAsia"/>
          <w:color w:val="000000"/>
          <w:sz w:val="21"/>
        </w:rPr>
        <w:t>2024</w:t>
      </w:r>
      <w:r>
        <w:rPr>
          <w:rFonts w:ascii="Arial" w:hAnsi="Arial" w:hint="eastAsia"/>
          <w:color w:val="000000"/>
          <w:sz w:val="21"/>
        </w:rPr>
        <w:t>年经济工作，分析当前经济形势，部署</w:t>
      </w:r>
      <w:r>
        <w:rPr>
          <w:rFonts w:ascii="Arial" w:hAnsi="Arial" w:hint="eastAsia"/>
          <w:color w:val="000000"/>
          <w:sz w:val="21"/>
        </w:rPr>
        <w:t>2025</w:t>
      </w:r>
      <w:r>
        <w:rPr>
          <w:rFonts w:ascii="Arial" w:hAnsi="Arial" w:hint="eastAsia"/>
          <w:color w:val="000000"/>
          <w:sz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Pr>
          <w:rFonts w:ascii="Arial" w:hAnsi="Arial" w:hint="eastAsia"/>
          <w:color w:val="000000"/>
          <w:sz w:val="21"/>
        </w:rPr>
        <w:t xml:space="preserve"> </w:t>
      </w:r>
      <w:r>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0630D0F1" w14:textId="77777777" w:rsidR="00000000"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2024</w:t>
      </w:r>
      <w:r>
        <w:rPr>
          <w:rFonts w:ascii="Arial" w:hAnsi="Arial" w:hint="eastAsia"/>
          <w:color w:val="000000"/>
          <w:sz w:val="21"/>
        </w:rPr>
        <w:t>年</w:t>
      </w:r>
      <w:r>
        <w:rPr>
          <w:rFonts w:ascii="Arial" w:hAnsi="Arial"/>
          <w:color w:val="000000"/>
          <w:sz w:val="21"/>
        </w:rPr>
        <w:t>12</w:t>
      </w:r>
      <w:r>
        <w:rPr>
          <w:rFonts w:ascii="Arial" w:hAnsi="Arial"/>
          <w:color w:val="000000"/>
          <w:sz w:val="21"/>
        </w:rPr>
        <w:t>月</w:t>
      </w:r>
      <w:r>
        <w:rPr>
          <w:rFonts w:ascii="Arial" w:hAnsi="Arial"/>
          <w:color w:val="000000"/>
          <w:sz w:val="21"/>
        </w:rPr>
        <w:t>24</w:t>
      </w:r>
      <w:r>
        <w:rPr>
          <w:rFonts w:ascii="Arial" w:hAnsi="Arial"/>
          <w:color w:val="000000"/>
          <w:sz w:val="21"/>
        </w:rPr>
        <w:t>日至</w:t>
      </w:r>
      <w:r>
        <w:rPr>
          <w:rFonts w:ascii="Arial" w:hAnsi="Arial"/>
          <w:color w:val="000000"/>
          <w:sz w:val="21"/>
        </w:rPr>
        <w:t>25</w:t>
      </w:r>
      <w:r>
        <w:rPr>
          <w:rFonts w:ascii="Arial" w:hAnsi="Arial"/>
          <w:color w:val="000000"/>
          <w:sz w:val="21"/>
        </w:rPr>
        <w:t>日，全国住房城乡建设工作会议在北京召开</w:t>
      </w:r>
      <w:r>
        <w:rPr>
          <w:rFonts w:ascii="Arial" w:hAnsi="Arial" w:hint="eastAsia"/>
          <w:color w:val="000000"/>
          <w:sz w:val="21"/>
        </w:rPr>
        <w:t>。</w:t>
      </w:r>
      <w:r>
        <w:rPr>
          <w:rFonts w:ascii="Arial" w:hAnsi="Arial"/>
          <w:color w:val="000000"/>
          <w:sz w:val="21"/>
        </w:rPr>
        <w:t>会议系统总结</w:t>
      </w:r>
      <w:r>
        <w:rPr>
          <w:rFonts w:ascii="Arial" w:hAnsi="Arial"/>
          <w:color w:val="000000"/>
          <w:sz w:val="21"/>
        </w:rPr>
        <w:t>2024</w:t>
      </w:r>
      <w:r>
        <w:rPr>
          <w:rFonts w:ascii="Arial" w:hAnsi="Arial"/>
          <w:color w:val="000000"/>
          <w:sz w:val="21"/>
        </w:rPr>
        <w:t>年工作，部署进一步全面深化住房城乡建设领域改革，明确</w:t>
      </w:r>
      <w:r>
        <w:rPr>
          <w:rFonts w:ascii="Arial" w:hAnsi="Arial"/>
          <w:color w:val="000000"/>
          <w:sz w:val="21"/>
        </w:rPr>
        <w:t>2025</w:t>
      </w:r>
      <w:r>
        <w:rPr>
          <w:rFonts w:ascii="Arial" w:hAnsi="Arial"/>
          <w:color w:val="000000"/>
          <w:sz w:val="21"/>
        </w:rPr>
        <w:t>年重点任务，奋力推进住房城乡建设事业高质量发展。会议强调，</w:t>
      </w:r>
      <w:r>
        <w:rPr>
          <w:rFonts w:ascii="Arial" w:hAnsi="Arial"/>
          <w:color w:val="000000"/>
          <w:sz w:val="21"/>
        </w:rPr>
        <w:t>2</w:t>
      </w:r>
      <w:r>
        <w:rPr>
          <w:rFonts w:ascii="Arial" w:hAnsi="Arial" w:hint="eastAsia"/>
          <w:color w:val="000000"/>
          <w:sz w:val="21"/>
        </w:rPr>
        <w:t>025</w:t>
      </w:r>
      <w:r>
        <w:rPr>
          <w:rFonts w:ascii="Arial" w:hAnsi="Arial"/>
          <w:color w:val="000000"/>
          <w:sz w:val="21"/>
        </w:rPr>
        <w:t>年的工作要重点抓好</w:t>
      </w:r>
      <w:r>
        <w:rPr>
          <w:rFonts w:ascii="Arial" w:hAnsi="Arial" w:hint="eastAsia"/>
          <w:color w:val="000000"/>
          <w:sz w:val="21"/>
        </w:rPr>
        <w:t>5</w:t>
      </w:r>
      <w:r>
        <w:rPr>
          <w:rFonts w:ascii="Arial" w:hAnsi="Arial"/>
          <w:color w:val="000000"/>
          <w:sz w:val="21"/>
        </w:rPr>
        <w:t>大板块</w:t>
      </w:r>
      <w:r>
        <w:rPr>
          <w:rFonts w:ascii="Arial" w:hAnsi="Arial" w:hint="eastAsia"/>
          <w:color w:val="000000"/>
          <w:sz w:val="21"/>
        </w:rPr>
        <w:t>22</w:t>
      </w:r>
      <w:r>
        <w:rPr>
          <w:rFonts w:ascii="Arial" w:hAnsi="Arial"/>
          <w:color w:val="000000"/>
          <w:sz w:val="21"/>
        </w:rPr>
        <w:t>个方面工作。一、</w:t>
      </w:r>
      <w:r>
        <w:rPr>
          <w:rFonts w:ascii="Arial" w:hAnsi="Arial" w:hint="eastAsia"/>
          <w:color w:val="000000"/>
          <w:sz w:val="21"/>
        </w:rPr>
        <w:t>从</w:t>
      </w:r>
      <w:r>
        <w:rPr>
          <w:rFonts w:ascii="Arial" w:hAnsi="Arial"/>
          <w:color w:val="000000"/>
          <w:sz w:val="21"/>
        </w:rPr>
        <w:t>着力释放需求</w:t>
      </w:r>
      <w:r>
        <w:rPr>
          <w:rFonts w:ascii="Arial" w:hAnsi="Arial" w:hint="eastAsia"/>
          <w:color w:val="000000"/>
          <w:sz w:val="21"/>
        </w:rPr>
        <w:t>和</w:t>
      </w:r>
      <w:r>
        <w:rPr>
          <w:rFonts w:ascii="Arial" w:hAnsi="Arial" w:hint="eastAsia"/>
          <w:color w:val="000000"/>
          <w:sz w:val="21"/>
        </w:rPr>
        <w:lastRenderedPageBreak/>
        <w:t>着力</w:t>
      </w:r>
      <w:r>
        <w:rPr>
          <w:rFonts w:ascii="Arial" w:hAnsi="Arial"/>
          <w:color w:val="000000"/>
          <w:sz w:val="21"/>
        </w:rPr>
        <w:t>改善供给</w:t>
      </w:r>
      <w:r>
        <w:rPr>
          <w:rFonts w:ascii="Arial" w:hAnsi="Arial" w:hint="eastAsia"/>
          <w:color w:val="000000"/>
          <w:sz w:val="21"/>
        </w:rPr>
        <w:t>两方面，</w:t>
      </w:r>
      <w:r>
        <w:rPr>
          <w:rFonts w:ascii="Arial" w:hAnsi="Arial"/>
          <w:color w:val="000000"/>
          <w:sz w:val="21"/>
        </w:rPr>
        <w:t>持续用力推动房地产市场止跌回稳</w:t>
      </w:r>
      <w:r>
        <w:rPr>
          <w:rFonts w:ascii="Arial" w:hAnsi="Arial" w:hint="eastAsia"/>
          <w:color w:val="000000"/>
          <w:sz w:val="21"/>
        </w:rPr>
        <w:t>。二、从</w:t>
      </w:r>
      <w:r>
        <w:rPr>
          <w:rFonts w:ascii="Arial" w:hAnsi="Arial"/>
          <w:color w:val="000000"/>
          <w:sz w:val="21"/>
        </w:rPr>
        <w:t>着力优化和完善住房供应体系</w:t>
      </w:r>
      <w:r>
        <w:rPr>
          <w:rFonts w:ascii="Arial" w:hAnsi="Arial" w:hint="eastAsia"/>
          <w:color w:val="000000"/>
          <w:sz w:val="21"/>
        </w:rPr>
        <w:t>、</w:t>
      </w:r>
      <w:r>
        <w:rPr>
          <w:rFonts w:ascii="Arial" w:hAnsi="Arial"/>
          <w:color w:val="000000"/>
          <w:sz w:val="21"/>
        </w:rPr>
        <w:t>推动建立要素联动新机制</w:t>
      </w:r>
      <w:r>
        <w:rPr>
          <w:rFonts w:ascii="Arial" w:hAnsi="Arial" w:hint="eastAsia"/>
          <w:color w:val="000000"/>
          <w:sz w:val="21"/>
        </w:rPr>
        <w:t>、</w:t>
      </w:r>
      <w:r>
        <w:rPr>
          <w:rFonts w:ascii="Arial" w:hAnsi="Arial"/>
          <w:color w:val="000000"/>
          <w:sz w:val="21"/>
        </w:rPr>
        <w:t>大力推进商品住房销售制度改革</w:t>
      </w:r>
      <w:r>
        <w:rPr>
          <w:rFonts w:ascii="Arial" w:hAnsi="Arial" w:hint="eastAsia"/>
          <w:color w:val="000000"/>
          <w:sz w:val="21"/>
        </w:rPr>
        <w:t>、</w:t>
      </w:r>
      <w:r>
        <w:rPr>
          <w:rFonts w:ascii="Arial" w:hAnsi="Arial"/>
          <w:color w:val="000000"/>
          <w:sz w:val="21"/>
        </w:rPr>
        <w:t>加快建立房屋全生命周期安全管理制度</w:t>
      </w:r>
      <w:r>
        <w:rPr>
          <w:rFonts w:ascii="Arial" w:hAnsi="Arial" w:hint="eastAsia"/>
          <w:color w:val="000000"/>
          <w:sz w:val="21"/>
        </w:rPr>
        <w:t>和</w:t>
      </w:r>
      <w:r>
        <w:rPr>
          <w:rFonts w:ascii="Arial" w:hAnsi="Arial"/>
          <w:color w:val="000000"/>
          <w:sz w:val="21"/>
        </w:rPr>
        <w:t>完善房地产全过程监管</w:t>
      </w:r>
      <w:r>
        <w:rPr>
          <w:rFonts w:ascii="Arial" w:hAnsi="Arial" w:hint="eastAsia"/>
          <w:color w:val="000000"/>
          <w:sz w:val="21"/>
        </w:rPr>
        <w:t>五个方面，</w:t>
      </w:r>
      <w:r>
        <w:rPr>
          <w:rFonts w:ascii="Arial" w:hAnsi="Arial"/>
          <w:color w:val="000000"/>
          <w:sz w:val="21"/>
        </w:rPr>
        <w:t>推动构建房地产发展新模式</w:t>
      </w:r>
      <w:r>
        <w:rPr>
          <w:rFonts w:ascii="Arial" w:hAnsi="Arial" w:hint="eastAsia"/>
          <w:color w:val="000000"/>
          <w:sz w:val="21"/>
        </w:rPr>
        <w:t>。三、从</w:t>
      </w:r>
      <w:r>
        <w:rPr>
          <w:rFonts w:ascii="Arial" w:hAnsi="Arial"/>
          <w:color w:val="000000"/>
          <w:sz w:val="21"/>
        </w:rPr>
        <w:t>建立城市体检和城市更新一体化推进机制</w:t>
      </w:r>
      <w:r>
        <w:rPr>
          <w:rFonts w:ascii="Arial" w:hAnsi="Arial" w:hint="eastAsia"/>
          <w:color w:val="000000"/>
          <w:sz w:val="21"/>
        </w:rPr>
        <w:t>、</w:t>
      </w:r>
      <w:r>
        <w:rPr>
          <w:rFonts w:ascii="Arial" w:hAnsi="Arial"/>
          <w:color w:val="000000"/>
          <w:sz w:val="21"/>
        </w:rPr>
        <w:t>建立可持续的城市更新模式和政策法规</w:t>
      </w:r>
      <w:r>
        <w:rPr>
          <w:rFonts w:ascii="Arial" w:hAnsi="Arial" w:hint="eastAsia"/>
          <w:color w:val="000000"/>
          <w:sz w:val="21"/>
        </w:rPr>
        <w:t>、</w:t>
      </w:r>
      <w:r>
        <w:rPr>
          <w:rFonts w:ascii="Arial" w:hAnsi="Arial"/>
          <w:color w:val="000000"/>
          <w:sz w:val="21"/>
        </w:rPr>
        <w:t>谋划实施一批城市更新改造项目</w:t>
      </w:r>
      <w:r>
        <w:rPr>
          <w:rFonts w:ascii="Arial" w:hAnsi="Arial" w:hint="eastAsia"/>
          <w:color w:val="000000"/>
          <w:sz w:val="21"/>
        </w:rPr>
        <w:t>、</w:t>
      </w:r>
      <w:r>
        <w:rPr>
          <w:rFonts w:ascii="Arial" w:hAnsi="Arial"/>
          <w:color w:val="000000"/>
          <w:sz w:val="21"/>
        </w:rPr>
        <w:t>构建城市管理新模式</w:t>
      </w:r>
      <w:r>
        <w:rPr>
          <w:rFonts w:ascii="Arial" w:hAnsi="Arial" w:hint="eastAsia"/>
          <w:color w:val="000000"/>
          <w:sz w:val="21"/>
        </w:rPr>
        <w:t>和</w:t>
      </w:r>
      <w:r>
        <w:rPr>
          <w:rFonts w:ascii="Arial" w:hAnsi="Arial"/>
          <w:color w:val="000000"/>
          <w:sz w:val="21"/>
        </w:rPr>
        <w:t>以</w:t>
      </w:r>
      <w:r>
        <w:rPr>
          <w:rFonts w:ascii="Arial" w:hAnsi="Arial"/>
          <w:color w:val="000000"/>
          <w:sz w:val="21"/>
        </w:rPr>
        <w:t>“</w:t>
      </w:r>
      <w:r>
        <w:rPr>
          <w:rFonts w:ascii="Arial" w:hAnsi="Arial"/>
          <w:color w:val="000000"/>
          <w:sz w:val="21"/>
        </w:rPr>
        <w:t>新城建</w:t>
      </w:r>
      <w:r>
        <w:rPr>
          <w:rFonts w:ascii="Arial" w:hAnsi="Arial"/>
          <w:color w:val="000000"/>
          <w:sz w:val="21"/>
        </w:rPr>
        <w:t>”</w:t>
      </w:r>
      <w:r>
        <w:rPr>
          <w:rFonts w:ascii="Arial" w:hAnsi="Arial"/>
          <w:color w:val="000000"/>
          <w:sz w:val="21"/>
        </w:rPr>
        <w:t>为引擎打造高水平</w:t>
      </w:r>
      <w:r>
        <w:rPr>
          <w:rFonts w:ascii="Arial" w:hAnsi="Arial"/>
          <w:color w:val="000000"/>
          <w:sz w:val="21"/>
        </w:rPr>
        <w:t>“</w:t>
      </w:r>
      <w:r>
        <w:rPr>
          <w:rFonts w:ascii="Arial" w:hAnsi="Arial"/>
          <w:color w:val="000000"/>
          <w:sz w:val="21"/>
        </w:rPr>
        <w:t>数字住建</w:t>
      </w:r>
      <w:r>
        <w:rPr>
          <w:rFonts w:ascii="Arial" w:hAnsi="Arial"/>
          <w:color w:val="000000"/>
          <w:sz w:val="21"/>
        </w:rPr>
        <w:t>”</w:t>
      </w:r>
      <w:r>
        <w:rPr>
          <w:rFonts w:ascii="Arial" w:hAnsi="Arial" w:hint="eastAsia"/>
          <w:color w:val="000000"/>
          <w:sz w:val="21"/>
        </w:rPr>
        <w:t>五个方面，</w:t>
      </w:r>
      <w:r>
        <w:rPr>
          <w:rFonts w:ascii="Arial" w:hAnsi="Arial"/>
          <w:color w:val="000000"/>
          <w:sz w:val="21"/>
        </w:rPr>
        <w:t>大力实施城市更新</w:t>
      </w:r>
      <w:r>
        <w:rPr>
          <w:rFonts w:ascii="Arial" w:hAnsi="Arial" w:hint="eastAsia"/>
          <w:color w:val="000000"/>
          <w:sz w:val="21"/>
        </w:rPr>
        <w:t>。四、从</w:t>
      </w:r>
      <w:r>
        <w:rPr>
          <w:rFonts w:ascii="Arial" w:hAnsi="Arial"/>
          <w:color w:val="000000"/>
          <w:sz w:val="21"/>
        </w:rPr>
        <w:t>全面深化建筑业改革</w:t>
      </w:r>
      <w:r>
        <w:rPr>
          <w:rFonts w:ascii="Arial" w:hAnsi="Arial" w:hint="eastAsia"/>
          <w:color w:val="000000"/>
          <w:sz w:val="21"/>
        </w:rPr>
        <w:t>、</w:t>
      </w:r>
      <w:r>
        <w:rPr>
          <w:rFonts w:ascii="Arial" w:hAnsi="Arial"/>
          <w:color w:val="000000"/>
          <w:sz w:val="21"/>
        </w:rPr>
        <w:t>以更高质量的制度供给激发活力</w:t>
      </w:r>
      <w:r>
        <w:rPr>
          <w:rFonts w:ascii="Arial" w:hAnsi="Arial" w:hint="eastAsia"/>
          <w:color w:val="000000"/>
          <w:sz w:val="21"/>
        </w:rPr>
        <w:t>、</w:t>
      </w:r>
      <w:r>
        <w:rPr>
          <w:rFonts w:ascii="Arial" w:hAnsi="Arial"/>
          <w:color w:val="000000"/>
          <w:sz w:val="21"/>
        </w:rPr>
        <w:t>整体提升工程建设标准</w:t>
      </w:r>
      <w:r>
        <w:rPr>
          <w:rFonts w:ascii="Arial" w:hAnsi="Arial" w:hint="eastAsia"/>
          <w:color w:val="000000"/>
          <w:sz w:val="21"/>
        </w:rPr>
        <w:t>、</w:t>
      </w:r>
      <w:r>
        <w:rPr>
          <w:rFonts w:ascii="Arial" w:hAnsi="Arial"/>
          <w:color w:val="000000"/>
          <w:sz w:val="21"/>
        </w:rPr>
        <w:t>支持打造形成现代化建筑产业链</w:t>
      </w:r>
      <w:r>
        <w:rPr>
          <w:rFonts w:ascii="Arial" w:hAnsi="Arial" w:hint="eastAsia"/>
          <w:color w:val="000000"/>
          <w:sz w:val="21"/>
        </w:rPr>
        <w:t>和</w:t>
      </w:r>
      <w:r>
        <w:rPr>
          <w:rFonts w:ascii="Arial" w:hAnsi="Arial"/>
          <w:color w:val="000000"/>
          <w:sz w:val="21"/>
        </w:rPr>
        <w:t>把绿色建筑培育发展成新的经济增长点</w:t>
      </w:r>
      <w:r>
        <w:rPr>
          <w:rFonts w:ascii="Arial" w:hAnsi="Arial" w:hint="eastAsia"/>
          <w:color w:val="000000"/>
          <w:sz w:val="21"/>
        </w:rPr>
        <w:t>五个方面，</w:t>
      </w:r>
      <w:r>
        <w:rPr>
          <w:rFonts w:ascii="Arial" w:hAnsi="Arial"/>
          <w:color w:val="000000"/>
          <w:sz w:val="21"/>
        </w:rPr>
        <w:t>打造</w:t>
      </w:r>
      <w:r>
        <w:rPr>
          <w:rFonts w:ascii="Arial" w:hAnsi="Arial"/>
          <w:color w:val="000000"/>
          <w:sz w:val="21"/>
        </w:rPr>
        <w:t>“</w:t>
      </w:r>
      <w:r>
        <w:rPr>
          <w:rFonts w:ascii="Arial" w:hAnsi="Arial"/>
          <w:color w:val="000000"/>
          <w:sz w:val="21"/>
        </w:rPr>
        <w:t>中国建造</w:t>
      </w:r>
      <w:r>
        <w:rPr>
          <w:rFonts w:ascii="Arial" w:hAnsi="Arial"/>
          <w:color w:val="000000"/>
          <w:sz w:val="21"/>
        </w:rPr>
        <w:t>”</w:t>
      </w:r>
      <w:r>
        <w:rPr>
          <w:rFonts w:ascii="Arial" w:hAnsi="Arial"/>
          <w:color w:val="000000"/>
          <w:sz w:val="21"/>
        </w:rPr>
        <w:t>升级版</w:t>
      </w:r>
      <w:r>
        <w:rPr>
          <w:rFonts w:ascii="Arial" w:hAnsi="Arial" w:hint="eastAsia"/>
          <w:color w:val="000000"/>
          <w:sz w:val="21"/>
        </w:rPr>
        <w:t>。五、从</w:t>
      </w:r>
      <w:r>
        <w:rPr>
          <w:rFonts w:ascii="Arial" w:hAnsi="Arial"/>
          <w:color w:val="000000"/>
          <w:sz w:val="21"/>
        </w:rPr>
        <w:t>提高住宅建设标准</w:t>
      </w:r>
      <w:r>
        <w:rPr>
          <w:rFonts w:ascii="Arial" w:hAnsi="Arial" w:hint="eastAsia"/>
          <w:color w:val="000000"/>
          <w:sz w:val="21"/>
        </w:rPr>
        <w:t>、</w:t>
      </w:r>
      <w:r>
        <w:rPr>
          <w:rFonts w:ascii="Arial" w:hAnsi="Arial"/>
          <w:color w:val="000000"/>
          <w:sz w:val="21"/>
        </w:rPr>
        <w:t>构建支持住房品质提升的制度体系</w:t>
      </w:r>
      <w:r>
        <w:rPr>
          <w:rFonts w:ascii="Arial" w:hAnsi="Arial" w:hint="eastAsia"/>
          <w:color w:val="000000"/>
          <w:sz w:val="21"/>
        </w:rPr>
        <w:t>、</w:t>
      </w:r>
      <w:r>
        <w:rPr>
          <w:rFonts w:ascii="Arial" w:hAnsi="Arial"/>
          <w:color w:val="000000"/>
          <w:sz w:val="21"/>
        </w:rPr>
        <w:t>支持房企打造好房子样板</w:t>
      </w:r>
      <w:r>
        <w:rPr>
          <w:rFonts w:ascii="Arial" w:hAnsi="Arial" w:hint="eastAsia"/>
          <w:color w:val="000000"/>
          <w:sz w:val="21"/>
        </w:rPr>
        <w:t>、</w:t>
      </w:r>
      <w:r>
        <w:rPr>
          <w:rFonts w:ascii="Arial" w:hAnsi="Arial"/>
          <w:color w:val="000000"/>
          <w:sz w:val="21"/>
        </w:rPr>
        <w:t>推进老旧住宅更新改造</w:t>
      </w:r>
      <w:r>
        <w:rPr>
          <w:rFonts w:ascii="Arial" w:hAnsi="Arial" w:hint="eastAsia"/>
          <w:color w:val="000000"/>
          <w:sz w:val="21"/>
        </w:rPr>
        <w:t>和</w:t>
      </w:r>
      <w:r>
        <w:rPr>
          <w:rFonts w:ascii="Arial" w:hAnsi="Arial"/>
          <w:color w:val="000000"/>
          <w:sz w:val="21"/>
        </w:rPr>
        <w:t>大力实施物业服务质量提升行动</w:t>
      </w:r>
      <w:r>
        <w:rPr>
          <w:rFonts w:ascii="Arial" w:hAnsi="Arial" w:hint="eastAsia"/>
          <w:color w:val="000000"/>
          <w:sz w:val="21"/>
        </w:rPr>
        <w:t>五个方面，</w:t>
      </w:r>
      <w:r>
        <w:rPr>
          <w:rFonts w:ascii="Arial" w:hAnsi="Arial"/>
          <w:color w:val="000000"/>
          <w:sz w:val="21"/>
        </w:rPr>
        <w:t>建设安全、舒适、绿色、智慧的好房子</w:t>
      </w:r>
      <w:r>
        <w:rPr>
          <w:rFonts w:ascii="Arial" w:hAnsi="Arial" w:hint="eastAsia"/>
          <w:color w:val="000000"/>
          <w:sz w:val="21"/>
        </w:rPr>
        <w:t>。</w:t>
      </w:r>
    </w:p>
    <w:p w14:paraId="19CC6C7E" w14:textId="77777777" w:rsidR="00000000" w:rsidRDefault="00000000">
      <w:pPr>
        <w:overflowPunct w:val="0"/>
        <w:spacing w:line="480" w:lineRule="auto"/>
        <w:ind w:firstLine="420"/>
        <w:jc w:val="both"/>
        <w:textAlignment w:val="auto"/>
        <w:rPr>
          <w:rFonts w:ascii="Arial" w:hAnsi="Arial"/>
          <w:color w:val="000000"/>
          <w:sz w:val="21"/>
        </w:rPr>
      </w:pPr>
      <w:r>
        <w:rPr>
          <w:rFonts w:ascii="Arial" w:hAnsi="Arial"/>
          <w:color w:val="000000"/>
          <w:sz w:val="21"/>
        </w:rPr>
        <w:t>202</w:t>
      </w:r>
      <w:r>
        <w:rPr>
          <w:rFonts w:ascii="Arial" w:hAnsi="Arial" w:hint="eastAsia"/>
          <w:color w:val="000000"/>
          <w:sz w:val="21"/>
        </w:rPr>
        <w:t>5</w:t>
      </w:r>
      <w:r>
        <w:rPr>
          <w:rFonts w:ascii="Arial" w:hAnsi="Arial"/>
          <w:color w:val="000000"/>
          <w:sz w:val="21"/>
        </w:rPr>
        <w:t>年</w:t>
      </w:r>
      <w:r>
        <w:rPr>
          <w:rFonts w:ascii="Arial" w:hAnsi="Arial"/>
          <w:color w:val="000000"/>
          <w:sz w:val="21"/>
        </w:rPr>
        <w:t>3</w:t>
      </w:r>
      <w:r>
        <w:rPr>
          <w:rFonts w:ascii="Arial" w:hAnsi="Arial"/>
          <w:color w:val="000000"/>
          <w:sz w:val="21"/>
        </w:rPr>
        <w:t>月</w:t>
      </w:r>
      <w:r>
        <w:rPr>
          <w:rFonts w:ascii="Arial" w:hAnsi="Arial" w:hint="eastAsia"/>
          <w:color w:val="000000"/>
          <w:sz w:val="21"/>
        </w:rPr>
        <w:t>5</w:t>
      </w:r>
      <w:r>
        <w:rPr>
          <w:rFonts w:ascii="Arial" w:hAnsi="Arial"/>
          <w:color w:val="000000"/>
          <w:sz w:val="21"/>
        </w:rPr>
        <w:t>日全国两会召开。关于房地产的定调，政府工作报告延续了去年底中央经济工作会议基调，</w:t>
      </w:r>
      <w:r>
        <w:rPr>
          <w:rFonts w:ascii="Arial" w:hAnsi="Arial" w:hint="eastAsia"/>
          <w:color w:val="000000"/>
          <w:sz w:val="21"/>
        </w:rPr>
        <w:t>在</w:t>
      </w:r>
      <w:r>
        <w:rPr>
          <w:rFonts w:ascii="Arial" w:hAnsi="Arial" w:hint="eastAsia"/>
          <w:color w:val="000000"/>
          <w:sz w:val="21"/>
        </w:rPr>
        <w:t>2025</w:t>
      </w:r>
      <w:r>
        <w:rPr>
          <w:rFonts w:ascii="Arial" w:hAnsi="Arial" w:hint="eastAsia"/>
          <w:color w:val="000000"/>
          <w:sz w:val="21"/>
        </w:rPr>
        <w:t>年政府工作任务“有效防范化解重点领域风险</w:t>
      </w:r>
      <w:r>
        <w:rPr>
          <w:rFonts w:ascii="Arial" w:hAnsi="Arial" w:hint="eastAsia"/>
          <w:color w:val="000000"/>
          <w:sz w:val="21"/>
        </w:rPr>
        <w:t>,</w:t>
      </w:r>
      <w:r>
        <w:rPr>
          <w:rFonts w:ascii="Arial" w:hAnsi="Arial" w:hint="eastAsia"/>
          <w:color w:val="000000"/>
          <w:sz w:val="21"/>
        </w:rPr>
        <w:t>牢牢守住不发生系统性风险底线”中确立了“持续用力推动房地产市场止跌回稳”的政策目标，并从需求不断加力、供给持续调整、风险防范化解和行业长远发展四个方面给出了大段论述。</w:t>
      </w:r>
    </w:p>
    <w:p w14:paraId="526AE76D" w14:textId="77777777" w:rsidR="00000000" w:rsidRDefault="00000000">
      <w:pPr>
        <w:overflowPunct w:val="0"/>
        <w:spacing w:line="480" w:lineRule="auto"/>
        <w:ind w:firstLine="420"/>
        <w:jc w:val="both"/>
        <w:textAlignment w:val="auto"/>
        <w:rPr>
          <w:rFonts w:ascii="Arial" w:hAnsi="Arial" w:hint="eastAsia"/>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4</w:t>
      </w:r>
      <w:r>
        <w:rPr>
          <w:rFonts w:ascii="Arial" w:hAnsi="Arial" w:hint="eastAsia"/>
          <w:color w:val="000000"/>
          <w:sz w:val="21"/>
        </w:rPr>
        <w:t>月</w:t>
      </w:r>
      <w:r>
        <w:rPr>
          <w:rFonts w:ascii="Arial" w:hAnsi="Arial" w:hint="eastAsia"/>
          <w:color w:val="000000"/>
          <w:sz w:val="21"/>
        </w:rPr>
        <w:t>3</w:t>
      </w:r>
      <w:r>
        <w:rPr>
          <w:rFonts w:ascii="Arial" w:hAnsi="Arial" w:hint="eastAsia"/>
          <w:color w:val="000000"/>
          <w:sz w:val="21"/>
        </w:rPr>
        <w:t>日，</w:t>
      </w:r>
      <w:r>
        <w:rPr>
          <w:rFonts w:ascii="Arial" w:hAnsi="Arial"/>
          <w:color w:val="000000"/>
          <w:sz w:val="21"/>
        </w:rPr>
        <w:t>财政部办公厅</w:t>
      </w:r>
      <w:r>
        <w:rPr>
          <w:rFonts w:ascii="Arial" w:hAnsi="Arial" w:hint="eastAsia"/>
          <w:color w:val="000000"/>
          <w:sz w:val="21"/>
        </w:rPr>
        <w:t>、</w:t>
      </w:r>
      <w:r>
        <w:rPr>
          <w:rFonts w:ascii="Arial" w:hAnsi="Arial"/>
          <w:color w:val="000000"/>
          <w:sz w:val="21"/>
        </w:rPr>
        <w:t>住房城乡建设部办公厅</w:t>
      </w:r>
      <w:r>
        <w:rPr>
          <w:rFonts w:ascii="Arial" w:hAnsi="Arial" w:hint="eastAsia"/>
          <w:color w:val="000000"/>
          <w:sz w:val="21"/>
        </w:rPr>
        <w:t>联合发布</w:t>
      </w:r>
      <w:r>
        <w:rPr>
          <w:rFonts w:ascii="Arial" w:hAnsi="Arial"/>
          <w:color w:val="000000"/>
          <w:sz w:val="21"/>
        </w:rPr>
        <w:t>《关于开展</w:t>
      </w:r>
      <w:r>
        <w:rPr>
          <w:rFonts w:ascii="Arial" w:hAnsi="Arial"/>
          <w:color w:val="000000"/>
          <w:sz w:val="21"/>
        </w:rPr>
        <w:t>2025</w:t>
      </w:r>
      <w:r>
        <w:rPr>
          <w:rFonts w:ascii="Arial" w:hAnsi="Arial"/>
          <w:color w:val="000000"/>
          <w:sz w:val="21"/>
        </w:rPr>
        <w:t>年度中央财政支持实施城市更新行动的通知》</w:t>
      </w:r>
      <w:r>
        <w:rPr>
          <w:rFonts w:ascii="Arial" w:hAnsi="Arial" w:hint="eastAsia"/>
          <w:color w:val="000000"/>
          <w:sz w:val="21"/>
        </w:rPr>
        <w:t>。《通知》提出</w:t>
      </w:r>
      <w:r>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w:t>
      </w:r>
      <w:r>
        <w:rPr>
          <w:rFonts w:ascii="Arial" w:hAnsi="Arial"/>
          <w:color w:val="000000"/>
          <w:sz w:val="21"/>
        </w:rPr>
        <w:t>2</w:t>
      </w:r>
      <w:r>
        <w:rPr>
          <w:rFonts w:ascii="Arial" w:hAnsi="Arial"/>
          <w:color w:val="000000"/>
          <w:sz w:val="21"/>
        </w:rPr>
        <w:t>个方向</w:t>
      </w:r>
      <w:r>
        <w:rPr>
          <w:rFonts w:ascii="Arial" w:hAnsi="Arial" w:hint="eastAsia"/>
          <w:color w:val="000000"/>
          <w:sz w:val="21"/>
        </w:rPr>
        <w:t>。</w:t>
      </w:r>
    </w:p>
    <w:p w14:paraId="6A3D2FA4" w14:textId="77777777" w:rsidR="00000000"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4</w:t>
      </w:r>
      <w:r>
        <w:rPr>
          <w:rFonts w:ascii="Arial" w:hAnsi="Arial" w:hint="eastAsia"/>
          <w:color w:val="000000"/>
          <w:sz w:val="21"/>
        </w:rPr>
        <w:t>月</w:t>
      </w:r>
      <w:r>
        <w:rPr>
          <w:rFonts w:ascii="Arial" w:hAnsi="Arial" w:hint="eastAsia"/>
          <w:color w:val="000000"/>
          <w:sz w:val="21"/>
        </w:rPr>
        <w:t>25</w:t>
      </w:r>
      <w:r>
        <w:rPr>
          <w:rFonts w:ascii="Arial" w:hAnsi="Arial" w:hint="eastAsia"/>
          <w:color w:val="000000"/>
          <w:sz w:val="21"/>
        </w:rPr>
        <w:t>日</w:t>
      </w:r>
      <w:r>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适时降准降息，保持流动性充裕。会议指出，要持续用力防范化解重点领域风险；继续实施地方政府一揽子化债政策；加力实施城市更新行动，有力有序推进城中村和危旧房改造；加快构建房地产发展新</w:t>
      </w:r>
      <w:r>
        <w:rPr>
          <w:rFonts w:ascii="Arial" w:hAnsi="Arial"/>
          <w:color w:val="000000"/>
          <w:sz w:val="21"/>
        </w:rPr>
        <w:t xml:space="preserve"> </w:t>
      </w:r>
      <w:r>
        <w:rPr>
          <w:rFonts w:ascii="Arial" w:hAnsi="Arial"/>
          <w:color w:val="000000"/>
          <w:sz w:val="21"/>
        </w:rPr>
        <w:t>模式，加大高品质住房供给，优化存量商品房收购政策，持续巩固房地产市场稳定态势。</w:t>
      </w:r>
    </w:p>
    <w:p w14:paraId="485987C3" w14:textId="77777777" w:rsidR="00000000"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5</w:t>
      </w:r>
      <w:r>
        <w:rPr>
          <w:rFonts w:ascii="Arial" w:hAnsi="Arial" w:hint="eastAsia"/>
          <w:color w:val="000000"/>
          <w:sz w:val="21"/>
        </w:rPr>
        <w:t>月</w:t>
      </w:r>
      <w:r>
        <w:rPr>
          <w:rFonts w:ascii="Arial" w:hAnsi="Arial" w:hint="eastAsia"/>
          <w:color w:val="000000"/>
          <w:sz w:val="21"/>
        </w:rPr>
        <w:t>15</w:t>
      </w:r>
      <w:r>
        <w:rPr>
          <w:rFonts w:ascii="Arial" w:hAnsi="Arial" w:hint="eastAsia"/>
          <w:color w:val="000000"/>
          <w:sz w:val="21"/>
        </w:rPr>
        <w:t>日，中共中央办公厅与国务院办公厅公开发布《关于持续推进城市更新行动的意</w:t>
      </w:r>
      <w:r>
        <w:rPr>
          <w:rFonts w:ascii="Arial" w:hAnsi="Arial" w:hint="eastAsia"/>
          <w:color w:val="000000"/>
          <w:sz w:val="21"/>
        </w:rPr>
        <w:lastRenderedPageBreak/>
        <w:t>见》。《意见》</w:t>
      </w:r>
      <w:r>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2DBA0DDF" w14:textId="77777777" w:rsidR="00000000"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6</w:t>
      </w:r>
      <w:r>
        <w:rPr>
          <w:rFonts w:ascii="Arial" w:hAnsi="Arial" w:hint="eastAsia"/>
          <w:color w:val="000000"/>
          <w:sz w:val="21"/>
        </w:rPr>
        <w:t>月</w:t>
      </w:r>
      <w:r>
        <w:rPr>
          <w:rFonts w:ascii="Arial" w:hAnsi="Arial" w:hint="eastAsia"/>
          <w:color w:val="000000"/>
          <w:sz w:val="21"/>
        </w:rPr>
        <w:t>13</w:t>
      </w:r>
      <w:r>
        <w:rPr>
          <w:rFonts w:ascii="Arial" w:hAnsi="Arial" w:hint="eastAsia"/>
          <w:color w:val="000000"/>
          <w:sz w:val="21"/>
        </w:rPr>
        <w:t>日</w:t>
      </w:r>
      <w:r>
        <w:rPr>
          <w:rFonts w:ascii="Arial" w:hAnsi="Arial"/>
          <w:color w:val="000000"/>
          <w:sz w:val="21"/>
        </w:rPr>
        <w:t>国务院常务会议召开，其中重点部署了房地产相关政策，核心目标是</w:t>
      </w:r>
      <w:r>
        <w:rPr>
          <w:rFonts w:ascii="Arial" w:hAnsi="Arial" w:hint="eastAsia"/>
          <w:color w:val="000000"/>
          <w:sz w:val="21"/>
        </w:rPr>
        <w:t>“</w:t>
      </w:r>
      <w:r>
        <w:rPr>
          <w:rFonts w:ascii="Arial" w:hAnsi="Arial"/>
          <w:color w:val="000000"/>
          <w:sz w:val="21"/>
        </w:rPr>
        <w:t>更大力度推动房地产市场止跌回稳</w:t>
      </w:r>
      <w:r>
        <w:rPr>
          <w:rFonts w:ascii="Arial" w:hAnsi="Arial" w:hint="eastAsia"/>
          <w:color w:val="000000"/>
          <w:sz w:val="21"/>
        </w:rPr>
        <w:t>”</w:t>
      </w:r>
      <w:r>
        <w:rPr>
          <w:rFonts w:ascii="Arial" w:hAnsi="Arial"/>
          <w:color w:val="000000"/>
          <w:sz w:val="21"/>
        </w:rPr>
        <w:t>，并围绕构建房地产发展新模式、推进</w:t>
      </w:r>
      <w:r>
        <w:rPr>
          <w:rFonts w:ascii="Arial" w:hAnsi="Arial" w:hint="eastAsia"/>
          <w:color w:val="000000"/>
          <w:sz w:val="21"/>
        </w:rPr>
        <w:t>“好房子”</w:t>
      </w:r>
      <w:r>
        <w:rPr>
          <w:rFonts w:ascii="Arial" w:hAnsi="Arial"/>
          <w:color w:val="000000"/>
          <w:sz w:val="21"/>
        </w:rPr>
        <w:t>建设、盘活存量资源等方面提出具体措施。</w:t>
      </w:r>
    </w:p>
    <w:p w14:paraId="55B2E92B" w14:textId="77777777" w:rsidR="00000000"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7</w:t>
      </w:r>
      <w:r>
        <w:rPr>
          <w:rFonts w:ascii="Arial" w:hAnsi="Arial" w:hint="eastAsia"/>
          <w:color w:val="000000"/>
          <w:sz w:val="21"/>
        </w:rPr>
        <w:t>月</w:t>
      </w:r>
      <w:r>
        <w:rPr>
          <w:rFonts w:ascii="Arial" w:hAnsi="Arial" w:hint="eastAsia"/>
          <w:color w:val="000000"/>
          <w:sz w:val="21"/>
        </w:rPr>
        <w:t>1</w:t>
      </w:r>
      <w:r>
        <w:rPr>
          <w:rFonts w:ascii="Arial" w:hAnsi="Arial"/>
          <w:color w:val="000000"/>
          <w:sz w:val="21"/>
        </w:rPr>
        <w:t>4</w:t>
      </w:r>
      <w:r>
        <w:rPr>
          <w:rFonts w:ascii="Arial" w:hAnsi="Arial"/>
          <w:color w:val="000000"/>
          <w:sz w:val="21"/>
        </w:rPr>
        <w:t>日至</w:t>
      </w:r>
      <w:r>
        <w:rPr>
          <w:rFonts w:ascii="Arial" w:hAnsi="Arial" w:hint="eastAsia"/>
          <w:color w:val="000000"/>
          <w:sz w:val="21"/>
        </w:rPr>
        <w:t>1</w:t>
      </w:r>
      <w:r>
        <w:rPr>
          <w:rFonts w:ascii="Arial" w:hAnsi="Arial"/>
          <w:color w:val="000000"/>
          <w:sz w:val="21"/>
        </w:rPr>
        <w:t>5</w:t>
      </w:r>
      <w:r>
        <w:rPr>
          <w:rFonts w:ascii="Arial" w:hAnsi="Arial"/>
          <w:color w:val="000000"/>
          <w:sz w:val="21"/>
        </w:rPr>
        <w:t>日</w:t>
      </w:r>
      <w:bookmarkStart w:id="54" w:name="OLE_LINK7"/>
      <w:r>
        <w:rPr>
          <w:rFonts w:ascii="Arial" w:hAnsi="Arial"/>
          <w:color w:val="000000"/>
          <w:sz w:val="21"/>
        </w:rPr>
        <w:t>中央城市工作会议</w:t>
      </w:r>
      <w:bookmarkEnd w:id="54"/>
      <w:r>
        <w:rPr>
          <w:rFonts w:ascii="Arial" w:hAnsi="Arial"/>
          <w:color w:val="000000"/>
          <w:sz w:val="21"/>
        </w:rPr>
        <w:t>在北京举行，部署城市工作</w:t>
      </w:r>
      <w:r>
        <w:rPr>
          <w:rFonts w:ascii="Arial" w:hAnsi="Arial"/>
          <w:color w:val="000000"/>
          <w:sz w:val="21"/>
        </w:rPr>
        <w:t>7</w:t>
      </w:r>
      <w:r>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Pr>
          <w:rFonts w:ascii="Arial" w:hAnsi="Arial" w:hint="eastAsia"/>
          <w:color w:val="000000"/>
          <w:sz w:val="21"/>
        </w:rPr>
        <w:t>。</w:t>
      </w:r>
    </w:p>
    <w:p w14:paraId="4BA80990" w14:textId="77777777" w:rsidR="00000000" w:rsidRDefault="00000000">
      <w:pPr>
        <w:overflowPunct w:val="0"/>
        <w:spacing w:line="480" w:lineRule="auto"/>
        <w:ind w:firstLine="420"/>
        <w:jc w:val="both"/>
        <w:textAlignment w:val="auto"/>
        <w:rPr>
          <w:rFonts w:ascii="Arial" w:hAnsi="Arial" w:hint="eastAsia"/>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7</w:t>
      </w:r>
      <w:r>
        <w:rPr>
          <w:rFonts w:ascii="Arial" w:hAnsi="Arial" w:hint="eastAsia"/>
          <w:color w:val="000000"/>
          <w:sz w:val="21"/>
        </w:rPr>
        <w:t>月</w:t>
      </w:r>
      <w:r>
        <w:rPr>
          <w:rFonts w:ascii="Arial" w:hAnsi="Arial" w:hint="eastAsia"/>
          <w:color w:val="000000"/>
          <w:sz w:val="21"/>
        </w:rPr>
        <w:t>16</w:t>
      </w:r>
      <w:r>
        <w:rPr>
          <w:rFonts w:ascii="Arial" w:hAnsi="Arial" w:hint="eastAsia"/>
          <w:color w:val="000000"/>
          <w:sz w:val="21"/>
        </w:rPr>
        <w:t>日，国务院公布《住房租赁条例》</w:t>
      </w:r>
      <w:r>
        <w:rPr>
          <w:rFonts w:ascii="Arial" w:hAnsi="Arial"/>
          <w:color w:val="000000"/>
          <w:sz w:val="21"/>
        </w:rPr>
        <w:t>。该条例旨在规范住房租赁活动，维护住房租赁活动当事人合法权益，稳定住房租赁关系，促进住房租赁市场高质量发展，推动加快建立租购并举的住房制度</w:t>
      </w:r>
      <w:r>
        <w:rPr>
          <w:rFonts w:ascii="Arial" w:hAnsi="Arial" w:hint="eastAsia"/>
          <w:color w:val="000000"/>
          <w:sz w:val="21"/>
        </w:rPr>
        <w:t>，《条例》</w:t>
      </w:r>
      <w:r>
        <w:rPr>
          <w:rFonts w:ascii="Arial" w:hAnsi="Arial"/>
          <w:color w:val="000000"/>
          <w:sz w:val="21"/>
        </w:rPr>
        <w:t>自</w:t>
      </w:r>
      <w:r>
        <w:rPr>
          <w:rFonts w:ascii="Arial" w:hAnsi="Arial"/>
          <w:color w:val="000000"/>
          <w:sz w:val="21"/>
        </w:rPr>
        <w:t>2025</w:t>
      </w:r>
      <w:r>
        <w:rPr>
          <w:rFonts w:ascii="Arial" w:hAnsi="Arial"/>
          <w:color w:val="000000"/>
          <w:sz w:val="21"/>
        </w:rPr>
        <w:t>年</w:t>
      </w:r>
      <w:r>
        <w:rPr>
          <w:rFonts w:ascii="Arial" w:hAnsi="Arial"/>
          <w:color w:val="000000"/>
          <w:sz w:val="21"/>
        </w:rPr>
        <w:t>9</w:t>
      </w:r>
      <w:r>
        <w:rPr>
          <w:rFonts w:ascii="Arial" w:hAnsi="Arial"/>
          <w:color w:val="000000"/>
          <w:sz w:val="21"/>
        </w:rPr>
        <w:t>月</w:t>
      </w:r>
      <w:r>
        <w:rPr>
          <w:rFonts w:ascii="Arial" w:hAnsi="Arial"/>
          <w:color w:val="000000"/>
          <w:sz w:val="21"/>
        </w:rPr>
        <w:t>15</w:t>
      </w:r>
      <w:r>
        <w:rPr>
          <w:rFonts w:ascii="Arial" w:hAnsi="Arial"/>
          <w:color w:val="000000"/>
          <w:sz w:val="21"/>
        </w:rPr>
        <w:t>日施行。</w:t>
      </w:r>
    </w:p>
    <w:p w14:paraId="0883A538" w14:textId="77777777" w:rsidR="00000000" w:rsidRDefault="00000000">
      <w:pPr>
        <w:overflowPunct w:val="0"/>
        <w:spacing w:line="480" w:lineRule="auto"/>
        <w:ind w:firstLine="420"/>
        <w:jc w:val="both"/>
        <w:textAlignment w:val="auto"/>
        <w:rPr>
          <w:rFonts w:ascii="Arial" w:hAnsi="Arial" w:hint="eastAsia"/>
          <w:b/>
          <w:color w:val="000000"/>
          <w:sz w:val="21"/>
        </w:rPr>
      </w:pPr>
      <w:r>
        <w:rPr>
          <w:rFonts w:ascii="Arial" w:hAnsi="Arial" w:hint="eastAsia"/>
          <w:b/>
          <w:color w:val="000000"/>
          <w:sz w:val="21"/>
        </w:rPr>
        <w:t>北京：</w:t>
      </w:r>
    </w:p>
    <w:p w14:paraId="3D6608E5" w14:textId="77777777" w:rsidR="00000000" w:rsidRDefault="00000000">
      <w:pPr>
        <w:overflowPunct w:val="0"/>
        <w:spacing w:line="480" w:lineRule="auto"/>
        <w:ind w:firstLine="420"/>
        <w:jc w:val="both"/>
        <w:textAlignment w:val="auto"/>
        <w:rPr>
          <w:rFonts w:ascii="Arial" w:hAnsi="Arial"/>
          <w:color w:val="000000"/>
          <w:sz w:val="21"/>
        </w:rPr>
      </w:pPr>
      <w:r>
        <w:rPr>
          <w:rFonts w:ascii="Arial" w:hAnsi="Arial"/>
          <w:color w:val="000000"/>
          <w:sz w:val="21"/>
        </w:rPr>
        <w:t>2024</w:t>
      </w:r>
      <w:r>
        <w:rPr>
          <w:rFonts w:ascii="Arial" w:hAnsi="Arial"/>
          <w:color w:val="000000"/>
          <w:sz w:val="21"/>
        </w:rPr>
        <w:t>年</w:t>
      </w:r>
      <w:r>
        <w:rPr>
          <w:rFonts w:ascii="Arial" w:hAnsi="Arial"/>
          <w:color w:val="000000"/>
          <w:sz w:val="21"/>
        </w:rPr>
        <w:t>9</w:t>
      </w:r>
      <w:r>
        <w:rPr>
          <w:rFonts w:ascii="Arial" w:hAnsi="Arial"/>
          <w:color w:val="000000"/>
          <w:sz w:val="21"/>
        </w:rPr>
        <w:t>月</w:t>
      </w:r>
      <w:r>
        <w:rPr>
          <w:rFonts w:ascii="Arial" w:hAnsi="Arial"/>
          <w:color w:val="000000"/>
          <w:sz w:val="21"/>
        </w:rPr>
        <w:t>30</w:t>
      </w:r>
      <w:r>
        <w:rPr>
          <w:rFonts w:ascii="Arial" w:hAnsi="Arial"/>
          <w:color w:val="000000"/>
          <w:sz w:val="21"/>
        </w:rPr>
        <w:t>日，北京市多部门联合发布《关于进一步优化调整本市房地产相关政策的通知》，自</w:t>
      </w:r>
      <w:r>
        <w:rPr>
          <w:rFonts w:ascii="Arial" w:hAnsi="Arial"/>
          <w:color w:val="000000"/>
          <w:sz w:val="21"/>
        </w:rPr>
        <w:t>10</w:t>
      </w:r>
      <w:r>
        <w:rPr>
          <w:rFonts w:ascii="Arial" w:hAnsi="Arial"/>
          <w:color w:val="000000"/>
          <w:sz w:val="21"/>
        </w:rPr>
        <w:t>月</w:t>
      </w:r>
      <w:r>
        <w:rPr>
          <w:rFonts w:ascii="Arial" w:hAnsi="Arial"/>
          <w:color w:val="000000"/>
          <w:sz w:val="21"/>
        </w:rPr>
        <w:t>1</w:t>
      </w:r>
      <w:r>
        <w:rPr>
          <w:rFonts w:ascii="Arial" w:hAnsi="Arial"/>
          <w:color w:val="000000"/>
          <w:sz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Pr>
          <w:rFonts w:ascii="Arial" w:hAnsi="Arial"/>
          <w:color w:val="000000"/>
          <w:sz w:val="21"/>
        </w:rPr>
        <w:t>“</w:t>
      </w:r>
      <w:r>
        <w:rPr>
          <w:rFonts w:ascii="Arial" w:hAnsi="Arial"/>
          <w:color w:val="000000"/>
          <w:sz w:val="21"/>
        </w:rPr>
        <w:t>止跌回稳</w:t>
      </w:r>
      <w:r>
        <w:rPr>
          <w:rFonts w:ascii="Arial" w:hAnsi="Arial"/>
          <w:color w:val="000000"/>
          <w:sz w:val="21"/>
        </w:rPr>
        <w:t>”</w:t>
      </w:r>
      <w:r>
        <w:rPr>
          <w:rFonts w:ascii="Arial" w:hAnsi="Arial"/>
          <w:color w:val="000000"/>
          <w:sz w:val="21"/>
        </w:rPr>
        <w:t>的工作导向，将对四季度楼市政策的消化和市场提振产生积极影响，并预示着更多鼓励性政策的出台</w:t>
      </w:r>
      <w:r>
        <w:rPr>
          <w:rFonts w:ascii="Arial" w:hAnsi="Arial" w:hint="eastAsia"/>
          <w:color w:val="000000"/>
          <w:sz w:val="21"/>
        </w:rPr>
        <w:t>。</w:t>
      </w:r>
    </w:p>
    <w:p w14:paraId="0E7011D6" w14:textId="77777777" w:rsidR="00000000" w:rsidRDefault="00000000">
      <w:pPr>
        <w:overflowPunct w:val="0"/>
        <w:spacing w:line="480" w:lineRule="auto"/>
        <w:ind w:firstLine="420"/>
        <w:jc w:val="both"/>
        <w:textAlignment w:val="auto"/>
        <w:rPr>
          <w:rFonts w:ascii="Arial" w:hAnsi="Arial"/>
          <w:color w:val="000000"/>
          <w:sz w:val="21"/>
        </w:rPr>
      </w:pPr>
      <w:r>
        <w:rPr>
          <w:rFonts w:ascii="Arial" w:hAnsi="Arial"/>
          <w:color w:val="000000"/>
          <w:sz w:val="21"/>
        </w:rPr>
        <w:t>2024</w:t>
      </w:r>
      <w:r>
        <w:rPr>
          <w:rFonts w:ascii="Arial" w:hAnsi="Arial"/>
          <w:color w:val="000000"/>
          <w:sz w:val="21"/>
        </w:rPr>
        <w:t>年</w:t>
      </w:r>
      <w:r>
        <w:rPr>
          <w:rFonts w:ascii="Arial" w:hAnsi="Arial"/>
          <w:color w:val="000000"/>
          <w:sz w:val="21"/>
        </w:rPr>
        <w:t>11</w:t>
      </w:r>
      <w:r>
        <w:rPr>
          <w:rFonts w:ascii="Arial" w:hAnsi="Arial"/>
          <w:color w:val="000000"/>
          <w:sz w:val="21"/>
        </w:rPr>
        <w:t>月</w:t>
      </w:r>
      <w:r>
        <w:rPr>
          <w:rFonts w:ascii="Arial" w:hAnsi="Arial"/>
          <w:color w:val="000000"/>
          <w:sz w:val="21"/>
        </w:rPr>
        <w:t>18</w:t>
      </w:r>
      <w:r>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Pr>
          <w:rFonts w:ascii="Arial" w:hAnsi="Arial"/>
          <w:color w:val="000000"/>
          <w:sz w:val="21"/>
        </w:rPr>
        <w:t>2</w:t>
      </w:r>
      <w:r>
        <w:rPr>
          <w:rFonts w:ascii="Arial" w:hAnsi="Arial"/>
          <w:color w:val="000000"/>
          <w:sz w:val="21"/>
        </w:rPr>
        <w:t>年及以上的住房将免征增值税，而持有不足</w:t>
      </w:r>
      <w:r>
        <w:rPr>
          <w:rFonts w:ascii="Arial" w:hAnsi="Arial"/>
          <w:color w:val="000000"/>
          <w:sz w:val="21"/>
        </w:rPr>
        <w:t>2</w:t>
      </w:r>
      <w:r>
        <w:rPr>
          <w:rFonts w:ascii="Arial" w:hAnsi="Arial"/>
          <w:color w:val="000000"/>
          <w:sz w:val="21"/>
        </w:rPr>
        <w:t>年的住房则需按</w:t>
      </w:r>
      <w:r>
        <w:rPr>
          <w:rFonts w:ascii="Arial" w:hAnsi="Arial"/>
          <w:color w:val="000000"/>
          <w:sz w:val="21"/>
        </w:rPr>
        <w:t>5%</w:t>
      </w:r>
      <w:r>
        <w:rPr>
          <w:rFonts w:ascii="Arial" w:hAnsi="Arial"/>
          <w:color w:val="000000"/>
          <w:sz w:val="21"/>
        </w:rPr>
        <w:t>的税率</w:t>
      </w:r>
      <w:r>
        <w:rPr>
          <w:rFonts w:ascii="Arial" w:hAnsi="Arial"/>
          <w:color w:val="000000"/>
          <w:sz w:val="21"/>
        </w:rPr>
        <w:lastRenderedPageBreak/>
        <w:t>缴纳增值税。在契税方面，北京市与全国统一，对个人购买家庭唯一住房，面积</w:t>
      </w:r>
      <w:r>
        <w:rPr>
          <w:rFonts w:ascii="Arial" w:hAnsi="Arial"/>
          <w:color w:val="000000"/>
          <w:sz w:val="21"/>
        </w:rPr>
        <w:t>140</w:t>
      </w:r>
      <w:r>
        <w:rPr>
          <w:rFonts w:ascii="Arial" w:hAnsi="Arial"/>
          <w:color w:val="000000"/>
          <w:sz w:val="21"/>
        </w:rPr>
        <w:t>平方米及以下的按</w:t>
      </w:r>
      <w:r>
        <w:rPr>
          <w:rFonts w:ascii="Arial" w:hAnsi="Arial"/>
          <w:color w:val="000000"/>
          <w:sz w:val="21"/>
        </w:rPr>
        <w:t>1%</w:t>
      </w:r>
      <w:r>
        <w:rPr>
          <w:rFonts w:ascii="Arial" w:hAnsi="Arial"/>
          <w:color w:val="000000"/>
          <w:sz w:val="21"/>
        </w:rPr>
        <w:t>税率征收契税，超过</w:t>
      </w:r>
      <w:r>
        <w:rPr>
          <w:rFonts w:ascii="Arial" w:hAnsi="Arial"/>
          <w:color w:val="000000"/>
          <w:sz w:val="21"/>
        </w:rPr>
        <w:t>140</w:t>
      </w:r>
      <w:r>
        <w:rPr>
          <w:rFonts w:ascii="Arial" w:hAnsi="Arial"/>
          <w:color w:val="000000"/>
          <w:sz w:val="21"/>
        </w:rPr>
        <w:t>平方米的按</w:t>
      </w:r>
      <w:r>
        <w:rPr>
          <w:rFonts w:ascii="Arial" w:hAnsi="Arial"/>
          <w:color w:val="000000"/>
          <w:sz w:val="21"/>
        </w:rPr>
        <w:t>1.5%</w:t>
      </w:r>
      <w:r>
        <w:rPr>
          <w:rFonts w:ascii="Arial" w:hAnsi="Arial"/>
          <w:color w:val="000000"/>
          <w:sz w:val="21"/>
        </w:rPr>
        <w:t>征收；对于家庭第二套住房，面积</w:t>
      </w:r>
      <w:r>
        <w:rPr>
          <w:rFonts w:ascii="Arial" w:hAnsi="Arial"/>
          <w:color w:val="000000"/>
          <w:sz w:val="21"/>
        </w:rPr>
        <w:t>140</w:t>
      </w:r>
      <w:r>
        <w:rPr>
          <w:rFonts w:ascii="Arial" w:hAnsi="Arial"/>
          <w:color w:val="000000"/>
          <w:sz w:val="21"/>
        </w:rPr>
        <w:t>平方米及以下的按</w:t>
      </w:r>
      <w:r>
        <w:rPr>
          <w:rFonts w:ascii="Arial" w:hAnsi="Arial"/>
          <w:color w:val="000000"/>
          <w:sz w:val="21"/>
        </w:rPr>
        <w:t>1%</w:t>
      </w:r>
      <w:r>
        <w:rPr>
          <w:rFonts w:ascii="Arial" w:hAnsi="Arial"/>
          <w:color w:val="000000"/>
          <w:sz w:val="21"/>
        </w:rPr>
        <w:t>征收，超过</w:t>
      </w:r>
      <w:r>
        <w:rPr>
          <w:rFonts w:ascii="Arial" w:hAnsi="Arial"/>
          <w:color w:val="000000"/>
          <w:sz w:val="21"/>
        </w:rPr>
        <w:t>140</w:t>
      </w:r>
      <w:r>
        <w:rPr>
          <w:rFonts w:ascii="Arial" w:hAnsi="Arial"/>
          <w:color w:val="000000"/>
          <w:sz w:val="21"/>
        </w:rPr>
        <w:t>平方米的按</w:t>
      </w:r>
      <w:r>
        <w:rPr>
          <w:rFonts w:ascii="Arial" w:hAnsi="Arial"/>
          <w:color w:val="000000"/>
          <w:sz w:val="21"/>
        </w:rPr>
        <w:t>2%</w:t>
      </w:r>
      <w:r>
        <w:rPr>
          <w:rFonts w:ascii="Arial" w:hAnsi="Arial"/>
          <w:color w:val="000000"/>
          <w:sz w:val="21"/>
        </w:rPr>
        <w:t>征收</w:t>
      </w:r>
      <w:r>
        <w:rPr>
          <w:rFonts w:ascii="Arial" w:hAnsi="Arial" w:hint="eastAsia"/>
          <w:color w:val="000000"/>
          <w:sz w:val="21"/>
        </w:rPr>
        <w:t>。</w:t>
      </w:r>
    </w:p>
    <w:p w14:paraId="7C68EDA5" w14:textId="77777777" w:rsidR="00000000"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2024</w:t>
      </w:r>
      <w:r>
        <w:rPr>
          <w:rFonts w:ascii="Arial" w:hAnsi="Arial" w:hint="eastAsia"/>
          <w:color w:val="000000"/>
          <w:sz w:val="21"/>
        </w:rPr>
        <w:t>年</w:t>
      </w:r>
      <w:r>
        <w:rPr>
          <w:rFonts w:ascii="Arial" w:hAnsi="Arial" w:hint="eastAsia"/>
          <w:color w:val="000000"/>
          <w:sz w:val="21"/>
        </w:rPr>
        <w:t>11</w:t>
      </w:r>
      <w:r>
        <w:rPr>
          <w:rFonts w:ascii="Arial" w:hAnsi="Arial" w:hint="eastAsia"/>
          <w:color w:val="000000"/>
          <w:sz w:val="21"/>
        </w:rPr>
        <w:t>月</w:t>
      </w:r>
      <w:r>
        <w:rPr>
          <w:rFonts w:ascii="Arial" w:hAnsi="Arial" w:hint="eastAsia"/>
          <w:color w:val="000000"/>
          <w:sz w:val="21"/>
        </w:rPr>
        <w:t>29</w:t>
      </w:r>
      <w:r>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Pr>
          <w:rFonts w:ascii="Arial" w:hAnsi="Arial" w:hint="eastAsia"/>
          <w:color w:val="000000"/>
          <w:sz w:val="21"/>
        </w:rPr>
        <w:t>,</w:t>
      </w:r>
      <w:r>
        <w:rPr>
          <w:rFonts w:ascii="Arial" w:hAnsi="Arial" w:hint="eastAsia"/>
          <w:color w:val="000000"/>
          <w:sz w:val="21"/>
        </w:rPr>
        <w:t>充分激发多元主体的更新意愿，推动城市更新项目落地实施。</w:t>
      </w:r>
    </w:p>
    <w:p w14:paraId="6071C7E7" w14:textId="77777777" w:rsidR="00000000"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2</w:t>
      </w:r>
      <w:r>
        <w:rPr>
          <w:rFonts w:ascii="Arial" w:hAnsi="Arial" w:hint="eastAsia"/>
          <w:color w:val="000000"/>
          <w:sz w:val="21"/>
        </w:rPr>
        <w:t>月</w:t>
      </w:r>
      <w:r>
        <w:rPr>
          <w:rFonts w:ascii="Arial" w:hAnsi="Arial" w:hint="eastAsia"/>
          <w:color w:val="000000"/>
          <w:sz w:val="21"/>
        </w:rPr>
        <w:t>12</w:t>
      </w:r>
      <w:r>
        <w:rPr>
          <w:rFonts w:ascii="Arial" w:hAnsi="Arial" w:hint="eastAsia"/>
          <w:color w:val="000000"/>
          <w:sz w:val="21"/>
        </w:rPr>
        <w:t>日，</w:t>
      </w:r>
      <w:r>
        <w:rPr>
          <w:rFonts w:ascii="Arial" w:hAnsi="Arial"/>
          <w:color w:val="000000"/>
          <w:sz w:val="21"/>
        </w:rPr>
        <w:t>北京市规划和自然资源委员会发布</w:t>
      </w:r>
      <w:r>
        <w:rPr>
          <w:rFonts w:ascii="Arial" w:hAnsi="Arial" w:hint="eastAsia"/>
          <w:color w:val="000000"/>
          <w:sz w:val="21"/>
        </w:rPr>
        <w:t>《关于印发〈北京市平原多点地区“好房子”规划管理相关技术要点（试行）〉的通知》，</w:t>
      </w:r>
      <w:r>
        <w:rPr>
          <w:rFonts w:ascii="Arial" w:hAnsi="Arial"/>
          <w:color w:val="000000"/>
          <w:sz w:val="21"/>
        </w:rPr>
        <w:t>旨在提升住房品质，满足多样化居住需求。主要内容包括：允许按需设置封闭或开敞阳台，面积不超过套内建筑面积的</w:t>
      </w:r>
      <w:r>
        <w:rPr>
          <w:rFonts w:ascii="Arial" w:hAnsi="Arial"/>
          <w:color w:val="000000"/>
          <w:sz w:val="21"/>
        </w:rPr>
        <w:t>10%</w:t>
      </w:r>
      <w:r>
        <w:rPr>
          <w:rFonts w:ascii="Arial" w:hAnsi="Arial"/>
          <w:color w:val="000000"/>
          <w:sz w:val="21"/>
        </w:rPr>
        <w:t>；鼓励在</w:t>
      </w:r>
      <w:r>
        <w:rPr>
          <w:rFonts w:ascii="Arial" w:hAnsi="Arial"/>
          <w:color w:val="000000"/>
          <w:sz w:val="21"/>
        </w:rPr>
        <w:t>140</w:t>
      </w:r>
      <w:r>
        <w:rPr>
          <w:rFonts w:ascii="Arial" w:hAnsi="Arial"/>
          <w:color w:val="000000"/>
          <w:sz w:val="21"/>
        </w:rPr>
        <w:t>平方米以上住宅设置挑空空间；合理利用底层架空空间作为公共活动区域；设置开敞式风雨连廊以方便居民活动；增配邻里共享公共空间，提供便民服务；允许跨城市支路空间利用以优化布局；建筑高度可局部上浮以形成错落天际线；鼓励使用高品质材料提升立面品质。这些措施适用于顺义、大兴、亦庄、昌平、房山等平原多点地区，城市副中心可参照执行</w:t>
      </w:r>
      <w:r>
        <w:rPr>
          <w:rFonts w:ascii="Arial" w:hAnsi="Arial" w:hint="eastAsia"/>
          <w:color w:val="000000"/>
          <w:sz w:val="21"/>
        </w:rPr>
        <w:t>。</w:t>
      </w:r>
    </w:p>
    <w:p w14:paraId="080ED797" w14:textId="77777777" w:rsidR="00000000"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color w:val="000000"/>
          <w:sz w:val="21"/>
        </w:rPr>
        <w:t>5</w:t>
      </w:r>
      <w:r>
        <w:rPr>
          <w:rFonts w:ascii="Arial" w:hAnsi="Arial"/>
          <w:color w:val="000000"/>
          <w:sz w:val="21"/>
        </w:rPr>
        <w:t>月</w:t>
      </w:r>
      <w:r>
        <w:rPr>
          <w:rFonts w:ascii="Arial" w:hAnsi="Arial"/>
          <w:color w:val="000000"/>
          <w:sz w:val="21"/>
        </w:rPr>
        <w:t>9</w:t>
      </w:r>
      <w:r>
        <w:rPr>
          <w:rFonts w:ascii="Arial" w:hAnsi="Arial"/>
          <w:color w:val="000000"/>
          <w:sz w:val="21"/>
        </w:rPr>
        <w:t>日，北京市住房和城乡建设委员会</w:t>
      </w:r>
      <w:r>
        <w:rPr>
          <w:rFonts w:ascii="Arial" w:hAnsi="Arial" w:hint="eastAsia"/>
          <w:color w:val="000000"/>
          <w:sz w:val="21"/>
        </w:rPr>
        <w:t>发布</w:t>
      </w:r>
      <w:r>
        <w:rPr>
          <w:rFonts w:ascii="Arial" w:hAnsi="Arial"/>
          <w:color w:val="000000"/>
          <w:sz w:val="21"/>
        </w:rPr>
        <w:t>《关于印发</w:t>
      </w:r>
      <w:r>
        <w:rPr>
          <w:rFonts w:ascii="Arial" w:hAnsi="Arial" w:hint="eastAsia"/>
          <w:color w:val="000000"/>
          <w:sz w:val="21"/>
        </w:rPr>
        <w:t>〈</w:t>
      </w:r>
      <w:r>
        <w:rPr>
          <w:rFonts w:ascii="Arial" w:hAnsi="Arial"/>
          <w:color w:val="000000"/>
          <w:sz w:val="21"/>
        </w:rPr>
        <w:t>2025</w:t>
      </w:r>
      <w:r>
        <w:rPr>
          <w:rFonts w:ascii="Arial" w:hAnsi="Arial"/>
          <w:color w:val="000000"/>
          <w:sz w:val="21"/>
        </w:rPr>
        <w:t>年北京市住房发展年度计划</w:t>
      </w:r>
      <w:r>
        <w:rPr>
          <w:rFonts w:ascii="Arial" w:hAnsi="Arial" w:hint="eastAsia"/>
          <w:color w:val="000000"/>
          <w:sz w:val="21"/>
        </w:rPr>
        <w:t>〉</w:t>
      </w:r>
      <w:r>
        <w:rPr>
          <w:rFonts w:ascii="Arial" w:hAnsi="Arial"/>
          <w:color w:val="000000"/>
          <w:sz w:val="21"/>
        </w:rPr>
        <w:t>的通知》</w:t>
      </w:r>
      <w:r>
        <w:rPr>
          <w:rFonts w:ascii="Arial" w:hAnsi="Arial" w:hint="eastAsia"/>
          <w:color w:val="000000"/>
          <w:sz w:val="21"/>
        </w:rPr>
        <w:t>。《通知》</w:t>
      </w:r>
      <w:r>
        <w:rPr>
          <w:rFonts w:ascii="Arial" w:hAnsi="Arial"/>
          <w:color w:val="000000"/>
          <w:sz w:val="21"/>
        </w:rPr>
        <w:t>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3C717A32" w14:textId="77777777" w:rsidR="00000000"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7</w:t>
      </w:r>
      <w:r>
        <w:rPr>
          <w:rFonts w:ascii="Arial" w:hAnsi="Arial" w:hint="eastAsia"/>
          <w:color w:val="000000"/>
          <w:sz w:val="21"/>
        </w:rPr>
        <w:t>月</w:t>
      </w:r>
      <w:r>
        <w:rPr>
          <w:rFonts w:ascii="Arial" w:hAnsi="Arial" w:hint="eastAsia"/>
          <w:color w:val="000000"/>
          <w:sz w:val="21"/>
        </w:rPr>
        <w:t>10</w:t>
      </w:r>
      <w:r>
        <w:rPr>
          <w:rFonts w:ascii="Arial" w:hAnsi="Arial" w:hint="eastAsia"/>
          <w:color w:val="000000"/>
          <w:sz w:val="21"/>
        </w:rPr>
        <w:t>日，北京市人民政府发布</w:t>
      </w:r>
      <w:r>
        <w:rPr>
          <w:rFonts w:ascii="Arial" w:hAnsi="Arial"/>
          <w:color w:val="000000"/>
          <w:sz w:val="21"/>
        </w:rPr>
        <w:t>《关于印发</w:t>
      </w:r>
      <w:r>
        <w:rPr>
          <w:rFonts w:ascii="Arial" w:hAnsi="Arial" w:hint="eastAsia"/>
          <w:color w:val="000000"/>
          <w:sz w:val="21"/>
        </w:rPr>
        <w:t>〈北京市深化改革提振消费专项行动方案〉</w:t>
      </w:r>
      <w:r>
        <w:rPr>
          <w:rFonts w:ascii="Arial" w:hAnsi="Arial"/>
          <w:color w:val="000000"/>
          <w:sz w:val="21"/>
        </w:rPr>
        <w:t>的通知》，提出共计</w:t>
      </w:r>
      <w:r>
        <w:rPr>
          <w:rFonts w:ascii="Arial" w:hAnsi="Arial"/>
          <w:color w:val="000000"/>
          <w:sz w:val="21"/>
        </w:rPr>
        <w:t>24</w:t>
      </w:r>
      <w:r>
        <w:rPr>
          <w:rFonts w:ascii="Arial" w:hAnsi="Arial"/>
          <w:color w:val="000000"/>
          <w:sz w:val="21"/>
        </w:rPr>
        <w:t>项具体方案。其中，</w:t>
      </w:r>
      <w:r>
        <w:rPr>
          <w:rFonts w:ascii="Arial" w:hAnsi="Arial" w:hint="eastAsia"/>
          <w:color w:val="000000"/>
          <w:sz w:val="21"/>
        </w:rPr>
        <w:t>第</w:t>
      </w:r>
      <w:r>
        <w:rPr>
          <w:rFonts w:ascii="Arial" w:hAnsi="Arial" w:hint="eastAsia"/>
          <w:color w:val="000000"/>
          <w:sz w:val="21"/>
        </w:rPr>
        <w:t>14</w:t>
      </w:r>
      <w:r>
        <w:rPr>
          <w:rFonts w:ascii="Arial" w:hAnsi="Arial" w:hint="eastAsia"/>
          <w:color w:val="000000"/>
          <w:sz w:val="21"/>
        </w:rPr>
        <w:t>项“</w:t>
      </w:r>
      <w:r>
        <w:rPr>
          <w:rFonts w:ascii="Arial" w:hAnsi="Arial"/>
          <w:color w:val="000000"/>
          <w:sz w:val="21"/>
        </w:rPr>
        <w:t>优化住房消费新供给</w:t>
      </w:r>
      <w:r>
        <w:rPr>
          <w:rFonts w:ascii="Arial" w:hAnsi="Arial" w:hint="eastAsia"/>
          <w:color w:val="000000"/>
          <w:sz w:val="21"/>
        </w:rPr>
        <w:t>”</w:t>
      </w:r>
      <w:r>
        <w:rPr>
          <w:rFonts w:ascii="Arial" w:hAnsi="Arial"/>
          <w:color w:val="000000"/>
          <w:sz w:val="21"/>
        </w:rPr>
        <w:t>：优先向轨道交通站点和就业密集地区</w:t>
      </w:r>
      <w:r>
        <w:rPr>
          <w:rFonts w:ascii="Arial" w:hAnsi="Arial"/>
          <w:color w:val="000000"/>
          <w:sz w:val="21"/>
        </w:rPr>
        <w:t xml:space="preserve"> </w:t>
      </w:r>
      <w:r>
        <w:rPr>
          <w:rFonts w:ascii="Arial" w:hAnsi="Arial"/>
          <w:color w:val="000000"/>
          <w:sz w:val="21"/>
        </w:rPr>
        <w:t>供应住宅用地，完善</w:t>
      </w:r>
      <w:r>
        <w:rPr>
          <w:rFonts w:ascii="Arial" w:hAnsi="Arial" w:hint="eastAsia"/>
          <w:color w:val="000000"/>
          <w:sz w:val="21"/>
        </w:rPr>
        <w:t>“</w:t>
      </w:r>
      <w:r>
        <w:rPr>
          <w:rFonts w:ascii="Arial" w:hAnsi="Arial"/>
          <w:color w:val="000000"/>
          <w:sz w:val="21"/>
        </w:rPr>
        <w:t>保障</w:t>
      </w:r>
      <w:r>
        <w:rPr>
          <w:rFonts w:ascii="Arial" w:hAnsi="Arial"/>
          <w:color w:val="000000"/>
          <w:sz w:val="21"/>
        </w:rPr>
        <w:t>+</w:t>
      </w:r>
      <w:r>
        <w:rPr>
          <w:rFonts w:ascii="Arial" w:hAnsi="Arial"/>
          <w:color w:val="000000"/>
          <w:sz w:val="21"/>
        </w:rPr>
        <w:t>市场</w:t>
      </w:r>
      <w:r>
        <w:rPr>
          <w:rFonts w:ascii="Arial" w:hAnsi="Arial" w:hint="eastAsia"/>
          <w:color w:val="000000"/>
          <w:sz w:val="21"/>
        </w:rPr>
        <w:t>”</w:t>
      </w:r>
      <w:r>
        <w:rPr>
          <w:rFonts w:ascii="Arial" w:hAnsi="Arial"/>
          <w:color w:val="000000"/>
          <w:sz w:val="21"/>
        </w:rPr>
        <w:t>住房供应体系。进一步发挥住房公积金促进作用，支持缴存人在提取公积</w:t>
      </w:r>
      <w:r>
        <w:rPr>
          <w:rFonts w:ascii="Arial" w:hAnsi="Arial"/>
          <w:color w:val="000000"/>
          <w:sz w:val="21"/>
        </w:rPr>
        <w:t xml:space="preserve"> </w:t>
      </w:r>
      <w:r>
        <w:rPr>
          <w:rFonts w:ascii="Arial" w:hAnsi="Arial"/>
          <w:color w:val="000000"/>
          <w:sz w:val="21"/>
        </w:rPr>
        <w:t>金支付购房首付款的同时申请住房公积金个人住房贷款。研究制定住房公积金个人住房贷款</w:t>
      </w:r>
      <w:r>
        <w:rPr>
          <w:rFonts w:ascii="Arial" w:hAnsi="Arial" w:hint="eastAsia"/>
          <w:color w:val="000000"/>
          <w:sz w:val="21"/>
        </w:rPr>
        <w:t>“</w:t>
      </w:r>
      <w:r>
        <w:rPr>
          <w:rFonts w:ascii="Arial" w:hAnsi="Arial"/>
          <w:color w:val="000000"/>
          <w:sz w:val="21"/>
        </w:rPr>
        <w:t>带押过户</w:t>
      </w:r>
      <w:r>
        <w:rPr>
          <w:rFonts w:ascii="Arial" w:hAnsi="Arial" w:hint="eastAsia"/>
          <w:color w:val="000000"/>
          <w:sz w:val="21"/>
        </w:rPr>
        <w:t>”</w:t>
      </w:r>
      <w:r>
        <w:rPr>
          <w:rFonts w:ascii="Arial" w:hAnsi="Arial"/>
          <w:color w:val="000000"/>
          <w:sz w:val="21"/>
        </w:rPr>
        <w:t>政策，并开展相关业务。</w:t>
      </w:r>
    </w:p>
    <w:p w14:paraId="6869AECC" w14:textId="77777777" w:rsidR="00000000" w:rsidRDefault="00000000">
      <w:pPr>
        <w:overflowPunct w:val="0"/>
        <w:spacing w:line="480" w:lineRule="auto"/>
        <w:ind w:firstLine="420"/>
        <w:jc w:val="both"/>
        <w:textAlignment w:val="auto"/>
        <w:rPr>
          <w:rFonts w:ascii="Arial" w:hAnsi="Arial" w:hint="eastAsia"/>
          <w:color w:val="000000"/>
          <w:sz w:val="21"/>
        </w:rPr>
      </w:pPr>
      <w:r>
        <w:rPr>
          <w:rFonts w:ascii="Arial" w:hAnsi="Arial" w:hint="eastAsia"/>
          <w:color w:val="000000"/>
          <w:sz w:val="21"/>
        </w:rPr>
        <w:lastRenderedPageBreak/>
        <w:t>2025</w:t>
      </w:r>
      <w:r>
        <w:rPr>
          <w:rFonts w:ascii="Arial" w:hAnsi="Arial" w:hint="eastAsia"/>
          <w:color w:val="000000"/>
          <w:sz w:val="21"/>
        </w:rPr>
        <w:t>年</w:t>
      </w:r>
      <w:r>
        <w:rPr>
          <w:rFonts w:ascii="Arial" w:hAnsi="Arial" w:hint="eastAsia"/>
          <w:color w:val="000000"/>
          <w:sz w:val="21"/>
        </w:rPr>
        <w:t>8</w:t>
      </w:r>
      <w:r>
        <w:rPr>
          <w:rFonts w:ascii="Arial" w:hAnsi="Arial" w:hint="eastAsia"/>
          <w:color w:val="000000"/>
          <w:sz w:val="21"/>
        </w:rPr>
        <w:t>月</w:t>
      </w:r>
      <w:r>
        <w:rPr>
          <w:rFonts w:ascii="Arial" w:hAnsi="Arial" w:hint="eastAsia"/>
          <w:color w:val="000000"/>
          <w:sz w:val="21"/>
        </w:rPr>
        <w:t>8</w:t>
      </w:r>
      <w:r>
        <w:rPr>
          <w:rFonts w:ascii="Arial" w:hAnsi="Arial" w:hint="eastAsia"/>
          <w:color w:val="000000"/>
          <w:sz w:val="21"/>
        </w:rPr>
        <w:t>日，</w:t>
      </w:r>
      <w:r>
        <w:rPr>
          <w:rFonts w:ascii="Arial" w:hAnsi="Arial"/>
          <w:color w:val="000000"/>
          <w:sz w:val="21"/>
        </w:rPr>
        <w:t>北京市住房和城乡建设委员会、</w:t>
      </w:r>
      <w:r>
        <w:rPr>
          <w:rFonts w:ascii="Arial" w:hAnsi="Arial" w:hint="eastAsia"/>
          <w:color w:val="000000"/>
          <w:sz w:val="21"/>
        </w:rPr>
        <w:t>北京住房公积金管理中心</w:t>
      </w:r>
      <w:r>
        <w:rPr>
          <w:rFonts w:ascii="Arial" w:hAnsi="Arial"/>
          <w:color w:val="000000"/>
          <w:sz w:val="21"/>
        </w:rPr>
        <w:t>联合发布</w:t>
      </w:r>
      <w:r>
        <w:rPr>
          <w:rFonts w:ascii="Arial" w:hAnsi="Arial" w:hint="eastAsia"/>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w:t>
      </w: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8</w:t>
      </w:r>
      <w:r>
        <w:rPr>
          <w:rFonts w:ascii="Arial" w:hAnsi="Arial" w:hint="eastAsia"/>
          <w:color w:val="000000"/>
          <w:sz w:val="21"/>
        </w:rPr>
        <w:t>月</w:t>
      </w:r>
      <w:r>
        <w:rPr>
          <w:rFonts w:ascii="Arial" w:hAnsi="Arial" w:hint="eastAsia"/>
          <w:color w:val="000000"/>
          <w:sz w:val="21"/>
        </w:rPr>
        <w:t>9</w:t>
      </w:r>
      <w:r>
        <w:rPr>
          <w:rFonts w:ascii="Arial" w:hAnsi="Arial" w:hint="eastAsia"/>
          <w:color w:val="000000"/>
          <w:sz w:val="21"/>
        </w:rPr>
        <w:t>日起正式施行。</w:t>
      </w:r>
    </w:p>
    <w:bookmarkEnd w:id="52"/>
    <w:bookmarkEnd w:id="53"/>
    <w:p w14:paraId="3963B1C2" w14:textId="77777777" w:rsidR="00000000"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5.</w:t>
      </w:r>
      <w:r>
        <w:rPr>
          <w:rFonts w:ascii="Arial" w:hAnsi="Arial" w:hint="eastAsia"/>
          <w:color w:val="000000"/>
          <w:sz w:val="21"/>
        </w:rPr>
        <w:t>未来市场预期</w:t>
      </w:r>
    </w:p>
    <w:p w14:paraId="40A73DA9" w14:textId="77777777" w:rsidR="00000000" w:rsidRDefault="00000000">
      <w:pPr>
        <w:overflowPunct w:val="0"/>
        <w:spacing w:line="480" w:lineRule="auto"/>
        <w:ind w:firstLine="420"/>
        <w:jc w:val="both"/>
        <w:textAlignment w:val="auto"/>
        <w:rPr>
          <w:rFonts w:ascii="Arial" w:hAnsi="Arial"/>
          <w:color w:val="000000"/>
          <w:sz w:val="21"/>
        </w:rPr>
      </w:pPr>
      <w:r>
        <w:rPr>
          <w:rFonts w:ascii="Arial" w:hAnsi="Arial"/>
          <w:color w:val="000000"/>
          <w:sz w:val="21"/>
        </w:rPr>
        <w:t>预计未来北京住宅市场将呈现</w:t>
      </w:r>
      <w:r>
        <w:rPr>
          <w:rFonts w:ascii="Arial" w:hAnsi="Arial" w:hint="eastAsia"/>
          <w:color w:val="000000"/>
          <w:sz w:val="21"/>
        </w:rPr>
        <w:t>“</w:t>
      </w:r>
      <w:r>
        <w:rPr>
          <w:rFonts w:ascii="Arial" w:hAnsi="Arial"/>
          <w:color w:val="000000"/>
          <w:sz w:val="21"/>
        </w:rPr>
        <w:t>政策持续优化、市场温和修复、结构分化加剧</w:t>
      </w:r>
      <w:r>
        <w:rPr>
          <w:rFonts w:ascii="Arial" w:hAnsi="Arial" w:hint="eastAsia"/>
          <w:color w:val="000000"/>
          <w:sz w:val="21"/>
        </w:rPr>
        <w:t>”</w:t>
      </w:r>
      <w:r>
        <w:rPr>
          <w:rFonts w:ascii="Arial" w:hAnsi="Arial"/>
          <w:color w:val="000000"/>
          <w:sz w:val="21"/>
        </w:rPr>
        <w:t>的总体趋势。政策层面，北京已实施五环外取消限购、优化公积金贷款等举措，未来限购政策仍有进一步放松空间，公积金支持力度有望继续加大（如推进</w:t>
      </w:r>
      <w:r>
        <w:rPr>
          <w:rFonts w:ascii="Arial" w:hAnsi="Arial"/>
          <w:color w:val="000000"/>
          <w:sz w:val="21"/>
        </w:rPr>
        <w:t>“</w:t>
      </w:r>
      <w:r>
        <w:rPr>
          <w:rFonts w:ascii="Arial" w:hAnsi="Arial"/>
          <w:color w:val="000000"/>
          <w:sz w:val="21"/>
        </w:rPr>
        <w:t>带押过户</w:t>
      </w:r>
      <w:r>
        <w:rPr>
          <w:rFonts w:ascii="Arial" w:hAnsi="Arial"/>
          <w:color w:val="000000"/>
          <w:sz w:val="21"/>
        </w:rPr>
        <w:t>”</w:t>
      </w:r>
      <w:r>
        <w:rPr>
          <w:rFonts w:ascii="Arial" w:hAnsi="Arial"/>
          <w:color w:val="000000"/>
          <w:sz w:val="21"/>
        </w:rPr>
        <w:t>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w:t>
      </w:r>
      <w:r>
        <w:rPr>
          <w:rFonts w:ascii="Arial" w:hAnsi="Arial" w:hint="eastAsia"/>
          <w:color w:val="000000"/>
          <w:sz w:val="21"/>
        </w:rPr>
        <w:t>“</w:t>
      </w:r>
      <w:r>
        <w:rPr>
          <w:rFonts w:ascii="Arial" w:hAnsi="Arial"/>
          <w:color w:val="000000"/>
          <w:sz w:val="21"/>
        </w:rPr>
        <w:t>好房子</w:t>
      </w:r>
      <w:r>
        <w:rPr>
          <w:rFonts w:ascii="Arial" w:hAnsi="Arial" w:hint="eastAsia"/>
          <w:color w:val="000000"/>
          <w:sz w:val="21"/>
        </w:rPr>
        <w:t>”</w:t>
      </w:r>
      <w:r>
        <w:rPr>
          <w:rFonts w:ascii="Arial" w:hAnsi="Arial"/>
          <w:color w:val="000000"/>
          <w:sz w:val="21"/>
        </w:rPr>
        <w:t>倾斜，中高面积段、中高总价产品占比提升，推动产品结构持续优化。整体来看，北京住宅市场正逐步进入</w:t>
      </w:r>
      <w:r>
        <w:rPr>
          <w:rFonts w:ascii="Arial" w:hAnsi="Arial" w:hint="eastAsia"/>
          <w:color w:val="000000"/>
          <w:sz w:val="21"/>
        </w:rPr>
        <w:t>“</w:t>
      </w:r>
      <w:r>
        <w:rPr>
          <w:rFonts w:ascii="Arial" w:hAnsi="Arial"/>
          <w:color w:val="000000"/>
          <w:sz w:val="21"/>
        </w:rPr>
        <w:t>量稳价稳、质升区异</w:t>
      </w:r>
      <w:r>
        <w:rPr>
          <w:rFonts w:ascii="Arial" w:hAnsi="Arial" w:hint="eastAsia"/>
          <w:color w:val="000000"/>
          <w:sz w:val="21"/>
        </w:rPr>
        <w:t>”</w:t>
      </w:r>
      <w:r>
        <w:rPr>
          <w:rFonts w:ascii="Arial" w:hAnsi="Arial"/>
          <w:color w:val="000000"/>
          <w:sz w:val="21"/>
        </w:rPr>
        <w:t>的新阶段</w:t>
      </w:r>
      <w:r>
        <w:rPr>
          <w:rFonts w:ascii="Arial" w:hAnsi="Arial" w:hint="eastAsia"/>
          <w:color w:val="000000"/>
          <w:sz w:val="21"/>
        </w:rPr>
        <w:t>。</w:t>
      </w:r>
    </w:p>
    <w:p w14:paraId="6AF56298" w14:textId="77777777" w:rsidR="00000000" w:rsidRDefault="00000000">
      <w:pPr>
        <w:spacing w:line="480" w:lineRule="auto"/>
        <w:jc w:val="both"/>
        <w:rPr>
          <w:rFonts w:ascii="Arial" w:hAnsi="Arial" w:cs="Arial"/>
          <w:b/>
          <w:bCs/>
          <w:color w:val="000000"/>
          <w:sz w:val="21"/>
          <w:szCs w:val="21"/>
        </w:rPr>
      </w:pPr>
      <w:r>
        <w:rPr>
          <w:rFonts w:ascii="Arial" w:hAnsi="Arial" w:cs="Arial"/>
          <w:b/>
          <w:bCs/>
          <w:color w:val="000000"/>
          <w:sz w:val="21"/>
          <w:szCs w:val="21"/>
        </w:rPr>
        <w:t>（</w:t>
      </w:r>
      <w:r>
        <w:rPr>
          <w:rFonts w:ascii="Arial" w:hAnsi="Arial" w:cs="Arial" w:hint="eastAsia"/>
          <w:b/>
          <w:bCs/>
          <w:color w:val="000000"/>
          <w:sz w:val="21"/>
          <w:szCs w:val="21"/>
        </w:rPr>
        <w:t>二</w:t>
      </w:r>
      <w:r>
        <w:rPr>
          <w:rFonts w:ascii="Arial" w:hAnsi="Arial" w:cs="Arial"/>
          <w:b/>
          <w:bCs/>
          <w:color w:val="000000"/>
          <w:sz w:val="21"/>
          <w:szCs w:val="21"/>
        </w:rPr>
        <w:t>）</w:t>
      </w:r>
      <w:r>
        <w:rPr>
          <w:rFonts w:ascii="Arial" w:hAnsi="Arial" w:cs="Arial" w:hint="eastAsia"/>
          <w:b/>
          <w:bCs/>
          <w:color w:val="000000"/>
          <w:sz w:val="21"/>
          <w:szCs w:val="21"/>
        </w:rPr>
        <w:t>估价对象周边公共租赁住房情况</w:t>
      </w:r>
    </w:p>
    <w:p w14:paraId="62D45821" w14:textId="77777777" w:rsidR="00000000" w:rsidRDefault="00000000">
      <w:pPr>
        <w:spacing w:line="480" w:lineRule="auto"/>
        <w:ind w:firstLineChars="200" w:firstLine="420"/>
        <w:jc w:val="both"/>
        <w:rPr>
          <w:rFonts w:ascii="Arial" w:hAnsi="Arial" w:hint="eastAsia"/>
          <w:sz w:val="21"/>
        </w:rPr>
      </w:pPr>
      <w:r>
        <w:rPr>
          <w:rFonts w:ascii="Arial" w:hAnsi="Arial" w:hint="eastAsia"/>
          <w:sz w:val="21"/>
        </w:rPr>
        <w:t>北京经济技术开发区又称“亦庄新城”，简称“北京经开区”，位于中国北京市大兴区与通州区辖区内，是北京市唯一一个国家级经济技术开发区，同时享受“国家级经济技术开发区”和“国家高新技术产业园区”双重优惠政策。亦庄新城的规划区域包括亦庄核心区（核心区、河西区、路东区、路南区），大兴区部分（旧宫镇、瀛海地区、青云店及长子营北部），通州区部分（光机电、台湖、马驹桥镇、金桥），以及飞地（青云店及采育工业园）。</w:t>
      </w:r>
    </w:p>
    <w:p w14:paraId="0745CE05" w14:textId="77777777" w:rsidR="00000000" w:rsidRDefault="00000000">
      <w:pPr>
        <w:spacing w:line="480" w:lineRule="auto"/>
        <w:ind w:firstLineChars="200" w:firstLine="420"/>
        <w:jc w:val="both"/>
        <w:rPr>
          <w:rFonts w:ascii="Arial" w:hAnsi="Arial" w:hint="eastAsia"/>
          <w:sz w:val="21"/>
        </w:rPr>
      </w:pPr>
      <w:r>
        <w:rPr>
          <w:rFonts w:ascii="Arial" w:hAnsi="Arial" w:hint="eastAsia"/>
          <w:sz w:val="21"/>
        </w:rPr>
        <w:t>根据《国务院办公厅关于保障性安居工程建设和管理的指导意见》</w:t>
      </w:r>
      <w:r>
        <w:rPr>
          <w:rFonts w:ascii="Arial" w:hAnsi="Arial" w:hint="eastAsia"/>
          <w:sz w:val="21"/>
        </w:rPr>
        <w:t xml:space="preserve"> (</w:t>
      </w:r>
      <w:r>
        <w:rPr>
          <w:rFonts w:ascii="Arial" w:hAnsi="Arial" w:hint="eastAsia"/>
          <w:sz w:val="21"/>
        </w:rPr>
        <w:t>国办发</w:t>
      </w:r>
      <w:r>
        <w:rPr>
          <w:rFonts w:ascii="Arial" w:hAnsi="Arial" w:hint="eastAsia"/>
          <w:sz w:val="21"/>
        </w:rPr>
        <w:t>[2011]45</w:t>
      </w:r>
      <w:r>
        <w:rPr>
          <w:rFonts w:ascii="Arial" w:hAnsi="Arial" w:hint="eastAsia"/>
          <w:sz w:val="21"/>
        </w:rPr>
        <w:t>号</w:t>
      </w:r>
      <w:r>
        <w:rPr>
          <w:rFonts w:ascii="Arial" w:hAnsi="Arial" w:hint="eastAsia"/>
          <w:sz w:val="21"/>
        </w:rPr>
        <w:t>)</w:t>
      </w:r>
      <w:r>
        <w:rPr>
          <w:rFonts w:ascii="Arial" w:hAnsi="Arial" w:hint="eastAsia"/>
          <w:sz w:val="21"/>
        </w:rPr>
        <w:t>规定，公共租赁住房“租金标准由市县人民政府结合当地实际，按照略低于市场租金的原则合理确定”。北京市公租房定价原则遵循的是按照保本微利的原则并结合承租家庭负担能力和同类地段类似房屋市场租金一定比例下浮确定租金。</w:t>
      </w:r>
    </w:p>
    <w:p w14:paraId="1BFD5C1A" w14:textId="77777777" w:rsidR="00000000" w:rsidRDefault="00000000">
      <w:pPr>
        <w:spacing w:line="480" w:lineRule="auto"/>
        <w:ind w:firstLineChars="200" w:firstLine="420"/>
        <w:jc w:val="both"/>
        <w:rPr>
          <w:rFonts w:ascii="Arial" w:hAnsi="Arial" w:hint="eastAsia"/>
          <w:sz w:val="21"/>
        </w:rPr>
      </w:pPr>
      <w:r>
        <w:rPr>
          <w:rFonts w:ascii="Arial" w:hAnsi="Arial" w:hint="eastAsia"/>
          <w:sz w:val="21"/>
        </w:rPr>
        <w:t>根据今年北京经济技术开发区网站公布的《关于北京经济技术开发区怡景名苑等</w:t>
      </w:r>
      <w:r>
        <w:rPr>
          <w:rFonts w:ascii="Arial" w:hAnsi="Arial" w:hint="eastAsia"/>
          <w:sz w:val="21"/>
        </w:rPr>
        <w:t>12</w:t>
      </w:r>
      <w:r>
        <w:rPr>
          <w:rFonts w:ascii="Arial" w:hAnsi="Arial" w:hint="eastAsia"/>
          <w:sz w:val="21"/>
        </w:rPr>
        <w:t>个公租房项目开展快速配租的公告》，目前配租共涉及</w:t>
      </w:r>
      <w:r>
        <w:rPr>
          <w:rFonts w:ascii="Arial" w:hAnsi="Arial" w:hint="eastAsia"/>
          <w:sz w:val="21"/>
        </w:rPr>
        <w:t>12</w:t>
      </w:r>
      <w:r>
        <w:rPr>
          <w:rFonts w:ascii="Arial" w:hAnsi="Arial" w:hint="eastAsia"/>
          <w:sz w:val="21"/>
        </w:rPr>
        <w:t>个公租房项目部分房源，房源共计</w:t>
      </w:r>
      <w:r>
        <w:rPr>
          <w:rFonts w:ascii="Arial" w:hAnsi="Arial" w:hint="eastAsia"/>
          <w:sz w:val="21"/>
        </w:rPr>
        <w:t>525</w:t>
      </w:r>
      <w:r>
        <w:rPr>
          <w:rFonts w:ascii="Arial" w:hAnsi="Arial" w:hint="eastAsia"/>
          <w:sz w:val="21"/>
        </w:rPr>
        <w:t>套。其中小套型</w:t>
      </w:r>
      <w:r>
        <w:rPr>
          <w:rFonts w:ascii="Arial" w:hAnsi="Arial" w:hint="eastAsia"/>
          <w:sz w:val="21"/>
        </w:rPr>
        <w:lastRenderedPageBreak/>
        <w:t>89</w:t>
      </w:r>
      <w:r>
        <w:rPr>
          <w:rFonts w:ascii="Arial" w:hAnsi="Arial" w:hint="eastAsia"/>
          <w:sz w:val="21"/>
        </w:rPr>
        <w:t>套，中套型</w:t>
      </w:r>
      <w:r>
        <w:rPr>
          <w:rFonts w:ascii="Arial" w:hAnsi="Arial" w:hint="eastAsia"/>
          <w:sz w:val="21"/>
        </w:rPr>
        <w:t>247</w:t>
      </w:r>
      <w:r>
        <w:rPr>
          <w:rFonts w:ascii="Arial" w:hAnsi="Arial" w:hint="eastAsia"/>
          <w:sz w:val="21"/>
        </w:rPr>
        <w:t>套，大套型</w:t>
      </w:r>
      <w:r>
        <w:rPr>
          <w:rFonts w:ascii="Arial" w:hAnsi="Arial" w:hint="eastAsia"/>
          <w:sz w:val="21"/>
        </w:rPr>
        <w:t>189</w:t>
      </w:r>
      <w:r>
        <w:rPr>
          <w:rFonts w:ascii="Arial" w:hAnsi="Arial" w:hint="eastAsia"/>
          <w:sz w:val="21"/>
        </w:rPr>
        <w:t>套。房源情况如下：</w:t>
      </w:r>
    </w:p>
    <w:p w14:paraId="61C31375" w14:textId="77777777" w:rsidR="00000000" w:rsidRDefault="00000000">
      <w:pPr>
        <w:spacing w:line="480" w:lineRule="auto"/>
        <w:ind w:firstLineChars="200" w:firstLine="420"/>
        <w:jc w:val="both"/>
        <w:rPr>
          <w:rFonts w:ascii="Arial" w:hAnsi="Arial" w:hint="eastAsia"/>
          <w:sz w:val="21"/>
        </w:rPr>
      </w:pPr>
      <w:r>
        <w:rPr>
          <w:rFonts w:ascii="Arial" w:hAnsi="Arial" w:hint="eastAsia"/>
          <w:sz w:val="21"/>
        </w:rPr>
        <w:t>怡景名苑公租房项目：该项目位于经开区亦庄镇鹿华路</w:t>
      </w:r>
      <w:r>
        <w:rPr>
          <w:rFonts w:ascii="Arial" w:hAnsi="Arial" w:hint="eastAsia"/>
          <w:sz w:val="21"/>
        </w:rPr>
        <w:t>8</w:t>
      </w:r>
      <w:r>
        <w:rPr>
          <w:rFonts w:ascii="Arial" w:hAnsi="Arial" w:hint="eastAsia"/>
          <w:sz w:val="21"/>
        </w:rPr>
        <w:t>号院。本次可配租房源共计</w:t>
      </w:r>
      <w:r>
        <w:rPr>
          <w:rFonts w:ascii="Arial" w:hAnsi="Arial" w:hint="eastAsia"/>
          <w:sz w:val="21"/>
        </w:rPr>
        <w:t>41</w:t>
      </w:r>
      <w:r>
        <w:rPr>
          <w:rFonts w:ascii="Arial" w:hAnsi="Arial" w:hint="eastAsia"/>
          <w:sz w:val="21"/>
        </w:rPr>
        <w:t>套，小套型</w:t>
      </w:r>
      <w:r>
        <w:rPr>
          <w:rFonts w:ascii="Arial" w:hAnsi="Arial" w:hint="eastAsia"/>
          <w:sz w:val="21"/>
        </w:rPr>
        <w:t>37</w:t>
      </w:r>
      <w:r>
        <w:rPr>
          <w:rFonts w:ascii="Arial" w:hAnsi="Arial" w:hint="eastAsia"/>
          <w:sz w:val="21"/>
        </w:rPr>
        <w:t>套，建筑面积约</w:t>
      </w:r>
      <w:r>
        <w:rPr>
          <w:rFonts w:ascii="Arial" w:hAnsi="Arial" w:hint="eastAsia"/>
          <w:sz w:val="21"/>
        </w:rPr>
        <w:t>41.00-41.94</w:t>
      </w:r>
      <w:r>
        <w:rPr>
          <w:rFonts w:ascii="Arial" w:hAnsi="Arial" w:hint="eastAsia"/>
          <w:sz w:val="21"/>
        </w:rPr>
        <w:t>平方米；大套型</w:t>
      </w:r>
      <w:r>
        <w:rPr>
          <w:rFonts w:ascii="Arial" w:hAnsi="Arial" w:hint="eastAsia"/>
          <w:sz w:val="21"/>
        </w:rPr>
        <w:t>4</w:t>
      </w:r>
      <w:r>
        <w:rPr>
          <w:rFonts w:ascii="Arial" w:hAnsi="Arial" w:hint="eastAsia"/>
          <w:sz w:val="21"/>
        </w:rPr>
        <w:t>套，建筑面积约</w:t>
      </w:r>
      <w:r>
        <w:rPr>
          <w:rFonts w:ascii="Arial" w:hAnsi="Arial" w:hint="eastAsia"/>
          <w:sz w:val="21"/>
        </w:rPr>
        <w:t>56.31-59.93</w:t>
      </w:r>
      <w:r>
        <w:rPr>
          <w:rFonts w:ascii="Arial" w:hAnsi="Arial" w:hint="eastAsia"/>
          <w:sz w:val="21"/>
        </w:rPr>
        <w:t>平方米。租金标准为</w:t>
      </w:r>
      <w:r>
        <w:rPr>
          <w:rFonts w:ascii="Arial" w:hAnsi="Arial" w:hint="eastAsia"/>
          <w:sz w:val="21"/>
        </w:rPr>
        <w:t>37</w:t>
      </w:r>
      <w:r>
        <w:rPr>
          <w:rFonts w:ascii="Arial" w:hAnsi="Arial" w:hint="eastAsia"/>
          <w:sz w:val="21"/>
        </w:rPr>
        <w:t>元</w:t>
      </w:r>
      <w:r>
        <w:rPr>
          <w:rFonts w:ascii="Arial" w:hAnsi="Arial" w:hint="eastAsia"/>
          <w:sz w:val="21"/>
        </w:rPr>
        <w:t>/</w:t>
      </w:r>
      <w:r>
        <w:rPr>
          <w:rFonts w:ascii="Arial" w:hAnsi="Arial" w:hint="eastAsia"/>
          <w:sz w:val="21"/>
        </w:rPr>
        <w:t>建筑平方米•月。</w:t>
      </w:r>
    </w:p>
    <w:p w14:paraId="13CE4A52" w14:textId="77777777" w:rsidR="00000000" w:rsidRDefault="00000000">
      <w:pPr>
        <w:spacing w:line="480" w:lineRule="auto"/>
        <w:ind w:firstLineChars="200" w:firstLine="420"/>
        <w:jc w:val="both"/>
        <w:rPr>
          <w:rFonts w:ascii="Arial" w:hAnsi="Arial" w:hint="eastAsia"/>
          <w:sz w:val="21"/>
        </w:rPr>
      </w:pPr>
      <w:r>
        <w:rPr>
          <w:rFonts w:ascii="Arial" w:hAnsi="Arial" w:hint="eastAsia"/>
          <w:sz w:val="21"/>
        </w:rPr>
        <w:t>亦庄新城公租房项目：该项目位于经开区亦庄镇鹿华路</w:t>
      </w:r>
      <w:r>
        <w:rPr>
          <w:rFonts w:ascii="Arial" w:hAnsi="Arial" w:hint="eastAsia"/>
          <w:sz w:val="21"/>
        </w:rPr>
        <w:t>5</w:t>
      </w:r>
      <w:r>
        <w:rPr>
          <w:rFonts w:ascii="Arial" w:hAnsi="Arial" w:hint="eastAsia"/>
          <w:sz w:val="21"/>
        </w:rPr>
        <w:t>号院。本次可配租房源共计</w:t>
      </w:r>
      <w:r>
        <w:rPr>
          <w:rFonts w:ascii="Arial" w:hAnsi="Arial" w:hint="eastAsia"/>
          <w:sz w:val="21"/>
        </w:rPr>
        <w:t>27</w:t>
      </w:r>
      <w:r>
        <w:rPr>
          <w:rFonts w:ascii="Arial" w:hAnsi="Arial" w:hint="eastAsia"/>
          <w:sz w:val="21"/>
        </w:rPr>
        <w:t>套，小套型</w:t>
      </w:r>
      <w:r>
        <w:rPr>
          <w:rFonts w:ascii="Arial" w:hAnsi="Arial" w:hint="eastAsia"/>
          <w:sz w:val="21"/>
        </w:rPr>
        <w:t>22</w:t>
      </w:r>
      <w:r>
        <w:rPr>
          <w:rFonts w:ascii="Arial" w:hAnsi="Arial" w:hint="eastAsia"/>
          <w:sz w:val="21"/>
        </w:rPr>
        <w:t>套，建筑面积约</w:t>
      </w:r>
      <w:r>
        <w:rPr>
          <w:rFonts w:ascii="Arial" w:hAnsi="Arial" w:hint="eastAsia"/>
          <w:sz w:val="21"/>
        </w:rPr>
        <w:t>42.33-42.65</w:t>
      </w:r>
      <w:r>
        <w:rPr>
          <w:rFonts w:ascii="Arial" w:hAnsi="Arial" w:hint="eastAsia"/>
          <w:sz w:val="21"/>
        </w:rPr>
        <w:t>平方米；中套型</w:t>
      </w:r>
      <w:r>
        <w:rPr>
          <w:rFonts w:ascii="Arial" w:hAnsi="Arial" w:hint="eastAsia"/>
          <w:sz w:val="21"/>
        </w:rPr>
        <w:t>2</w:t>
      </w:r>
      <w:r>
        <w:rPr>
          <w:rFonts w:ascii="Arial" w:hAnsi="Arial" w:hint="eastAsia"/>
          <w:sz w:val="21"/>
        </w:rPr>
        <w:t>套，建筑面积约</w:t>
      </w:r>
      <w:r>
        <w:rPr>
          <w:rFonts w:ascii="Arial" w:hAnsi="Arial" w:hint="eastAsia"/>
          <w:sz w:val="21"/>
        </w:rPr>
        <w:t>53.23</w:t>
      </w:r>
      <w:r>
        <w:rPr>
          <w:rFonts w:ascii="Arial" w:hAnsi="Arial" w:hint="eastAsia"/>
          <w:sz w:val="21"/>
        </w:rPr>
        <w:t>平方米；大套型</w:t>
      </w:r>
      <w:r>
        <w:rPr>
          <w:rFonts w:ascii="Arial" w:hAnsi="Arial" w:hint="eastAsia"/>
          <w:sz w:val="21"/>
        </w:rPr>
        <w:t>3</w:t>
      </w:r>
      <w:r>
        <w:rPr>
          <w:rFonts w:ascii="Arial" w:hAnsi="Arial" w:hint="eastAsia"/>
          <w:sz w:val="21"/>
        </w:rPr>
        <w:t>套，建筑面积约</w:t>
      </w:r>
      <w:r>
        <w:rPr>
          <w:rFonts w:ascii="Arial" w:hAnsi="Arial" w:hint="eastAsia"/>
          <w:sz w:val="21"/>
        </w:rPr>
        <w:t>60.23-60.41</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6C05E4F5" w14:textId="77777777" w:rsidR="00000000" w:rsidRDefault="00000000">
      <w:pPr>
        <w:spacing w:line="480" w:lineRule="auto"/>
        <w:ind w:firstLineChars="200" w:firstLine="420"/>
        <w:jc w:val="both"/>
        <w:rPr>
          <w:rFonts w:ascii="Arial" w:hAnsi="Arial" w:hint="eastAsia"/>
          <w:sz w:val="21"/>
        </w:rPr>
      </w:pPr>
      <w:r>
        <w:rPr>
          <w:rFonts w:ascii="Arial" w:hAnsi="Arial" w:hint="eastAsia"/>
          <w:sz w:val="21"/>
        </w:rPr>
        <w:t>熙悦诚郡公租房项目：该项目位于经开区旧宫镇德贤东路</w:t>
      </w:r>
      <w:r>
        <w:rPr>
          <w:rFonts w:ascii="Arial" w:hAnsi="Arial" w:hint="eastAsia"/>
          <w:sz w:val="21"/>
        </w:rPr>
        <w:t>3</w:t>
      </w:r>
      <w:r>
        <w:rPr>
          <w:rFonts w:ascii="Arial" w:hAnsi="Arial" w:hint="eastAsia"/>
          <w:sz w:val="21"/>
        </w:rPr>
        <w:t>号院。本次可配租房源共计</w:t>
      </w:r>
      <w:r>
        <w:rPr>
          <w:rFonts w:ascii="Arial" w:hAnsi="Arial" w:hint="eastAsia"/>
          <w:sz w:val="21"/>
        </w:rPr>
        <w:t>12</w:t>
      </w:r>
      <w:r>
        <w:rPr>
          <w:rFonts w:ascii="Arial" w:hAnsi="Arial" w:hint="eastAsia"/>
          <w:sz w:val="21"/>
        </w:rPr>
        <w:t>套，中套型</w:t>
      </w:r>
      <w:r>
        <w:rPr>
          <w:rFonts w:ascii="Arial" w:hAnsi="Arial" w:hint="eastAsia"/>
          <w:sz w:val="21"/>
        </w:rPr>
        <w:t>5</w:t>
      </w:r>
      <w:r>
        <w:rPr>
          <w:rFonts w:ascii="Arial" w:hAnsi="Arial" w:hint="eastAsia"/>
          <w:sz w:val="21"/>
        </w:rPr>
        <w:t>套，建筑面积约</w:t>
      </w:r>
      <w:r>
        <w:rPr>
          <w:rFonts w:ascii="Arial" w:hAnsi="Arial" w:hint="eastAsia"/>
          <w:sz w:val="21"/>
        </w:rPr>
        <w:t>52.17-52.46</w:t>
      </w:r>
      <w:r>
        <w:rPr>
          <w:rFonts w:ascii="Arial" w:hAnsi="Arial" w:hint="eastAsia"/>
          <w:sz w:val="21"/>
        </w:rPr>
        <w:t>平方米；大套型</w:t>
      </w:r>
      <w:r>
        <w:rPr>
          <w:rFonts w:ascii="Arial" w:hAnsi="Arial" w:hint="eastAsia"/>
          <w:sz w:val="21"/>
        </w:rPr>
        <w:t>7</w:t>
      </w:r>
      <w:r>
        <w:rPr>
          <w:rFonts w:ascii="Arial" w:hAnsi="Arial" w:hint="eastAsia"/>
          <w:sz w:val="21"/>
        </w:rPr>
        <w:t>套，建筑面积约</w:t>
      </w:r>
      <w:r>
        <w:rPr>
          <w:rFonts w:ascii="Arial" w:hAnsi="Arial" w:hint="eastAsia"/>
          <w:sz w:val="21"/>
        </w:rPr>
        <w:t>56.75-59.25</w:t>
      </w:r>
      <w:r>
        <w:rPr>
          <w:rFonts w:ascii="Arial" w:hAnsi="Arial" w:hint="eastAsia"/>
          <w:sz w:val="21"/>
        </w:rPr>
        <w:t>平方米。租金标准为</w:t>
      </w:r>
      <w:r>
        <w:rPr>
          <w:rFonts w:ascii="Arial" w:hAnsi="Arial" w:hint="eastAsia"/>
          <w:sz w:val="21"/>
        </w:rPr>
        <w:t>42</w:t>
      </w:r>
      <w:r>
        <w:rPr>
          <w:rFonts w:ascii="Arial" w:hAnsi="Arial" w:hint="eastAsia"/>
          <w:sz w:val="21"/>
        </w:rPr>
        <w:t>元</w:t>
      </w:r>
      <w:r>
        <w:rPr>
          <w:rFonts w:ascii="Arial" w:hAnsi="Arial" w:hint="eastAsia"/>
          <w:sz w:val="21"/>
        </w:rPr>
        <w:t>/</w:t>
      </w:r>
      <w:r>
        <w:rPr>
          <w:rFonts w:ascii="Arial" w:hAnsi="Arial" w:hint="eastAsia"/>
          <w:sz w:val="21"/>
        </w:rPr>
        <w:t>建筑平方米•月。</w:t>
      </w:r>
    </w:p>
    <w:p w14:paraId="392D7B8C" w14:textId="77777777" w:rsidR="00000000" w:rsidRDefault="00000000">
      <w:pPr>
        <w:spacing w:line="480" w:lineRule="auto"/>
        <w:ind w:firstLineChars="200" w:firstLine="420"/>
        <w:jc w:val="both"/>
        <w:rPr>
          <w:rFonts w:ascii="Arial" w:hAnsi="Arial" w:hint="eastAsia"/>
          <w:sz w:val="21"/>
        </w:rPr>
      </w:pPr>
      <w:r>
        <w:rPr>
          <w:rFonts w:ascii="Arial" w:hAnsi="Arial" w:hint="eastAsia"/>
          <w:sz w:val="21"/>
        </w:rPr>
        <w:t>紫南华苑公租房项目：该项目位于经开区旧宫镇德贤东路</w:t>
      </w:r>
      <w:r>
        <w:rPr>
          <w:rFonts w:ascii="Arial" w:hAnsi="Arial" w:hint="eastAsia"/>
          <w:sz w:val="21"/>
        </w:rPr>
        <w:t>6</w:t>
      </w:r>
      <w:r>
        <w:rPr>
          <w:rFonts w:ascii="Arial" w:hAnsi="Arial" w:hint="eastAsia"/>
          <w:sz w:val="21"/>
        </w:rPr>
        <w:t>号院。本次可配租房源共计</w:t>
      </w:r>
      <w:r>
        <w:rPr>
          <w:rFonts w:ascii="Arial" w:hAnsi="Arial" w:hint="eastAsia"/>
          <w:sz w:val="21"/>
        </w:rPr>
        <w:t>6</w:t>
      </w:r>
      <w:r>
        <w:rPr>
          <w:rFonts w:ascii="Arial" w:hAnsi="Arial" w:hint="eastAsia"/>
          <w:sz w:val="21"/>
        </w:rPr>
        <w:t>套，小套型</w:t>
      </w:r>
      <w:r>
        <w:rPr>
          <w:rFonts w:ascii="Arial" w:hAnsi="Arial" w:hint="eastAsia"/>
          <w:sz w:val="21"/>
        </w:rPr>
        <w:t>4</w:t>
      </w:r>
      <w:r>
        <w:rPr>
          <w:rFonts w:ascii="Arial" w:hAnsi="Arial" w:hint="eastAsia"/>
          <w:sz w:val="21"/>
        </w:rPr>
        <w:t>套，建筑面积约</w:t>
      </w:r>
      <w:r>
        <w:rPr>
          <w:rFonts w:ascii="Arial" w:hAnsi="Arial" w:hint="eastAsia"/>
          <w:sz w:val="21"/>
        </w:rPr>
        <w:t>43.72-44.79</w:t>
      </w:r>
      <w:r>
        <w:rPr>
          <w:rFonts w:ascii="Arial" w:hAnsi="Arial" w:hint="eastAsia"/>
          <w:sz w:val="21"/>
        </w:rPr>
        <w:t>平方米；大套型</w:t>
      </w:r>
      <w:r>
        <w:rPr>
          <w:rFonts w:ascii="Arial" w:hAnsi="Arial" w:hint="eastAsia"/>
          <w:sz w:val="21"/>
        </w:rPr>
        <w:t>2</w:t>
      </w:r>
      <w:r>
        <w:rPr>
          <w:rFonts w:ascii="Arial" w:hAnsi="Arial" w:hint="eastAsia"/>
          <w:sz w:val="21"/>
        </w:rPr>
        <w:t>套，建筑面积约</w:t>
      </w:r>
      <w:r>
        <w:rPr>
          <w:rFonts w:ascii="Arial" w:hAnsi="Arial" w:hint="eastAsia"/>
          <w:sz w:val="21"/>
        </w:rPr>
        <w:t>59.22</w:t>
      </w:r>
      <w:r>
        <w:rPr>
          <w:rFonts w:ascii="Arial" w:hAnsi="Arial" w:hint="eastAsia"/>
          <w:sz w:val="21"/>
        </w:rPr>
        <w:t>平方米。租金标准为</w:t>
      </w:r>
      <w:r>
        <w:rPr>
          <w:rFonts w:ascii="Arial" w:hAnsi="Arial" w:hint="eastAsia"/>
          <w:sz w:val="21"/>
        </w:rPr>
        <w:t>44</w:t>
      </w:r>
      <w:r>
        <w:rPr>
          <w:rFonts w:ascii="Arial" w:hAnsi="Arial" w:hint="eastAsia"/>
          <w:sz w:val="21"/>
        </w:rPr>
        <w:t>元</w:t>
      </w:r>
      <w:r>
        <w:rPr>
          <w:rFonts w:ascii="Arial" w:hAnsi="Arial" w:hint="eastAsia"/>
          <w:sz w:val="21"/>
        </w:rPr>
        <w:t>/</w:t>
      </w:r>
      <w:r>
        <w:rPr>
          <w:rFonts w:ascii="Arial" w:hAnsi="Arial" w:hint="eastAsia"/>
          <w:sz w:val="21"/>
        </w:rPr>
        <w:t>建筑平方米•月。</w:t>
      </w:r>
    </w:p>
    <w:p w14:paraId="20E97D1B" w14:textId="77777777" w:rsidR="00000000" w:rsidRDefault="00000000">
      <w:pPr>
        <w:spacing w:line="480" w:lineRule="auto"/>
        <w:ind w:firstLineChars="200" w:firstLine="420"/>
        <w:jc w:val="both"/>
        <w:rPr>
          <w:rFonts w:ascii="Arial" w:hAnsi="Arial" w:hint="eastAsia"/>
          <w:sz w:val="21"/>
        </w:rPr>
      </w:pPr>
      <w:r>
        <w:rPr>
          <w:rFonts w:ascii="Arial" w:hAnsi="Arial" w:hint="eastAsia"/>
          <w:sz w:val="21"/>
        </w:rPr>
        <w:t>盛悦家园公租房项目：该项目位于经开区旧宫镇旧忠路</w:t>
      </w:r>
      <w:r>
        <w:rPr>
          <w:rFonts w:ascii="Arial" w:hAnsi="Arial" w:hint="eastAsia"/>
          <w:sz w:val="21"/>
        </w:rPr>
        <w:t>10</w:t>
      </w:r>
      <w:r>
        <w:rPr>
          <w:rFonts w:ascii="Arial" w:hAnsi="Arial" w:hint="eastAsia"/>
          <w:sz w:val="21"/>
        </w:rPr>
        <w:t>号院。本次可配租房源共计</w:t>
      </w:r>
      <w:r>
        <w:rPr>
          <w:rFonts w:ascii="Arial" w:hAnsi="Arial" w:hint="eastAsia"/>
          <w:sz w:val="21"/>
        </w:rPr>
        <w:t>32</w:t>
      </w:r>
      <w:r>
        <w:rPr>
          <w:rFonts w:ascii="Arial" w:hAnsi="Arial" w:hint="eastAsia"/>
          <w:sz w:val="21"/>
        </w:rPr>
        <w:t>套，小套型</w:t>
      </w:r>
      <w:r>
        <w:rPr>
          <w:rFonts w:ascii="Arial" w:hAnsi="Arial" w:hint="eastAsia"/>
          <w:sz w:val="21"/>
        </w:rPr>
        <w:t>8</w:t>
      </w:r>
      <w:r>
        <w:rPr>
          <w:rFonts w:ascii="Arial" w:hAnsi="Arial" w:hint="eastAsia"/>
          <w:sz w:val="21"/>
        </w:rPr>
        <w:t>套，建筑面积约</w:t>
      </w:r>
      <w:r>
        <w:rPr>
          <w:rFonts w:ascii="Arial" w:hAnsi="Arial" w:hint="eastAsia"/>
          <w:sz w:val="21"/>
        </w:rPr>
        <w:t>41.12-43.15</w:t>
      </w:r>
      <w:r>
        <w:rPr>
          <w:rFonts w:ascii="Arial" w:hAnsi="Arial" w:hint="eastAsia"/>
          <w:sz w:val="21"/>
        </w:rPr>
        <w:t>平方米；中套型</w:t>
      </w:r>
      <w:r>
        <w:rPr>
          <w:rFonts w:ascii="Arial" w:hAnsi="Arial" w:hint="eastAsia"/>
          <w:sz w:val="21"/>
        </w:rPr>
        <w:t>24</w:t>
      </w:r>
      <w:r>
        <w:rPr>
          <w:rFonts w:ascii="Arial" w:hAnsi="Arial" w:hint="eastAsia"/>
          <w:sz w:val="21"/>
        </w:rPr>
        <w:t>套，建筑面积约</w:t>
      </w:r>
      <w:r>
        <w:rPr>
          <w:rFonts w:ascii="Arial" w:hAnsi="Arial" w:hint="eastAsia"/>
          <w:sz w:val="21"/>
        </w:rPr>
        <w:t>49.34-50.25</w:t>
      </w:r>
      <w:r>
        <w:rPr>
          <w:rFonts w:ascii="Arial" w:hAnsi="Arial" w:hint="eastAsia"/>
          <w:sz w:val="21"/>
        </w:rPr>
        <w:t>平方米。租金标准为</w:t>
      </w:r>
      <w:r>
        <w:rPr>
          <w:rFonts w:ascii="Arial" w:hAnsi="Arial" w:hint="eastAsia"/>
          <w:sz w:val="21"/>
        </w:rPr>
        <w:t>44</w:t>
      </w:r>
      <w:r>
        <w:rPr>
          <w:rFonts w:ascii="Arial" w:hAnsi="Arial" w:hint="eastAsia"/>
          <w:sz w:val="21"/>
        </w:rPr>
        <w:t>元</w:t>
      </w:r>
      <w:r>
        <w:rPr>
          <w:rFonts w:ascii="Arial" w:hAnsi="Arial" w:hint="eastAsia"/>
          <w:sz w:val="21"/>
        </w:rPr>
        <w:t>/</w:t>
      </w:r>
      <w:r>
        <w:rPr>
          <w:rFonts w:ascii="Arial" w:hAnsi="Arial" w:hint="eastAsia"/>
          <w:sz w:val="21"/>
        </w:rPr>
        <w:t>建筑平方米•月。</w:t>
      </w:r>
    </w:p>
    <w:p w14:paraId="38714715" w14:textId="77777777" w:rsidR="00000000" w:rsidRDefault="00000000">
      <w:pPr>
        <w:spacing w:line="480" w:lineRule="auto"/>
        <w:ind w:firstLineChars="200" w:firstLine="420"/>
        <w:jc w:val="both"/>
        <w:rPr>
          <w:rFonts w:ascii="Arial" w:hAnsi="Arial" w:hint="eastAsia"/>
          <w:sz w:val="21"/>
        </w:rPr>
      </w:pPr>
      <w:r>
        <w:rPr>
          <w:rFonts w:ascii="Arial" w:hAnsi="Arial" w:hint="eastAsia"/>
          <w:sz w:val="21"/>
        </w:rPr>
        <w:t>璟秀欣苑公租房项目：该项目位于通州区台湖镇东石东三路</w:t>
      </w:r>
      <w:r>
        <w:rPr>
          <w:rFonts w:ascii="Arial" w:hAnsi="Arial" w:hint="eastAsia"/>
          <w:sz w:val="21"/>
        </w:rPr>
        <w:t>6</w:t>
      </w:r>
      <w:r>
        <w:rPr>
          <w:rFonts w:ascii="Arial" w:hAnsi="Arial" w:hint="eastAsia"/>
          <w:sz w:val="21"/>
        </w:rPr>
        <w:t>号院、</w:t>
      </w:r>
      <w:r>
        <w:rPr>
          <w:rFonts w:ascii="Arial" w:hAnsi="Arial" w:hint="eastAsia"/>
          <w:sz w:val="21"/>
        </w:rPr>
        <w:t>7</w:t>
      </w:r>
      <w:r>
        <w:rPr>
          <w:rFonts w:ascii="Arial" w:hAnsi="Arial" w:hint="eastAsia"/>
          <w:sz w:val="21"/>
        </w:rPr>
        <w:t>号院。本次可配租房源共计</w:t>
      </w:r>
      <w:r>
        <w:rPr>
          <w:rFonts w:ascii="Arial" w:hAnsi="Arial" w:hint="eastAsia"/>
          <w:sz w:val="21"/>
        </w:rPr>
        <w:t>7</w:t>
      </w:r>
      <w:r>
        <w:rPr>
          <w:rFonts w:ascii="Arial" w:hAnsi="Arial" w:hint="eastAsia"/>
          <w:sz w:val="21"/>
        </w:rPr>
        <w:t>套，大套型</w:t>
      </w:r>
      <w:r>
        <w:rPr>
          <w:rFonts w:ascii="Arial" w:hAnsi="Arial" w:hint="eastAsia"/>
          <w:sz w:val="21"/>
        </w:rPr>
        <w:t>7</w:t>
      </w:r>
      <w:r>
        <w:rPr>
          <w:rFonts w:ascii="Arial" w:hAnsi="Arial" w:hint="eastAsia"/>
          <w:sz w:val="21"/>
        </w:rPr>
        <w:t>套，建筑面积约</w:t>
      </w:r>
      <w:r>
        <w:rPr>
          <w:rFonts w:ascii="Arial" w:hAnsi="Arial" w:hint="eastAsia"/>
          <w:sz w:val="21"/>
        </w:rPr>
        <w:t>57.60-58.02</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6CC0B509" w14:textId="77777777" w:rsidR="00000000" w:rsidRDefault="00000000">
      <w:pPr>
        <w:spacing w:line="480" w:lineRule="auto"/>
        <w:ind w:firstLineChars="200" w:firstLine="420"/>
        <w:jc w:val="both"/>
        <w:rPr>
          <w:rFonts w:ascii="Arial" w:hAnsi="Arial" w:hint="eastAsia"/>
          <w:sz w:val="21"/>
        </w:rPr>
      </w:pPr>
      <w:r>
        <w:rPr>
          <w:rFonts w:ascii="Arial" w:hAnsi="Arial" w:hint="eastAsia"/>
          <w:sz w:val="21"/>
        </w:rPr>
        <w:t>盛达嘉园公租房项目：该项目位于通州区台湖镇东石东五路</w:t>
      </w:r>
      <w:r>
        <w:rPr>
          <w:rFonts w:ascii="Arial" w:hAnsi="Arial" w:hint="eastAsia"/>
          <w:sz w:val="21"/>
        </w:rPr>
        <w:t>2</w:t>
      </w:r>
      <w:r>
        <w:rPr>
          <w:rFonts w:ascii="Arial" w:hAnsi="Arial" w:hint="eastAsia"/>
          <w:sz w:val="21"/>
        </w:rPr>
        <w:t>号院。本次可配租房源共计</w:t>
      </w:r>
      <w:r>
        <w:rPr>
          <w:rFonts w:ascii="Arial" w:hAnsi="Arial" w:hint="eastAsia"/>
          <w:sz w:val="21"/>
        </w:rPr>
        <w:t>21</w:t>
      </w:r>
      <w:r>
        <w:rPr>
          <w:rFonts w:ascii="Arial" w:hAnsi="Arial" w:hint="eastAsia"/>
          <w:sz w:val="21"/>
        </w:rPr>
        <w:t>套，大套型</w:t>
      </w:r>
      <w:r>
        <w:rPr>
          <w:rFonts w:ascii="Arial" w:hAnsi="Arial" w:hint="eastAsia"/>
          <w:sz w:val="21"/>
        </w:rPr>
        <w:t>21</w:t>
      </w:r>
      <w:r>
        <w:rPr>
          <w:rFonts w:ascii="Arial" w:hAnsi="Arial" w:hint="eastAsia"/>
          <w:sz w:val="21"/>
        </w:rPr>
        <w:t>套，建筑面积约</w:t>
      </w:r>
      <w:r>
        <w:rPr>
          <w:rFonts w:ascii="Arial" w:hAnsi="Arial" w:hint="eastAsia"/>
          <w:sz w:val="21"/>
        </w:rPr>
        <w:t>57.31-59.41</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37EE1441" w14:textId="77777777" w:rsidR="00000000" w:rsidRDefault="00000000">
      <w:pPr>
        <w:spacing w:line="480" w:lineRule="auto"/>
        <w:ind w:firstLineChars="200" w:firstLine="420"/>
        <w:jc w:val="both"/>
        <w:rPr>
          <w:rFonts w:ascii="Arial" w:hAnsi="Arial" w:hint="eastAsia"/>
          <w:sz w:val="21"/>
        </w:rPr>
      </w:pPr>
      <w:r>
        <w:rPr>
          <w:rFonts w:ascii="Arial" w:hAnsi="Arial" w:hint="eastAsia"/>
          <w:sz w:val="21"/>
        </w:rPr>
        <w:t>台湖银河湾（东区）公租房项目：该项目位于通州区台湖镇海盛四街</w:t>
      </w:r>
      <w:r>
        <w:rPr>
          <w:rFonts w:ascii="Arial" w:hAnsi="Arial" w:hint="eastAsia"/>
          <w:sz w:val="21"/>
        </w:rPr>
        <w:t>10</w:t>
      </w:r>
      <w:r>
        <w:rPr>
          <w:rFonts w:ascii="Arial" w:hAnsi="Arial" w:hint="eastAsia"/>
          <w:sz w:val="21"/>
        </w:rPr>
        <w:t>号院。本次可配租房源共计</w:t>
      </w:r>
      <w:r>
        <w:rPr>
          <w:rFonts w:ascii="Arial" w:hAnsi="Arial" w:hint="eastAsia"/>
          <w:sz w:val="21"/>
        </w:rPr>
        <w:t>25</w:t>
      </w:r>
      <w:r>
        <w:rPr>
          <w:rFonts w:ascii="Arial" w:hAnsi="Arial" w:hint="eastAsia"/>
          <w:sz w:val="21"/>
        </w:rPr>
        <w:t>套，大套型</w:t>
      </w:r>
      <w:r>
        <w:rPr>
          <w:rFonts w:ascii="Arial" w:hAnsi="Arial" w:hint="eastAsia"/>
          <w:sz w:val="21"/>
        </w:rPr>
        <w:t>25</w:t>
      </w:r>
      <w:r>
        <w:rPr>
          <w:rFonts w:ascii="Arial" w:hAnsi="Arial" w:hint="eastAsia"/>
          <w:sz w:val="21"/>
        </w:rPr>
        <w:t>套，建筑面积约</w:t>
      </w:r>
      <w:r>
        <w:rPr>
          <w:rFonts w:ascii="Arial" w:hAnsi="Arial" w:hint="eastAsia"/>
          <w:sz w:val="21"/>
        </w:rPr>
        <w:t>59.80-61.75</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438BD05D" w14:textId="77777777" w:rsidR="00000000" w:rsidRDefault="00000000">
      <w:pPr>
        <w:spacing w:line="480" w:lineRule="auto"/>
        <w:ind w:firstLineChars="200" w:firstLine="420"/>
        <w:jc w:val="both"/>
        <w:rPr>
          <w:rFonts w:ascii="Arial" w:hAnsi="Arial" w:hint="eastAsia"/>
          <w:sz w:val="21"/>
        </w:rPr>
      </w:pPr>
      <w:r>
        <w:rPr>
          <w:rFonts w:ascii="Arial" w:hAnsi="Arial" w:hint="eastAsia"/>
          <w:sz w:val="21"/>
        </w:rPr>
        <w:t>台湖银河湾（西区）公租房项目：该项目位于通州区台湖镇海盛四街</w:t>
      </w:r>
      <w:r>
        <w:rPr>
          <w:rFonts w:ascii="Arial" w:hAnsi="Arial" w:hint="eastAsia"/>
          <w:sz w:val="21"/>
        </w:rPr>
        <w:t>14</w:t>
      </w:r>
      <w:r>
        <w:rPr>
          <w:rFonts w:ascii="Arial" w:hAnsi="Arial" w:hint="eastAsia"/>
          <w:sz w:val="21"/>
        </w:rPr>
        <w:t>号院。本次可配租房源共计</w:t>
      </w:r>
      <w:r>
        <w:rPr>
          <w:rFonts w:ascii="Arial" w:hAnsi="Arial" w:hint="eastAsia"/>
          <w:sz w:val="21"/>
        </w:rPr>
        <w:t>55</w:t>
      </w:r>
      <w:r>
        <w:rPr>
          <w:rFonts w:ascii="Arial" w:hAnsi="Arial" w:hint="eastAsia"/>
          <w:sz w:val="21"/>
        </w:rPr>
        <w:t>套，大套型</w:t>
      </w:r>
      <w:r>
        <w:rPr>
          <w:rFonts w:ascii="Arial" w:hAnsi="Arial" w:hint="eastAsia"/>
          <w:sz w:val="21"/>
        </w:rPr>
        <w:t>55</w:t>
      </w:r>
      <w:r>
        <w:rPr>
          <w:rFonts w:ascii="Arial" w:hAnsi="Arial" w:hint="eastAsia"/>
          <w:sz w:val="21"/>
        </w:rPr>
        <w:t>套，建筑面积约</w:t>
      </w:r>
      <w:r>
        <w:rPr>
          <w:rFonts w:ascii="Arial" w:hAnsi="Arial" w:hint="eastAsia"/>
          <w:sz w:val="21"/>
        </w:rPr>
        <w:t>58.04-60.06</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65C555F3" w14:textId="77777777" w:rsidR="00000000" w:rsidRDefault="00000000">
      <w:pPr>
        <w:spacing w:line="480" w:lineRule="auto"/>
        <w:ind w:firstLineChars="200" w:firstLine="420"/>
        <w:jc w:val="both"/>
        <w:rPr>
          <w:rFonts w:ascii="Arial" w:hAnsi="Arial" w:hint="eastAsia"/>
          <w:sz w:val="21"/>
        </w:rPr>
      </w:pPr>
      <w:r>
        <w:rPr>
          <w:rFonts w:ascii="Arial" w:hAnsi="Arial" w:hint="eastAsia"/>
          <w:sz w:val="21"/>
        </w:rPr>
        <w:t>燕保•马驹桥家园公租房项目：该项目位于北京市通州区马驹桥镇兴贸一区兴贸二街。本次可配租</w:t>
      </w:r>
      <w:r>
        <w:rPr>
          <w:rFonts w:ascii="Arial" w:hAnsi="Arial" w:hint="eastAsia"/>
          <w:sz w:val="21"/>
        </w:rPr>
        <w:lastRenderedPageBreak/>
        <w:t>房源共计</w:t>
      </w:r>
      <w:r>
        <w:rPr>
          <w:rFonts w:ascii="Arial" w:hAnsi="Arial" w:hint="eastAsia"/>
          <w:sz w:val="21"/>
        </w:rPr>
        <w:t>60</w:t>
      </w:r>
      <w:r>
        <w:rPr>
          <w:rFonts w:ascii="Arial" w:hAnsi="Arial" w:hint="eastAsia"/>
          <w:sz w:val="21"/>
        </w:rPr>
        <w:t>套，大套型</w:t>
      </w:r>
      <w:r>
        <w:rPr>
          <w:rFonts w:ascii="Arial" w:hAnsi="Arial" w:hint="eastAsia"/>
          <w:sz w:val="21"/>
        </w:rPr>
        <w:t>60</w:t>
      </w:r>
      <w:r>
        <w:rPr>
          <w:rFonts w:ascii="Arial" w:hAnsi="Arial" w:hint="eastAsia"/>
          <w:sz w:val="21"/>
        </w:rPr>
        <w:t>套，建筑面积约</w:t>
      </w:r>
      <w:r>
        <w:rPr>
          <w:rFonts w:ascii="Arial" w:hAnsi="Arial" w:hint="eastAsia"/>
          <w:sz w:val="21"/>
        </w:rPr>
        <w:t>58.8-60.42</w:t>
      </w:r>
      <w:r>
        <w:rPr>
          <w:rFonts w:ascii="Arial" w:hAnsi="Arial" w:hint="eastAsia"/>
          <w:sz w:val="21"/>
        </w:rPr>
        <w:t>平方米。租金标准为</w:t>
      </w:r>
      <w:r>
        <w:rPr>
          <w:rFonts w:ascii="Arial" w:hAnsi="Arial" w:hint="eastAsia"/>
          <w:sz w:val="21"/>
        </w:rPr>
        <w:t>28</w:t>
      </w:r>
      <w:r>
        <w:rPr>
          <w:rFonts w:ascii="Arial" w:hAnsi="Arial" w:hint="eastAsia"/>
          <w:sz w:val="21"/>
        </w:rPr>
        <w:t>元</w:t>
      </w:r>
      <w:r>
        <w:rPr>
          <w:rFonts w:ascii="Arial" w:hAnsi="Arial" w:hint="eastAsia"/>
          <w:sz w:val="21"/>
        </w:rPr>
        <w:t>/</w:t>
      </w:r>
      <w:r>
        <w:rPr>
          <w:rFonts w:ascii="Arial" w:hAnsi="Arial" w:hint="eastAsia"/>
          <w:sz w:val="21"/>
        </w:rPr>
        <w:t>建筑平方米•月。</w:t>
      </w:r>
    </w:p>
    <w:p w14:paraId="5E7F4722" w14:textId="77777777" w:rsidR="00000000" w:rsidRDefault="00000000">
      <w:pPr>
        <w:spacing w:line="480" w:lineRule="auto"/>
        <w:ind w:firstLineChars="200" w:firstLine="420"/>
        <w:jc w:val="both"/>
        <w:rPr>
          <w:rFonts w:ascii="Arial" w:hAnsi="Arial" w:hint="eastAsia"/>
          <w:sz w:val="21"/>
        </w:rPr>
      </w:pPr>
      <w:r>
        <w:rPr>
          <w:rFonts w:ascii="Arial" w:hAnsi="Arial" w:hint="eastAsia"/>
          <w:sz w:val="21"/>
        </w:rPr>
        <w:t>拾景园公租房项目：该项目位于通州区台湖镇嘉创二路</w:t>
      </w:r>
      <w:r>
        <w:rPr>
          <w:rFonts w:ascii="Arial" w:hAnsi="Arial" w:hint="eastAsia"/>
          <w:sz w:val="21"/>
        </w:rPr>
        <w:t>1</w:t>
      </w:r>
      <w:r>
        <w:rPr>
          <w:rFonts w:ascii="Arial" w:hAnsi="Arial" w:hint="eastAsia"/>
          <w:sz w:val="21"/>
        </w:rPr>
        <w:t>号院。本次可配租房源共计</w:t>
      </w:r>
      <w:r>
        <w:rPr>
          <w:rFonts w:ascii="Arial" w:hAnsi="Arial" w:hint="eastAsia"/>
          <w:sz w:val="21"/>
        </w:rPr>
        <w:t>229</w:t>
      </w:r>
      <w:r>
        <w:rPr>
          <w:rFonts w:ascii="Arial" w:hAnsi="Arial" w:hint="eastAsia"/>
          <w:sz w:val="21"/>
        </w:rPr>
        <w:t>套，小套型</w:t>
      </w:r>
      <w:r>
        <w:rPr>
          <w:rFonts w:ascii="Arial" w:hAnsi="Arial" w:hint="eastAsia"/>
          <w:sz w:val="21"/>
        </w:rPr>
        <w:t>13</w:t>
      </w:r>
      <w:r>
        <w:rPr>
          <w:rFonts w:ascii="Arial" w:hAnsi="Arial" w:hint="eastAsia"/>
          <w:sz w:val="21"/>
        </w:rPr>
        <w:t>套，建筑面积约</w:t>
      </w:r>
      <w:r>
        <w:rPr>
          <w:rFonts w:ascii="Arial" w:hAnsi="Arial" w:hint="eastAsia"/>
          <w:sz w:val="21"/>
        </w:rPr>
        <w:t>41.81-42.24</w:t>
      </w:r>
      <w:r>
        <w:rPr>
          <w:rFonts w:ascii="Arial" w:hAnsi="Arial" w:hint="eastAsia"/>
          <w:sz w:val="21"/>
        </w:rPr>
        <w:t>平方米；中套型</w:t>
      </w:r>
      <w:r>
        <w:rPr>
          <w:rFonts w:ascii="Arial" w:hAnsi="Arial" w:hint="eastAsia"/>
          <w:sz w:val="21"/>
        </w:rPr>
        <w:t>216</w:t>
      </w:r>
      <w:r>
        <w:rPr>
          <w:rFonts w:ascii="Arial" w:hAnsi="Arial" w:hint="eastAsia"/>
          <w:sz w:val="21"/>
        </w:rPr>
        <w:t>套，建筑面积约</w:t>
      </w:r>
      <w:r>
        <w:rPr>
          <w:rFonts w:ascii="Arial" w:hAnsi="Arial" w:hint="eastAsia"/>
          <w:sz w:val="21"/>
        </w:rPr>
        <w:t>51.72-53.96</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53D8C6DB" w14:textId="77777777" w:rsidR="00000000" w:rsidRDefault="00000000">
      <w:pPr>
        <w:spacing w:line="480" w:lineRule="auto"/>
        <w:ind w:firstLineChars="200" w:firstLine="420"/>
        <w:jc w:val="both"/>
        <w:rPr>
          <w:rFonts w:ascii="Arial" w:hAnsi="Arial" w:hint="eastAsia"/>
          <w:sz w:val="21"/>
        </w:rPr>
      </w:pPr>
      <w:r>
        <w:rPr>
          <w:rFonts w:ascii="Arial" w:hAnsi="Arial" w:hint="eastAsia"/>
          <w:sz w:val="21"/>
        </w:rPr>
        <w:t>通州光机电公租房项目：该项目位于通州区台湖镇兴光三街</w:t>
      </w:r>
      <w:r>
        <w:rPr>
          <w:rFonts w:ascii="Arial" w:hAnsi="Arial" w:hint="eastAsia"/>
          <w:sz w:val="21"/>
        </w:rPr>
        <w:t>9</w:t>
      </w:r>
      <w:r>
        <w:rPr>
          <w:rFonts w:ascii="Arial" w:hAnsi="Arial" w:hint="eastAsia"/>
          <w:sz w:val="21"/>
        </w:rPr>
        <w:t>号院。本次可配租房源共计</w:t>
      </w:r>
      <w:r>
        <w:rPr>
          <w:rFonts w:ascii="Arial" w:hAnsi="Arial" w:hint="eastAsia"/>
          <w:sz w:val="21"/>
        </w:rPr>
        <w:t>10</w:t>
      </w:r>
      <w:r>
        <w:rPr>
          <w:rFonts w:ascii="Arial" w:hAnsi="Arial" w:hint="eastAsia"/>
          <w:sz w:val="21"/>
        </w:rPr>
        <w:t>套，小套型</w:t>
      </w:r>
      <w:r>
        <w:rPr>
          <w:rFonts w:ascii="Arial" w:hAnsi="Arial" w:hint="eastAsia"/>
          <w:sz w:val="21"/>
        </w:rPr>
        <w:t>5</w:t>
      </w:r>
      <w:r>
        <w:rPr>
          <w:rFonts w:ascii="Arial" w:hAnsi="Arial" w:hint="eastAsia"/>
          <w:sz w:val="21"/>
        </w:rPr>
        <w:t>套，建筑面积约</w:t>
      </w:r>
      <w:r>
        <w:rPr>
          <w:rFonts w:ascii="Arial" w:hAnsi="Arial" w:hint="eastAsia"/>
          <w:sz w:val="21"/>
        </w:rPr>
        <w:t>36.64-37.45</w:t>
      </w:r>
      <w:r>
        <w:rPr>
          <w:rFonts w:ascii="Arial" w:hAnsi="Arial" w:hint="eastAsia"/>
          <w:sz w:val="21"/>
        </w:rPr>
        <w:t>平方米；大套型</w:t>
      </w:r>
      <w:r>
        <w:rPr>
          <w:rFonts w:ascii="Arial" w:hAnsi="Arial" w:hint="eastAsia"/>
          <w:sz w:val="21"/>
        </w:rPr>
        <w:t>5</w:t>
      </w:r>
      <w:r>
        <w:rPr>
          <w:rFonts w:ascii="Arial" w:hAnsi="Arial" w:hint="eastAsia"/>
          <w:sz w:val="21"/>
        </w:rPr>
        <w:t>套，建筑面积约</w:t>
      </w:r>
      <w:r>
        <w:rPr>
          <w:rFonts w:ascii="Arial" w:hAnsi="Arial" w:hint="eastAsia"/>
          <w:sz w:val="21"/>
        </w:rPr>
        <w:t>66.21-67.73</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建筑㎡·月。</w:t>
      </w:r>
    </w:p>
    <w:p w14:paraId="3E51A1CA" w14:textId="77777777" w:rsidR="00000000" w:rsidRDefault="00000000">
      <w:pPr>
        <w:spacing w:line="480" w:lineRule="auto"/>
        <w:ind w:firstLineChars="200" w:firstLine="420"/>
        <w:jc w:val="both"/>
        <w:rPr>
          <w:rFonts w:ascii="Arial" w:hAnsi="Arial"/>
          <w:sz w:val="21"/>
        </w:rPr>
      </w:pPr>
      <w:r>
        <w:rPr>
          <w:rFonts w:ascii="Arial" w:hAnsi="Arial" w:hint="eastAsia"/>
          <w:sz w:val="21"/>
        </w:rPr>
        <w:t>可配租房源套数共计</w:t>
      </w:r>
      <w:r>
        <w:rPr>
          <w:rFonts w:ascii="Arial" w:hAnsi="Arial" w:hint="eastAsia"/>
          <w:sz w:val="21"/>
        </w:rPr>
        <w:t>525</w:t>
      </w:r>
      <w:r>
        <w:rPr>
          <w:rFonts w:ascii="Arial" w:hAnsi="Arial" w:hint="eastAsia"/>
          <w:sz w:val="21"/>
        </w:rPr>
        <w:t>套，上述公租房项目的租金不包含供暖费、水费、电费、燃气费、电话费、上网费、有线电视初装及收视费等。</w:t>
      </w:r>
    </w:p>
    <w:p w14:paraId="5CB8A13E" w14:textId="77777777" w:rsidR="00000000" w:rsidRDefault="00000000">
      <w:pPr>
        <w:spacing w:line="480" w:lineRule="auto"/>
        <w:ind w:firstLineChars="200" w:firstLine="420"/>
        <w:jc w:val="both"/>
        <w:rPr>
          <w:rFonts w:ascii="Arial" w:hAnsi="Arial" w:hint="eastAsia"/>
          <w:sz w:val="21"/>
        </w:rPr>
      </w:pPr>
    </w:p>
    <w:p w14:paraId="320E9FB7" w14:textId="77777777" w:rsidR="00000000" w:rsidRDefault="00000000">
      <w:pPr>
        <w:pStyle w:val="2"/>
        <w:numPr>
          <w:ilvl w:val="0"/>
          <w:numId w:val="0"/>
        </w:numPr>
        <w:tabs>
          <w:tab w:val="left" w:pos="360"/>
        </w:tabs>
        <w:spacing w:line="480" w:lineRule="auto"/>
        <w:ind w:left="358" w:hangingChars="170" w:hanging="358"/>
        <w:jc w:val="both"/>
        <w:rPr>
          <w:rFonts w:eastAsia="宋体" w:hint="eastAsia"/>
          <w:kern w:val="2"/>
          <w:sz w:val="21"/>
          <w:szCs w:val="21"/>
        </w:rPr>
      </w:pPr>
      <w:bookmarkStart w:id="55" w:name="_Toc20572"/>
      <w:r>
        <w:rPr>
          <w:rFonts w:eastAsia="宋体"/>
          <w:kern w:val="2"/>
          <w:sz w:val="21"/>
          <w:szCs w:val="21"/>
        </w:rPr>
        <w:t>三、最高最佳利用分析</w:t>
      </w:r>
      <w:bookmarkEnd w:id="55"/>
    </w:p>
    <w:p w14:paraId="7612014D" w14:textId="77777777" w:rsidR="00000000" w:rsidRDefault="00000000">
      <w:pPr>
        <w:pStyle w:val="Normal"/>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所谓最高最佳使用是指房地产估价要以房地产的最高最佳使用为前提。最高最佳使用是估价对象的一种最可能的使用</w:t>
      </w:r>
      <w:r>
        <w:rPr>
          <w:rFonts w:ascii="Arial" w:hAnsi="Arial" w:cs="Arial" w:hint="eastAsia"/>
          <w:sz w:val="21"/>
          <w:szCs w:val="21"/>
        </w:rPr>
        <w:t>,</w:t>
      </w:r>
      <w:r>
        <w:rPr>
          <w:rFonts w:ascii="Arial" w:hAnsi="Arial" w:cs="Arial"/>
          <w:sz w:val="21"/>
          <w:szCs w:val="21"/>
        </w:rPr>
        <w:t>这种最可能的使用是法律上允许、技术上可能、经济上可行，经过充分合理的论证，并能给估价对象带来最高价值的使用。它主要体现在以下几个方面</w:t>
      </w:r>
      <w:r>
        <w:rPr>
          <w:rFonts w:ascii="Arial" w:hAnsi="Arial" w:cs="Arial" w:hint="eastAsia"/>
          <w:sz w:val="21"/>
          <w:szCs w:val="21"/>
        </w:rPr>
        <w:t>:</w:t>
      </w:r>
    </w:p>
    <w:p w14:paraId="2BC8CE4D" w14:textId="77777777" w:rsidR="00000000" w:rsidRDefault="00000000">
      <w:pPr>
        <w:pStyle w:val="Normal"/>
        <w:autoSpaceDE w:val="0"/>
        <w:autoSpaceDN w:val="0"/>
        <w:spacing w:line="480" w:lineRule="auto"/>
        <w:ind w:right="140"/>
        <w:jc w:val="both"/>
        <w:textAlignment w:val="bottom"/>
        <w:rPr>
          <w:rFonts w:ascii="Arial" w:hAnsi="Arial" w:cs="Arial" w:hint="eastAsia"/>
          <w:b/>
          <w:sz w:val="21"/>
          <w:szCs w:val="21"/>
        </w:rPr>
      </w:pPr>
      <w:r>
        <w:rPr>
          <w:rFonts w:ascii="Arial" w:hAnsi="Arial" w:cs="Arial"/>
          <w:b/>
          <w:sz w:val="21"/>
          <w:szCs w:val="21"/>
        </w:rPr>
        <w:t>（一）法律上允许</w:t>
      </w:r>
      <w:r>
        <w:rPr>
          <w:rFonts w:ascii="Arial" w:hAnsi="Arial" w:cs="Arial" w:hint="eastAsia"/>
          <w:b/>
          <w:sz w:val="21"/>
          <w:szCs w:val="21"/>
        </w:rPr>
        <w:t>（</w:t>
      </w:r>
      <w:r>
        <w:rPr>
          <w:rFonts w:ascii="Arial" w:hAnsi="Arial" w:cs="Arial"/>
          <w:b/>
          <w:sz w:val="21"/>
          <w:szCs w:val="21"/>
        </w:rPr>
        <w:t>规划及相关政策法规许可</w:t>
      </w:r>
      <w:r>
        <w:rPr>
          <w:rFonts w:ascii="Arial" w:hAnsi="Arial" w:cs="Arial" w:hint="eastAsia"/>
          <w:b/>
          <w:sz w:val="21"/>
          <w:szCs w:val="21"/>
        </w:rPr>
        <w:t>）</w:t>
      </w:r>
    </w:p>
    <w:p w14:paraId="519F2608" w14:textId="77777777" w:rsidR="00000000" w:rsidRDefault="00000000">
      <w:pPr>
        <w:pStyle w:val="Normal"/>
        <w:autoSpaceDE w:val="0"/>
        <w:autoSpaceDN w:val="0"/>
        <w:spacing w:line="480" w:lineRule="auto"/>
        <w:ind w:right="140" w:firstLineChars="200" w:firstLine="420"/>
        <w:jc w:val="both"/>
        <w:textAlignment w:val="bottom"/>
        <w:rPr>
          <w:rFonts w:ascii="Arial" w:hAnsi="Arial" w:cs="Arial" w:hint="eastAsia"/>
          <w:sz w:val="21"/>
          <w:szCs w:val="21"/>
        </w:rPr>
      </w:pPr>
      <w:r>
        <w:rPr>
          <w:rFonts w:ascii="Arial" w:hAnsi="Arial" w:cs="Arial"/>
          <w:sz w:val="21"/>
          <w:szCs w:val="21"/>
        </w:rPr>
        <w:t>法律上允许即不受现时使用状况的限制，而依照法律规章、规划发展方向，按照其可能的最优用途进行估价。</w:t>
      </w:r>
    </w:p>
    <w:p w14:paraId="6182D460" w14:textId="77777777" w:rsidR="00000000" w:rsidRDefault="00000000">
      <w:pPr>
        <w:pStyle w:val="Normal"/>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估价对象土地规划用途为住宅，房屋规划用途为住宅，实际拟用作公共租赁住房，法律上允许。</w:t>
      </w:r>
    </w:p>
    <w:p w14:paraId="731A4E0C" w14:textId="77777777" w:rsidR="00000000" w:rsidRDefault="00000000">
      <w:pPr>
        <w:pStyle w:val="Normal"/>
        <w:autoSpaceDE w:val="0"/>
        <w:autoSpaceDN w:val="0"/>
        <w:spacing w:line="480" w:lineRule="auto"/>
        <w:ind w:right="142"/>
        <w:jc w:val="both"/>
        <w:textAlignment w:val="bottom"/>
        <w:rPr>
          <w:rFonts w:ascii="Arial" w:hAnsi="Arial" w:cs="Arial" w:hint="eastAsia"/>
          <w:b/>
          <w:sz w:val="21"/>
          <w:szCs w:val="21"/>
        </w:rPr>
      </w:pPr>
      <w:r>
        <w:rPr>
          <w:rFonts w:ascii="Arial" w:hAnsi="Arial" w:cs="Arial"/>
          <w:b/>
          <w:sz w:val="21"/>
          <w:szCs w:val="21"/>
        </w:rPr>
        <w:t>（二）技术上可能</w:t>
      </w:r>
    </w:p>
    <w:p w14:paraId="53312722" w14:textId="77777777" w:rsidR="00000000" w:rsidRDefault="00000000">
      <w:pPr>
        <w:pStyle w:val="Normal"/>
        <w:autoSpaceDE w:val="0"/>
        <w:autoSpaceDN w:val="0"/>
        <w:spacing w:line="480" w:lineRule="auto"/>
        <w:ind w:right="142" w:firstLineChars="200" w:firstLine="420"/>
        <w:jc w:val="both"/>
        <w:textAlignment w:val="bottom"/>
        <w:rPr>
          <w:rFonts w:ascii="Arial" w:hAnsi="Arial" w:cs="Arial" w:hint="eastAsia"/>
          <w:sz w:val="21"/>
          <w:szCs w:val="21"/>
        </w:rPr>
      </w:pPr>
      <w:r>
        <w:rPr>
          <w:rFonts w:ascii="Arial" w:hAnsi="Arial" w:cs="Arial" w:hint="eastAsia"/>
          <w:sz w:val="21"/>
          <w:szCs w:val="21"/>
        </w:rPr>
        <w:t>技术上可能</w:t>
      </w:r>
      <w:r>
        <w:rPr>
          <w:rFonts w:ascii="Arial" w:hAnsi="Arial" w:cs="Arial"/>
          <w:sz w:val="21"/>
          <w:szCs w:val="21"/>
        </w:rPr>
        <w:t>即不能把技术上无法做到的使用当作最高最佳使用，要按照房屋建筑工程方面的技术要求进行估价。</w:t>
      </w:r>
    </w:p>
    <w:p w14:paraId="1FB71819" w14:textId="77777777" w:rsidR="00000000" w:rsidRDefault="00000000">
      <w:pPr>
        <w:pStyle w:val="Normal"/>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估价对象为</w:t>
      </w:r>
      <w:r>
        <w:rPr>
          <w:rFonts w:ascii="Arial" w:hAnsi="Arial" w:cs="Arial" w:hint="eastAsia"/>
          <w:kern w:val="2"/>
          <w:sz w:val="21"/>
          <w:szCs w:val="21"/>
        </w:rPr>
        <w:t>装配式剪力墙（钢混）</w:t>
      </w:r>
      <w:r>
        <w:rPr>
          <w:rFonts w:ascii="Arial" w:hAnsi="Arial" w:cs="Arial" w:hint="eastAsia"/>
          <w:sz w:val="21"/>
          <w:szCs w:val="21"/>
        </w:rPr>
        <w:t>结构的高层建筑物。</w:t>
      </w:r>
      <w:r>
        <w:rPr>
          <w:rFonts w:ascii="Arial" w:hAnsi="Arial" w:cs="Arial"/>
          <w:sz w:val="21"/>
          <w:szCs w:val="21"/>
        </w:rPr>
        <w:t>估价对象建筑结构、功能、造型、立面效果、建筑材料和设备选用、施工技术等方面，</w:t>
      </w:r>
      <w:r>
        <w:rPr>
          <w:rFonts w:ascii="Arial" w:hAnsi="Arial" w:cs="Arial" w:hint="eastAsia"/>
          <w:sz w:val="21"/>
          <w:szCs w:val="21"/>
        </w:rPr>
        <w:t>在目前的施工</w:t>
      </w:r>
      <w:r>
        <w:rPr>
          <w:rFonts w:ascii="Arial" w:hAnsi="Arial" w:cs="Arial"/>
          <w:sz w:val="21"/>
          <w:szCs w:val="21"/>
        </w:rPr>
        <w:t>技术上均能满足要求。</w:t>
      </w:r>
    </w:p>
    <w:p w14:paraId="4E243B44" w14:textId="77777777" w:rsidR="00000000" w:rsidRDefault="00000000">
      <w:pPr>
        <w:pStyle w:val="Normal"/>
        <w:autoSpaceDE w:val="0"/>
        <w:autoSpaceDN w:val="0"/>
        <w:spacing w:line="480" w:lineRule="auto"/>
        <w:ind w:right="142"/>
        <w:jc w:val="both"/>
        <w:textAlignment w:val="bottom"/>
        <w:rPr>
          <w:rFonts w:ascii="Arial" w:hAnsi="Arial" w:cs="Arial" w:hint="eastAsia"/>
          <w:b/>
          <w:sz w:val="21"/>
          <w:szCs w:val="21"/>
        </w:rPr>
      </w:pPr>
      <w:r>
        <w:rPr>
          <w:rFonts w:ascii="Arial" w:hAnsi="Arial" w:cs="Arial"/>
          <w:b/>
          <w:sz w:val="21"/>
          <w:szCs w:val="21"/>
        </w:rPr>
        <w:t>（三）经济上可行</w:t>
      </w:r>
    </w:p>
    <w:p w14:paraId="5F0284C8" w14:textId="77777777" w:rsidR="00000000" w:rsidRDefault="00000000">
      <w:pPr>
        <w:pStyle w:val="Normal"/>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经济上可行</w:t>
      </w:r>
      <w:r>
        <w:rPr>
          <w:rFonts w:ascii="Arial" w:hAnsi="Arial" w:cs="Arial"/>
          <w:sz w:val="21"/>
          <w:szCs w:val="21"/>
        </w:rPr>
        <w:t>即估价结果应是各种可能的使用方式中，以经济上有限的投入而能获得最大的收益的</w:t>
      </w:r>
      <w:r>
        <w:rPr>
          <w:rFonts w:ascii="Arial" w:hAnsi="Arial" w:cs="Arial"/>
          <w:sz w:val="21"/>
          <w:szCs w:val="21"/>
        </w:rPr>
        <w:lastRenderedPageBreak/>
        <w:t>使用方式的估价结果。估价对象目前用途、产权合法、建造标准技术上能满足要求，并且其收入现值大于支出现值，具有经济可行性。</w:t>
      </w:r>
    </w:p>
    <w:p w14:paraId="7EACC7C4" w14:textId="77777777" w:rsidR="00000000" w:rsidRDefault="00000000">
      <w:pPr>
        <w:pStyle w:val="Normal"/>
        <w:autoSpaceDE w:val="0"/>
        <w:autoSpaceDN w:val="0"/>
        <w:spacing w:line="480" w:lineRule="auto"/>
        <w:ind w:right="140"/>
        <w:jc w:val="both"/>
        <w:textAlignment w:val="bottom"/>
        <w:rPr>
          <w:rFonts w:ascii="Arial" w:hAnsi="Arial" w:cs="Arial" w:hint="eastAsia"/>
          <w:b/>
          <w:sz w:val="21"/>
          <w:szCs w:val="21"/>
        </w:rPr>
      </w:pPr>
      <w:r>
        <w:rPr>
          <w:rFonts w:ascii="Arial" w:hAnsi="Arial" w:cs="Arial"/>
          <w:b/>
          <w:sz w:val="21"/>
          <w:szCs w:val="21"/>
        </w:rPr>
        <w:t>（四）价值最大化</w:t>
      </w:r>
    </w:p>
    <w:p w14:paraId="4578A59C" w14:textId="77777777" w:rsidR="00000000" w:rsidRDefault="00000000">
      <w:pPr>
        <w:pStyle w:val="Normal"/>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价值最大化</w:t>
      </w:r>
      <w:r>
        <w:rPr>
          <w:rFonts w:ascii="Arial" w:hAnsi="Arial" w:cs="Arial"/>
          <w:sz w:val="21"/>
          <w:szCs w:val="21"/>
        </w:rPr>
        <w:t>即在所有具有经济可行性的使用方式中，能使估价对象价值达到最大的使用方式，才是最高最佳的使用方式。估价对象</w:t>
      </w:r>
      <w:r>
        <w:rPr>
          <w:rFonts w:ascii="Arial" w:hAnsi="Arial" w:cs="Arial" w:hint="eastAsia"/>
          <w:sz w:val="21"/>
          <w:szCs w:val="21"/>
        </w:rPr>
        <w:t>土地规划用途为住宅，房屋规划用途为住宅，实际拟用作公共租赁住房，</w:t>
      </w:r>
      <w:r>
        <w:rPr>
          <w:rFonts w:ascii="Arial" w:hAnsi="Arial" w:cs="Arial"/>
          <w:sz w:val="21"/>
          <w:szCs w:val="21"/>
        </w:rPr>
        <w:t>其使用方式以满足法律上许可、技术上可能、经济上可行为前提条件，经过论证可使估价对象价值得到最大化。</w:t>
      </w:r>
    </w:p>
    <w:p w14:paraId="407631CE" w14:textId="77777777" w:rsidR="00000000" w:rsidRDefault="00000000">
      <w:pPr>
        <w:pStyle w:val="Normal"/>
        <w:autoSpaceDE w:val="0"/>
        <w:autoSpaceDN w:val="0"/>
        <w:spacing w:line="480" w:lineRule="auto"/>
        <w:ind w:right="140"/>
        <w:jc w:val="both"/>
        <w:textAlignment w:val="bottom"/>
        <w:rPr>
          <w:rFonts w:ascii="Arial" w:hAnsi="Arial" w:cs="Arial" w:hint="eastAsia"/>
          <w:b/>
          <w:sz w:val="21"/>
          <w:szCs w:val="21"/>
        </w:rPr>
      </w:pPr>
      <w:r>
        <w:rPr>
          <w:rFonts w:ascii="Arial" w:hAnsi="Arial" w:cs="Arial"/>
          <w:b/>
          <w:sz w:val="21"/>
          <w:szCs w:val="21"/>
        </w:rPr>
        <w:t>（五）使用前提说明与分析</w:t>
      </w:r>
    </w:p>
    <w:p w14:paraId="11618767" w14:textId="77777777" w:rsidR="00000000" w:rsidRDefault="00000000">
      <w:pPr>
        <w:pStyle w:val="Normal"/>
        <w:autoSpaceDE w:val="0"/>
        <w:autoSpaceDN w:val="0"/>
        <w:spacing w:line="480" w:lineRule="auto"/>
        <w:ind w:right="140" w:firstLineChars="200" w:firstLine="420"/>
        <w:jc w:val="both"/>
        <w:textAlignment w:val="bottom"/>
        <w:rPr>
          <w:rFonts w:ascii="Arial" w:hAnsi="Arial" w:cs="Arial" w:hint="eastAsia"/>
          <w:sz w:val="21"/>
          <w:szCs w:val="21"/>
        </w:rPr>
      </w:pPr>
      <w:r>
        <w:rPr>
          <w:rFonts w:ascii="Arial" w:hAnsi="Arial" w:cs="Arial"/>
          <w:sz w:val="21"/>
          <w:szCs w:val="21"/>
        </w:rPr>
        <w:t>估价对象</w:t>
      </w:r>
      <w:r>
        <w:rPr>
          <w:rFonts w:ascii="Arial" w:hAnsi="Arial" w:cs="Arial" w:hint="eastAsia"/>
          <w:sz w:val="21"/>
          <w:szCs w:val="21"/>
        </w:rPr>
        <w:t>设定</w:t>
      </w:r>
      <w:r>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65942C8B" w14:textId="77777777" w:rsidR="00000000" w:rsidRDefault="00000000">
      <w:pPr>
        <w:spacing w:line="480" w:lineRule="auto"/>
        <w:ind w:firstLineChars="200" w:firstLine="420"/>
        <w:jc w:val="both"/>
        <w:rPr>
          <w:rFonts w:ascii="Arial" w:hAnsi="Arial" w:cs="Arial" w:hint="eastAsia"/>
          <w:sz w:val="21"/>
          <w:szCs w:val="21"/>
        </w:rPr>
      </w:pPr>
      <w:r>
        <w:rPr>
          <w:rFonts w:ascii="Arial" w:hAnsi="Arial" w:cs="Arial"/>
          <w:sz w:val="21"/>
          <w:szCs w:val="21"/>
        </w:rPr>
        <w:t>综上所述，我们认为估价对象用途</w:t>
      </w:r>
      <w:r>
        <w:rPr>
          <w:rFonts w:ascii="Arial" w:hAnsi="Arial" w:cs="Arial" w:hint="eastAsia"/>
          <w:sz w:val="21"/>
          <w:szCs w:val="21"/>
        </w:rPr>
        <w:t>为公共租赁住房</w:t>
      </w:r>
      <w:r>
        <w:rPr>
          <w:rFonts w:ascii="Arial" w:hAnsi="Arial" w:cs="Arial"/>
          <w:sz w:val="21"/>
          <w:szCs w:val="21"/>
        </w:rPr>
        <w:t>为其最高最佳使用途径。</w:t>
      </w:r>
    </w:p>
    <w:p w14:paraId="007DBE32" w14:textId="77777777" w:rsidR="00000000" w:rsidRDefault="00000000">
      <w:pPr>
        <w:spacing w:line="480" w:lineRule="auto"/>
        <w:ind w:firstLineChars="200" w:firstLine="420"/>
        <w:jc w:val="both"/>
        <w:rPr>
          <w:rFonts w:ascii="Arial" w:hAnsi="Arial" w:cs="Arial"/>
          <w:sz w:val="21"/>
          <w:szCs w:val="21"/>
        </w:rPr>
      </w:pPr>
    </w:p>
    <w:p w14:paraId="72F634A4" w14:textId="77777777" w:rsidR="00000000" w:rsidRDefault="00000000">
      <w:pPr>
        <w:pStyle w:val="2"/>
        <w:numPr>
          <w:ilvl w:val="0"/>
          <w:numId w:val="9"/>
        </w:numPr>
        <w:tabs>
          <w:tab w:val="left" w:pos="360"/>
        </w:tabs>
        <w:spacing w:line="480" w:lineRule="auto"/>
        <w:jc w:val="both"/>
        <w:rPr>
          <w:rFonts w:eastAsia="宋体"/>
          <w:kern w:val="2"/>
          <w:sz w:val="21"/>
          <w:szCs w:val="21"/>
        </w:rPr>
      </w:pPr>
      <w:bookmarkStart w:id="56" w:name="_Toc26871"/>
      <w:r>
        <w:rPr>
          <w:rFonts w:eastAsia="宋体"/>
          <w:kern w:val="2"/>
          <w:sz w:val="21"/>
          <w:szCs w:val="21"/>
        </w:rPr>
        <w:t>估价方法适用性分析</w:t>
      </w:r>
      <w:bookmarkEnd w:id="56"/>
    </w:p>
    <w:p w14:paraId="6A4E656C" w14:textId="77777777" w:rsidR="00000000" w:rsidRDefault="00000000">
      <w:pPr>
        <w:wordWrap w:val="0"/>
        <w:overflowPunct w:val="0"/>
        <w:spacing w:line="480" w:lineRule="auto"/>
        <w:ind w:firstLineChars="200" w:firstLine="420"/>
        <w:jc w:val="both"/>
        <w:textAlignment w:val="auto"/>
        <w:rPr>
          <w:rFonts w:ascii="Arial" w:hAnsi="Arial" w:cs="Arial"/>
          <w:bCs/>
          <w:spacing w:val="10"/>
          <w:sz w:val="21"/>
          <w:szCs w:val="21"/>
        </w:rPr>
      </w:pPr>
      <w:r>
        <w:rPr>
          <w:rFonts w:ascii="Arial" w:hAnsi="Arial" w:cs="Arial"/>
          <w:sz w:val="21"/>
          <w:szCs w:val="21"/>
        </w:rPr>
        <w:t>由于本次评估是</w:t>
      </w:r>
      <w:r>
        <w:rPr>
          <w:rFonts w:ascii="Arial" w:hAnsi="Arial" w:cs="Arial" w:hint="eastAsia"/>
          <w:sz w:val="21"/>
          <w:szCs w:val="21"/>
        </w:rPr>
        <w:t>为估价委托人确定公共租赁住房项目市场租金提供价格参考依据</w:t>
      </w:r>
      <w:r>
        <w:rPr>
          <w:rFonts w:ascii="Arial" w:hAnsi="Arial" w:cs="Arial"/>
          <w:sz w:val="21"/>
          <w:szCs w:val="21"/>
        </w:rPr>
        <w:t>，因此我们在认真分析研究估价对象的相关资料，并通过对邻近地区同类物业调查的基础上，根据《房地产估价规范》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）、参照《关于发布</w:t>
      </w:r>
      <w:r>
        <w:rPr>
          <w:rFonts w:ascii="Arial" w:hAnsi="Arial" w:cs="Arial" w:hint="eastAsia"/>
          <w:sz w:val="21"/>
          <w:szCs w:val="21"/>
        </w:rPr>
        <w:t>&lt;</w:t>
      </w:r>
      <w:r>
        <w:rPr>
          <w:rFonts w:ascii="Arial" w:hAnsi="Arial" w:cs="Arial" w:hint="eastAsia"/>
          <w:sz w:val="21"/>
          <w:szCs w:val="21"/>
        </w:rPr>
        <w:t>北京市公共租赁住房项目市场租金评估技术指引</w:t>
      </w:r>
      <w:r>
        <w:rPr>
          <w:rFonts w:ascii="Arial" w:hAnsi="Arial" w:cs="Arial" w:hint="eastAsia"/>
          <w:sz w:val="21"/>
          <w:szCs w:val="21"/>
        </w:rPr>
        <w:t>&gt;</w:t>
      </w:r>
      <w:r>
        <w:rPr>
          <w:rFonts w:ascii="Arial" w:hAnsi="Arial" w:cs="Arial" w:hint="eastAsia"/>
          <w:sz w:val="21"/>
          <w:szCs w:val="21"/>
        </w:rPr>
        <w:t>的通知》</w:t>
      </w:r>
      <w:r>
        <w:rPr>
          <w:rFonts w:ascii="Arial" w:hAnsi="Arial" w:cs="Arial" w:hint="eastAsia"/>
          <w:sz w:val="21"/>
          <w:szCs w:val="21"/>
        </w:rPr>
        <w:t>[</w:t>
      </w:r>
      <w:r>
        <w:rPr>
          <w:rFonts w:ascii="Arial" w:hAnsi="Arial" w:cs="Arial" w:hint="eastAsia"/>
          <w:sz w:val="21"/>
          <w:szCs w:val="21"/>
        </w:rPr>
        <w:t>北估秘</w:t>
      </w:r>
      <w:r>
        <w:rPr>
          <w:rFonts w:ascii="Arial" w:hAnsi="Arial" w:cs="Arial" w:hint="eastAsia"/>
          <w:sz w:val="21"/>
          <w:szCs w:val="21"/>
        </w:rPr>
        <w:t>[2019]020</w:t>
      </w:r>
      <w:r>
        <w:rPr>
          <w:rFonts w:ascii="Arial" w:hAnsi="Arial" w:cs="Arial" w:hint="eastAsia"/>
          <w:sz w:val="21"/>
          <w:szCs w:val="21"/>
        </w:rPr>
        <w:t>号</w:t>
      </w:r>
      <w:r>
        <w:rPr>
          <w:rFonts w:ascii="Arial" w:hAnsi="Arial" w:cs="Arial" w:hint="eastAsia"/>
          <w:sz w:val="21"/>
          <w:szCs w:val="21"/>
        </w:rPr>
        <w:t>]</w:t>
      </w:r>
      <w:r>
        <w:rPr>
          <w:rFonts w:ascii="Arial" w:hAnsi="Arial" w:cs="Arial"/>
          <w:sz w:val="21"/>
          <w:szCs w:val="21"/>
        </w:rPr>
        <w:t>的估价程序，选用</w:t>
      </w:r>
      <w:r>
        <w:rPr>
          <w:rFonts w:ascii="Arial" w:hAnsi="Arial" w:cs="Arial" w:hint="eastAsia"/>
          <w:sz w:val="21"/>
          <w:szCs w:val="21"/>
        </w:rPr>
        <w:t>比较法</w:t>
      </w:r>
      <w:r>
        <w:rPr>
          <w:rFonts w:ascii="Arial" w:hAnsi="Arial" w:cs="Arial"/>
          <w:sz w:val="21"/>
          <w:szCs w:val="21"/>
        </w:rPr>
        <w:t>为主方法进行估价</w:t>
      </w:r>
      <w:r>
        <w:rPr>
          <w:rFonts w:ascii="Arial" w:hAnsi="Arial" w:cs="Arial" w:hint="eastAsia"/>
          <w:sz w:val="21"/>
          <w:szCs w:val="21"/>
        </w:rPr>
        <w:t>，进而确定</w:t>
      </w:r>
      <w:r>
        <w:rPr>
          <w:rFonts w:ascii="Arial" w:hAnsi="Arial" w:hint="eastAsia"/>
          <w:sz w:val="21"/>
          <w:szCs w:val="21"/>
        </w:rPr>
        <w:t>估价对象</w:t>
      </w:r>
      <w:r>
        <w:rPr>
          <w:rFonts w:ascii="Arial" w:hAnsi="Arial" w:cs="Arial" w:hint="eastAsia"/>
          <w:sz w:val="21"/>
          <w:szCs w:val="21"/>
        </w:rPr>
        <w:t>市场平均租金价格水平</w:t>
      </w:r>
      <w:r>
        <w:rPr>
          <w:rFonts w:ascii="Arial" w:hAnsi="Arial" w:cs="Arial"/>
          <w:sz w:val="21"/>
          <w:szCs w:val="21"/>
        </w:rPr>
        <w:t>。</w:t>
      </w:r>
    </w:p>
    <w:p w14:paraId="5C95D08D" w14:textId="77777777" w:rsidR="00000000" w:rsidRDefault="00000000">
      <w:pPr>
        <w:pStyle w:val="Normal"/>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w:t>
      </w:r>
      <w:r>
        <w:rPr>
          <w:rFonts w:ascii="Arial" w:hAnsi="Arial" w:cs="Arial" w:hint="eastAsia"/>
          <w:b/>
          <w:sz w:val="21"/>
          <w:szCs w:val="21"/>
        </w:rPr>
        <w:t>估价思路</w:t>
      </w:r>
      <w:r>
        <w:rPr>
          <w:rFonts w:ascii="Arial" w:hAnsi="Arial" w:cs="Arial"/>
          <w:b/>
          <w:sz w:val="21"/>
          <w:szCs w:val="21"/>
        </w:rPr>
        <w:t xml:space="preserve"> </w:t>
      </w:r>
    </w:p>
    <w:p w14:paraId="7A6E95C6" w14:textId="77777777" w:rsidR="00000000" w:rsidRDefault="00000000">
      <w:pPr>
        <w:pStyle w:val="Normal"/>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color w:val="000000"/>
          <w:sz w:val="21"/>
          <w:szCs w:val="21"/>
        </w:rPr>
        <w:t>本次选用比较法对估价对象的市场租金水平进行测算，具体测算思路如下：</w:t>
      </w:r>
    </w:p>
    <w:p w14:paraId="7F74C3FD" w14:textId="77777777" w:rsidR="00000000" w:rsidRDefault="00000000">
      <w:pPr>
        <w:pStyle w:val="Normal"/>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t>首先</w:t>
      </w:r>
      <w:r>
        <w:rPr>
          <w:rFonts w:ascii="Arial" w:hAnsi="Arial" w:cs="Arial" w:hint="eastAsia"/>
          <w:color w:val="000000"/>
          <w:sz w:val="21"/>
          <w:szCs w:val="21"/>
        </w:rPr>
        <w:t>确认</w:t>
      </w:r>
      <w:r>
        <w:rPr>
          <w:rFonts w:ascii="Arial" w:hAnsi="Arial" w:cs="Arial"/>
          <w:color w:val="000000"/>
          <w:sz w:val="21"/>
          <w:szCs w:val="21"/>
        </w:rPr>
        <w:t>估价对象</w:t>
      </w:r>
      <w:r>
        <w:rPr>
          <w:rFonts w:ascii="Arial" w:hAnsi="Arial" w:cs="Arial" w:hint="eastAsia"/>
          <w:color w:val="000000"/>
          <w:sz w:val="21"/>
          <w:szCs w:val="21"/>
        </w:rPr>
        <w:t>标准小区，然后设定标准小区的</w:t>
      </w:r>
      <w:r>
        <w:rPr>
          <w:rFonts w:ascii="Arial" w:hAnsi="Arial" w:cs="Arial"/>
          <w:color w:val="000000"/>
          <w:sz w:val="21"/>
          <w:szCs w:val="21"/>
        </w:rPr>
        <w:t>标准房</w:t>
      </w:r>
      <w:r>
        <w:rPr>
          <w:rFonts w:ascii="Arial" w:hAnsi="Arial" w:cs="Arial" w:hint="eastAsia"/>
          <w:color w:val="000000"/>
          <w:sz w:val="21"/>
          <w:szCs w:val="21"/>
        </w:rPr>
        <w:t>。标准小区及标准房设定如下：</w:t>
      </w:r>
    </w:p>
    <w:p w14:paraId="3D8FB2E0" w14:textId="77777777" w:rsidR="00000000" w:rsidRDefault="00000000">
      <w:pPr>
        <w:pStyle w:val="Normal"/>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bCs/>
          <w:color w:val="000000"/>
          <w:sz w:val="21"/>
          <w:szCs w:val="21"/>
        </w:rPr>
        <w:t>估价对象</w:t>
      </w:r>
      <w:r>
        <w:rPr>
          <w:rFonts w:ascii="Arial" w:hAnsi="Arial" w:cs="Arial" w:hint="eastAsia"/>
          <w:bCs/>
          <w:color w:val="000000"/>
          <w:sz w:val="21"/>
          <w:szCs w:val="21"/>
        </w:rPr>
        <w:t>由</w:t>
      </w:r>
      <w:r>
        <w:rPr>
          <w:rFonts w:ascii="Arial" w:hAnsi="Arial" w:cs="Arial" w:hint="eastAsia"/>
          <w:kern w:val="2"/>
          <w:sz w:val="21"/>
          <w:szCs w:val="21"/>
        </w:rPr>
        <w:t>北京市北京经济技术开发区博兴九路</w:t>
      </w:r>
      <w:r>
        <w:rPr>
          <w:rFonts w:ascii="Arial" w:hAnsi="Arial" w:cs="Arial" w:hint="eastAsia"/>
          <w:kern w:val="2"/>
          <w:sz w:val="21"/>
          <w:szCs w:val="21"/>
        </w:rPr>
        <w:t>19</w:t>
      </w:r>
      <w:r>
        <w:rPr>
          <w:rFonts w:ascii="Arial" w:hAnsi="Arial" w:cs="Arial" w:hint="eastAsia"/>
          <w:kern w:val="2"/>
          <w:sz w:val="21"/>
          <w:szCs w:val="21"/>
        </w:rPr>
        <w:t>号院一区</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5</w:t>
      </w:r>
      <w:r>
        <w:rPr>
          <w:rFonts w:ascii="Arial" w:hAnsi="Arial" w:cs="Arial" w:hint="eastAsia"/>
          <w:kern w:val="2"/>
          <w:sz w:val="21"/>
          <w:szCs w:val="21"/>
        </w:rPr>
        <w:t>幢（</w:t>
      </w:r>
      <w:r>
        <w:rPr>
          <w:rFonts w:ascii="Arial" w:hAnsi="Arial" w:cs="Arial" w:hint="eastAsia"/>
          <w:kern w:val="2"/>
          <w:sz w:val="21"/>
          <w:szCs w:val="21"/>
        </w:rPr>
        <w:t>X13</w:t>
      </w:r>
      <w:r>
        <w:rPr>
          <w:rFonts w:ascii="Arial" w:hAnsi="Arial" w:cs="Arial" w:hint="eastAsia"/>
          <w:kern w:val="2"/>
          <w:sz w:val="21"/>
          <w:szCs w:val="21"/>
        </w:rPr>
        <w:t>海棠苑）共</w:t>
      </w:r>
      <w:r>
        <w:rPr>
          <w:rFonts w:ascii="Arial" w:hAnsi="Arial" w:cs="Arial" w:hint="eastAsia"/>
          <w:kern w:val="2"/>
          <w:sz w:val="21"/>
          <w:szCs w:val="21"/>
        </w:rPr>
        <w:t>1487</w:t>
      </w:r>
      <w:r>
        <w:rPr>
          <w:rFonts w:ascii="Arial" w:hAnsi="Arial" w:cs="Arial" w:hint="eastAsia"/>
          <w:kern w:val="2"/>
          <w:sz w:val="21"/>
          <w:szCs w:val="21"/>
        </w:rPr>
        <w:t>套、北京经济技术开发区鹿海园五里</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13</w:t>
      </w:r>
      <w:r>
        <w:rPr>
          <w:rFonts w:ascii="Arial" w:hAnsi="Arial" w:cs="Arial" w:hint="eastAsia"/>
          <w:kern w:val="2"/>
          <w:sz w:val="21"/>
          <w:szCs w:val="21"/>
        </w:rPr>
        <w:t>幢（</w:t>
      </w:r>
      <w:r>
        <w:rPr>
          <w:rFonts w:ascii="Arial" w:hAnsi="Arial" w:cs="Arial" w:hint="eastAsia"/>
          <w:kern w:val="2"/>
          <w:sz w:val="21"/>
          <w:szCs w:val="21"/>
        </w:rPr>
        <w:t>X38</w:t>
      </w:r>
      <w:r>
        <w:rPr>
          <w:rFonts w:ascii="Arial" w:hAnsi="Arial" w:cs="Arial" w:hint="eastAsia"/>
          <w:kern w:val="2"/>
          <w:sz w:val="21"/>
          <w:szCs w:val="21"/>
        </w:rPr>
        <w:t>鹿海园五里）共</w:t>
      </w:r>
      <w:r>
        <w:rPr>
          <w:rFonts w:ascii="Arial" w:hAnsi="Arial" w:cs="Arial" w:hint="eastAsia"/>
          <w:kern w:val="2"/>
          <w:sz w:val="21"/>
          <w:szCs w:val="21"/>
        </w:rPr>
        <w:t>1231</w:t>
      </w:r>
      <w:r>
        <w:rPr>
          <w:rFonts w:ascii="Arial" w:hAnsi="Arial" w:cs="Arial" w:hint="eastAsia"/>
          <w:kern w:val="2"/>
          <w:sz w:val="21"/>
          <w:szCs w:val="21"/>
        </w:rPr>
        <w:t>套组成，共</w:t>
      </w:r>
      <w:r>
        <w:rPr>
          <w:rFonts w:ascii="Arial" w:hAnsi="Arial" w:cs="Arial"/>
          <w:kern w:val="2"/>
          <w:sz w:val="21"/>
          <w:szCs w:val="21"/>
        </w:rPr>
        <w:t>2718</w:t>
      </w:r>
      <w:r>
        <w:rPr>
          <w:rFonts w:ascii="Arial" w:hAnsi="Arial" w:cs="Arial" w:hint="eastAsia"/>
          <w:kern w:val="2"/>
          <w:sz w:val="21"/>
          <w:szCs w:val="21"/>
        </w:rPr>
        <w:t>套公共</w:t>
      </w:r>
      <w:r>
        <w:rPr>
          <w:rFonts w:ascii="Arial" w:hAnsi="Arial" w:cs="Arial" w:hint="eastAsia"/>
          <w:kern w:val="2"/>
          <w:sz w:val="21"/>
          <w:szCs w:val="21"/>
        </w:rPr>
        <w:lastRenderedPageBreak/>
        <w:t>租赁住房。其中，</w:t>
      </w:r>
      <w:r>
        <w:rPr>
          <w:rFonts w:ascii="Arial" w:hAnsi="Arial" w:cs="Arial" w:hint="eastAsia"/>
          <w:color w:val="000000"/>
          <w:sz w:val="21"/>
          <w:szCs w:val="21"/>
        </w:rPr>
        <w:t>X13</w:t>
      </w:r>
      <w:r>
        <w:rPr>
          <w:rFonts w:ascii="Arial" w:hAnsi="Arial" w:cs="Arial" w:hint="eastAsia"/>
          <w:color w:val="000000"/>
          <w:sz w:val="21"/>
          <w:szCs w:val="21"/>
        </w:rPr>
        <w:t>海棠苑共</w:t>
      </w:r>
      <w:r>
        <w:rPr>
          <w:rFonts w:ascii="Arial" w:hAnsi="Arial" w:cs="Arial" w:hint="eastAsia"/>
          <w:color w:val="000000"/>
          <w:sz w:val="21"/>
          <w:szCs w:val="21"/>
        </w:rPr>
        <w:t>1487</w:t>
      </w:r>
      <w:r>
        <w:rPr>
          <w:rFonts w:ascii="Arial" w:hAnsi="Arial" w:cs="Arial" w:hint="eastAsia"/>
          <w:color w:val="000000"/>
          <w:sz w:val="21"/>
          <w:szCs w:val="21"/>
        </w:rPr>
        <w:t>套，有三种户型，分别为开间、一居室、二居室。其中，开间共</w:t>
      </w:r>
      <w:r>
        <w:rPr>
          <w:rFonts w:ascii="Arial" w:hAnsi="Arial" w:cs="Arial" w:hint="eastAsia"/>
          <w:color w:val="000000"/>
          <w:sz w:val="21"/>
          <w:szCs w:val="21"/>
        </w:rPr>
        <w:t>201</w:t>
      </w:r>
      <w:r>
        <w:rPr>
          <w:rFonts w:ascii="Arial" w:hAnsi="Arial" w:cs="Arial" w:hint="eastAsia"/>
          <w:color w:val="000000"/>
          <w:sz w:val="21"/>
          <w:szCs w:val="21"/>
        </w:rPr>
        <w:t>套，面积控制在</w:t>
      </w:r>
      <w:r>
        <w:rPr>
          <w:rFonts w:ascii="Arial" w:hAnsi="Arial" w:cs="Arial" w:hint="eastAsia"/>
          <w:color w:val="000000"/>
          <w:sz w:val="21"/>
          <w:szCs w:val="21"/>
        </w:rPr>
        <w:t>25.44-50.91</w:t>
      </w:r>
      <w:r>
        <w:rPr>
          <w:rFonts w:ascii="Arial" w:hAnsi="Arial" w:cs="Arial" w:hint="eastAsia"/>
          <w:color w:val="000000"/>
          <w:sz w:val="21"/>
          <w:szCs w:val="21"/>
        </w:rPr>
        <w:t>平方米；一居室共</w:t>
      </w:r>
      <w:r>
        <w:rPr>
          <w:rFonts w:ascii="Arial" w:hAnsi="Arial" w:cs="Arial" w:hint="eastAsia"/>
          <w:color w:val="000000"/>
          <w:sz w:val="21"/>
          <w:szCs w:val="21"/>
        </w:rPr>
        <w:t>1100</w:t>
      </w:r>
      <w:r>
        <w:rPr>
          <w:rFonts w:ascii="Arial" w:hAnsi="Arial" w:cs="Arial" w:hint="eastAsia"/>
          <w:color w:val="000000"/>
          <w:sz w:val="21"/>
          <w:szCs w:val="21"/>
        </w:rPr>
        <w:t>套，面积控制</w:t>
      </w:r>
      <w:r>
        <w:rPr>
          <w:rFonts w:ascii="Arial" w:hAnsi="Arial" w:cs="Arial" w:hint="eastAsia"/>
          <w:color w:val="000000"/>
          <w:sz w:val="21"/>
          <w:szCs w:val="21"/>
        </w:rPr>
        <w:t>38.46-62.94</w:t>
      </w:r>
      <w:r>
        <w:rPr>
          <w:rFonts w:ascii="Arial" w:hAnsi="Arial" w:cs="Arial" w:hint="eastAsia"/>
          <w:color w:val="000000"/>
          <w:sz w:val="21"/>
          <w:szCs w:val="21"/>
        </w:rPr>
        <w:t>平方米；二居室共</w:t>
      </w:r>
      <w:r>
        <w:rPr>
          <w:rFonts w:ascii="Arial" w:hAnsi="Arial" w:cs="Arial" w:hint="eastAsia"/>
          <w:color w:val="000000"/>
          <w:sz w:val="21"/>
          <w:szCs w:val="21"/>
        </w:rPr>
        <w:t>186</w:t>
      </w:r>
      <w:r>
        <w:rPr>
          <w:rFonts w:ascii="Arial" w:hAnsi="Arial" w:cs="Arial" w:hint="eastAsia"/>
          <w:color w:val="000000"/>
          <w:sz w:val="21"/>
          <w:szCs w:val="21"/>
        </w:rPr>
        <w:t>套，面积约控制为</w:t>
      </w:r>
      <w:r>
        <w:rPr>
          <w:rFonts w:ascii="Arial" w:hAnsi="Arial" w:cs="Arial" w:hint="eastAsia"/>
          <w:color w:val="000000"/>
          <w:sz w:val="21"/>
          <w:szCs w:val="21"/>
        </w:rPr>
        <w:t>60.42-61.34</w:t>
      </w:r>
      <w:r>
        <w:rPr>
          <w:rFonts w:ascii="Arial" w:hAnsi="Arial" w:cs="Arial" w:hint="eastAsia"/>
          <w:color w:val="000000"/>
          <w:sz w:val="21"/>
          <w:szCs w:val="21"/>
        </w:rPr>
        <w:t>平方米。</w:t>
      </w:r>
      <w:r>
        <w:rPr>
          <w:rFonts w:ascii="Arial" w:hAnsi="Arial" w:cs="Arial" w:hint="eastAsia"/>
          <w:color w:val="000000"/>
          <w:sz w:val="21"/>
          <w:szCs w:val="21"/>
        </w:rPr>
        <w:t>X38</w:t>
      </w:r>
      <w:r>
        <w:rPr>
          <w:rFonts w:ascii="Arial" w:hAnsi="Arial" w:cs="Arial" w:hint="eastAsia"/>
          <w:color w:val="000000"/>
          <w:sz w:val="21"/>
          <w:szCs w:val="21"/>
        </w:rPr>
        <w:t>鹿海园五里共</w:t>
      </w:r>
      <w:r>
        <w:rPr>
          <w:rFonts w:ascii="Arial" w:hAnsi="Arial" w:cs="Arial" w:hint="eastAsia"/>
          <w:color w:val="000000"/>
          <w:sz w:val="21"/>
          <w:szCs w:val="21"/>
        </w:rPr>
        <w:t>1231</w:t>
      </w:r>
      <w:r>
        <w:rPr>
          <w:rFonts w:ascii="Arial" w:hAnsi="Arial" w:cs="Arial" w:hint="eastAsia"/>
          <w:color w:val="000000"/>
          <w:sz w:val="21"/>
          <w:szCs w:val="21"/>
        </w:rPr>
        <w:t>套，有三种户型，分别为一居室、二居室、三居室。其中，一居室共</w:t>
      </w:r>
      <w:r>
        <w:rPr>
          <w:rFonts w:ascii="Arial" w:hAnsi="Arial" w:cs="Arial" w:hint="eastAsia"/>
          <w:color w:val="000000"/>
          <w:sz w:val="21"/>
          <w:szCs w:val="21"/>
        </w:rPr>
        <w:t>334</w:t>
      </w:r>
      <w:r>
        <w:rPr>
          <w:rFonts w:ascii="Arial" w:hAnsi="Arial" w:cs="Arial" w:hint="eastAsia"/>
          <w:color w:val="000000"/>
          <w:sz w:val="21"/>
          <w:szCs w:val="21"/>
        </w:rPr>
        <w:t>套，面积约控制在</w:t>
      </w:r>
      <w:r>
        <w:rPr>
          <w:rFonts w:ascii="Arial" w:hAnsi="Arial" w:cs="Arial" w:hint="eastAsia"/>
          <w:color w:val="000000"/>
          <w:sz w:val="21"/>
          <w:szCs w:val="21"/>
        </w:rPr>
        <w:t>51.14-71.30</w:t>
      </w:r>
      <w:r>
        <w:rPr>
          <w:rFonts w:ascii="Arial" w:hAnsi="Arial" w:cs="Arial" w:hint="eastAsia"/>
          <w:color w:val="000000"/>
          <w:sz w:val="21"/>
          <w:szCs w:val="21"/>
        </w:rPr>
        <w:t>平方米；二居室共</w:t>
      </w:r>
      <w:r>
        <w:rPr>
          <w:rFonts w:ascii="Arial" w:hAnsi="Arial" w:cs="Arial" w:hint="eastAsia"/>
          <w:color w:val="000000"/>
          <w:sz w:val="21"/>
          <w:szCs w:val="21"/>
        </w:rPr>
        <w:t>656</w:t>
      </w:r>
      <w:r>
        <w:rPr>
          <w:rFonts w:ascii="Arial" w:hAnsi="Arial" w:cs="Arial" w:hint="eastAsia"/>
          <w:color w:val="000000"/>
          <w:sz w:val="21"/>
          <w:szCs w:val="21"/>
        </w:rPr>
        <w:t>套，面积控制在</w:t>
      </w:r>
      <w:r>
        <w:rPr>
          <w:rFonts w:ascii="Arial" w:hAnsi="Arial" w:cs="Arial" w:hint="eastAsia"/>
          <w:color w:val="000000"/>
          <w:sz w:val="21"/>
          <w:szCs w:val="21"/>
        </w:rPr>
        <w:t>91.83-110.57</w:t>
      </w:r>
      <w:r>
        <w:rPr>
          <w:rFonts w:ascii="Arial" w:hAnsi="Arial" w:cs="Arial" w:hint="eastAsia"/>
          <w:color w:val="000000"/>
          <w:sz w:val="21"/>
          <w:szCs w:val="21"/>
        </w:rPr>
        <w:t>平方米；三居室共</w:t>
      </w:r>
      <w:r>
        <w:rPr>
          <w:rFonts w:ascii="Arial" w:hAnsi="Arial" w:cs="Arial" w:hint="eastAsia"/>
          <w:color w:val="000000"/>
          <w:sz w:val="21"/>
          <w:szCs w:val="21"/>
        </w:rPr>
        <w:t>241</w:t>
      </w:r>
      <w:r>
        <w:rPr>
          <w:rFonts w:ascii="Arial" w:hAnsi="Arial" w:cs="Arial" w:hint="eastAsia"/>
          <w:color w:val="000000"/>
          <w:sz w:val="21"/>
          <w:szCs w:val="21"/>
        </w:rPr>
        <w:t>套，面积为</w:t>
      </w:r>
      <w:r>
        <w:rPr>
          <w:rFonts w:ascii="Arial" w:hAnsi="Arial" w:cs="Arial" w:hint="eastAsia"/>
          <w:color w:val="000000"/>
          <w:sz w:val="21"/>
          <w:szCs w:val="21"/>
        </w:rPr>
        <w:t>123.14-131.57</w:t>
      </w:r>
      <w:r>
        <w:rPr>
          <w:rFonts w:ascii="Arial" w:hAnsi="Arial" w:cs="Arial" w:hint="eastAsia"/>
          <w:color w:val="000000"/>
          <w:sz w:val="21"/>
          <w:szCs w:val="21"/>
        </w:rPr>
        <w:t>平方米。</w:t>
      </w:r>
    </w:p>
    <w:p w14:paraId="4CCE1FDA" w14:textId="77777777" w:rsidR="00000000" w:rsidRDefault="00000000">
      <w:pPr>
        <w:pStyle w:val="Normal"/>
        <w:wordWrap w:val="0"/>
        <w:overflowPunct w:val="0"/>
        <w:autoSpaceDE w:val="0"/>
        <w:autoSpaceDN w:val="0"/>
        <w:spacing w:line="480" w:lineRule="auto"/>
        <w:ind w:right="140" w:firstLineChars="200" w:firstLine="420"/>
        <w:jc w:val="both"/>
        <w:textAlignment w:val="auto"/>
        <w:rPr>
          <w:rFonts w:ascii="Arial" w:hAnsi="Arial" w:cs="Arial" w:hint="eastAsia"/>
          <w:kern w:val="2"/>
          <w:sz w:val="21"/>
          <w:szCs w:val="21"/>
        </w:rPr>
      </w:pPr>
      <w:r>
        <w:rPr>
          <w:rFonts w:ascii="Arial" w:hAnsi="Arial" w:cs="Arial" w:hint="eastAsia"/>
          <w:sz w:val="21"/>
          <w:szCs w:val="21"/>
        </w:rPr>
        <w:t>参照被评估公共租赁住房项目的户型、面积、朝向、楼层、装修及设备等因素，依据众数原则，</w:t>
      </w:r>
      <w:r>
        <w:rPr>
          <w:rFonts w:ascii="Arial" w:hAnsi="Arial" w:cs="Arial"/>
          <w:color w:val="000000"/>
          <w:sz w:val="21"/>
          <w:szCs w:val="21"/>
        </w:rPr>
        <w:t>选取</w:t>
      </w:r>
      <w:r>
        <w:rPr>
          <w:rFonts w:ascii="Arial" w:hAnsi="Arial" w:cs="Arial" w:hint="eastAsia"/>
          <w:color w:val="000000"/>
          <w:sz w:val="21"/>
          <w:szCs w:val="21"/>
        </w:rPr>
        <w:t>X13</w:t>
      </w:r>
      <w:r>
        <w:rPr>
          <w:rFonts w:ascii="Arial" w:hAnsi="Arial" w:cs="Arial" w:hint="eastAsia"/>
          <w:color w:val="000000"/>
          <w:sz w:val="21"/>
          <w:szCs w:val="21"/>
        </w:rPr>
        <w:t>海棠苑项目</w:t>
      </w:r>
      <w:r>
        <w:rPr>
          <w:rFonts w:ascii="Arial" w:hAnsi="Arial" w:cs="Arial"/>
          <w:color w:val="000000"/>
          <w:sz w:val="21"/>
          <w:szCs w:val="21"/>
        </w:rPr>
        <w:t>为标准小区</w:t>
      </w:r>
      <w:r>
        <w:rPr>
          <w:rFonts w:ascii="Arial" w:hAnsi="Arial" w:cs="Arial" w:hint="eastAsia"/>
          <w:color w:val="000000"/>
          <w:sz w:val="21"/>
          <w:szCs w:val="21"/>
        </w:rPr>
        <w:t>，</w:t>
      </w:r>
      <w:r>
        <w:rPr>
          <w:rFonts w:ascii="Arial" w:hAnsi="Arial" w:cs="Arial" w:hint="eastAsia"/>
          <w:kern w:val="2"/>
          <w:sz w:val="21"/>
          <w:szCs w:val="21"/>
        </w:rPr>
        <w:t>X13</w:t>
      </w:r>
      <w:r>
        <w:rPr>
          <w:rFonts w:ascii="Arial" w:hAnsi="Arial" w:cs="Arial" w:hint="eastAsia"/>
          <w:kern w:val="2"/>
          <w:sz w:val="21"/>
          <w:szCs w:val="21"/>
        </w:rPr>
        <w:t>海棠苑项目设定的标准房户型为一居室，面积为</w:t>
      </w:r>
      <w:r>
        <w:rPr>
          <w:rFonts w:ascii="Arial" w:hAnsi="Arial" w:cs="Arial"/>
          <w:kern w:val="2"/>
          <w:sz w:val="21"/>
          <w:szCs w:val="21"/>
        </w:rPr>
        <w:t>59.64</w:t>
      </w:r>
      <w:r>
        <w:rPr>
          <w:rFonts w:ascii="Arial" w:hAnsi="Arial" w:cs="Arial" w:hint="eastAsia"/>
          <w:kern w:val="2"/>
          <w:sz w:val="21"/>
          <w:szCs w:val="21"/>
        </w:rPr>
        <w:t>平方米，朝向为西，装修为普通装修。</w:t>
      </w:r>
      <w:r>
        <w:rPr>
          <w:rFonts w:ascii="Arial" w:hAnsi="Arial" w:cs="Arial" w:hint="eastAsia"/>
          <w:kern w:val="2"/>
          <w:sz w:val="21"/>
          <w:szCs w:val="21"/>
        </w:rPr>
        <w:t>X38</w:t>
      </w:r>
      <w:r>
        <w:rPr>
          <w:rFonts w:ascii="Arial" w:hAnsi="Arial" w:cs="Arial" w:hint="eastAsia"/>
          <w:kern w:val="2"/>
          <w:sz w:val="21"/>
          <w:szCs w:val="21"/>
        </w:rPr>
        <w:t>鹿海园五里项目设定的标准房户型为二居室，面积为</w:t>
      </w:r>
      <w:r>
        <w:rPr>
          <w:rFonts w:ascii="Arial" w:hAnsi="Arial" w:cs="Arial"/>
          <w:kern w:val="2"/>
          <w:sz w:val="21"/>
          <w:szCs w:val="21"/>
        </w:rPr>
        <w:t>109.19</w:t>
      </w:r>
      <w:r>
        <w:rPr>
          <w:rFonts w:ascii="Arial" w:hAnsi="Arial" w:cs="Arial" w:hint="eastAsia"/>
          <w:kern w:val="2"/>
          <w:sz w:val="21"/>
          <w:szCs w:val="21"/>
        </w:rPr>
        <w:t>平方米，朝向为南北，装修为普通装修。</w:t>
      </w:r>
    </w:p>
    <w:p w14:paraId="1AA8DE4A" w14:textId="77777777" w:rsidR="00000000" w:rsidRDefault="00000000">
      <w:pPr>
        <w:pStyle w:val="Normal"/>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5B648C88" w14:textId="77777777" w:rsidR="00000000" w:rsidRDefault="00000000">
      <w:pPr>
        <w:pStyle w:val="Normal"/>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color w:val="000000"/>
          <w:sz w:val="21"/>
          <w:szCs w:val="21"/>
        </w:rPr>
        <w:t>3.</w:t>
      </w:r>
      <w:r>
        <w:rPr>
          <w:rFonts w:ascii="Arial" w:hAnsi="Arial" w:cs="Arial"/>
          <w:color w:val="000000"/>
          <w:sz w:val="21"/>
          <w:szCs w:val="21"/>
        </w:rPr>
        <w:t>将所选可比小区与评估对象公共租赁住房</w:t>
      </w:r>
      <w:r>
        <w:rPr>
          <w:rFonts w:ascii="Arial" w:hAnsi="Arial" w:cs="Arial" w:hint="eastAsia"/>
          <w:color w:val="000000"/>
          <w:sz w:val="21"/>
          <w:szCs w:val="21"/>
        </w:rPr>
        <w:t>（</w:t>
      </w:r>
      <w:r>
        <w:rPr>
          <w:rFonts w:ascii="Arial" w:hAnsi="Arial" w:cs="Arial" w:hint="eastAsia"/>
          <w:kern w:val="2"/>
          <w:sz w:val="21"/>
          <w:szCs w:val="21"/>
        </w:rPr>
        <w:t>X13</w:t>
      </w:r>
      <w:r>
        <w:rPr>
          <w:rFonts w:ascii="Arial" w:hAnsi="Arial" w:cs="Arial" w:hint="eastAsia"/>
          <w:kern w:val="2"/>
          <w:sz w:val="21"/>
          <w:szCs w:val="21"/>
        </w:rPr>
        <w:t>海棠苑项目</w:t>
      </w:r>
      <w:r>
        <w:rPr>
          <w:rFonts w:ascii="Arial" w:hAnsi="Arial" w:cs="Arial" w:hint="eastAsia"/>
          <w:color w:val="000000"/>
          <w:sz w:val="21"/>
          <w:szCs w:val="21"/>
        </w:rPr>
        <w:t>）</w:t>
      </w:r>
      <w:r>
        <w:rPr>
          <w:rFonts w:ascii="Arial" w:hAnsi="Arial" w:cs="Arial"/>
          <w:color w:val="000000"/>
          <w:sz w:val="21"/>
          <w:szCs w:val="21"/>
        </w:rPr>
        <w:t>标准房进行比较，进行区位状况调整和实物状况调整，计算各可比实例比准租金，得到</w:t>
      </w:r>
      <w:r>
        <w:rPr>
          <w:rFonts w:ascii="Arial" w:hAnsi="Arial" w:cs="Arial" w:hint="eastAsia"/>
          <w:color w:val="000000"/>
          <w:sz w:val="21"/>
          <w:szCs w:val="21"/>
        </w:rPr>
        <w:t>标准小区（</w:t>
      </w:r>
      <w:r>
        <w:rPr>
          <w:rFonts w:ascii="Arial" w:hAnsi="Arial" w:cs="Arial" w:hint="eastAsia"/>
          <w:kern w:val="2"/>
          <w:sz w:val="21"/>
          <w:szCs w:val="21"/>
        </w:rPr>
        <w:t>X13</w:t>
      </w:r>
      <w:r>
        <w:rPr>
          <w:rFonts w:ascii="Arial" w:hAnsi="Arial" w:cs="Arial" w:hint="eastAsia"/>
          <w:kern w:val="2"/>
          <w:sz w:val="21"/>
          <w:szCs w:val="21"/>
        </w:rPr>
        <w:t>海棠苑项目</w:t>
      </w:r>
      <w:r>
        <w:rPr>
          <w:rFonts w:ascii="Arial" w:hAnsi="Arial" w:cs="Arial" w:hint="eastAsia"/>
          <w:color w:val="000000"/>
          <w:sz w:val="21"/>
          <w:szCs w:val="21"/>
        </w:rPr>
        <w:t>）</w:t>
      </w:r>
      <w:r>
        <w:rPr>
          <w:rFonts w:ascii="Arial" w:hAnsi="Arial" w:cs="Arial"/>
          <w:color w:val="000000"/>
          <w:sz w:val="21"/>
          <w:szCs w:val="21"/>
        </w:rPr>
        <w:t>标准房租金水平。</w:t>
      </w:r>
    </w:p>
    <w:p w14:paraId="3B701A78" w14:textId="77777777" w:rsidR="00000000" w:rsidRDefault="00000000">
      <w:pPr>
        <w:pStyle w:val="Normal"/>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color w:val="000000"/>
          <w:sz w:val="21"/>
          <w:szCs w:val="21"/>
        </w:rPr>
        <w:t>4.</w:t>
      </w:r>
      <w:r>
        <w:rPr>
          <w:rFonts w:ascii="Arial" w:hAnsi="Arial" w:cs="Arial"/>
          <w:color w:val="000000"/>
          <w:sz w:val="21"/>
          <w:szCs w:val="21"/>
        </w:rPr>
        <w:t>将估价对象</w:t>
      </w:r>
      <w:r>
        <w:rPr>
          <w:rFonts w:ascii="Arial" w:hAnsi="Arial" w:cs="Arial" w:hint="eastAsia"/>
          <w:kern w:val="2"/>
          <w:sz w:val="21"/>
          <w:szCs w:val="21"/>
        </w:rPr>
        <w:t>X38</w:t>
      </w:r>
      <w:r>
        <w:rPr>
          <w:rFonts w:ascii="Arial" w:hAnsi="Arial" w:cs="Arial" w:hint="eastAsia"/>
          <w:kern w:val="2"/>
          <w:sz w:val="21"/>
          <w:szCs w:val="21"/>
        </w:rPr>
        <w:t>鹿海园五里项目</w:t>
      </w:r>
      <w:r>
        <w:rPr>
          <w:rFonts w:ascii="Arial" w:hAnsi="Arial" w:cs="Arial" w:hint="eastAsia"/>
          <w:color w:val="000000"/>
          <w:sz w:val="21"/>
          <w:szCs w:val="21"/>
        </w:rPr>
        <w:t>标准房</w:t>
      </w:r>
      <w:r>
        <w:rPr>
          <w:rFonts w:ascii="Arial" w:hAnsi="Arial" w:cs="Arial"/>
          <w:color w:val="000000"/>
          <w:sz w:val="21"/>
          <w:szCs w:val="21"/>
        </w:rPr>
        <w:t>与</w:t>
      </w:r>
      <w:r>
        <w:rPr>
          <w:rFonts w:ascii="Arial" w:hAnsi="Arial" w:cs="Arial" w:hint="eastAsia"/>
          <w:color w:val="000000"/>
          <w:sz w:val="21"/>
          <w:szCs w:val="21"/>
        </w:rPr>
        <w:t>标准小区（</w:t>
      </w:r>
      <w:r>
        <w:rPr>
          <w:rFonts w:ascii="Arial" w:hAnsi="Arial" w:cs="Arial" w:hint="eastAsia"/>
          <w:kern w:val="2"/>
          <w:sz w:val="21"/>
          <w:szCs w:val="21"/>
        </w:rPr>
        <w:t>X13</w:t>
      </w:r>
      <w:r>
        <w:rPr>
          <w:rFonts w:ascii="Arial" w:hAnsi="Arial" w:cs="Arial" w:hint="eastAsia"/>
          <w:kern w:val="2"/>
          <w:sz w:val="21"/>
          <w:szCs w:val="21"/>
        </w:rPr>
        <w:t>海棠苑项目</w:t>
      </w:r>
      <w:r>
        <w:rPr>
          <w:rFonts w:ascii="Arial" w:hAnsi="Arial" w:cs="Arial" w:hint="eastAsia"/>
          <w:color w:val="000000"/>
          <w:sz w:val="21"/>
          <w:szCs w:val="21"/>
        </w:rPr>
        <w:t>）</w:t>
      </w:r>
      <w:r>
        <w:rPr>
          <w:rFonts w:ascii="Arial" w:hAnsi="Arial" w:cs="Arial"/>
          <w:color w:val="000000"/>
          <w:sz w:val="21"/>
          <w:szCs w:val="21"/>
        </w:rPr>
        <w:t>标准房进行比较，得到</w:t>
      </w:r>
      <w:r>
        <w:rPr>
          <w:rFonts w:ascii="Arial" w:hAnsi="Arial" w:cs="Arial" w:hint="eastAsia"/>
          <w:kern w:val="2"/>
          <w:sz w:val="21"/>
          <w:szCs w:val="21"/>
        </w:rPr>
        <w:t>X38</w:t>
      </w:r>
      <w:r>
        <w:rPr>
          <w:rFonts w:ascii="Arial" w:hAnsi="Arial" w:cs="Arial" w:hint="eastAsia"/>
          <w:kern w:val="2"/>
          <w:sz w:val="21"/>
          <w:szCs w:val="21"/>
        </w:rPr>
        <w:t>鹿海园五里项目</w:t>
      </w:r>
      <w:r>
        <w:rPr>
          <w:rFonts w:ascii="Arial" w:hAnsi="Arial" w:cs="Arial" w:hint="eastAsia"/>
          <w:color w:val="000000"/>
          <w:sz w:val="21"/>
          <w:szCs w:val="21"/>
        </w:rPr>
        <w:t>标准房</w:t>
      </w:r>
      <w:r>
        <w:rPr>
          <w:rFonts w:ascii="Arial" w:hAnsi="Arial" w:cs="Arial"/>
          <w:color w:val="000000"/>
          <w:sz w:val="21"/>
          <w:szCs w:val="21"/>
        </w:rPr>
        <w:t>租金水平。</w:t>
      </w:r>
    </w:p>
    <w:p w14:paraId="56B437FF" w14:textId="77777777" w:rsidR="00000000" w:rsidRDefault="00000000">
      <w:pPr>
        <w:pStyle w:val="Normal"/>
        <w:wordWrap w:val="0"/>
        <w:overflowPunct w:val="0"/>
        <w:autoSpaceDE w:val="0"/>
        <w:autoSpaceDN w:val="0"/>
        <w:spacing w:line="480" w:lineRule="auto"/>
        <w:ind w:right="140"/>
        <w:jc w:val="both"/>
        <w:textAlignment w:val="auto"/>
        <w:rPr>
          <w:rFonts w:ascii="Arial" w:hAnsi="Arial" w:cs="Arial"/>
          <w:b/>
          <w:color w:val="000000"/>
          <w:sz w:val="21"/>
          <w:szCs w:val="21"/>
        </w:rPr>
      </w:pPr>
      <w:r>
        <w:rPr>
          <w:rFonts w:ascii="Arial" w:hAnsi="Arial" w:cs="Arial" w:hint="eastAsia"/>
          <w:b/>
          <w:sz w:val="21"/>
          <w:szCs w:val="21"/>
        </w:rPr>
        <w:t>（二）</w:t>
      </w:r>
      <w:r>
        <w:rPr>
          <w:rFonts w:ascii="Arial" w:hAnsi="Arial" w:cs="Arial" w:hint="eastAsia"/>
          <w:b/>
          <w:color w:val="000000"/>
          <w:sz w:val="21"/>
          <w:szCs w:val="21"/>
        </w:rPr>
        <w:t>估价方法</w:t>
      </w:r>
      <w:r>
        <w:rPr>
          <w:rFonts w:ascii="Arial" w:hAnsi="Arial" w:cs="Arial"/>
          <w:b/>
          <w:color w:val="000000"/>
          <w:sz w:val="21"/>
          <w:szCs w:val="21"/>
        </w:rPr>
        <w:t xml:space="preserve"> </w:t>
      </w:r>
    </w:p>
    <w:p w14:paraId="5AD519A3" w14:textId="77777777" w:rsidR="00000000" w:rsidRDefault="00000000">
      <w:pPr>
        <w:pStyle w:val="Normal"/>
        <w:wordWrap w:val="0"/>
        <w:overflowPunct w:val="0"/>
        <w:autoSpaceDE w:val="0"/>
        <w:autoSpaceDN w:val="0"/>
        <w:spacing w:line="480" w:lineRule="auto"/>
        <w:ind w:right="140" w:firstLineChars="200" w:firstLine="420"/>
        <w:jc w:val="both"/>
        <w:textAlignment w:val="auto"/>
        <w:rPr>
          <w:rFonts w:ascii="Arial" w:hAnsi="Arial" w:cs="Arial" w:hint="eastAsia"/>
          <w:color w:val="000000"/>
          <w:sz w:val="21"/>
          <w:szCs w:val="21"/>
        </w:rPr>
      </w:pPr>
      <w:r>
        <w:rPr>
          <w:rFonts w:ascii="Arial" w:hAnsi="Arial" w:cs="Arial"/>
          <w:color w:val="000000"/>
          <w:sz w:val="21"/>
          <w:szCs w:val="21"/>
        </w:rPr>
        <w:t>比较法，是在求取估价对象房地产价值时，根据替代原则，将估价对象与在较近时期内已发生交易的类似房地产交易实例进行对期日、区域及实物状况的差别，修正得出估价对象房地产市场价值的方法。本次估价采用比较法照比较，并依据后者已知的价格，参照该房地产的交易情况、思路评估租金价格水平。同时</w:t>
      </w:r>
      <w:r>
        <w:rPr>
          <w:rFonts w:ascii="Arial" w:hAnsi="Arial" w:cs="Arial" w:hint="eastAsia"/>
          <w:color w:val="000000"/>
          <w:sz w:val="21"/>
          <w:szCs w:val="21"/>
        </w:rPr>
        <w:t>，</w:t>
      </w:r>
      <w:r>
        <w:rPr>
          <w:rFonts w:ascii="Arial" w:hAnsi="Arial" w:cs="Arial"/>
          <w:color w:val="000000"/>
          <w:sz w:val="21"/>
          <w:szCs w:val="21"/>
        </w:rPr>
        <w:t>通过区域因素修正得出估价对象相邻或相似区域住宅租赁价格水平</w:t>
      </w:r>
      <w:r>
        <w:rPr>
          <w:rFonts w:ascii="Arial" w:hAnsi="Arial" w:cs="Arial" w:hint="eastAsia"/>
          <w:color w:val="000000"/>
          <w:sz w:val="21"/>
          <w:szCs w:val="21"/>
        </w:rPr>
        <w:t>。</w:t>
      </w:r>
    </w:p>
    <w:p w14:paraId="3C45608D" w14:textId="77777777" w:rsidR="00000000" w:rsidRDefault="00000000">
      <w:pPr>
        <w:pStyle w:val="Normal"/>
        <w:wordWrap w:val="0"/>
        <w:overflowPunct w:val="0"/>
        <w:autoSpaceDE w:val="0"/>
        <w:autoSpaceDN w:val="0"/>
        <w:spacing w:line="480" w:lineRule="auto"/>
        <w:ind w:right="140" w:firstLineChars="200" w:firstLine="420"/>
        <w:jc w:val="both"/>
        <w:textAlignment w:val="auto"/>
        <w:rPr>
          <w:rFonts w:ascii="Arial" w:hAnsi="Arial" w:cs="Arial" w:hint="eastAsia"/>
          <w:color w:val="000000"/>
          <w:sz w:val="21"/>
          <w:szCs w:val="21"/>
        </w:rPr>
      </w:pPr>
      <w:r>
        <w:rPr>
          <w:rFonts w:ascii="Arial" w:hAnsi="Arial" w:cs="Arial" w:hint="eastAsia"/>
          <w:color w:val="000000"/>
          <w:sz w:val="21"/>
          <w:szCs w:val="21"/>
        </w:rPr>
        <w:t>1.</w:t>
      </w:r>
      <w:r>
        <w:rPr>
          <w:rFonts w:ascii="Arial" w:hAnsi="Arial" w:cs="Arial"/>
          <w:color w:val="000000"/>
          <w:sz w:val="21"/>
          <w:szCs w:val="21"/>
        </w:rPr>
        <w:t>采用</w:t>
      </w:r>
      <w:r>
        <w:rPr>
          <w:rFonts w:ascii="Arial" w:hAnsi="Arial" w:cs="Arial" w:hint="eastAsia"/>
          <w:color w:val="000000"/>
          <w:sz w:val="21"/>
          <w:szCs w:val="21"/>
        </w:rPr>
        <w:t>比较法</w:t>
      </w:r>
      <w:r>
        <w:rPr>
          <w:rFonts w:ascii="Arial" w:hAnsi="Arial" w:cs="Arial"/>
          <w:color w:val="000000"/>
          <w:sz w:val="21"/>
          <w:szCs w:val="21"/>
        </w:rPr>
        <w:t>的理由</w:t>
      </w:r>
      <w:r>
        <w:rPr>
          <w:rFonts w:ascii="Arial" w:hAnsi="Arial" w:cs="Arial" w:hint="eastAsia"/>
          <w:color w:val="000000"/>
          <w:sz w:val="21"/>
          <w:szCs w:val="21"/>
        </w:rPr>
        <w:t>：</w:t>
      </w:r>
    </w:p>
    <w:p w14:paraId="4C95CEFF" w14:textId="77777777" w:rsidR="00000000" w:rsidRDefault="00000000">
      <w:pPr>
        <w:pStyle w:val="Normal"/>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ascii="Arial" w:hAnsi="Arial" w:cs="Arial" w:hint="eastAsia"/>
          <w:sz w:val="21"/>
          <w:szCs w:val="21"/>
        </w:rPr>
        <w:t>。</w:t>
      </w:r>
      <w:r>
        <w:rPr>
          <w:rFonts w:ascii="Arial" w:hAnsi="Arial" w:cs="Arial"/>
          <w:sz w:val="21"/>
          <w:szCs w:val="21"/>
        </w:rPr>
        <w:t>同时</w:t>
      </w:r>
      <w:r>
        <w:rPr>
          <w:rFonts w:ascii="Arial" w:hAnsi="Arial" w:cs="Arial" w:hint="eastAsia"/>
          <w:sz w:val="21"/>
          <w:szCs w:val="21"/>
        </w:rPr>
        <w:t>，</w:t>
      </w:r>
      <w:r>
        <w:rPr>
          <w:rFonts w:ascii="Arial" w:hAnsi="Arial" w:cs="Arial"/>
          <w:sz w:val="21"/>
          <w:szCs w:val="21"/>
        </w:rPr>
        <w:t>通过区域因素修正得出估价对象相邻或相似区域住宅租赁价格水平</w:t>
      </w:r>
      <w:r>
        <w:rPr>
          <w:rFonts w:ascii="Arial" w:hAnsi="Arial" w:cs="Arial" w:hint="eastAsia"/>
          <w:sz w:val="21"/>
          <w:szCs w:val="21"/>
        </w:rPr>
        <w:t>。</w:t>
      </w:r>
      <w:r>
        <w:rPr>
          <w:rFonts w:ascii="Arial" w:hAnsi="Arial" w:cs="Arial"/>
          <w:color w:val="000000"/>
          <w:sz w:val="21"/>
          <w:szCs w:val="21"/>
        </w:rPr>
        <w:t xml:space="preserve"> </w:t>
      </w:r>
    </w:p>
    <w:p w14:paraId="2A32FB4F" w14:textId="77777777" w:rsidR="00000000" w:rsidRDefault="00000000">
      <w:pPr>
        <w:pStyle w:val="Normal"/>
        <w:wordWrap w:val="0"/>
        <w:overflowPunct w:val="0"/>
        <w:autoSpaceDE w:val="0"/>
        <w:autoSpaceDN w:val="0"/>
        <w:spacing w:line="480" w:lineRule="auto"/>
        <w:ind w:right="140" w:firstLineChars="200" w:firstLine="420"/>
        <w:jc w:val="both"/>
        <w:textAlignment w:val="auto"/>
        <w:rPr>
          <w:rFonts w:ascii="Arial" w:hAnsi="Arial" w:cs="Arial" w:hint="eastAsia"/>
          <w:color w:val="000000"/>
          <w:sz w:val="21"/>
          <w:szCs w:val="21"/>
        </w:rPr>
      </w:pPr>
      <w:r>
        <w:rPr>
          <w:rFonts w:ascii="Arial" w:hAnsi="Arial" w:cs="Arial" w:hint="eastAsia"/>
          <w:color w:val="000000"/>
          <w:sz w:val="21"/>
          <w:szCs w:val="21"/>
        </w:rPr>
        <w:lastRenderedPageBreak/>
        <w:t>2.</w:t>
      </w:r>
      <w:r>
        <w:rPr>
          <w:rFonts w:ascii="Arial" w:hAnsi="Arial" w:cs="Arial"/>
          <w:color w:val="000000"/>
          <w:sz w:val="21"/>
          <w:szCs w:val="21"/>
        </w:rPr>
        <w:t>不采用成本法、假设开发法、收益法的理由</w:t>
      </w:r>
      <w:r>
        <w:rPr>
          <w:rFonts w:ascii="Arial" w:hAnsi="Arial" w:cs="Arial" w:hint="eastAsia"/>
          <w:color w:val="000000"/>
          <w:sz w:val="21"/>
          <w:szCs w:val="21"/>
        </w:rPr>
        <w:t>：</w:t>
      </w:r>
    </w:p>
    <w:p w14:paraId="00DFC40B" w14:textId="77777777" w:rsidR="00000000" w:rsidRDefault="00000000">
      <w:pPr>
        <w:pStyle w:val="LO-Normal"/>
        <w:overflowPunct w:val="0"/>
        <w:autoSpaceDE w:val="0"/>
        <w:spacing w:line="480" w:lineRule="auto"/>
        <w:ind w:right="140" w:firstLine="420"/>
        <w:jc w:val="both"/>
        <w:textAlignment w:val="auto"/>
        <w:rPr>
          <w:rFonts w:cs="Arial"/>
          <w:sz w:val="21"/>
          <w:szCs w:val="21"/>
        </w:rPr>
      </w:pPr>
      <w:r>
        <w:rPr>
          <w:rFonts w:cs="Arial"/>
          <w:sz w:val="21"/>
          <w:szCs w:val="21"/>
        </w:rPr>
        <w:t>（1）估价对象适用比较法，且已优先采用比较法进行评估，故不再采用成本法进行测算。</w:t>
      </w:r>
    </w:p>
    <w:p w14:paraId="23709245" w14:textId="77777777" w:rsidR="00000000" w:rsidRDefault="00000000">
      <w:pPr>
        <w:pStyle w:val="LO-Normal"/>
        <w:overflowPunct w:val="0"/>
        <w:autoSpaceDE w:val="0"/>
        <w:spacing w:line="480" w:lineRule="auto"/>
        <w:ind w:right="140" w:firstLine="420"/>
        <w:jc w:val="both"/>
        <w:textAlignment w:val="auto"/>
      </w:pPr>
      <w:r>
        <w:rPr>
          <w:rFonts w:cs="Arial"/>
          <w:sz w:val="21"/>
          <w:szCs w:val="21"/>
        </w:rPr>
        <w:t>（2）</w:t>
      </w:r>
      <w:r>
        <w:rPr>
          <w:rFonts w:ascii="Arial" w:hAnsi="Arial" w:cs="Arial" w:hint="eastAsia"/>
          <w:sz w:val="21"/>
          <w:szCs w:val="21"/>
        </w:rPr>
        <w:t>假设开发法可评估房地产市场价值，但不适于租赁价格的评估。</w:t>
      </w:r>
    </w:p>
    <w:p w14:paraId="30A8245B" w14:textId="77777777" w:rsidR="00000000" w:rsidRDefault="00000000">
      <w:pPr>
        <w:pStyle w:val="Normal"/>
        <w:autoSpaceDE w:val="0"/>
        <w:autoSpaceDN w:val="0"/>
        <w:spacing w:line="480" w:lineRule="auto"/>
        <w:ind w:right="140" w:firstLineChars="200" w:firstLine="420"/>
        <w:jc w:val="both"/>
        <w:textAlignment w:val="bottom"/>
        <w:rPr>
          <w:rFonts w:ascii="Arial" w:hAnsi="Arial" w:cs="Arial" w:hint="eastAsia"/>
          <w:color w:val="000000"/>
          <w:sz w:val="21"/>
          <w:szCs w:val="21"/>
        </w:rPr>
      </w:pPr>
      <w:r>
        <w:rPr>
          <w:rFonts w:cs="Arial"/>
          <w:sz w:val="21"/>
          <w:szCs w:val="21"/>
        </w:rPr>
        <w:t>（3）</w:t>
      </w:r>
      <w:r>
        <w:rPr>
          <w:rFonts w:ascii="Arial" w:hAnsi="Arial" w:cs="Arial" w:hint="eastAsia"/>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p>
    <w:p w14:paraId="3D877A62" w14:textId="77777777" w:rsidR="00000000" w:rsidRDefault="00000000">
      <w:pPr>
        <w:pStyle w:val="Normal"/>
        <w:wordWrap w:val="0"/>
        <w:overflowPunct w:val="0"/>
        <w:autoSpaceDE w:val="0"/>
        <w:autoSpaceDN w:val="0"/>
        <w:spacing w:line="480" w:lineRule="auto"/>
        <w:ind w:right="140"/>
        <w:jc w:val="both"/>
        <w:textAlignment w:val="auto"/>
        <w:rPr>
          <w:rFonts w:ascii="Arial" w:hAnsi="Arial" w:cs="Arial"/>
          <w:b/>
          <w:color w:val="000000"/>
          <w:sz w:val="21"/>
          <w:szCs w:val="21"/>
        </w:rPr>
      </w:pPr>
      <w:r>
        <w:rPr>
          <w:rFonts w:ascii="Arial" w:hAnsi="Arial" w:cs="Arial" w:hint="eastAsia"/>
          <w:b/>
          <w:sz w:val="21"/>
          <w:szCs w:val="21"/>
        </w:rPr>
        <w:t>（三）估价方法公式</w:t>
      </w:r>
      <w:r>
        <w:rPr>
          <w:rFonts w:ascii="Arial" w:hAnsi="Arial" w:cs="Arial"/>
          <w:b/>
          <w:color w:val="000000"/>
          <w:sz w:val="21"/>
          <w:szCs w:val="21"/>
        </w:rPr>
        <w:t xml:space="preserve"> </w:t>
      </w:r>
    </w:p>
    <w:p w14:paraId="116ED018" w14:textId="77777777" w:rsidR="00000000" w:rsidRDefault="00000000">
      <w:pPr>
        <w:pStyle w:val="Normal"/>
        <w:autoSpaceDE w:val="0"/>
        <w:autoSpaceDN w:val="0"/>
        <w:spacing w:line="480" w:lineRule="auto"/>
        <w:ind w:right="140" w:firstLineChars="200" w:firstLine="420"/>
        <w:jc w:val="both"/>
        <w:textAlignment w:val="bottom"/>
        <w:rPr>
          <w:rFonts w:ascii="Arial" w:hAnsi="Arial" w:cs="Arial" w:hint="eastAsia"/>
          <w:color w:val="000000"/>
          <w:sz w:val="21"/>
          <w:szCs w:val="21"/>
        </w:rPr>
      </w:pPr>
      <w:r>
        <w:rPr>
          <w:rFonts w:ascii="Arial" w:hAnsi="Arial" w:cs="Arial" w:hint="eastAsia"/>
          <w:color w:val="000000"/>
          <w:sz w:val="21"/>
          <w:szCs w:val="21"/>
        </w:rPr>
        <w:t>比较法计算公式为：</w:t>
      </w:r>
    </w:p>
    <w:p w14:paraId="6331D347" w14:textId="77777777" w:rsidR="00000000" w:rsidRDefault="00000000">
      <w:pPr>
        <w:pStyle w:val="Normal"/>
        <w:wordWrap w:val="0"/>
        <w:overflowPunct w:val="0"/>
        <w:autoSpaceDE w:val="0"/>
        <w:autoSpaceDN w:val="0"/>
        <w:spacing w:line="480" w:lineRule="auto"/>
        <w:ind w:right="140" w:firstLine="420"/>
        <w:jc w:val="both"/>
        <w:textAlignment w:val="auto"/>
        <w:rPr>
          <w:rFonts w:ascii="Arial" w:hAnsi="Arial" w:cs="Arial" w:hint="eastAsia"/>
          <w:color w:val="000000"/>
          <w:sz w:val="21"/>
          <w:szCs w:val="21"/>
        </w:rPr>
      </w:pPr>
      <w:r>
        <w:rPr>
          <w:rFonts w:ascii="Arial" w:hAnsi="Arial" w:cs="Arial"/>
          <w:sz w:val="21"/>
          <w:szCs w:val="21"/>
        </w:rPr>
        <w:t>待估房地产租赁价格＝可比实例房地产租赁价格</w:t>
      </w:r>
      <w:r>
        <w:rPr>
          <w:rFonts w:ascii="Arial" w:hAnsi="Arial" w:cs="Arial"/>
          <w:sz w:val="21"/>
          <w:szCs w:val="21"/>
        </w:rPr>
        <w:t>×</w:t>
      </w:r>
      <w:r>
        <w:rPr>
          <w:rFonts w:ascii="Arial" w:hAnsi="Arial" w:cs="Arial"/>
          <w:sz w:val="21"/>
          <w:szCs w:val="21"/>
        </w:rPr>
        <w:t>（待估房地产交易情况指数</w:t>
      </w:r>
      <w:r>
        <w:rPr>
          <w:rFonts w:ascii="Arial" w:hAnsi="Arial" w:cs="Arial"/>
          <w:sz w:val="21"/>
          <w:szCs w:val="21"/>
        </w:rPr>
        <w:t>/</w:t>
      </w:r>
      <w:r>
        <w:rPr>
          <w:rFonts w:ascii="Arial" w:hAnsi="Arial" w:cs="Arial"/>
          <w:sz w:val="21"/>
          <w:szCs w:val="21"/>
        </w:rPr>
        <w:t>可比实例交易情况指数）</w:t>
      </w:r>
      <w:r>
        <w:rPr>
          <w:rFonts w:ascii="Arial" w:hAnsi="Arial" w:cs="Arial"/>
          <w:sz w:val="21"/>
          <w:szCs w:val="21"/>
        </w:rPr>
        <w:t>×</w:t>
      </w:r>
      <w:r>
        <w:rPr>
          <w:rFonts w:ascii="Arial" w:hAnsi="Arial" w:cs="Arial"/>
          <w:sz w:val="21"/>
          <w:szCs w:val="21"/>
        </w:rPr>
        <w:t>（待估房地产交易日期房地产价租赁格指数</w:t>
      </w:r>
      <w:r>
        <w:rPr>
          <w:rFonts w:ascii="Arial" w:hAnsi="Arial" w:cs="Arial"/>
          <w:sz w:val="21"/>
          <w:szCs w:val="21"/>
        </w:rPr>
        <w:t>/</w:t>
      </w:r>
      <w:r>
        <w:rPr>
          <w:rFonts w:ascii="Arial" w:hAnsi="Arial" w:cs="Arial"/>
          <w:sz w:val="21"/>
          <w:szCs w:val="21"/>
        </w:rPr>
        <w:t>可比实例交易日期房地产租赁价格指数）</w:t>
      </w:r>
      <w:r>
        <w:rPr>
          <w:rFonts w:ascii="Arial" w:hAnsi="Arial" w:cs="Arial"/>
          <w:sz w:val="21"/>
          <w:szCs w:val="21"/>
        </w:rPr>
        <w:t>×</w:t>
      </w:r>
      <w:r>
        <w:rPr>
          <w:rFonts w:ascii="Arial" w:hAnsi="Arial" w:cs="Arial"/>
          <w:sz w:val="21"/>
          <w:szCs w:val="21"/>
        </w:rPr>
        <w:t>（待估房地产区域状况条件指数</w:t>
      </w:r>
      <w:r>
        <w:rPr>
          <w:rFonts w:ascii="Arial" w:hAnsi="Arial" w:cs="Arial"/>
          <w:sz w:val="21"/>
          <w:szCs w:val="21"/>
        </w:rPr>
        <w:t>/</w:t>
      </w:r>
      <w:r>
        <w:rPr>
          <w:rFonts w:ascii="Arial" w:hAnsi="Arial" w:cs="Arial"/>
          <w:sz w:val="21"/>
          <w:szCs w:val="21"/>
        </w:rPr>
        <w:t>可比实例房地产区域状况条件指数）</w:t>
      </w:r>
      <w:r>
        <w:rPr>
          <w:rFonts w:ascii="Arial" w:hAnsi="Arial" w:cs="Arial"/>
          <w:sz w:val="21"/>
          <w:szCs w:val="21"/>
        </w:rPr>
        <w:t>×</w:t>
      </w:r>
      <w:r>
        <w:rPr>
          <w:rFonts w:ascii="Arial" w:hAnsi="Arial" w:cs="Arial"/>
          <w:sz w:val="21"/>
          <w:szCs w:val="21"/>
        </w:rPr>
        <w:t>（待估房地产实物状况条件指数</w:t>
      </w:r>
      <w:r>
        <w:rPr>
          <w:rFonts w:ascii="Arial" w:hAnsi="Arial" w:cs="Arial"/>
          <w:sz w:val="21"/>
          <w:szCs w:val="21"/>
        </w:rPr>
        <w:t>/</w:t>
      </w:r>
      <w:r>
        <w:rPr>
          <w:rFonts w:ascii="Arial" w:hAnsi="Arial" w:cs="Arial"/>
          <w:sz w:val="21"/>
          <w:szCs w:val="21"/>
        </w:rPr>
        <w:t>可比实例房地产实物状况条件指数）</w:t>
      </w:r>
      <w:r>
        <w:rPr>
          <w:rFonts w:ascii="Arial" w:hAnsi="Arial" w:cs="Arial"/>
          <w:sz w:val="21"/>
          <w:szCs w:val="21"/>
        </w:rPr>
        <w:t>×</w:t>
      </w:r>
      <w:r>
        <w:rPr>
          <w:rFonts w:ascii="Arial" w:hAnsi="Arial" w:cs="Arial"/>
          <w:sz w:val="21"/>
          <w:szCs w:val="21"/>
        </w:rPr>
        <w:t>（待估房地产宜居状况条件指数</w:t>
      </w:r>
      <w:r>
        <w:rPr>
          <w:rFonts w:ascii="Arial" w:hAnsi="Arial" w:cs="Arial"/>
          <w:sz w:val="21"/>
          <w:szCs w:val="21"/>
        </w:rPr>
        <w:t>/</w:t>
      </w:r>
      <w:r>
        <w:rPr>
          <w:rFonts w:ascii="Arial" w:hAnsi="Arial" w:cs="Arial"/>
          <w:sz w:val="21"/>
          <w:szCs w:val="21"/>
        </w:rPr>
        <w:t>可比实例房地产宜居状况条件指数</w:t>
      </w:r>
      <w:r>
        <w:rPr>
          <w:rFonts w:ascii="Arial" w:hAnsi="Arial" w:cs="Arial" w:hint="eastAsia"/>
          <w:sz w:val="21"/>
          <w:szCs w:val="21"/>
        </w:rPr>
        <w:t>）</w:t>
      </w:r>
    </w:p>
    <w:p w14:paraId="09832B3B" w14:textId="77777777" w:rsidR="00000000" w:rsidRDefault="00000000">
      <w:pPr>
        <w:pStyle w:val="Normal"/>
        <w:wordWrap w:val="0"/>
        <w:overflowPunct w:val="0"/>
        <w:autoSpaceDE w:val="0"/>
        <w:autoSpaceDN w:val="0"/>
        <w:spacing w:line="480" w:lineRule="auto"/>
        <w:ind w:right="140" w:firstLine="420"/>
        <w:jc w:val="both"/>
        <w:textAlignment w:val="auto"/>
        <w:rPr>
          <w:rFonts w:ascii="Arial" w:hAnsi="Arial" w:cs="Arial" w:hint="eastAsia"/>
          <w:color w:val="000000"/>
          <w:sz w:val="21"/>
          <w:szCs w:val="21"/>
        </w:rPr>
      </w:pPr>
      <w:r>
        <w:rPr>
          <w:rFonts w:ascii="Arial" w:hAnsi="Arial" w:cs="Arial" w:hint="eastAsia"/>
          <w:color w:val="000000"/>
          <w:sz w:val="21"/>
          <w:szCs w:val="21"/>
        </w:rPr>
        <w:t>具体步骤如下：</w:t>
      </w:r>
    </w:p>
    <w:p w14:paraId="081E2125" w14:textId="77777777" w:rsidR="00000000" w:rsidRDefault="00000000">
      <w:pPr>
        <w:pStyle w:val="Normal"/>
        <w:numPr>
          <w:ilvl w:val="0"/>
          <w:numId w:val="10"/>
        </w:numPr>
        <w:wordWrap w:val="0"/>
        <w:overflowPunct w:val="0"/>
        <w:autoSpaceDE w:val="0"/>
        <w:autoSpaceDN w:val="0"/>
        <w:spacing w:line="480" w:lineRule="auto"/>
        <w:ind w:right="140"/>
        <w:jc w:val="both"/>
        <w:textAlignment w:val="auto"/>
        <w:rPr>
          <w:rFonts w:ascii="Arial" w:hAnsi="Arial" w:cs="Arial" w:hint="eastAsia"/>
          <w:color w:val="000000"/>
          <w:sz w:val="21"/>
          <w:szCs w:val="21"/>
        </w:rPr>
      </w:pPr>
      <w:r>
        <w:rPr>
          <w:rFonts w:ascii="Arial" w:hAnsi="Arial" w:cs="Arial" w:hint="eastAsia"/>
          <w:color w:val="000000"/>
          <w:sz w:val="21"/>
          <w:szCs w:val="21"/>
        </w:rPr>
        <w:t>选择可比案例</w:t>
      </w:r>
    </w:p>
    <w:p w14:paraId="06EA5074" w14:textId="77777777" w:rsidR="00000000" w:rsidRDefault="00000000">
      <w:pPr>
        <w:wordWrap w:val="0"/>
        <w:overflowPunct w:val="0"/>
        <w:spacing w:line="480" w:lineRule="auto"/>
        <w:ind w:left="780"/>
        <w:rPr>
          <w:rFonts w:ascii="Arial" w:hAnsi="Arial"/>
          <w:sz w:val="21"/>
          <w:szCs w:val="21"/>
        </w:rPr>
      </w:pPr>
      <w:r>
        <w:rPr>
          <w:rFonts w:ascii="Arial" w:hAnsi="Arial" w:hint="eastAsia"/>
          <w:sz w:val="21"/>
          <w:szCs w:val="21"/>
        </w:rPr>
        <w:t>（</w:t>
      </w:r>
      <w:r>
        <w:rPr>
          <w:rFonts w:ascii="Arial" w:hAnsi="Arial"/>
          <w:sz w:val="21"/>
          <w:szCs w:val="21"/>
        </w:rPr>
        <w:t>1</w:t>
      </w:r>
      <w:r>
        <w:rPr>
          <w:rFonts w:ascii="Arial" w:hAnsi="Arial" w:hint="eastAsia"/>
          <w:sz w:val="21"/>
          <w:szCs w:val="21"/>
        </w:rPr>
        <w:t>）选择可比案例</w:t>
      </w:r>
    </w:p>
    <w:p w14:paraId="661D149B" w14:textId="77777777" w:rsidR="00000000" w:rsidRDefault="00000000">
      <w:pPr>
        <w:wordWrap w:val="0"/>
        <w:overflowPunct w:val="0"/>
        <w:spacing w:line="480" w:lineRule="auto"/>
        <w:ind w:left="780"/>
        <w:rPr>
          <w:rFonts w:ascii="Arial" w:hAnsi="Arial"/>
          <w:sz w:val="21"/>
          <w:szCs w:val="21"/>
        </w:rPr>
      </w:pPr>
      <w:r>
        <w:rPr>
          <w:rFonts w:ascii="Arial" w:hAnsi="Arial" w:hint="eastAsia"/>
          <w:sz w:val="21"/>
          <w:szCs w:val="21"/>
        </w:rPr>
        <w:t>选择比较案例时，应符合以下要求（与待估房地产比较）</w:t>
      </w:r>
    </w:p>
    <w:p w14:paraId="04AC6D6E" w14:textId="77777777" w:rsidR="00000000" w:rsidRDefault="00000000">
      <w:pPr>
        <w:wordWrap w:val="0"/>
        <w:overflowPunct w:val="0"/>
        <w:spacing w:line="480" w:lineRule="auto"/>
        <w:ind w:left="780"/>
        <w:rPr>
          <w:rFonts w:ascii="Arial" w:hAnsi="Arial"/>
          <w:sz w:val="21"/>
          <w:szCs w:val="21"/>
        </w:rPr>
      </w:pPr>
      <w:r>
        <w:rPr>
          <w:rFonts w:ascii="Arial" w:hAnsi="Arial"/>
          <w:sz w:val="21"/>
          <w:szCs w:val="21"/>
        </w:rPr>
        <w:t>1</w:t>
      </w:r>
      <w:r>
        <w:rPr>
          <w:rFonts w:ascii="Arial" w:hAnsi="Arial" w:hint="eastAsia"/>
          <w:sz w:val="21"/>
          <w:szCs w:val="21"/>
        </w:rPr>
        <w:t>）用途相同</w:t>
      </w:r>
    </w:p>
    <w:p w14:paraId="65EED6BF" w14:textId="77777777" w:rsidR="00000000" w:rsidRDefault="00000000">
      <w:pPr>
        <w:wordWrap w:val="0"/>
        <w:overflowPunct w:val="0"/>
        <w:spacing w:line="480" w:lineRule="auto"/>
        <w:ind w:left="780"/>
        <w:rPr>
          <w:rFonts w:ascii="Arial" w:hAnsi="Arial"/>
          <w:sz w:val="21"/>
          <w:szCs w:val="21"/>
        </w:rPr>
      </w:pPr>
      <w:r>
        <w:rPr>
          <w:rFonts w:ascii="Arial" w:hAnsi="Arial"/>
          <w:sz w:val="21"/>
          <w:szCs w:val="21"/>
        </w:rPr>
        <w:t>2</w:t>
      </w:r>
      <w:r>
        <w:rPr>
          <w:rFonts w:ascii="Arial" w:hAnsi="Arial" w:hint="eastAsia"/>
          <w:sz w:val="21"/>
          <w:szCs w:val="21"/>
        </w:rPr>
        <w:t>）属于正常交易</w:t>
      </w:r>
    </w:p>
    <w:p w14:paraId="16B149A9" w14:textId="77777777" w:rsidR="00000000" w:rsidRDefault="00000000">
      <w:pPr>
        <w:wordWrap w:val="0"/>
        <w:overflowPunct w:val="0"/>
        <w:spacing w:line="480" w:lineRule="auto"/>
        <w:ind w:left="780"/>
        <w:rPr>
          <w:rFonts w:ascii="Arial" w:hAnsi="Arial"/>
          <w:sz w:val="21"/>
          <w:szCs w:val="21"/>
        </w:rPr>
      </w:pPr>
      <w:r>
        <w:rPr>
          <w:rFonts w:ascii="Arial" w:hAnsi="Arial"/>
          <w:sz w:val="21"/>
          <w:szCs w:val="21"/>
        </w:rPr>
        <w:t>3</w:t>
      </w:r>
      <w:r>
        <w:rPr>
          <w:rFonts w:ascii="Arial" w:hAnsi="Arial" w:hint="eastAsia"/>
          <w:sz w:val="21"/>
          <w:szCs w:val="21"/>
        </w:rPr>
        <w:t>）房地产状况各因素相近</w:t>
      </w:r>
    </w:p>
    <w:p w14:paraId="2A639DEE" w14:textId="77777777" w:rsidR="00000000" w:rsidRDefault="00000000">
      <w:pPr>
        <w:wordWrap w:val="0"/>
        <w:overflowPunct w:val="0"/>
        <w:spacing w:line="480" w:lineRule="auto"/>
        <w:ind w:left="780"/>
        <w:rPr>
          <w:rFonts w:ascii="Arial" w:hAnsi="Arial"/>
          <w:sz w:val="21"/>
          <w:szCs w:val="21"/>
        </w:rPr>
      </w:pPr>
      <w:r>
        <w:rPr>
          <w:rFonts w:ascii="Arial" w:hAnsi="Arial"/>
          <w:sz w:val="21"/>
          <w:szCs w:val="21"/>
        </w:rPr>
        <w:t>4</w:t>
      </w:r>
      <w:r>
        <w:rPr>
          <w:rFonts w:ascii="Arial" w:hAnsi="Arial" w:hint="eastAsia"/>
          <w:sz w:val="21"/>
          <w:szCs w:val="21"/>
        </w:rPr>
        <w:t>）价值时点接近</w:t>
      </w:r>
    </w:p>
    <w:p w14:paraId="4AAE7C84" w14:textId="77777777" w:rsidR="00000000" w:rsidRDefault="00000000">
      <w:pPr>
        <w:wordWrap w:val="0"/>
        <w:overflowPunct w:val="0"/>
        <w:spacing w:line="480" w:lineRule="auto"/>
        <w:ind w:left="780"/>
        <w:rPr>
          <w:rFonts w:ascii="Arial" w:hAnsi="Arial"/>
          <w:sz w:val="21"/>
          <w:szCs w:val="21"/>
        </w:rPr>
      </w:pPr>
      <w:r>
        <w:rPr>
          <w:rFonts w:ascii="Arial" w:hAnsi="Arial"/>
          <w:sz w:val="21"/>
          <w:szCs w:val="21"/>
        </w:rPr>
        <w:t>5</w:t>
      </w:r>
      <w:r>
        <w:rPr>
          <w:rFonts w:ascii="Arial" w:hAnsi="Arial" w:hint="eastAsia"/>
          <w:sz w:val="21"/>
          <w:szCs w:val="21"/>
        </w:rPr>
        <w:t>）统一价格基础</w:t>
      </w:r>
    </w:p>
    <w:p w14:paraId="22EBB19E" w14:textId="77777777" w:rsidR="00000000" w:rsidRDefault="00000000">
      <w:pPr>
        <w:wordWrap w:val="0"/>
        <w:overflowPunct w:val="0"/>
        <w:spacing w:line="480" w:lineRule="auto"/>
        <w:ind w:left="780"/>
        <w:rPr>
          <w:rFonts w:ascii="Arial" w:hAnsi="Arial"/>
          <w:sz w:val="21"/>
          <w:szCs w:val="21"/>
        </w:rPr>
      </w:pPr>
      <w:r>
        <w:rPr>
          <w:rFonts w:ascii="Arial" w:hAnsi="Arial" w:hint="eastAsia"/>
          <w:sz w:val="21"/>
          <w:szCs w:val="21"/>
        </w:rPr>
        <w:t>（</w:t>
      </w:r>
      <w:r>
        <w:rPr>
          <w:rFonts w:ascii="Arial" w:hAnsi="Arial"/>
          <w:sz w:val="21"/>
          <w:szCs w:val="21"/>
        </w:rPr>
        <w:t>2</w:t>
      </w:r>
      <w:r>
        <w:rPr>
          <w:rFonts w:ascii="Arial" w:hAnsi="Arial" w:hint="eastAsia"/>
          <w:sz w:val="21"/>
          <w:szCs w:val="21"/>
        </w:rPr>
        <w:t>）进行交易情况、市场状况、房地产状况（区位、实物）等因素修正和调整</w:t>
      </w:r>
    </w:p>
    <w:p w14:paraId="4709AFD2" w14:textId="77777777" w:rsidR="00000000" w:rsidRDefault="00000000">
      <w:pPr>
        <w:wordWrap w:val="0"/>
        <w:overflowPunct w:val="0"/>
        <w:spacing w:line="480" w:lineRule="auto"/>
        <w:ind w:left="780"/>
        <w:rPr>
          <w:rFonts w:ascii="Arial" w:hAnsi="Arial"/>
          <w:sz w:val="21"/>
          <w:szCs w:val="21"/>
        </w:rPr>
      </w:pPr>
      <w:r>
        <w:rPr>
          <w:rFonts w:ascii="Arial" w:hAnsi="Arial" w:hint="eastAsia"/>
          <w:sz w:val="21"/>
          <w:szCs w:val="21"/>
        </w:rPr>
        <w:t>（</w:t>
      </w:r>
      <w:r>
        <w:rPr>
          <w:rFonts w:ascii="Arial" w:hAnsi="Arial"/>
          <w:sz w:val="21"/>
          <w:szCs w:val="21"/>
        </w:rPr>
        <w:t>3</w:t>
      </w:r>
      <w:r>
        <w:rPr>
          <w:rFonts w:ascii="Arial" w:hAnsi="Arial" w:hint="eastAsia"/>
          <w:sz w:val="21"/>
          <w:szCs w:val="21"/>
        </w:rPr>
        <w:t>）求取估价对象比较价值</w:t>
      </w:r>
    </w:p>
    <w:p w14:paraId="59AAF8AF" w14:textId="77777777" w:rsidR="00000000" w:rsidRDefault="00000000">
      <w:pPr>
        <w:pStyle w:val="Normal"/>
        <w:numPr>
          <w:ilvl w:val="0"/>
          <w:numId w:val="10"/>
        </w:numPr>
        <w:wordWrap w:val="0"/>
        <w:overflowPunct w:val="0"/>
        <w:autoSpaceDE w:val="0"/>
        <w:autoSpaceDN w:val="0"/>
        <w:spacing w:line="480" w:lineRule="auto"/>
        <w:ind w:right="140"/>
        <w:jc w:val="both"/>
        <w:textAlignment w:val="auto"/>
        <w:rPr>
          <w:rFonts w:ascii="Arial" w:hAnsi="Arial" w:cs="Arial" w:hint="eastAsia"/>
          <w:color w:val="000000"/>
          <w:sz w:val="21"/>
          <w:szCs w:val="21"/>
        </w:rPr>
      </w:pPr>
      <w:r>
        <w:rPr>
          <w:rFonts w:ascii="Arial" w:hAnsi="Arial" w:cs="Arial" w:hint="eastAsia"/>
          <w:color w:val="000000"/>
          <w:sz w:val="21"/>
          <w:szCs w:val="21"/>
        </w:rPr>
        <w:lastRenderedPageBreak/>
        <w:t>进行交易情况、交易日期、房地产状况等因素修正</w:t>
      </w:r>
    </w:p>
    <w:p w14:paraId="0F1332E9" w14:textId="77777777" w:rsidR="00000000" w:rsidRDefault="00000000">
      <w:pPr>
        <w:pStyle w:val="Normal"/>
        <w:numPr>
          <w:ilvl w:val="0"/>
          <w:numId w:val="10"/>
        </w:numPr>
        <w:wordWrap w:val="0"/>
        <w:overflowPunct w:val="0"/>
        <w:autoSpaceDE w:val="0"/>
        <w:autoSpaceDN w:val="0"/>
        <w:spacing w:line="480" w:lineRule="auto"/>
        <w:ind w:right="140"/>
        <w:jc w:val="both"/>
        <w:textAlignment w:val="auto"/>
        <w:rPr>
          <w:rFonts w:ascii="Arial" w:hAnsi="Arial" w:cs="Arial" w:hint="eastAsia"/>
          <w:color w:val="000000"/>
          <w:sz w:val="21"/>
          <w:szCs w:val="21"/>
        </w:rPr>
      </w:pPr>
      <w:r>
        <w:rPr>
          <w:rFonts w:ascii="Arial" w:hAnsi="Arial" w:cs="Arial" w:hint="eastAsia"/>
          <w:color w:val="000000"/>
          <w:sz w:val="21"/>
          <w:szCs w:val="21"/>
        </w:rPr>
        <w:t>求取估价对象比准价格</w:t>
      </w:r>
    </w:p>
    <w:p w14:paraId="6E94C63F" w14:textId="77777777" w:rsidR="00000000" w:rsidRDefault="00000000">
      <w:pPr>
        <w:spacing w:line="480" w:lineRule="auto"/>
        <w:ind w:firstLineChars="200" w:firstLine="422"/>
        <w:jc w:val="both"/>
        <w:rPr>
          <w:rFonts w:ascii="Arial" w:hAnsi="Arial" w:cs="Arial"/>
          <w:b/>
          <w:kern w:val="2"/>
          <w:sz w:val="21"/>
          <w:szCs w:val="21"/>
        </w:rPr>
      </w:pPr>
    </w:p>
    <w:p w14:paraId="5C86422A" w14:textId="77777777" w:rsidR="00000000" w:rsidRDefault="00000000">
      <w:pPr>
        <w:pStyle w:val="2"/>
        <w:numPr>
          <w:ilvl w:val="0"/>
          <w:numId w:val="0"/>
        </w:numPr>
        <w:tabs>
          <w:tab w:val="left" w:pos="360"/>
        </w:tabs>
        <w:spacing w:line="480" w:lineRule="auto"/>
        <w:ind w:left="358" w:hangingChars="170" w:hanging="358"/>
        <w:jc w:val="both"/>
        <w:rPr>
          <w:rFonts w:eastAsia="宋体"/>
          <w:kern w:val="2"/>
          <w:sz w:val="21"/>
          <w:szCs w:val="21"/>
        </w:rPr>
      </w:pPr>
      <w:r>
        <w:rPr>
          <w:rFonts w:eastAsia="宋体"/>
          <w:kern w:val="2"/>
          <w:sz w:val="21"/>
          <w:szCs w:val="21"/>
        </w:rPr>
        <w:br w:type="page"/>
      </w:r>
      <w:bookmarkStart w:id="57" w:name="_Toc14116"/>
      <w:r>
        <w:rPr>
          <w:rFonts w:eastAsia="宋体"/>
          <w:kern w:val="2"/>
          <w:sz w:val="21"/>
          <w:szCs w:val="21"/>
        </w:rPr>
        <w:lastRenderedPageBreak/>
        <w:t>五、估价测算过程</w:t>
      </w:r>
      <w:bookmarkEnd w:id="57"/>
      <w:r>
        <w:rPr>
          <w:rFonts w:eastAsia="宋体" w:hint="eastAsia"/>
          <w:kern w:val="2"/>
          <w:sz w:val="21"/>
          <w:szCs w:val="21"/>
        </w:rPr>
        <w:t xml:space="preserve">  </w:t>
      </w:r>
    </w:p>
    <w:p w14:paraId="25A53906" w14:textId="77777777" w:rsidR="00000000" w:rsidRDefault="00000000">
      <w:pPr>
        <w:pStyle w:val="Normal"/>
        <w:autoSpaceDE w:val="0"/>
        <w:autoSpaceDN w:val="0"/>
        <w:spacing w:line="480" w:lineRule="auto"/>
        <w:ind w:right="140" w:firstLineChars="200" w:firstLine="422"/>
        <w:jc w:val="both"/>
        <w:textAlignment w:val="bottom"/>
        <w:rPr>
          <w:rFonts w:ascii="Arial" w:hAnsi="Arial" w:cs="Arial" w:hint="eastAsia"/>
          <w:b/>
          <w:sz w:val="21"/>
          <w:szCs w:val="21"/>
        </w:rPr>
      </w:pPr>
      <w:r>
        <w:rPr>
          <w:rFonts w:ascii="Arial" w:hAnsi="Arial" w:cs="Arial" w:hint="eastAsia"/>
          <w:b/>
          <w:sz w:val="21"/>
          <w:szCs w:val="21"/>
        </w:rPr>
        <w:t>（一）标准小区及标准房选取</w:t>
      </w:r>
    </w:p>
    <w:p w14:paraId="4E896702" w14:textId="77777777" w:rsidR="00000000" w:rsidRDefault="00000000">
      <w:pPr>
        <w:pStyle w:val="Normal"/>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bCs/>
          <w:color w:val="000000"/>
          <w:sz w:val="21"/>
          <w:szCs w:val="21"/>
        </w:rPr>
        <w:t>估价对象</w:t>
      </w:r>
      <w:r>
        <w:rPr>
          <w:rFonts w:ascii="Arial" w:hAnsi="Arial" w:cs="Arial" w:hint="eastAsia"/>
          <w:bCs/>
          <w:color w:val="000000"/>
          <w:sz w:val="21"/>
          <w:szCs w:val="21"/>
        </w:rPr>
        <w:t>由</w:t>
      </w:r>
      <w:r>
        <w:rPr>
          <w:rFonts w:ascii="Arial" w:hAnsi="Arial" w:cs="Arial" w:hint="eastAsia"/>
          <w:kern w:val="2"/>
          <w:sz w:val="21"/>
          <w:szCs w:val="21"/>
        </w:rPr>
        <w:t>北京市北京经济技术开发区博兴九路</w:t>
      </w:r>
      <w:r>
        <w:rPr>
          <w:rFonts w:ascii="Arial" w:hAnsi="Arial" w:cs="Arial" w:hint="eastAsia"/>
          <w:kern w:val="2"/>
          <w:sz w:val="21"/>
          <w:szCs w:val="21"/>
        </w:rPr>
        <w:t>19</w:t>
      </w:r>
      <w:r>
        <w:rPr>
          <w:rFonts w:ascii="Arial" w:hAnsi="Arial" w:cs="Arial" w:hint="eastAsia"/>
          <w:kern w:val="2"/>
          <w:sz w:val="21"/>
          <w:szCs w:val="21"/>
        </w:rPr>
        <w:t>号院一区</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5</w:t>
      </w:r>
      <w:r>
        <w:rPr>
          <w:rFonts w:ascii="Arial" w:hAnsi="Arial" w:cs="Arial" w:hint="eastAsia"/>
          <w:kern w:val="2"/>
          <w:sz w:val="21"/>
          <w:szCs w:val="21"/>
        </w:rPr>
        <w:t>幢（</w:t>
      </w:r>
      <w:r>
        <w:rPr>
          <w:rFonts w:ascii="Arial" w:hAnsi="Arial" w:cs="Arial" w:hint="eastAsia"/>
          <w:kern w:val="2"/>
          <w:sz w:val="21"/>
          <w:szCs w:val="21"/>
        </w:rPr>
        <w:t>X13</w:t>
      </w:r>
      <w:r>
        <w:rPr>
          <w:rFonts w:ascii="Arial" w:hAnsi="Arial" w:cs="Arial" w:hint="eastAsia"/>
          <w:kern w:val="2"/>
          <w:sz w:val="21"/>
          <w:szCs w:val="21"/>
        </w:rPr>
        <w:t>海棠苑）共</w:t>
      </w:r>
      <w:r>
        <w:rPr>
          <w:rFonts w:ascii="Arial" w:hAnsi="Arial" w:cs="Arial" w:hint="eastAsia"/>
          <w:kern w:val="2"/>
          <w:sz w:val="21"/>
          <w:szCs w:val="21"/>
        </w:rPr>
        <w:t>1487</w:t>
      </w:r>
      <w:r>
        <w:rPr>
          <w:rFonts w:ascii="Arial" w:hAnsi="Arial" w:cs="Arial" w:hint="eastAsia"/>
          <w:kern w:val="2"/>
          <w:sz w:val="21"/>
          <w:szCs w:val="21"/>
        </w:rPr>
        <w:t>套、北京经济技术开发区鹿海园五里</w:t>
      </w:r>
      <w:r>
        <w:rPr>
          <w:rFonts w:ascii="Arial" w:hAnsi="Arial" w:cs="Arial" w:hint="eastAsia"/>
          <w:kern w:val="2"/>
          <w:sz w:val="21"/>
          <w:szCs w:val="21"/>
        </w:rPr>
        <w:t>1</w:t>
      </w:r>
      <w:r>
        <w:rPr>
          <w:rFonts w:ascii="Arial" w:hAnsi="Arial" w:cs="Arial" w:hint="eastAsia"/>
          <w:kern w:val="2"/>
          <w:sz w:val="21"/>
          <w:szCs w:val="21"/>
        </w:rPr>
        <w:t>号楼等</w:t>
      </w:r>
      <w:r>
        <w:rPr>
          <w:rFonts w:ascii="Arial" w:hAnsi="Arial" w:cs="Arial" w:hint="eastAsia"/>
          <w:kern w:val="2"/>
          <w:sz w:val="21"/>
          <w:szCs w:val="21"/>
        </w:rPr>
        <w:t>13</w:t>
      </w:r>
      <w:r>
        <w:rPr>
          <w:rFonts w:ascii="Arial" w:hAnsi="Arial" w:cs="Arial" w:hint="eastAsia"/>
          <w:kern w:val="2"/>
          <w:sz w:val="21"/>
          <w:szCs w:val="21"/>
        </w:rPr>
        <w:t>幢（</w:t>
      </w:r>
      <w:r>
        <w:rPr>
          <w:rFonts w:ascii="Arial" w:hAnsi="Arial" w:cs="Arial" w:hint="eastAsia"/>
          <w:kern w:val="2"/>
          <w:sz w:val="21"/>
          <w:szCs w:val="21"/>
        </w:rPr>
        <w:t>X38</w:t>
      </w:r>
      <w:r>
        <w:rPr>
          <w:rFonts w:ascii="Arial" w:hAnsi="Arial" w:cs="Arial" w:hint="eastAsia"/>
          <w:kern w:val="2"/>
          <w:sz w:val="21"/>
          <w:szCs w:val="21"/>
        </w:rPr>
        <w:t>鹿海园五里）共</w:t>
      </w:r>
      <w:r>
        <w:rPr>
          <w:rFonts w:ascii="Arial" w:hAnsi="Arial" w:cs="Arial" w:hint="eastAsia"/>
          <w:kern w:val="2"/>
          <w:sz w:val="21"/>
          <w:szCs w:val="21"/>
        </w:rPr>
        <w:t>1231</w:t>
      </w:r>
      <w:r>
        <w:rPr>
          <w:rFonts w:ascii="Arial" w:hAnsi="Arial" w:cs="Arial" w:hint="eastAsia"/>
          <w:kern w:val="2"/>
          <w:sz w:val="21"/>
          <w:szCs w:val="21"/>
        </w:rPr>
        <w:t>套组成，共</w:t>
      </w:r>
      <w:r>
        <w:rPr>
          <w:rFonts w:ascii="Arial" w:hAnsi="Arial" w:cs="Arial"/>
          <w:kern w:val="2"/>
          <w:sz w:val="21"/>
          <w:szCs w:val="21"/>
        </w:rPr>
        <w:t>2718</w:t>
      </w:r>
      <w:r>
        <w:rPr>
          <w:rFonts w:ascii="Arial" w:hAnsi="Arial" w:cs="Arial" w:hint="eastAsia"/>
          <w:kern w:val="2"/>
          <w:sz w:val="21"/>
          <w:szCs w:val="21"/>
        </w:rPr>
        <w:t>套公共租赁住房。其中，</w:t>
      </w:r>
      <w:r>
        <w:rPr>
          <w:rFonts w:ascii="Arial" w:hAnsi="Arial" w:cs="Arial" w:hint="eastAsia"/>
          <w:color w:val="000000"/>
          <w:sz w:val="21"/>
          <w:szCs w:val="21"/>
        </w:rPr>
        <w:t>X13</w:t>
      </w:r>
      <w:r>
        <w:rPr>
          <w:rFonts w:ascii="Arial" w:hAnsi="Arial" w:cs="Arial" w:hint="eastAsia"/>
          <w:color w:val="000000"/>
          <w:sz w:val="21"/>
          <w:szCs w:val="21"/>
        </w:rPr>
        <w:t>海棠苑共</w:t>
      </w:r>
      <w:r>
        <w:rPr>
          <w:rFonts w:ascii="Arial" w:hAnsi="Arial" w:cs="Arial" w:hint="eastAsia"/>
          <w:color w:val="000000"/>
          <w:sz w:val="21"/>
          <w:szCs w:val="21"/>
        </w:rPr>
        <w:t>1487</w:t>
      </w:r>
      <w:r>
        <w:rPr>
          <w:rFonts w:ascii="Arial" w:hAnsi="Arial" w:cs="Arial" w:hint="eastAsia"/>
          <w:color w:val="000000"/>
          <w:sz w:val="21"/>
          <w:szCs w:val="21"/>
        </w:rPr>
        <w:t>套，有三种户型，分别为开间、一居室、二居室（其中，开间共</w:t>
      </w:r>
      <w:r>
        <w:rPr>
          <w:rFonts w:ascii="Arial" w:hAnsi="Arial" w:cs="Arial" w:hint="eastAsia"/>
          <w:color w:val="000000"/>
          <w:sz w:val="21"/>
          <w:szCs w:val="21"/>
        </w:rPr>
        <w:t>201</w:t>
      </w:r>
      <w:r>
        <w:rPr>
          <w:rFonts w:ascii="Arial" w:hAnsi="Arial" w:cs="Arial" w:hint="eastAsia"/>
          <w:color w:val="000000"/>
          <w:sz w:val="21"/>
          <w:szCs w:val="21"/>
        </w:rPr>
        <w:t>套，面积控制在</w:t>
      </w:r>
      <w:r>
        <w:rPr>
          <w:rFonts w:ascii="Arial" w:hAnsi="Arial" w:cs="Arial" w:hint="eastAsia"/>
          <w:color w:val="000000"/>
          <w:sz w:val="21"/>
          <w:szCs w:val="21"/>
        </w:rPr>
        <w:t>25.44-50.91</w:t>
      </w:r>
      <w:r>
        <w:rPr>
          <w:rFonts w:ascii="Arial" w:hAnsi="Arial" w:cs="Arial" w:hint="eastAsia"/>
          <w:color w:val="000000"/>
          <w:sz w:val="21"/>
          <w:szCs w:val="21"/>
        </w:rPr>
        <w:t>平方米；一居室共</w:t>
      </w:r>
      <w:r>
        <w:rPr>
          <w:rFonts w:ascii="Arial" w:hAnsi="Arial" w:cs="Arial" w:hint="eastAsia"/>
          <w:color w:val="000000"/>
          <w:sz w:val="21"/>
          <w:szCs w:val="21"/>
        </w:rPr>
        <w:t>1100</w:t>
      </w:r>
      <w:r>
        <w:rPr>
          <w:rFonts w:ascii="Arial" w:hAnsi="Arial" w:cs="Arial" w:hint="eastAsia"/>
          <w:color w:val="000000"/>
          <w:sz w:val="21"/>
          <w:szCs w:val="21"/>
        </w:rPr>
        <w:t>套，面积控制</w:t>
      </w:r>
      <w:r>
        <w:rPr>
          <w:rFonts w:ascii="Arial" w:hAnsi="Arial" w:cs="Arial" w:hint="eastAsia"/>
          <w:color w:val="000000"/>
          <w:sz w:val="21"/>
          <w:szCs w:val="21"/>
        </w:rPr>
        <w:t>38.46-62.94</w:t>
      </w:r>
      <w:r>
        <w:rPr>
          <w:rFonts w:ascii="Arial" w:hAnsi="Arial" w:cs="Arial" w:hint="eastAsia"/>
          <w:color w:val="000000"/>
          <w:sz w:val="21"/>
          <w:szCs w:val="21"/>
        </w:rPr>
        <w:t>平方米；二居室共</w:t>
      </w:r>
      <w:r>
        <w:rPr>
          <w:rFonts w:ascii="Arial" w:hAnsi="Arial" w:cs="Arial" w:hint="eastAsia"/>
          <w:color w:val="000000"/>
          <w:sz w:val="21"/>
          <w:szCs w:val="21"/>
        </w:rPr>
        <w:t>186</w:t>
      </w:r>
      <w:r>
        <w:rPr>
          <w:rFonts w:ascii="Arial" w:hAnsi="Arial" w:cs="Arial" w:hint="eastAsia"/>
          <w:color w:val="000000"/>
          <w:sz w:val="21"/>
          <w:szCs w:val="21"/>
        </w:rPr>
        <w:t>套，面积约控制为</w:t>
      </w:r>
      <w:r>
        <w:rPr>
          <w:rFonts w:ascii="Arial" w:hAnsi="Arial" w:cs="Arial" w:hint="eastAsia"/>
          <w:color w:val="000000"/>
          <w:sz w:val="21"/>
          <w:szCs w:val="21"/>
        </w:rPr>
        <w:t>60.42-61.34</w:t>
      </w:r>
      <w:r>
        <w:rPr>
          <w:rFonts w:ascii="Arial" w:hAnsi="Arial" w:cs="Arial" w:hint="eastAsia"/>
          <w:color w:val="000000"/>
          <w:sz w:val="21"/>
          <w:szCs w:val="21"/>
        </w:rPr>
        <w:t>平方米）。</w:t>
      </w:r>
      <w:r>
        <w:rPr>
          <w:rFonts w:ascii="Arial" w:hAnsi="Arial" w:cs="Arial" w:hint="eastAsia"/>
          <w:color w:val="000000"/>
          <w:sz w:val="21"/>
          <w:szCs w:val="21"/>
        </w:rPr>
        <w:t>X38</w:t>
      </w:r>
      <w:r>
        <w:rPr>
          <w:rFonts w:ascii="Arial" w:hAnsi="Arial" w:cs="Arial" w:hint="eastAsia"/>
          <w:color w:val="000000"/>
          <w:sz w:val="21"/>
          <w:szCs w:val="21"/>
        </w:rPr>
        <w:t>鹿海园五里共</w:t>
      </w:r>
      <w:r>
        <w:rPr>
          <w:rFonts w:ascii="Arial" w:hAnsi="Arial" w:cs="Arial" w:hint="eastAsia"/>
          <w:color w:val="000000"/>
          <w:sz w:val="21"/>
          <w:szCs w:val="21"/>
        </w:rPr>
        <w:t>1231</w:t>
      </w:r>
      <w:r>
        <w:rPr>
          <w:rFonts w:ascii="Arial" w:hAnsi="Arial" w:cs="Arial" w:hint="eastAsia"/>
          <w:color w:val="000000"/>
          <w:sz w:val="21"/>
          <w:szCs w:val="21"/>
        </w:rPr>
        <w:t>套，有三种户型，分别为一居室、二居室、三居室（其中，一居室共</w:t>
      </w:r>
      <w:r>
        <w:rPr>
          <w:rFonts w:ascii="Arial" w:hAnsi="Arial" w:cs="Arial" w:hint="eastAsia"/>
          <w:color w:val="000000"/>
          <w:sz w:val="21"/>
          <w:szCs w:val="21"/>
        </w:rPr>
        <w:t>334</w:t>
      </w:r>
      <w:r>
        <w:rPr>
          <w:rFonts w:ascii="Arial" w:hAnsi="Arial" w:cs="Arial" w:hint="eastAsia"/>
          <w:color w:val="000000"/>
          <w:sz w:val="21"/>
          <w:szCs w:val="21"/>
        </w:rPr>
        <w:t>套，面积约控制在</w:t>
      </w:r>
      <w:r>
        <w:rPr>
          <w:rFonts w:ascii="Arial" w:hAnsi="Arial" w:cs="Arial" w:hint="eastAsia"/>
          <w:color w:val="000000"/>
          <w:sz w:val="21"/>
          <w:szCs w:val="21"/>
        </w:rPr>
        <w:t>51.14-71.30</w:t>
      </w:r>
      <w:r>
        <w:rPr>
          <w:rFonts w:ascii="Arial" w:hAnsi="Arial" w:cs="Arial" w:hint="eastAsia"/>
          <w:color w:val="000000"/>
          <w:sz w:val="21"/>
          <w:szCs w:val="21"/>
        </w:rPr>
        <w:t>平方米；二居室共</w:t>
      </w:r>
      <w:r>
        <w:rPr>
          <w:rFonts w:ascii="Arial" w:hAnsi="Arial" w:cs="Arial" w:hint="eastAsia"/>
          <w:color w:val="000000"/>
          <w:sz w:val="21"/>
          <w:szCs w:val="21"/>
        </w:rPr>
        <w:t>656</w:t>
      </w:r>
      <w:r>
        <w:rPr>
          <w:rFonts w:ascii="Arial" w:hAnsi="Arial" w:cs="Arial" w:hint="eastAsia"/>
          <w:color w:val="000000"/>
          <w:sz w:val="21"/>
          <w:szCs w:val="21"/>
        </w:rPr>
        <w:t>套，面积控制在</w:t>
      </w:r>
      <w:r>
        <w:rPr>
          <w:rFonts w:ascii="Arial" w:hAnsi="Arial" w:cs="Arial" w:hint="eastAsia"/>
          <w:color w:val="000000"/>
          <w:sz w:val="21"/>
          <w:szCs w:val="21"/>
        </w:rPr>
        <w:t>91.83-110.57</w:t>
      </w:r>
      <w:r>
        <w:rPr>
          <w:rFonts w:ascii="Arial" w:hAnsi="Arial" w:cs="Arial" w:hint="eastAsia"/>
          <w:color w:val="000000"/>
          <w:sz w:val="21"/>
          <w:szCs w:val="21"/>
        </w:rPr>
        <w:t>平方米；三居室共</w:t>
      </w:r>
      <w:r>
        <w:rPr>
          <w:rFonts w:ascii="Arial" w:hAnsi="Arial" w:cs="Arial" w:hint="eastAsia"/>
          <w:color w:val="000000"/>
          <w:sz w:val="21"/>
          <w:szCs w:val="21"/>
        </w:rPr>
        <w:t>241</w:t>
      </w:r>
      <w:r>
        <w:rPr>
          <w:rFonts w:ascii="Arial" w:hAnsi="Arial" w:cs="Arial" w:hint="eastAsia"/>
          <w:color w:val="000000"/>
          <w:sz w:val="21"/>
          <w:szCs w:val="21"/>
        </w:rPr>
        <w:t>套，面积为</w:t>
      </w:r>
      <w:r>
        <w:rPr>
          <w:rFonts w:ascii="Arial" w:hAnsi="Arial" w:cs="Arial" w:hint="eastAsia"/>
          <w:color w:val="000000"/>
          <w:sz w:val="21"/>
          <w:szCs w:val="21"/>
        </w:rPr>
        <w:t>123.14-131.57</w:t>
      </w:r>
      <w:r>
        <w:rPr>
          <w:rFonts w:ascii="Arial" w:hAnsi="Arial" w:cs="Arial" w:hint="eastAsia"/>
          <w:color w:val="000000"/>
          <w:sz w:val="21"/>
          <w:szCs w:val="21"/>
        </w:rPr>
        <w:t>平方米）。</w:t>
      </w:r>
    </w:p>
    <w:p w14:paraId="08418AAD" w14:textId="77777777" w:rsidR="00000000" w:rsidRDefault="00000000">
      <w:pPr>
        <w:pStyle w:val="Normal"/>
        <w:wordWrap w:val="0"/>
        <w:overflowPunct w:val="0"/>
        <w:autoSpaceDE w:val="0"/>
        <w:autoSpaceDN w:val="0"/>
        <w:spacing w:line="480" w:lineRule="auto"/>
        <w:ind w:right="140" w:firstLineChars="200" w:firstLine="420"/>
        <w:jc w:val="both"/>
        <w:textAlignment w:val="auto"/>
        <w:rPr>
          <w:rFonts w:ascii="Arial" w:hAnsi="Arial" w:cs="Arial"/>
          <w:kern w:val="2"/>
          <w:sz w:val="21"/>
          <w:szCs w:val="21"/>
        </w:rPr>
      </w:pPr>
      <w:r>
        <w:rPr>
          <w:rFonts w:ascii="Arial" w:hAnsi="Arial" w:cs="Arial" w:hint="eastAsia"/>
          <w:sz w:val="21"/>
          <w:szCs w:val="21"/>
        </w:rPr>
        <w:t>参照被评估公共租赁住房项目的户型、面积、朝向、楼层、装修及设备等因素，依据众数原则，</w:t>
      </w:r>
      <w:r>
        <w:rPr>
          <w:rFonts w:ascii="Arial" w:hAnsi="Arial" w:cs="Arial"/>
          <w:color w:val="000000"/>
          <w:sz w:val="21"/>
          <w:szCs w:val="21"/>
        </w:rPr>
        <w:t>选取</w:t>
      </w:r>
      <w:r>
        <w:rPr>
          <w:rFonts w:ascii="Arial" w:hAnsi="Arial" w:cs="Arial" w:hint="eastAsia"/>
          <w:color w:val="000000"/>
          <w:sz w:val="21"/>
          <w:szCs w:val="21"/>
        </w:rPr>
        <w:t>X13</w:t>
      </w:r>
      <w:r>
        <w:rPr>
          <w:rFonts w:ascii="Arial" w:hAnsi="Arial" w:cs="Arial" w:hint="eastAsia"/>
          <w:color w:val="000000"/>
          <w:sz w:val="21"/>
          <w:szCs w:val="21"/>
        </w:rPr>
        <w:t>海棠苑项目</w:t>
      </w:r>
      <w:r>
        <w:rPr>
          <w:rFonts w:ascii="Arial" w:hAnsi="Arial" w:cs="Arial"/>
          <w:color w:val="000000"/>
          <w:sz w:val="21"/>
          <w:szCs w:val="21"/>
        </w:rPr>
        <w:t>为标准小区</w:t>
      </w:r>
      <w:r>
        <w:rPr>
          <w:rFonts w:ascii="Arial" w:hAnsi="Arial" w:cs="Arial" w:hint="eastAsia"/>
          <w:color w:val="000000"/>
          <w:sz w:val="21"/>
          <w:szCs w:val="21"/>
        </w:rPr>
        <w:t>，</w:t>
      </w:r>
      <w:r>
        <w:rPr>
          <w:rFonts w:ascii="Arial" w:hAnsi="Arial" w:cs="Arial" w:hint="eastAsia"/>
          <w:kern w:val="2"/>
          <w:sz w:val="21"/>
          <w:szCs w:val="21"/>
        </w:rPr>
        <w:t>X13</w:t>
      </w:r>
      <w:r>
        <w:rPr>
          <w:rFonts w:ascii="Arial" w:hAnsi="Arial" w:cs="Arial" w:hint="eastAsia"/>
          <w:kern w:val="2"/>
          <w:sz w:val="21"/>
          <w:szCs w:val="21"/>
        </w:rPr>
        <w:t>海棠苑项目设定的标准房户型为一居室，面积为</w:t>
      </w:r>
      <w:r>
        <w:rPr>
          <w:rFonts w:ascii="Arial" w:hAnsi="Arial" w:cs="Arial"/>
          <w:kern w:val="2"/>
          <w:sz w:val="21"/>
          <w:szCs w:val="21"/>
        </w:rPr>
        <w:t>59.64</w:t>
      </w:r>
      <w:r>
        <w:rPr>
          <w:rFonts w:ascii="Arial" w:hAnsi="Arial" w:cs="Arial" w:hint="eastAsia"/>
          <w:kern w:val="2"/>
          <w:sz w:val="21"/>
          <w:szCs w:val="21"/>
        </w:rPr>
        <w:t>平方米，朝向为西，装修为普通装修。</w:t>
      </w:r>
      <w:r>
        <w:rPr>
          <w:rFonts w:ascii="Arial" w:hAnsi="Arial" w:cs="Arial" w:hint="eastAsia"/>
          <w:kern w:val="2"/>
          <w:sz w:val="21"/>
          <w:szCs w:val="21"/>
        </w:rPr>
        <w:t>X38</w:t>
      </w:r>
      <w:r>
        <w:rPr>
          <w:rFonts w:ascii="Arial" w:hAnsi="Arial" w:cs="Arial" w:hint="eastAsia"/>
          <w:kern w:val="2"/>
          <w:sz w:val="21"/>
          <w:szCs w:val="21"/>
        </w:rPr>
        <w:t>鹿海园五里项目设定的标准房户型为二居室，面积为</w:t>
      </w:r>
      <w:r>
        <w:rPr>
          <w:rFonts w:ascii="Arial" w:hAnsi="Arial" w:cs="Arial"/>
          <w:kern w:val="2"/>
          <w:sz w:val="21"/>
          <w:szCs w:val="21"/>
        </w:rPr>
        <w:t>109.19</w:t>
      </w:r>
      <w:r>
        <w:rPr>
          <w:rFonts w:ascii="Arial" w:hAnsi="Arial" w:cs="Arial" w:hint="eastAsia"/>
          <w:kern w:val="2"/>
          <w:sz w:val="21"/>
          <w:szCs w:val="21"/>
        </w:rPr>
        <w:t>平方米，朝向为南北，装修为普通装修。</w:t>
      </w:r>
    </w:p>
    <w:p w14:paraId="5571C53F" w14:textId="77777777" w:rsidR="00000000" w:rsidRDefault="00000000">
      <w:pPr>
        <w:pStyle w:val="Normal"/>
        <w:autoSpaceDE w:val="0"/>
        <w:autoSpaceDN w:val="0"/>
        <w:spacing w:line="480" w:lineRule="auto"/>
        <w:ind w:right="140" w:firstLineChars="200" w:firstLine="422"/>
        <w:jc w:val="both"/>
        <w:textAlignment w:val="bottom"/>
        <w:rPr>
          <w:rFonts w:ascii="Arial" w:hAnsi="Arial" w:cs="Arial"/>
          <w:b/>
          <w:sz w:val="21"/>
          <w:szCs w:val="21"/>
        </w:rPr>
      </w:pPr>
      <w:r>
        <w:rPr>
          <w:rFonts w:ascii="Arial" w:hAnsi="Arial" w:cs="Arial"/>
          <w:b/>
          <w:sz w:val="21"/>
          <w:szCs w:val="21"/>
        </w:rPr>
        <w:t>（</w:t>
      </w:r>
      <w:r>
        <w:rPr>
          <w:rFonts w:ascii="Arial" w:hAnsi="Arial" w:cs="Arial" w:hint="eastAsia"/>
          <w:b/>
          <w:sz w:val="21"/>
          <w:szCs w:val="21"/>
        </w:rPr>
        <w:t>二</w:t>
      </w:r>
      <w:r>
        <w:rPr>
          <w:rFonts w:ascii="Arial" w:hAnsi="Arial" w:cs="Arial"/>
          <w:b/>
          <w:sz w:val="21"/>
          <w:szCs w:val="21"/>
        </w:rPr>
        <w:t>）</w:t>
      </w:r>
      <w:r>
        <w:rPr>
          <w:rFonts w:ascii="Arial" w:hAnsi="Arial" w:cs="Arial" w:hint="eastAsia"/>
          <w:b/>
          <w:kern w:val="2"/>
          <w:sz w:val="21"/>
          <w:szCs w:val="21"/>
        </w:rPr>
        <w:t>可比案例选取</w:t>
      </w:r>
    </w:p>
    <w:p w14:paraId="08A8D6C9" w14:textId="77777777" w:rsidR="00000000" w:rsidRDefault="00000000">
      <w:pPr>
        <w:pStyle w:val="Normal"/>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color w:val="000000"/>
          <w:sz w:val="21"/>
          <w:szCs w:val="21"/>
        </w:rPr>
        <w:t xml:space="preserve">1. </w:t>
      </w:r>
      <w:r>
        <w:rPr>
          <w:rFonts w:ascii="Arial" w:hAnsi="Arial" w:cs="Arial" w:hint="eastAsia"/>
          <w:color w:val="000000"/>
          <w:sz w:val="21"/>
          <w:szCs w:val="21"/>
        </w:rPr>
        <w:t>估价机构样本小区数据选取</w:t>
      </w:r>
      <w:r>
        <w:rPr>
          <w:rFonts w:ascii="Arial" w:hAnsi="Arial" w:cs="Arial"/>
          <w:color w:val="000000"/>
          <w:sz w:val="21"/>
          <w:szCs w:val="21"/>
        </w:rPr>
        <w:t xml:space="preserve"> </w:t>
      </w:r>
    </w:p>
    <w:p w14:paraId="504488C7" w14:textId="77777777" w:rsidR="00000000" w:rsidRDefault="00000000">
      <w:pPr>
        <w:pStyle w:val="Normal"/>
        <w:autoSpaceDE w:val="0"/>
        <w:autoSpaceDN w:val="0"/>
        <w:spacing w:line="480" w:lineRule="auto"/>
        <w:ind w:firstLineChars="200" w:firstLine="420"/>
        <w:jc w:val="both"/>
        <w:textAlignment w:val="bottom"/>
        <w:rPr>
          <w:rFonts w:ascii="Arial" w:hAnsi="Arial" w:cs="Arial"/>
          <w:color w:val="000000"/>
          <w:sz w:val="21"/>
          <w:szCs w:val="21"/>
        </w:rPr>
      </w:pPr>
      <w:r>
        <w:rPr>
          <w:rFonts w:hAnsi="宋体" w:cs="Arial" w:hint="eastAsia"/>
          <w:color w:val="000000"/>
          <w:sz w:val="21"/>
          <w:szCs w:val="21"/>
        </w:rPr>
        <w:t>（1）</w:t>
      </w:r>
      <w:r>
        <w:rPr>
          <w:rFonts w:ascii="Arial" w:hAnsi="Arial" w:cs="Arial" w:hint="eastAsia"/>
          <w:color w:val="000000"/>
          <w:sz w:val="21"/>
          <w:szCs w:val="21"/>
        </w:rPr>
        <w:t>样本小区选取</w:t>
      </w:r>
    </w:p>
    <w:p w14:paraId="70401720" w14:textId="77777777" w:rsidR="00000000" w:rsidRDefault="00000000">
      <w:pPr>
        <w:pStyle w:val="Normal"/>
        <w:autoSpaceDE w:val="0"/>
        <w:autoSpaceDN w:val="0"/>
        <w:spacing w:line="480" w:lineRule="auto"/>
        <w:ind w:firstLineChars="200" w:firstLine="420"/>
        <w:jc w:val="both"/>
        <w:textAlignment w:val="bottom"/>
        <w:rPr>
          <w:rFonts w:ascii="Arial" w:hAnsi="Arial" w:cs="Arial" w:hint="eastAsia"/>
          <w:bCs/>
          <w:sz w:val="21"/>
          <w:szCs w:val="21"/>
        </w:rPr>
      </w:pPr>
      <w:r>
        <w:rPr>
          <w:rFonts w:ascii="Arial" w:hAnsi="Arial" w:cs="Arial"/>
          <w:color w:val="000000"/>
          <w:sz w:val="21"/>
          <w:szCs w:val="21"/>
        </w:rPr>
        <w:t>根据</w:t>
      </w:r>
      <w:r>
        <w:rPr>
          <w:rFonts w:ascii="Arial" w:hAnsi="Arial" w:cs="Arial" w:hint="eastAsia"/>
          <w:color w:val="000000"/>
          <w:sz w:val="21"/>
          <w:szCs w:val="21"/>
        </w:rPr>
        <w:t>评估专业人员通过现场调查、调档机构内部积累数据以及结合北京市房地产市场管理事务中心提供的数据</w:t>
      </w:r>
      <w:r>
        <w:rPr>
          <w:rFonts w:ascii="Arial" w:hAnsi="Arial" w:cs="Arial"/>
          <w:color w:val="000000"/>
          <w:sz w:val="21"/>
          <w:szCs w:val="21"/>
        </w:rPr>
        <w:t>，</w:t>
      </w:r>
      <w:r>
        <w:rPr>
          <w:rFonts w:ascii="Arial" w:hAnsi="Arial" w:cs="Arial" w:hint="eastAsia"/>
          <w:color w:val="000000"/>
          <w:sz w:val="21"/>
          <w:szCs w:val="21"/>
        </w:rPr>
        <w:t>估价对象周边</w:t>
      </w:r>
      <w:r>
        <w:rPr>
          <w:rFonts w:ascii="Arial" w:hAnsi="Arial" w:cs="Arial" w:hint="eastAsia"/>
          <w:color w:val="000000"/>
          <w:sz w:val="21"/>
          <w:szCs w:val="21"/>
        </w:rPr>
        <w:t>2</w:t>
      </w:r>
      <w:r>
        <w:rPr>
          <w:rFonts w:ascii="Arial" w:hAnsi="Arial" w:cs="Arial" w:hint="eastAsia"/>
          <w:color w:val="000000"/>
          <w:sz w:val="21"/>
          <w:szCs w:val="21"/>
        </w:rPr>
        <w:t>公里内同品质住宅小区有悦廷、中信新城西区、南海家园四里、鹿海园三里、中芯花园共</w:t>
      </w:r>
      <w:r>
        <w:rPr>
          <w:rFonts w:ascii="Arial" w:hAnsi="Arial" w:cs="Arial"/>
          <w:color w:val="000000"/>
          <w:sz w:val="21"/>
          <w:szCs w:val="21"/>
        </w:rPr>
        <w:t>5</w:t>
      </w:r>
      <w:r>
        <w:rPr>
          <w:rFonts w:ascii="Arial" w:hAnsi="Arial" w:cs="Arial" w:hint="eastAsia"/>
          <w:color w:val="000000"/>
          <w:sz w:val="21"/>
          <w:szCs w:val="21"/>
        </w:rPr>
        <w:t>个</w:t>
      </w:r>
      <w:r>
        <w:rPr>
          <w:rFonts w:ascii="Arial" w:hAnsi="Arial" w:cs="Arial"/>
          <w:color w:val="000000"/>
          <w:sz w:val="21"/>
          <w:szCs w:val="21"/>
        </w:rPr>
        <w:t>普通商品房住宅</w:t>
      </w:r>
      <w:r>
        <w:rPr>
          <w:rFonts w:ascii="Arial" w:hAnsi="Arial" w:cs="Arial" w:hint="eastAsia"/>
          <w:color w:val="000000"/>
          <w:sz w:val="21"/>
          <w:szCs w:val="21"/>
        </w:rPr>
        <w:t>项目。各小区具体情况如下表所示：</w:t>
      </w:r>
    </w:p>
    <w:tbl>
      <w:tblPr>
        <w:tblW w:w="9515" w:type="dxa"/>
        <w:jc w:val="center"/>
        <w:tblInd w:w="0" w:type="dxa"/>
        <w:tblLook w:val="0000" w:firstRow="0" w:lastRow="0" w:firstColumn="0" w:lastColumn="0" w:noHBand="0" w:noVBand="0"/>
      </w:tblPr>
      <w:tblGrid>
        <w:gridCol w:w="703"/>
        <w:gridCol w:w="1741"/>
        <w:gridCol w:w="1082"/>
        <w:gridCol w:w="1095"/>
        <w:gridCol w:w="1753"/>
        <w:gridCol w:w="1583"/>
        <w:gridCol w:w="1558"/>
      </w:tblGrid>
      <w:tr w:rsidR="00000000" w14:paraId="31600159" w14:textId="77777777">
        <w:trPr>
          <w:trHeight w:val="270"/>
          <w:jc w:val="center"/>
        </w:trPr>
        <w:tc>
          <w:tcPr>
            <w:tcW w:w="9515" w:type="dxa"/>
            <w:gridSpan w:val="7"/>
            <w:tcBorders>
              <w:top w:val="single" w:sz="4" w:space="0" w:color="auto"/>
              <w:left w:val="single" w:sz="4" w:space="0" w:color="auto"/>
              <w:bottom w:val="single" w:sz="4" w:space="0" w:color="auto"/>
              <w:right w:val="single" w:sz="4" w:space="0" w:color="auto"/>
            </w:tcBorders>
            <w:vAlign w:val="center"/>
          </w:tcPr>
          <w:p w14:paraId="65C428D9" w14:textId="77777777" w:rsidR="00000000" w:rsidRDefault="00000000">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周边市场调查情况表</w:t>
            </w:r>
          </w:p>
        </w:tc>
      </w:tr>
      <w:tr w:rsidR="00000000" w14:paraId="4FEAC0D9" w14:textId="77777777">
        <w:trPr>
          <w:trHeight w:val="270"/>
          <w:jc w:val="center"/>
        </w:trPr>
        <w:tc>
          <w:tcPr>
            <w:tcW w:w="703" w:type="dxa"/>
            <w:tcBorders>
              <w:top w:val="nil"/>
              <w:left w:val="single" w:sz="4" w:space="0" w:color="auto"/>
              <w:bottom w:val="single" w:sz="4" w:space="0" w:color="auto"/>
              <w:right w:val="single" w:sz="4" w:space="0" w:color="auto"/>
            </w:tcBorders>
            <w:vAlign w:val="center"/>
          </w:tcPr>
          <w:p w14:paraId="4B20781E"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序号</w:t>
            </w:r>
          </w:p>
        </w:tc>
        <w:tc>
          <w:tcPr>
            <w:tcW w:w="1741" w:type="dxa"/>
            <w:tcBorders>
              <w:top w:val="nil"/>
              <w:left w:val="nil"/>
              <w:bottom w:val="single" w:sz="4" w:space="0" w:color="auto"/>
              <w:right w:val="single" w:sz="4" w:space="0" w:color="auto"/>
            </w:tcBorders>
            <w:vAlign w:val="center"/>
          </w:tcPr>
          <w:p w14:paraId="37ACE6FF"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项目名称</w:t>
            </w:r>
          </w:p>
        </w:tc>
        <w:tc>
          <w:tcPr>
            <w:tcW w:w="1082" w:type="dxa"/>
            <w:tcBorders>
              <w:top w:val="nil"/>
              <w:left w:val="nil"/>
              <w:bottom w:val="single" w:sz="4" w:space="0" w:color="auto"/>
              <w:right w:val="single" w:sz="4" w:space="0" w:color="auto"/>
            </w:tcBorders>
            <w:vAlign w:val="center"/>
          </w:tcPr>
          <w:p w14:paraId="7F26A524"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户型</w:t>
            </w:r>
          </w:p>
        </w:tc>
        <w:tc>
          <w:tcPr>
            <w:tcW w:w="1095" w:type="dxa"/>
            <w:tcBorders>
              <w:top w:val="nil"/>
              <w:left w:val="nil"/>
              <w:bottom w:val="single" w:sz="4" w:space="0" w:color="auto"/>
              <w:right w:val="single" w:sz="4" w:space="0" w:color="auto"/>
            </w:tcBorders>
            <w:vAlign w:val="center"/>
          </w:tcPr>
          <w:p w14:paraId="089A547C" w14:textId="77777777" w:rsidR="00000000" w:rsidRDefault="00000000">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建筑面积</w:t>
            </w:r>
          </w:p>
          <w:p w14:paraId="23A7DD02"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（平方米）</w:t>
            </w:r>
          </w:p>
        </w:tc>
        <w:tc>
          <w:tcPr>
            <w:tcW w:w="1753" w:type="dxa"/>
            <w:tcBorders>
              <w:top w:val="nil"/>
              <w:left w:val="nil"/>
              <w:bottom w:val="single" w:sz="4" w:space="0" w:color="auto"/>
              <w:right w:val="single" w:sz="4" w:space="0" w:color="auto"/>
            </w:tcBorders>
            <w:vAlign w:val="center"/>
          </w:tcPr>
          <w:p w14:paraId="79D665E6" w14:textId="77777777" w:rsidR="00000000" w:rsidRDefault="00000000">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年均租金</w:t>
            </w:r>
          </w:p>
          <w:p w14:paraId="31101008"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（元/月•平方米）</w:t>
            </w:r>
          </w:p>
        </w:tc>
        <w:tc>
          <w:tcPr>
            <w:tcW w:w="1583" w:type="dxa"/>
            <w:tcBorders>
              <w:top w:val="nil"/>
              <w:left w:val="nil"/>
              <w:bottom w:val="single" w:sz="4" w:space="0" w:color="auto"/>
              <w:right w:val="single" w:sz="4" w:space="0" w:color="auto"/>
            </w:tcBorders>
            <w:vAlign w:val="center"/>
          </w:tcPr>
          <w:p w14:paraId="5043D6E6" w14:textId="77777777" w:rsidR="00000000" w:rsidRDefault="00000000">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物业费</w:t>
            </w:r>
          </w:p>
          <w:p w14:paraId="55982725"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（元/月•平方米）</w:t>
            </w:r>
          </w:p>
        </w:tc>
        <w:tc>
          <w:tcPr>
            <w:tcW w:w="1558" w:type="dxa"/>
            <w:tcBorders>
              <w:top w:val="nil"/>
              <w:left w:val="nil"/>
              <w:bottom w:val="single" w:sz="4" w:space="0" w:color="auto"/>
              <w:right w:val="single" w:sz="4" w:space="0" w:color="auto"/>
            </w:tcBorders>
          </w:tcPr>
          <w:p w14:paraId="49229E5E" w14:textId="77777777" w:rsidR="00000000" w:rsidRDefault="00000000">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供暖费</w:t>
            </w:r>
          </w:p>
          <w:p w14:paraId="50225384" w14:textId="77777777" w:rsidR="00000000" w:rsidRDefault="00000000">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（元/月•平方米）</w:t>
            </w:r>
          </w:p>
        </w:tc>
      </w:tr>
      <w:tr w:rsidR="00000000" w14:paraId="663910D5" w14:textId="77777777">
        <w:trPr>
          <w:trHeight w:val="270"/>
          <w:jc w:val="center"/>
        </w:trPr>
        <w:tc>
          <w:tcPr>
            <w:tcW w:w="703" w:type="dxa"/>
            <w:tcBorders>
              <w:top w:val="nil"/>
              <w:left w:val="single" w:sz="4" w:space="0" w:color="auto"/>
              <w:bottom w:val="single" w:sz="4" w:space="0" w:color="auto"/>
              <w:right w:val="single" w:sz="4" w:space="0" w:color="auto"/>
            </w:tcBorders>
            <w:vAlign w:val="center"/>
          </w:tcPr>
          <w:p w14:paraId="7BF53320"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1</w:t>
            </w:r>
          </w:p>
        </w:tc>
        <w:tc>
          <w:tcPr>
            <w:tcW w:w="1741" w:type="dxa"/>
            <w:tcBorders>
              <w:top w:val="nil"/>
              <w:left w:val="nil"/>
              <w:bottom w:val="single" w:sz="4" w:space="0" w:color="auto"/>
              <w:right w:val="single" w:sz="4" w:space="0" w:color="auto"/>
            </w:tcBorders>
            <w:vAlign w:val="center"/>
          </w:tcPr>
          <w:p w14:paraId="08B73ADB" w14:textId="77777777" w:rsidR="00000000" w:rsidRDefault="00000000">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悦廷</w:t>
            </w:r>
          </w:p>
        </w:tc>
        <w:tc>
          <w:tcPr>
            <w:tcW w:w="1082" w:type="dxa"/>
            <w:tcBorders>
              <w:top w:val="nil"/>
              <w:left w:val="nil"/>
              <w:bottom w:val="single" w:sz="4" w:space="0" w:color="auto"/>
              <w:right w:val="single" w:sz="4" w:space="0" w:color="auto"/>
            </w:tcBorders>
            <w:vAlign w:val="center"/>
          </w:tcPr>
          <w:p w14:paraId="78598A25"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三居</w:t>
            </w:r>
          </w:p>
        </w:tc>
        <w:tc>
          <w:tcPr>
            <w:tcW w:w="1095" w:type="dxa"/>
            <w:tcBorders>
              <w:top w:val="nil"/>
              <w:left w:val="nil"/>
              <w:bottom w:val="single" w:sz="4" w:space="0" w:color="auto"/>
              <w:right w:val="single" w:sz="4" w:space="0" w:color="auto"/>
            </w:tcBorders>
            <w:vAlign w:val="center"/>
          </w:tcPr>
          <w:p w14:paraId="1E159C30"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130</w:t>
            </w:r>
          </w:p>
        </w:tc>
        <w:tc>
          <w:tcPr>
            <w:tcW w:w="1753" w:type="dxa"/>
            <w:tcBorders>
              <w:top w:val="nil"/>
              <w:left w:val="nil"/>
              <w:bottom w:val="single" w:sz="4" w:space="0" w:color="auto"/>
              <w:right w:val="single" w:sz="4" w:space="0" w:color="auto"/>
            </w:tcBorders>
            <w:vAlign w:val="center"/>
          </w:tcPr>
          <w:p w14:paraId="3E15A2E5"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57</w:t>
            </w:r>
          </w:p>
        </w:tc>
        <w:tc>
          <w:tcPr>
            <w:tcW w:w="1583" w:type="dxa"/>
            <w:tcBorders>
              <w:top w:val="nil"/>
              <w:left w:val="nil"/>
              <w:bottom w:val="single" w:sz="4" w:space="0" w:color="auto"/>
              <w:right w:val="single" w:sz="4" w:space="0" w:color="auto"/>
            </w:tcBorders>
            <w:vAlign w:val="center"/>
          </w:tcPr>
          <w:p w14:paraId="5F1713A4"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2.8</w:t>
            </w:r>
          </w:p>
        </w:tc>
        <w:tc>
          <w:tcPr>
            <w:tcW w:w="1558" w:type="dxa"/>
            <w:tcBorders>
              <w:top w:val="nil"/>
              <w:left w:val="nil"/>
              <w:bottom w:val="single" w:sz="4" w:space="0" w:color="auto"/>
              <w:right w:val="single" w:sz="4" w:space="0" w:color="auto"/>
            </w:tcBorders>
          </w:tcPr>
          <w:p w14:paraId="13595C5D"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000000" w14:paraId="4E5896AF" w14:textId="77777777">
        <w:trPr>
          <w:trHeight w:val="270"/>
          <w:jc w:val="center"/>
        </w:trPr>
        <w:tc>
          <w:tcPr>
            <w:tcW w:w="703" w:type="dxa"/>
            <w:tcBorders>
              <w:top w:val="nil"/>
              <w:left w:val="single" w:sz="4" w:space="0" w:color="auto"/>
              <w:bottom w:val="single" w:sz="4" w:space="0" w:color="auto"/>
              <w:right w:val="single" w:sz="4" w:space="0" w:color="auto"/>
            </w:tcBorders>
            <w:vAlign w:val="center"/>
          </w:tcPr>
          <w:p w14:paraId="3647AC4C"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2</w:t>
            </w:r>
          </w:p>
        </w:tc>
        <w:tc>
          <w:tcPr>
            <w:tcW w:w="1741" w:type="dxa"/>
            <w:tcBorders>
              <w:top w:val="nil"/>
              <w:left w:val="nil"/>
              <w:bottom w:val="single" w:sz="4" w:space="0" w:color="auto"/>
              <w:right w:val="single" w:sz="4" w:space="0" w:color="auto"/>
            </w:tcBorders>
            <w:vAlign w:val="center"/>
          </w:tcPr>
          <w:p w14:paraId="76A9AF2E" w14:textId="77777777" w:rsidR="00000000" w:rsidRDefault="00000000">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中信新城西区</w:t>
            </w:r>
          </w:p>
        </w:tc>
        <w:tc>
          <w:tcPr>
            <w:tcW w:w="1082" w:type="dxa"/>
            <w:tcBorders>
              <w:top w:val="nil"/>
              <w:left w:val="nil"/>
              <w:bottom w:val="single" w:sz="4" w:space="0" w:color="auto"/>
              <w:right w:val="single" w:sz="4" w:space="0" w:color="auto"/>
            </w:tcBorders>
            <w:vAlign w:val="center"/>
          </w:tcPr>
          <w:p w14:paraId="66B2742A"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三居</w:t>
            </w:r>
          </w:p>
        </w:tc>
        <w:tc>
          <w:tcPr>
            <w:tcW w:w="1095" w:type="dxa"/>
            <w:tcBorders>
              <w:top w:val="nil"/>
              <w:left w:val="nil"/>
              <w:bottom w:val="single" w:sz="4" w:space="0" w:color="auto"/>
              <w:right w:val="single" w:sz="4" w:space="0" w:color="auto"/>
            </w:tcBorders>
            <w:vAlign w:val="center"/>
          </w:tcPr>
          <w:p w14:paraId="671F6438"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约140</w:t>
            </w:r>
          </w:p>
        </w:tc>
        <w:tc>
          <w:tcPr>
            <w:tcW w:w="1753" w:type="dxa"/>
            <w:tcBorders>
              <w:top w:val="nil"/>
              <w:left w:val="nil"/>
              <w:bottom w:val="single" w:sz="4" w:space="0" w:color="auto"/>
              <w:right w:val="single" w:sz="4" w:space="0" w:color="auto"/>
            </w:tcBorders>
            <w:vAlign w:val="center"/>
          </w:tcPr>
          <w:p w14:paraId="3A54A6F0"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6</w:t>
            </w:r>
            <w:r>
              <w:rPr>
                <w:rFonts w:ascii="华文细黑" w:eastAsia="华文细黑" w:hAnsi="华文细黑" w:cs="宋体" w:hint="eastAsia"/>
                <w:color w:val="000000"/>
                <w:sz w:val="18"/>
                <w:szCs w:val="18"/>
              </w:rPr>
              <w:t>0</w:t>
            </w:r>
          </w:p>
        </w:tc>
        <w:tc>
          <w:tcPr>
            <w:tcW w:w="1583" w:type="dxa"/>
            <w:tcBorders>
              <w:top w:val="nil"/>
              <w:left w:val="nil"/>
              <w:bottom w:val="single" w:sz="4" w:space="0" w:color="auto"/>
              <w:right w:val="single" w:sz="4" w:space="0" w:color="auto"/>
            </w:tcBorders>
            <w:vAlign w:val="center"/>
          </w:tcPr>
          <w:p w14:paraId="5C9522EC"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3.66</w:t>
            </w:r>
          </w:p>
        </w:tc>
        <w:tc>
          <w:tcPr>
            <w:tcW w:w="1558" w:type="dxa"/>
            <w:tcBorders>
              <w:top w:val="nil"/>
              <w:left w:val="nil"/>
              <w:bottom w:val="single" w:sz="4" w:space="0" w:color="auto"/>
              <w:right w:val="single" w:sz="4" w:space="0" w:color="auto"/>
            </w:tcBorders>
          </w:tcPr>
          <w:p w14:paraId="60699A7D"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000000" w14:paraId="45D6BE07" w14:textId="77777777">
        <w:trPr>
          <w:trHeight w:val="270"/>
          <w:jc w:val="center"/>
        </w:trPr>
        <w:tc>
          <w:tcPr>
            <w:tcW w:w="703" w:type="dxa"/>
            <w:tcBorders>
              <w:top w:val="nil"/>
              <w:left w:val="single" w:sz="4" w:space="0" w:color="auto"/>
              <w:bottom w:val="single" w:sz="4" w:space="0" w:color="auto"/>
              <w:right w:val="single" w:sz="4" w:space="0" w:color="auto"/>
            </w:tcBorders>
            <w:vAlign w:val="center"/>
          </w:tcPr>
          <w:p w14:paraId="37999948"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3</w:t>
            </w:r>
          </w:p>
        </w:tc>
        <w:tc>
          <w:tcPr>
            <w:tcW w:w="1741" w:type="dxa"/>
            <w:tcBorders>
              <w:top w:val="nil"/>
              <w:left w:val="nil"/>
              <w:bottom w:val="single" w:sz="4" w:space="0" w:color="auto"/>
              <w:right w:val="single" w:sz="4" w:space="0" w:color="auto"/>
            </w:tcBorders>
            <w:vAlign w:val="center"/>
          </w:tcPr>
          <w:p w14:paraId="1A9A339A" w14:textId="77777777" w:rsidR="00000000" w:rsidRDefault="00000000">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南海家园四里</w:t>
            </w:r>
          </w:p>
        </w:tc>
        <w:tc>
          <w:tcPr>
            <w:tcW w:w="1082" w:type="dxa"/>
            <w:tcBorders>
              <w:top w:val="nil"/>
              <w:left w:val="nil"/>
              <w:bottom w:val="single" w:sz="4" w:space="0" w:color="auto"/>
              <w:right w:val="single" w:sz="4" w:space="0" w:color="auto"/>
            </w:tcBorders>
            <w:vAlign w:val="center"/>
          </w:tcPr>
          <w:p w14:paraId="28BA699F"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二居</w:t>
            </w:r>
          </w:p>
        </w:tc>
        <w:tc>
          <w:tcPr>
            <w:tcW w:w="1095" w:type="dxa"/>
            <w:tcBorders>
              <w:top w:val="nil"/>
              <w:left w:val="nil"/>
              <w:bottom w:val="single" w:sz="4" w:space="0" w:color="auto"/>
              <w:right w:val="single" w:sz="4" w:space="0" w:color="auto"/>
            </w:tcBorders>
            <w:vAlign w:val="center"/>
          </w:tcPr>
          <w:p w14:paraId="1272C7F7"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92</w:t>
            </w:r>
          </w:p>
        </w:tc>
        <w:tc>
          <w:tcPr>
            <w:tcW w:w="1753" w:type="dxa"/>
            <w:tcBorders>
              <w:top w:val="nil"/>
              <w:left w:val="nil"/>
              <w:bottom w:val="single" w:sz="4" w:space="0" w:color="auto"/>
              <w:right w:val="single" w:sz="4" w:space="0" w:color="auto"/>
            </w:tcBorders>
            <w:vAlign w:val="center"/>
          </w:tcPr>
          <w:p w14:paraId="586E01FB"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55</w:t>
            </w:r>
          </w:p>
        </w:tc>
        <w:tc>
          <w:tcPr>
            <w:tcW w:w="1583" w:type="dxa"/>
            <w:tcBorders>
              <w:top w:val="nil"/>
              <w:left w:val="nil"/>
              <w:bottom w:val="single" w:sz="4" w:space="0" w:color="auto"/>
              <w:right w:val="single" w:sz="4" w:space="0" w:color="auto"/>
            </w:tcBorders>
            <w:vAlign w:val="center"/>
          </w:tcPr>
          <w:p w14:paraId="0F4EDD51"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1.5</w:t>
            </w:r>
          </w:p>
        </w:tc>
        <w:tc>
          <w:tcPr>
            <w:tcW w:w="1558" w:type="dxa"/>
            <w:tcBorders>
              <w:top w:val="nil"/>
              <w:left w:val="nil"/>
              <w:bottom w:val="single" w:sz="4" w:space="0" w:color="auto"/>
              <w:right w:val="single" w:sz="4" w:space="0" w:color="auto"/>
            </w:tcBorders>
          </w:tcPr>
          <w:p w14:paraId="5F8D2BD0"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000000" w14:paraId="21A91010" w14:textId="77777777">
        <w:trPr>
          <w:trHeight w:val="270"/>
          <w:jc w:val="center"/>
        </w:trPr>
        <w:tc>
          <w:tcPr>
            <w:tcW w:w="703" w:type="dxa"/>
            <w:tcBorders>
              <w:top w:val="nil"/>
              <w:left w:val="single" w:sz="4" w:space="0" w:color="auto"/>
              <w:bottom w:val="single" w:sz="4" w:space="0" w:color="auto"/>
              <w:right w:val="single" w:sz="4" w:space="0" w:color="auto"/>
            </w:tcBorders>
            <w:vAlign w:val="center"/>
          </w:tcPr>
          <w:p w14:paraId="5A44E8DC"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4</w:t>
            </w:r>
          </w:p>
        </w:tc>
        <w:tc>
          <w:tcPr>
            <w:tcW w:w="1741" w:type="dxa"/>
            <w:tcBorders>
              <w:top w:val="nil"/>
              <w:left w:val="nil"/>
              <w:bottom w:val="single" w:sz="4" w:space="0" w:color="auto"/>
              <w:right w:val="single" w:sz="4" w:space="0" w:color="auto"/>
            </w:tcBorders>
            <w:vAlign w:val="center"/>
          </w:tcPr>
          <w:p w14:paraId="20A6235B" w14:textId="77777777" w:rsidR="00000000" w:rsidRDefault="00000000">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鹿海园三里</w:t>
            </w:r>
          </w:p>
        </w:tc>
        <w:tc>
          <w:tcPr>
            <w:tcW w:w="1082" w:type="dxa"/>
            <w:tcBorders>
              <w:top w:val="nil"/>
              <w:left w:val="nil"/>
              <w:bottom w:val="single" w:sz="4" w:space="0" w:color="auto"/>
              <w:right w:val="single" w:sz="4" w:space="0" w:color="auto"/>
            </w:tcBorders>
            <w:vAlign w:val="center"/>
          </w:tcPr>
          <w:p w14:paraId="20A70EF6"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一居</w:t>
            </w:r>
          </w:p>
        </w:tc>
        <w:tc>
          <w:tcPr>
            <w:tcW w:w="1095" w:type="dxa"/>
            <w:tcBorders>
              <w:top w:val="nil"/>
              <w:left w:val="nil"/>
              <w:bottom w:val="single" w:sz="4" w:space="0" w:color="auto"/>
              <w:right w:val="single" w:sz="4" w:space="0" w:color="auto"/>
            </w:tcBorders>
            <w:vAlign w:val="center"/>
          </w:tcPr>
          <w:p w14:paraId="43F5AFFC"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70</w:t>
            </w:r>
          </w:p>
        </w:tc>
        <w:tc>
          <w:tcPr>
            <w:tcW w:w="1753" w:type="dxa"/>
            <w:tcBorders>
              <w:top w:val="nil"/>
              <w:left w:val="nil"/>
              <w:bottom w:val="single" w:sz="4" w:space="0" w:color="auto"/>
              <w:right w:val="single" w:sz="4" w:space="0" w:color="auto"/>
            </w:tcBorders>
            <w:vAlign w:val="center"/>
          </w:tcPr>
          <w:p w14:paraId="436D2E5D"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5</w:t>
            </w:r>
            <w:r>
              <w:rPr>
                <w:rFonts w:ascii="华文细黑" w:eastAsia="华文细黑" w:hAnsi="华文细黑" w:cs="宋体"/>
                <w:color w:val="000000"/>
                <w:sz w:val="18"/>
                <w:szCs w:val="18"/>
              </w:rPr>
              <w:t>0</w:t>
            </w:r>
          </w:p>
        </w:tc>
        <w:tc>
          <w:tcPr>
            <w:tcW w:w="1583" w:type="dxa"/>
            <w:tcBorders>
              <w:top w:val="nil"/>
              <w:left w:val="nil"/>
              <w:bottom w:val="single" w:sz="4" w:space="0" w:color="auto"/>
              <w:right w:val="single" w:sz="4" w:space="0" w:color="auto"/>
            </w:tcBorders>
            <w:vAlign w:val="center"/>
          </w:tcPr>
          <w:p w14:paraId="4E987B21"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2.5</w:t>
            </w:r>
          </w:p>
        </w:tc>
        <w:tc>
          <w:tcPr>
            <w:tcW w:w="1558" w:type="dxa"/>
            <w:tcBorders>
              <w:top w:val="nil"/>
              <w:left w:val="nil"/>
              <w:bottom w:val="single" w:sz="4" w:space="0" w:color="auto"/>
              <w:right w:val="single" w:sz="4" w:space="0" w:color="auto"/>
            </w:tcBorders>
          </w:tcPr>
          <w:p w14:paraId="4AB8768E"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000000" w14:paraId="19B1EA01" w14:textId="77777777">
        <w:trPr>
          <w:trHeight w:val="270"/>
          <w:jc w:val="center"/>
        </w:trPr>
        <w:tc>
          <w:tcPr>
            <w:tcW w:w="703" w:type="dxa"/>
            <w:tcBorders>
              <w:top w:val="nil"/>
              <w:left w:val="single" w:sz="4" w:space="0" w:color="auto"/>
              <w:bottom w:val="single" w:sz="4" w:space="0" w:color="auto"/>
              <w:right w:val="single" w:sz="4" w:space="0" w:color="auto"/>
            </w:tcBorders>
            <w:vAlign w:val="center"/>
          </w:tcPr>
          <w:p w14:paraId="6DD9ED8F"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5</w:t>
            </w:r>
          </w:p>
        </w:tc>
        <w:tc>
          <w:tcPr>
            <w:tcW w:w="1741" w:type="dxa"/>
            <w:tcBorders>
              <w:top w:val="nil"/>
              <w:left w:val="nil"/>
              <w:bottom w:val="single" w:sz="4" w:space="0" w:color="auto"/>
              <w:right w:val="single" w:sz="4" w:space="0" w:color="auto"/>
            </w:tcBorders>
            <w:vAlign w:val="center"/>
          </w:tcPr>
          <w:p w14:paraId="5C7B662F" w14:textId="77777777" w:rsidR="00000000" w:rsidRDefault="00000000">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中芯花园</w:t>
            </w:r>
          </w:p>
        </w:tc>
        <w:tc>
          <w:tcPr>
            <w:tcW w:w="1082" w:type="dxa"/>
            <w:tcBorders>
              <w:top w:val="nil"/>
              <w:left w:val="nil"/>
              <w:bottom w:val="single" w:sz="4" w:space="0" w:color="auto"/>
              <w:right w:val="single" w:sz="4" w:space="0" w:color="auto"/>
            </w:tcBorders>
            <w:vAlign w:val="center"/>
          </w:tcPr>
          <w:p w14:paraId="050BEDD2"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二居</w:t>
            </w:r>
          </w:p>
        </w:tc>
        <w:tc>
          <w:tcPr>
            <w:tcW w:w="1095" w:type="dxa"/>
            <w:tcBorders>
              <w:top w:val="nil"/>
              <w:left w:val="nil"/>
              <w:bottom w:val="single" w:sz="4" w:space="0" w:color="auto"/>
              <w:right w:val="single" w:sz="4" w:space="0" w:color="auto"/>
            </w:tcBorders>
            <w:vAlign w:val="center"/>
          </w:tcPr>
          <w:p w14:paraId="35AF557A"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110</w:t>
            </w:r>
          </w:p>
        </w:tc>
        <w:tc>
          <w:tcPr>
            <w:tcW w:w="1753" w:type="dxa"/>
            <w:tcBorders>
              <w:top w:val="nil"/>
              <w:left w:val="nil"/>
              <w:bottom w:val="single" w:sz="4" w:space="0" w:color="auto"/>
              <w:right w:val="single" w:sz="4" w:space="0" w:color="auto"/>
            </w:tcBorders>
            <w:vAlign w:val="center"/>
          </w:tcPr>
          <w:p w14:paraId="226EE80A"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5</w:t>
            </w:r>
            <w:r>
              <w:rPr>
                <w:rFonts w:ascii="华文细黑" w:eastAsia="华文细黑" w:hAnsi="华文细黑" w:cs="宋体"/>
                <w:color w:val="000000"/>
                <w:sz w:val="18"/>
                <w:szCs w:val="18"/>
              </w:rPr>
              <w:t>1</w:t>
            </w:r>
          </w:p>
        </w:tc>
        <w:tc>
          <w:tcPr>
            <w:tcW w:w="1583" w:type="dxa"/>
            <w:tcBorders>
              <w:top w:val="nil"/>
              <w:left w:val="nil"/>
              <w:bottom w:val="single" w:sz="4" w:space="0" w:color="auto"/>
              <w:right w:val="single" w:sz="4" w:space="0" w:color="auto"/>
            </w:tcBorders>
            <w:vAlign w:val="center"/>
          </w:tcPr>
          <w:p w14:paraId="13C87C63"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4.28</w:t>
            </w:r>
          </w:p>
        </w:tc>
        <w:tc>
          <w:tcPr>
            <w:tcW w:w="1558" w:type="dxa"/>
            <w:tcBorders>
              <w:top w:val="nil"/>
              <w:left w:val="nil"/>
              <w:bottom w:val="single" w:sz="4" w:space="0" w:color="auto"/>
              <w:right w:val="single" w:sz="4" w:space="0" w:color="auto"/>
            </w:tcBorders>
          </w:tcPr>
          <w:p w14:paraId="0D5890A6"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bl>
    <w:p w14:paraId="596AD698" w14:textId="77777777" w:rsidR="00000000" w:rsidRDefault="00000000">
      <w:pPr>
        <w:pStyle w:val="Normal"/>
        <w:autoSpaceDE w:val="0"/>
        <w:autoSpaceDN w:val="0"/>
        <w:spacing w:beforeLines="100" w:before="240" w:line="480" w:lineRule="auto"/>
        <w:ind w:firstLineChars="200" w:firstLine="420"/>
        <w:jc w:val="both"/>
        <w:textAlignment w:val="bottom"/>
        <w:rPr>
          <w:rFonts w:ascii="Arial" w:hAnsi="Arial" w:cs="Arial"/>
          <w:color w:val="000000"/>
          <w:sz w:val="21"/>
          <w:szCs w:val="21"/>
        </w:rPr>
      </w:pPr>
      <w:r>
        <w:rPr>
          <w:rFonts w:hAnsi="宋体" w:cs="Arial" w:hint="eastAsia"/>
          <w:color w:val="000000"/>
          <w:sz w:val="21"/>
          <w:szCs w:val="21"/>
        </w:rPr>
        <w:t>估价对象周边小区较多，综合区位、小区规模、档次等因素筛选住房小区作为本次估价对象租金的可比实例，</w:t>
      </w:r>
      <w:r>
        <w:rPr>
          <w:rFonts w:ascii="Arial" w:hAnsi="Arial" w:cs="Arial" w:hint="eastAsia"/>
          <w:color w:val="000000"/>
          <w:sz w:val="21"/>
          <w:szCs w:val="21"/>
        </w:rPr>
        <w:t>最终</w:t>
      </w:r>
      <w:r>
        <w:rPr>
          <w:rFonts w:ascii="Arial" w:hAnsi="Arial" w:cs="Arial"/>
          <w:color w:val="000000"/>
          <w:sz w:val="21"/>
          <w:szCs w:val="21"/>
        </w:rPr>
        <w:t>选取了</w:t>
      </w:r>
      <w:r>
        <w:rPr>
          <w:rFonts w:ascii="Arial" w:hAnsi="Arial" w:cs="Arial" w:hint="eastAsia"/>
          <w:color w:val="000000"/>
          <w:sz w:val="21"/>
          <w:szCs w:val="21"/>
        </w:rPr>
        <w:t>悦廷、中信新城西、南海家园四里</w:t>
      </w:r>
      <w:r>
        <w:rPr>
          <w:rFonts w:ascii="Arial" w:hAnsi="Arial" w:cs="Arial" w:hint="eastAsia"/>
          <w:color w:val="000000"/>
          <w:sz w:val="21"/>
          <w:szCs w:val="21"/>
        </w:rPr>
        <w:t>3</w:t>
      </w:r>
      <w:r>
        <w:rPr>
          <w:rFonts w:ascii="Arial" w:hAnsi="Arial" w:cs="Arial"/>
          <w:color w:val="000000"/>
          <w:sz w:val="21"/>
          <w:szCs w:val="21"/>
        </w:rPr>
        <w:t>个普通商品房住宅小区为样本小区，具体</w:t>
      </w:r>
      <w:r>
        <w:rPr>
          <w:rFonts w:ascii="Arial" w:hAnsi="Arial" w:cs="Arial"/>
          <w:color w:val="000000"/>
          <w:sz w:val="21"/>
          <w:szCs w:val="21"/>
        </w:rPr>
        <w:lastRenderedPageBreak/>
        <w:t>如下</w:t>
      </w:r>
      <w:r>
        <w:rPr>
          <w:rFonts w:ascii="Arial" w:hAnsi="Arial" w:cs="Arial" w:hint="eastAsia"/>
          <w:color w:val="000000"/>
          <w:sz w:val="21"/>
          <w:szCs w:val="21"/>
        </w:rPr>
        <w:t>：</w:t>
      </w:r>
    </w:p>
    <w:tbl>
      <w:tblPr>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9"/>
        <w:gridCol w:w="2622"/>
        <w:gridCol w:w="2222"/>
        <w:gridCol w:w="3366"/>
      </w:tblGrid>
      <w:tr w:rsidR="00000000" w14:paraId="442D8BE0" w14:textId="77777777">
        <w:trPr>
          <w:trHeight w:val="283"/>
        </w:trPr>
        <w:tc>
          <w:tcPr>
            <w:tcW w:w="1101" w:type="dxa"/>
          </w:tcPr>
          <w:p w14:paraId="72B761D4" w14:textId="77777777" w:rsidR="00000000" w:rsidRDefault="00000000">
            <w:pPr>
              <w:pStyle w:val="Default"/>
              <w:jc w:val="center"/>
              <w:rPr>
                <w:rFonts w:ascii="华文细黑" w:eastAsia="华文细黑" w:hAnsi="华文细黑" w:hint="eastAsia"/>
                <w:b/>
                <w:sz w:val="18"/>
                <w:szCs w:val="18"/>
              </w:rPr>
            </w:pPr>
            <w:r>
              <w:rPr>
                <w:rFonts w:ascii="华文细黑" w:eastAsia="华文细黑" w:hAnsi="华文细黑" w:hint="eastAsia"/>
                <w:b/>
                <w:sz w:val="18"/>
                <w:szCs w:val="18"/>
              </w:rPr>
              <w:t>序号</w:t>
            </w:r>
          </w:p>
        </w:tc>
        <w:tc>
          <w:tcPr>
            <w:tcW w:w="2693" w:type="dxa"/>
          </w:tcPr>
          <w:p w14:paraId="0030EF57" w14:textId="77777777" w:rsidR="00000000" w:rsidRDefault="00000000">
            <w:pPr>
              <w:pStyle w:val="Default"/>
              <w:jc w:val="center"/>
              <w:rPr>
                <w:rFonts w:ascii="华文细黑" w:eastAsia="华文细黑" w:hAnsi="华文细黑" w:hint="eastAsia"/>
                <w:b/>
                <w:sz w:val="18"/>
                <w:szCs w:val="18"/>
              </w:rPr>
            </w:pPr>
            <w:r>
              <w:rPr>
                <w:rFonts w:ascii="华文细黑" w:eastAsia="华文细黑" w:hAnsi="华文细黑" w:hint="eastAsia"/>
                <w:b/>
                <w:sz w:val="18"/>
                <w:szCs w:val="18"/>
              </w:rPr>
              <w:t>小区名称</w:t>
            </w:r>
          </w:p>
        </w:tc>
        <w:tc>
          <w:tcPr>
            <w:tcW w:w="2268" w:type="dxa"/>
          </w:tcPr>
          <w:p w14:paraId="705A90AE" w14:textId="77777777" w:rsidR="00000000" w:rsidRDefault="00000000">
            <w:pPr>
              <w:pStyle w:val="Default"/>
              <w:jc w:val="center"/>
              <w:rPr>
                <w:rFonts w:ascii="华文细黑" w:eastAsia="华文细黑" w:hAnsi="华文细黑" w:hint="eastAsia"/>
                <w:b/>
                <w:sz w:val="18"/>
                <w:szCs w:val="18"/>
              </w:rPr>
            </w:pPr>
            <w:r>
              <w:rPr>
                <w:rFonts w:ascii="华文细黑" w:eastAsia="华文细黑" w:hAnsi="华文细黑" w:hint="eastAsia"/>
                <w:b/>
                <w:sz w:val="18"/>
                <w:szCs w:val="18"/>
              </w:rPr>
              <w:t>建成年代（年）</w:t>
            </w:r>
          </w:p>
        </w:tc>
        <w:tc>
          <w:tcPr>
            <w:tcW w:w="3453" w:type="dxa"/>
          </w:tcPr>
          <w:p w14:paraId="5D6D4644" w14:textId="77777777" w:rsidR="00000000" w:rsidRDefault="00000000">
            <w:pPr>
              <w:pStyle w:val="Default"/>
              <w:jc w:val="center"/>
              <w:rPr>
                <w:rFonts w:ascii="华文细黑" w:eastAsia="华文细黑" w:hAnsi="华文细黑" w:hint="eastAsia"/>
                <w:b/>
                <w:sz w:val="18"/>
                <w:szCs w:val="18"/>
              </w:rPr>
            </w:pPr>
            <w:r>
              <w:rPr>
                <w:rFonts w:ascii="华文细黑" w:eastAsia="华文细黑" w:hAnsi="华文细黑" w:hint="eastAsia"/>
                <w:b/>
                <w:sz w:val="18"/>
                <w:szCs w:val="18"/>
              </w:rPr>
              <w:t>与估价对象直线距离</w:t>
            </w:r>
          </w:p>
        </w:tc>
      </w:tr>
      <w:tr w:rsidR="00000000" w14:paraId="10840F8E" w14:textId="77777777">
        <w:trPr>
          <w:trHeight w:val="283"/>
        </w:trPr>
        <w:tc>
          <w:tcPr>
            <w:tcW w:w="1101" w:type="dxa"/>
          </w:tcPr>
          <w:p w14:paraId="225BDCCE" w14:textId="77777777" w:rsidR="00000000" w:rsidRDefault="00000000">
            <w:pPr>
              <w:pStyle w:val="Default"/>
              <w:jc w:val="center"/>
              <w:rPr>
                <w:rFonts w:ascii="华文细黑" w:eastAsia="华文细黑" w:hAnsi="华文细黑" w:hint="eastAsia"/>
                <w:sz w:val="18"/>
                <w:szCs w:val="18"/>
              </w:rPr>
            </w:pPr>
            <w:r>
              <w:rPr>
                <w:rFonts w:ascii="华文细黑" w:eastAsia="华文细黑" w:hAnsi="华文细黑" w:hint="eastAsia"/>
                <w:sz w:val="18"/>
                <w:szCs w:val="18"/>
              </w:rPr>
              <w:t>1</w:t>
            </w:r>
          </w:p>
        </w:tc>
        <w:tc>
          <w:tcPr>
            <w:tcW w:w="2693" w:type="dxa"/>
            <w:vAlign w:val="center"/>
          </w:tcPr>
          <w:p w14:paraId="393288CD" w14:textId="77777777" w:rsidR="00000000" w:rsidRDefault="00000000">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悦廷</w:t>
            </w:r>
          </w:p>
        </w:tc>
        <w:tc>
          <w:tcPr>
            <w:tcW w:w="2268" w:type="dxa"/>
          </w:tcPr>
          <w:p w14:paraId="62B702A0" w14:textId="77777777" w:rsidR="00000000" w:rsidRDefault="00000000">
            <w:pPr>
              <w:pStyle w:val="Default"/>
              <w:jc w:val="center"/>
              <w:rPr>
                <w:rFonts w:ascii="华文细黑" w:eastAsia="华文细黑" w:hAnsi="华文细黑" w:hint="eastAsia"/>
                <w:sz w:val="18"/>
                <w:szCs w:val="18"/>
              </w:rPr>
            </w:pPr>
            <w:r>
              <w:rPr>
                <w:rFonts w:ascii="华文细黑" w:eastAsia="华文细黑" w:hAnsi="华文细黑" w:hint="eastAsia"/>
                <w:sz w:val="18"/>
                <w:szCs w:val="18"/>
              </w:rPr>
              <w:t>2011</w:t>
            </w:r>
          </w:p>
        </w:tc>
        <w:tc>
          <w:tcPr>
            <w:tcW w:w="3453" w:type="dxa"/>
          </w:tcPr>
          <w:p w14:paraId="21ECB262" w14:textId="77777777" w:rsidR="00000000" w:rsidRDefault="00000000">
            <w:pPr>
              <w:pStyle w:val="Default"/>
              <w:jc w:val="center"/>
              <w:rPr>
                <w:rFonts w:ascii="华文细黑" w:eastAsia="华文细黑" w:hAnsi="华文细黑" w:hint="eastAsia"/>
                <w:sz w:val="18"/>
                <w:szCs w:val="18"/>
              </w:rPr>
            </w:pPr>
            <w:r>
              <w:rPr>
                <w:rFonts w:ascii="华文细黑" w:eastAsia="华文细黑" w:hAnsi="华文细黑" w:hint="eastAsia"/>
                <w:sz w:val="18"/>
                <w:szCs w:val="18"/>
              </w:rPr>
              <w:t>约</w:t>
            </w:r>
            <w:r>
              <w:rPr>
                <w:rFonts w:ascii="华文细黑" w:eastAsia="华文细黑" w:hAnsi="华文细黑"/>
                <w:sz w:val="18"/>
                <w:szCs w:val="18"/>
              </w:rPr>
              <w:t>8</w:t>
            </w:r>
            <w:r>
              <w:rPr>
                <w:rFonts w:ascii="华文细黑" w:eastAsia="华文细黑" w:hAnsi="华文细黑" w:hint="eastAsia"/>
                <w:sz w:val="18"/>
                <w:szCs w:val="18"/>
              </w:rPr>
              <w:t>00米</w:t>
            </w:r>
          </w:p>
        </w:tc>
      </w:tr>
      <w:tr w:rsidR="00000000" w14:paraId="6DFD606E" w14:textId="77777777">
        <w:trPr>
          <w:trHeight w:val="283"/>
        </w:trPr>
        <w:tc>
          <w:tcPr>
            <w:tcW w:w="1101" w:type="dxa"/>
          </w:tcPr>
          <w:p w14:paraId="355565AC" w14:textId="77777777" w:rsidR="00000000" w:rsidRDefault="00000000">
            <w:pPr>
              <w:pStyle w:val="Default"/>
              <w:jc w:val="center"/>
              <w:rPr>
                <w:rFonts w:ascii="华文细黑" w:eastAsia="华文细黑" w:hAnsi="华文细黑" w:hint="eastAsia"/>
                <w:sz w:val="18"/>
                <w:szCs w:val="18"/>
              </w:rPr>
            </w:pPr>
            <w:r>
              <w:rPr>
                <w:rFonts w:ascii="华文细黑" w:eastAsia="华文细黑" w:hAnsi="华文细黑" w:hint="eastAsia"/>
                <w:sz w:val="18"/>
                <w:szCs w:val="18"/>
              </w:rPr>
              <w:t>2</w:t>
            </w:r>
          </w:p>
        </w:tc>
        <w:tc>
          <w:tcPr>
            <w:tcW w:w="2693" w:type="dxa"/>
            <w:vAlign w:val="center"/>
          </w:tcPr>
          <w:p w14:paraId="282A3BF8" w14:textId="77777777" w:rsidR="00000000" w:rsidRDefault="00000000">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中信新城西区</w:t>
            </w:r>
          </w:p>
        </w:tc>
        <w:tc>
          <w:tcPr>
            <w:tcW w:w="2268" w:type="dxa"/>
          </w:tcPr>
          <w:p w14:paraId="774B73AE" w14:textId="77777777" w:rsidR="00000000" w:rsidRDefault="00000000">
            <w:pPr>
              <w:pStyle w:val="Default"/>
              <w:jc w:val="center"/>
              <w:rPr>
                <w:rFonts w:ascii="华文细黑" w:eastAsia="华文细黑" w:hAnsi="华文细黑"/>
                <w:sz w:val="18"/>
                <w:szCs w:val="18"/>
              </w:rPr>
            </w:pPr>
            <w:r>
              <w:rPr>
                <w:rFonts w:ascii="华文细黑" w:eastAsia="华文细黑" w:hAnsi="华文细黑" w:hint="eastAsia"/>
                <w:sz w:val="18"/>
                <w:szCs w:val="18"/>
              </w:rPr>
              <w:t>2012</w:t>
            </w:r>
          </w:p>
        </w:tc>
        <w:tc>
          <w:tcPr>
            <w:tcW w:w="3453" w:type="dxa"/>
          </w:tcPr>
          <w:p w14:paraId="24A1CB34" w14:textId="77777777" w:rsidR="00000000" w:rsidRDefault="00000000">
            <w:pPr>
              <w:pStyle w:val="Default"/>
              <w:jc w:val="center"/>
              <w:rPr>
                <w:rFonts w:ascii="华文细黑" w:eastAsia="华文细黑" w:hAnsi="华文细黑" w:hint="eastAsia"/>
                <w:sz w:val="18"/>
                <w:szCs w:val="18"/>
              </w:rPr>
            </w:pPr>
            <w:r>
              <w:rPr>
                <w:rFonts w:ascii="华文细黑" w:eastAsia="华文细黑" w:hAnsi="华文细黑" w:hint="eastAsia"/>
                <w:sz w:val="18"/>
                <w:szCs w:val="18"/>
              </w:rPr>
              <w:t>约2500米</w:t>
            </w:r>
          </w:p>
        </w:tc>
      </w:tr>
      <w:tr w:rsidR="00000000" w14:paraId="1F4DBDA6" w14:textId="77777777">
        <w:trPr>
          <w:trHeight w:val="283"/>
        </w:trPr>
        <w:tc>
          <w:tcPr>
            <w:tcW w:w="1101" w:type="dxa"/>
          </w:tcPr>
          <w:p w14:paraId="2C69544C" w14:textId="77777777" w:rsidR="00000000" w:rsidRDefault="00000000">
            <w:pPr>
              <w:pStyle w:val="Default"/>
              <w:jc w:val="center"/>
              <w:rPr>
                <w:rFonts w:ascii="华文细黑" w:eastAsia="华文细黑" w:hAnsi="华文细黑" w:hint="eastAsia"/>
                <w:sz w:val="18"/>
                <w:szCs w:val="18"/>
              </w:rPr>
            </w:pPr>
            <w:r>
              <w:rPr>
                <w:rFonts w:ascii="华文细黑" w:eastAsia="华文细黑" w:hAnsi="华文细黑" w:hint="eastAsia"/>
                <w:sz w:val="18"/>
                <w:szCs w:val="18"/>
              </w:rPr>
              <w:t>3</w:t>
            </w:r>
          </w:p>
        </w:tc>
        <w:tc>
          <w:tcPr>
            <w:tcW w:w="2693" w:type="dxa"/>
            <w:vAlign w:val="center"/>
          </w:tcPr>
          <w:p w14:paraId="5FD3B6A8" w14:textId="77777777" w:rsidR="00000000" w:rsidRDefault="00000000">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南海家园四里</w:t>
            </w:r>
          </w:p>
        </w:tc>
        <w:tc>
          <w:tcPr>
            <w:tcW w:w="2268" w:type="dxa"/>
          </w:tcPr>
          <w:p w14:paraId="58133D12" w14:textId="77777777" w:rsidR="00000000" w:rsidRDefault="00000000">
            <w:pPr>
              <w:pStyle w:val="Default"/>
              <w:jc w:val="center"/>
              <w:rPr>
                <w:rFonts w:ascii="华文细黑" w:eastAsia="华文细黑" w:hAnsi="华文细黑" w:hint="eastAsia"/>
                <w:sz w:val="18"/>
                <w:szCs w:val="18"/>
              </w:rPr>
            </w:pPr>
            <w:r>
              <w:rPr>
                <w:rFonts w:ascii="华文细黑" w:eastAsia="华文细黑" w:hAnsi="华文细黑" w:hint="eastAsia"/>
                <w:sz w:val="18"/>
                <w:szCs w:val="18"/>
              </w:rPr>
              <w:t>20</w:t>
            </w:r>
            <w:r>
              <w:rPr>
                <w:rFonts w:ascii="华文细黑" w:eastAsia="华文细黑" w:hAnsi="华文细黑"/>
                <w:sz w:val="18"/>
                <w:szCs w:val="18"/>
              </w:rPr>
              <w:t>12</w:t>
            </w:r>
          </w:p>
        </w:tc>
        <w:tc>
          <w:tcPr>
            <w:tcW w:w="3453" w:type="dxa"/>
          </w:tcPr>
          <w:p w14:paraId="751AC6E9" w14:textId="77777777" w:rsidR="00000000" w:rsidRDefault="00000000">
            <w:pPr>
              <w:pStyle w:val="Default"/>
              <w:jc w:val="center"/>
              <w:rPr>
                <w:rFonts w:ascii="华文细黑" w:eastAsia="华文细黑" w:hAnsi="华文细黑" w:hint="eastAsia"/>
                <w:sz w:val="18"/>
                <w:szCs w:val="18"/>
              </w:rPr>
            </w:pPr>
            <w:r>
              <w:rPr>
                <w:rFonts w:ascii="华文细黑" w:eastAsia="华文细黑" w:hAnsi="华文细黑" w:hint="eastAsia"/>
                <w:sz w:val="18"/>
                <w:szCs w:val="18"/>
              </w:rPr>
              <w:t>约</w:t>
            </w:r>
            <w:r>
              <w:rPr>
                <w:rFonts w:ascii="华文细黑" w:eastAsia="华文细黑" w:hAnsi="华文细黑"/>
                <w:sz w:val="18"/>
                <w:szCs w:val="18"/>
              </w:rPr>
              <w:t>1</w:t>
            </w:r>
            <w:r>
              <w:rPr>
                <w:rFonts w:ascii="华文细黑" w:eastAsia="华文细黑" w:hAnsi="华文细黑" w:hint="eastAsia"/>
                <w:sz w:val="18"/>
                <w:szCs w:val="18"/>
              </w:rPr>
              <w:t>500米</w:t>
            </w:r>
          </w:p>
        </w:tc>
      </w:tr>
    </w:tbl>
    <w:p w14:paraId="04715D74" w14:textId="77777777" w:rsidR="00000000" w:rsidRDefault="00000000">
      <w:pPr>
        <w:pStyle w:val="Normal"/>
        <w:wordWrap w:val="0"/>
        <w:overflowPunct w:val="0"/>
        <w:autoSpaceDE w:val="0"/>
        <w:autoSpaceDN w:val="0"/>
        <w:spacing w:beforeLines="100" w:before="240" w:line="480" w:lineRule="auto"/>
        <w:ind w:right="142"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样本小区一：悦廷</w:t>
      </w:r>
    </w:p>
    <w:p w14:paraId="0C1ADDF2" w14:textId="77777777" w:rsidR="00000000" w:rsidRDefault="00000000">
      <w:pPr>
        <w:pStyle w:val="Normal"/>
        <w:overflowPunct w:val="0"/>
        <w:autoSpaceDE w:val="0"/>
        <w:autoSpaceDN w:val="0"/>
        <w:spacing w:line="480" w:lineRule="auto"/>
        <w:ind w:right="140" w:firstLineChars="200" w:firstLine="420"/>
        <w:textAlignment w:val="auto"/>
        <w:rPr>
          <w:rFonts w:ascii="Arial" w:hAnsi="Arial" w:cs="Arial"/>
          <w:color w:val="000000"/>
          <w:sz w:val="21"/>
          <w:szCs w:val="21"/>
        </w:rPr>
      </w:pPr>
      <w:r>
        <w:rPr>
          <w:rFonts w:ascii="Arial" w:hAnsi="Arial" w:cs="Arial" w:hint="eastAsia"/>
          <w:color w:val="000000"/>
          <w:sz w:val="21"/>
          <w:szCs w:val="21"/>
        </w:rPr>
        <w:t>悦廷小区位于大兴区凉水河一街与博兴七路交叉口东南侧，建成于</w:t>
      </w:r>
      <w:r>
        <w:rPr>
          <w:rFonts w:ascii="Arial" w:hAnsi="Arial" w:cs="Arial" w:hint="eastAsia"/>
          <w:color w:val="000000"/>
          <w:sz w:val="21"/>
          <w:szCs w:val="21"/>
        </w:rPr>
        <w:t>2011</w:t>
      </w:r>
      <w:r>
        <w:rPr>
          <w:rFonts w:ascii="Arial" w:hAnsi="Arial" w:cs="Arial" w:hint="eastAsia"/>
          <w:color w:val="000000"/>
          <w:sz w:val="21"/>
          <w:szCs w:val="21"/>
        </w:rPr>
        <w:t>年，占地面积约为</w:t>
      </w:r>
      <w:r>
        <w:rPr>
          <w:rFonts w:ascii="Arial" w:hAnsi="Arial" w:cs="Arial" w:hint="eastAsia"/>
          <w:color w:val="000000"/>
          <w:sz w:val="21"/>
          <w:szCs w:val="21"/>
        </w:rPr>
        <w:t>31800</w:t>
      </w:r>
      <w:r>
        <w:rPr>
          <w:rFonts w:ascii="Arial" w:hAnsi="Arial" w:cs="Arial" w:hint="eastAsia"/>
          <w:color w:val="000000"/>
          <w:sz w:val="21"/>
          <w:szCs w:val="21"/>
        </w:rPr>
        <w:t>平方米，建筑面积约为</w:t>
      </w:r>
      <w:r>
        <w:rPr>
          <w:rFonts w:ascii="Arial" w:hAnsi="Arial" w:cs="Arial" w:hint="eastAsia"/>
          <w:color w:val="000000"/>
          <w:sz w:val="21"/>
          <w:szCs w:val="21"/>
        </w:rPr>
        <w:t>40000</w:t>
      </w:r>
      <w:r>
        <w:rPr>
          <w:rFonts w:ascii="Arial" w:hAnsi="Arial" w:cs="Arial" w:hint="eastAsia"/>
          <w:color w:val="000000"/>
          <w:sz w:val="21"/>
          <w:szCs w:val="21"/>
        </w:rPr>
        <w:t>平方米，楼栋总数为</w:t>
      </w:r>
      <w:r>
        <w:rPr>
          <w:rFonts w:ascii="Arial" w:hAnsi="Arial" w:cs="Arial" w:hint="eastAsia"/>
          <w:color w:val="000000"/>
          <w:sz w:val="21"/>
          <w:szCs w:val="21"/>
        </w:rPr>
        <w:t>8</w:t>
      </w:r>
      <w:r>
        <w:rPr>
          <w:rFonts w:ascii="Arial" w:hAnsi="Arial" w:cs="Arial" w:hint="eastAsia"/>
          <w:color w:val="000000"/>
          <w:sz w:val="21"/>
          <w:szCs w:val="21"/>
        </w:rPr>
        <w:t>栋，建筑结构为钢混，共</w:t>
      </w:r>
      <w:r>
        <w:rPr>
          <w:rFonts w:ascii="Arial" w:hAnsi="Arial" w:cs="Arial" w:hint="eastAsia"/>
          <w:color w:val="000000"/>
          <w:sz w:val="21"/>
          <w:szCs w:val="21"/>
        </w:rPr>
        <w:t>532</w:t>
      </w:r>
      <w:r>
        <w:rPr>
          <w:rFonts w:ascii="Arial" w:hAnsi="Arial" w:cs="Arial" w:hint="eastAsia"/>
          <w:color w:val="000000"/>
          <w:sz w:val="21"/>
          <w:szCs w:val="21"/>
        </w:rPr>
        <w:t>户，建筑密度适中，环境状况较好，物业管理费为</w:t>
      </w:r>
      <w:r>
        <w:rPr>
          <w:rFonts w:ascii="Arial" w:hAnsi="Arial" w:cs="Arial"/>
          <w:color w:val="000000"/>
          <w:sz w:val="21"/>
          <w:szCs w:val="21"/>
        </w:rPr>
        <w:t>2.8</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平方米·月，主力户型为三居室，距离估价对象约</w:t>
      </w:r>
      <w:r>
        <w:rPr>
          <w:rFonts w:ascii="Arial" w:hAnsi="Arial" w:cs="Arial"/>
          <w:color w:val="000000"/>
          <w:sz w:val="21"/>
          <w:szCs w:val="21"/>
        </w:rPr>
        <w:t>800</w:t>
      </w:r>
      <w:r>
        <w:rPr>
          <w:rFonts w:ascii="Arial" w:hAnsi="Arial" w:cs="Arial" w:hint="eastAsia"/>
          <w:color w:val="000000"/>
          <w:sz w:val="21"/>
          <w:szCs w:val="21"/>
        </w:rPr>
        <w:t>米。与估价对象位于同一供需圈，建筑结构、物业档次与估价对象类似。</w:t>
      </w:r>
    </w:p>
    <w:p w14:paraId="7DC1463B" w14:textId="77777777" w:rsidR="00000000" w:rsidRDefault="00000000">
      <w:pPr>
        <w:pStyle w:val="22"/>
        <w:autoSpaceDE w:val="0"/>
        <w:autoSpaceDN w:val="0"/>
        <w:spacing w:line="480" w:lineRule="auto"/>
        <w:ind w:right="140" w:firstLineChars="200" w:firstLine="420"/>
        <w:jc w:val="both"/>
        <w:textAlignment w:val="auto"/>
        <w:rPr>
          <w:rFonts w:ascii="Arial" w:hAnsi="Arial" w:cs="Arial" w:hint="eastAsia"/>
          <w:sz w:val="21"/>
          <w:szCs w:val="21"/>
        </w:rPr>
      </w:pPr>
      <w:r>
        <w:rPr>
          <w:rFonts w:ascii="Arial" w:hAnsi="Arial" w:cs="Arial" w:hint="eastAsia"/>
          <w:sz w:val="21"/>
          <w:szCs w:val="21"/>
        </w:rPr>
        <w:t>样本小区二：中信新城西区</w:t>
      </w:r>
    </w:p>
    <w:p w14:paraId="7AB043E9" w14:textId="77777777" w:rsidR="00000000" w:rsidRDefault="00000000">
      <w:pPr>
        <w:pStyle w:val="22"/>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color w:val="000000"/>
          <w:sz w:val="21"/>
          <w:szCs w:val="21"/>
        </w:rPr>
        <w:t>中信新城位于大兴区凉水河一街与旧头路交叉口东南，建成于</w:t>
      </w:r>
      <w:r>
        <w:rPr>
          <w:rFonts w:ascii="Arial" w:hAnsi="Arial" w:cs="Arial"/>
          <w:color w:val="000000"/>
          <w:sz w:val="21"/>
          <w:szCs w:val="21"/>
        </w:rPr>
        <w:t>2012</w:t>
      </w:r>
      <w:r>
        <w:rPr>
          <w:rFonts w:ascii="Arial" w:hAnsi="Arial" w:cs="Arial" w:hint="eastAsia"/>
          <w:color w:val="000000"/>
          <w:sz w:val="21"/>
          <w:szCs w:val="21"/>
        </w:rPr>
        <w:t>年，高层板楼，共</w:t>
      </w:r>
      <w:r>
        <w:rPr>
          <w:rFonts w:ascii="Arial" w:hAnsi="Arial" w:cs="Arial"/>
          <w:color w:val="000000"/>
          <w:sz w:val="21"/>
          <w:szCs w:val="21"/>
        </w:rPr>
        <w:t>24</w:t>
      </w:r>
      <w:r>
        <w:rPr>
          <w:rFonts w:ascii="Arial" w:hAnsi="Arial" w:cs="Arial" w:hint="eastAsia"/>
          <w:color w:val="000000"/>
          <w:sz w:val="21"/>
          <w:szCs w:val="21"/>
        </w:rPr>
        <w:t>栋住宅楼</w:t>
      </w:r>
      <w:r>
        <w:rPr>
          <w:rFonts w:ascii="Arial" w:hAnsi="Arial" w:cs="Arial" w:hint="eastAsia"/>
          <w:color w:val="000000"/>
          <w:sz w:val="21"/>
          <w:szCs w:val="21"/>
        </w:rPr>
        <w:t>,</w:t>
      </w:r>
      <w:r>
        <w:rPr>
          <w:rFonts w:ascii="Arial" w:hAnsi="Arial" w:cs="Arial" w:hint="eastAsia"/>
          <w:color w:val="000000"/>
          <w:sz w:val="21"/>
          <w:szCs w:val="21"/>
        </w:rPr>
        <w:t>建筑结构为钢混，建筑面积约为</w:t>
      </w:r>
      <w:r>
        <w:rPr>
          <w:rFonts w:ascii="Arial" w:hAnsi="Arial" w:cs="Arial"/>
          <w:color w:val="000000"/>
          <w:sz w:val="21"/>
          <w:szCs w:val="21"/>
        </w:rPr>
        <w:t>391170</w:t>
      </w:r>
      <w:r>
        <w:rPr>
          <w:rFonts w:ascii="Arial" w:hAnsi="Arial" w:cs="Arial" w:hint="eastAsia"/>
          <w:color w:val="000000"/>
          <w:sz w:val="21"/>
          <w:szCs w:val="21"/>
        </w:rPr>
        <w:t>平方米，物业管理费为</w:t>
      </w:r>
      <w:r>
        <w:rPr>
          <w:rFonts w:ascii="Arial" w:hAnsi="Arial" w:cs="Arial"/>
          <w:color w:val="000000"/>
          <w:sz w:val="21"/>
          <w:szCs w:val="21"/>
        </w:rPr>
        <w:t>3.6</w:t>
      </w:r>
      <w:r>
        <w:rPr>
          <w:rFonts w:ascii="Arial" w:hAnsi="Arial" w:cs="Arial" w:hint="eastAsia"/>
          <w:color w:val="000000"/>
          <w:sz w:val="21"/>
          <w:szCs w:val="21"/>
        </w:rPr>
        <w:t>6</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平方米·月，主力户型为三居室，距离估价对象约</w:t>
      </w:r>
      <w:r>
        <w:rPr>
          <w:rFonts w:ascii="Arial" w:hAnsi="Arial" w:cs="Arial" w:hint="eastAsia"/>
          <w:color w:val="000000"/>
          <w:sz w:val="21"/>
          <w:szCs w:val="21"/>
        </w:rPr>
        <w:t>2500</w:t>
      </w:r>
      <w:r>
        <w:rPr>
          <w:rFonts w:ascii="Arial" w:hAnsi="Arial" w:cs="Arial" w:hint="eastAsia"/>
          <w:color w:val="000000"/>
          <w:sz w:val="21"/>
          <w:szCs w:val="21"/>
        </w:rPr>
        <w:t>米。与估价对象位于同一供需圈，建筑结构、物业档次与估价对象类似</w:t>
      </w:r>
      <w:r>
        <w:rPr>
          <w:rFonts w:ascii="Arial" w:hAnsi="Arial" w:cs="Arial" w:hint="eastAsia"/>
          <w:sz w:val="21"/>
          <w:szCs w:val="21"/>
        </w:rPr>
        <w:t>。</w:t>
      </w:r>
    </w:p>
    <w:p w14:paraId="572A32DC" w14:textId="77777777" w:rsidR="00000000" w:rsidRDefault="00000000">
      <w:pPr>
        <w:pStyle w:val="22"/>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样本小区三：南海家园四里</w:t>
      </w:r>
    </w:p>
    <w:p w14:paraId="08EE0D73" w14:textId="77777777" w:rsidR="00000000" w:rsidRDefault="00000000">
      <w:pPr>
        <w:pStyle w:val="Normal"/>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南海家园位于大兴亦庄开发区泰河一街，建成于</w:t>
      </w:r>
      <w:r>
        <w:rPr>
          <w:rFonts w:ascii="Arial" w:hAnsi="Arial" w:cs="Arial"/>
          <w:color w:val="000000"/>
          <w:sz w:val="21"/>
          <w:szCs w:val="21"/>
        </w:rPr>
        <w:t>2012</w:t>
      </w:r>
      <w:r>
        <w:rPr>
          <w:rFonts w:ascii="Arial" w:hAnsi="Arial" w:cs="Arial" w:hint="eastAsia"/>
          <w:color w:val="000000"/>
          <w:sz w:val="21"/>
          <w:szCs w:val="21"/>
        </w:rPr>
        <w:t>年，建筑面积约为</w:t>
      </w:r>
      <w:r>
        <w:rPr>
          <w:rFonts w:ascii="Arial" w:hAnsi="Arial" w:cs="Arial"/>
          <w:color w:val="000000"/>
          <w:sz w:val="21"/>
          <w:szCs w:val="21"/>
        </w:rPr>
        <w:t>2251403.25</w:t>
      </w:r>
      <w:r>
        <w:rPr>
          <w:rFonts w:ascii="Arial" w:hAnsi="Arial" w:cs="Arial" w:hint="eastAsia"/>
          <w:color w:val="000000"/>
          <w:sz w:val="21"/>
          <w:szCs w:val="21"/>
        </w:rPr>
        <w:t>平方米，楼栋总数为</w:t>
      </w:r>
      <w:r>
        <w:rPr>
          <w:rFonts w:ascii="Arial" w:hAnsi="Arial" w:cs="Arial"/>
          <w:color w:val="000000"/>
          <w:sz w:val="21"/>
          <w:szCs w:val="21"/>
        </w:rPr>
        <w:t>159</w:t>
      </w:r>
      <w:r>
        <w:rPr>
          <w:rFonts w:ascii="Arial" w:hAnsi="Arial" w:cs="Arial" w:hint="eastAsia"/>
          <w:color w:val="000000"/>
          <w:sz w:val="21"/>
          <w:szCs w:val="21"/>
        </w:rPr>
        <w:t>栋，建筑结构为钢混，共</w:t>
      </w:r>
      <w:r>
        <w:rPr>
          <w:rFonts w:ascii="Arial" w:hAnsi="Arial" w:cs="Arial"/>
          <w:color w:val="000000"/>
          <w:sz w:val="21"/>
          <w:szCs w:val="21"/>
        </w:rPr>
        <w:t>17908</w:t>
      </w:r>
      <w:r>
        <w:rPr>
          <w:rFonts w:ascii="Arial" w:hAnsi="Arial" w:cs="Arial" w:hint="eastAsia"/>
          <w:color w:val="000000"/>
          <w:sz w:val="21"/>
          <w:szCs w:val="21"/>
        </w:rPr>
        <w:t>户，建筑密度适中，环境状况较好，物业管理费为</w:t>
      </w:r>
      <w:r>
        <w:rPr>
          <w:rFonts w:ascii="Arial" w:hAnsi="Arial" w:cs="Arial"/>
          <w:color w:val="000000"/>
          <w:sz w:val="21"/>
          <w:szCs w:val="21"/>
        </w:rPr>
        <w:t>1.5</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平方米·月，主力户型为二居室，距离估价对象约</w:t>
      </w:r>
      <w:r>
        <w:rPr>
          <w:rFonts w:ascii="Arial" w:hAnsi="Arial" w:cs="Arial"/>
          <w:color w:val="000000"/>
          <w:sz w:val="21"/>
          <w:szCs w:val="21"/>
        </w:rPr>
        <w:t>1100</w:t>
      </w:r>
      <w:r>
        <w:rPr>
          <w:rFonts w:ascii="Arial" w:hAnsi="Arial" w:cs="Arial" w:hint="eastAsia"/>
          <w:color w:val="000000"/>
          <w:sz w:val="21"/>
          <w:szCs w:val="21"/>
        </w:rPr>
        <w:t>米。与估价对象位于同一供需圈，建筑结构、物业档次与估价对象类似</w:t>
      </w:r>
      <w:r>
        <w:rPr>
          <w:rFonts w:ascii="Arial" w:hAnsi="Arial" w:cs="Arial" w:hint="eastAsia"/>
          <w:sz w:val="21"/>
          <w:szCs w:val="21"/>
        </w:rPr>
        <w:t>。</w:t>
      </w:r>
    </w:p>
    <w:p w14:paraId="2F869AFE" w14:textId="77777777" w:rsidR="00000000" w:rsidRDefault="00000000">
      <w:pPr>
        <w:pStyle w:val="22"/>
        <w:autoSpaceDE w:val="0"/>
        <w:autoSpaceDN w:val="0"/>
        <w:spacing w:line="360" w:lineRule="auto"/>
        <w:ind w:right="142" w:firstLineChars="200" w:firstLine="420"/>
        <w:jc w:val="center"/>
        <w:textAlignment w:val="auto"/>
        <w:rPr>
          <w:rFonts w:ascii="Arial" w:hAnsi="Arial" w:cs="Arial"/>
          <w:sz w:val="21"/>
          <w:szCs w:val="21"/>
        </w:rPr>
      </w:pPr>
      <w:r>
        <w:rPr>
          <w:rFonts w:ascii="Arial" w:hAnsi="Arial" w:cs="Arial" w:hint="eastAsia"/>
          <w:sz w:val="21"/>
          <w:szCs w:val="21"/>
        </w:rPr>
        <w:t>样本小区标准房</w:t>
      </w:r>
    </w:p>
    <w:tbl>
      <w:tblPr>
        <w:tblW w:w="9299" w:type="dxa"/>
        <w:jc w:val="center"/>
        <w:tblInd w:w="0" w:type="dxa"/>
        <w:tblLook w:val="0000" w:firstRow="0" w:lastRow="0" w:firstColumn="0" w:lastColumn="0" w:noHBand="0" w:noVBand="0"/>
      </w:tblPr>
      <w:tblGrid>
        <w:gridCol w:w="851"/>
        <w:gridCol w:w="2688"/>
        <w:gridCol w:w="2835"/>
        <w:gridCol w:w="2925"/>
      </w:tblGrid>
      <w:tr w:rsidR="00000000" w14:paraId="0F0F32BE" w14:textId="77777777">
        <w:trPr>
          <w:trHeight w:val="285"/>
          <w:tblHeader/>
          <w:jc w:val="center"/>
        </w:trPr>
        <w:tc>
          <w:tcPr>
            <w:tcW w:w="851" w:type="dxa"/>
            <w:tcBorders>
              <w:top w:val="single" w:sz="4" w:space="0" w:color="auto"/>
              <w:left w:val="single" w:sz="4" w:space="0" w:color="auto"/>
              <w:bottom w:val="single" w:sz="4" w:space="0" w:color="auto"/>
              <w:right w:val="single" w:sz="4" w:space="0" w:color="auto"/>
            </w:tcBorders>
            <w:vAlign w:val="center"/>
          </w:tcPr>
          <w:p w14:paraId="59F4CE2D" w14:textId="77777777" w:rsidR="00000000" w:rsidRDefault="00000000">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项目</w:t>
            </w:r>
          </w:p>
        </w:tc>
        <w:tc>
          <w:tcPr>
            <w:tcW w:w="2688" w:type="dxa"/>
            <w:tcBorders>
              <w:top w:val="single" w:sz="4" w:space="0" w:color="auto"/>
              <w:left w:val="nil"/>
              <w:bottom w:val="single" w:sz="4" w:space="0" w:color="auto"/>
              <w:right w:val="single" w:sz="4" w:space="0" w:color="auto"/>
            </w:tcBorders>
            <w:noWrap/>
            <w:vAlign w:val="center"/>
          </w:tcPr>
          <w:p w14:paraId="1F966E44" w14:textId="77777777" w:rsidR="00000000" w:rsidRDefault="00000000">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悦廷</w:t>
            </w:r>
          </w:p>
        </w:tc>
        <w:tc>
          <w:tcPr>
            <w:tcW w:w="2835" w:type="dxa"/>
            <w:tcBorders>
              <w:top w:val="single" w:sz="4" w:space="0" w:color="auto"/>
              <w:left w:val="nil"/>
              <w:bottom w:val="single" w:sz="4" w:space="0" w:color="auto"/>
              <w:right w:val="single" w:sz="4" w:space="0" w:color="auto"/>
            </w:tcBorders>
            <w:noWrap/>
            <w:vAlign w:val="center"/>
          </w:tcPr>
          <w:p w14:paraId="6910D8FA" w14:textId="77777777" w:rsidR="00000000" w:rsidRDefault="00000000">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中信新城西区</w:t>
            </w:r>
          </w:p>
        </w:tc>
        <w:tc>
          <w:tcPr>
            <w:tcW w:w="2925" w:type="dxa"/>
            <w:tcBorders>
              <w:top w:val="single" w:sz="4" w:space="0" w:color="auto"/>
              <w:left w:val="nil"/>
              <w:bottom w:val="single" w:sz="4" w:space="0" w:color="auto"/>
              <w:right w:val="single" w:sz="4" w:space="0" w:color="auto"/>
            </w:tcBorders>
            <w:noWrap/>
            <w:vAlign w:val="center"/>
          </w:tcPr>
          <w:p w14:paraId="4660EA74" w14:textId="77777777" w:rsidR="00000000" w:rsidRDefault="00000000">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南海家园四里</w:t>
            </w:r>
          </w:p>
        </w:tc>
      </w:tr>
      <w:tr w:rsidR="00000000" w14:paraId="6FB13639" w14:textId="77777777">
        <w:trPr>
          <w:trHeight w:val="285"/>
          <w:jc w:val="center"/>
        </w:trPr>
        <w:tc>
          <w:tcPr>
            <w:tcW w:w="851" w:type="dxa"/>
            <w:tcBorders>
              <w:top w:val="nil"/>
              <w:left w:val="single" w:sz="4" w:space="0" w:color="auto"/>
              <w:bottom w:val="single" w:sz="4" w:space="0" w:color="auto"/>
              <w:right w:val="single" w:sz="4" w:space="0" w:color="auto"/>
            </w:tcBorders>
            <w:vAlign w:val="center"/>
          </w:tcPr>
          <w:p w14:paraId="551A6B41" w14:textId="77777777" w:rsidR="00000000" w:rsidRDefault="00000000">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楼层</w:t>
            </w:r>
          </w:p>
        </w:tc>
        <w:tc>
          <w:tcPr>
            <w:tcW w:w="2688" w:type="dxa"/>
            <w:tcBorders>
              <w:top w:val="nil"/>
              <w:left w:val="nil"/>
              <w:bottom w:val="single" w:sz="4" w:space="0" w:color="auto"/>
              <w:right w:val="single" w:sz="4" w:space="0" w:color="auto"/>
            </w:tcBorders>
            <w:noWrap/>
            <w:vAlign w:val="center"/>
          </w:tcPr>
          <w:p w14:paraId="71917A59" w14:textId="77777777" w:rsidR="00000000" w:rsidRDefault="00000000">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中楼层</w:t>
            </w:r>
          </w:p>
        </w:tc>
        <w:tc>
          <w:tcPr>
            <w:tcW w:w="2835" w:type="dxa"/>
            <w:tcBorders>
              <w:top w:val="nil"/>
              <w:left w:val="nil"/>
              <w:bottom w:val="single" w:sz="4" w:space="0" w:color="auto"/>
              <w:right w:val="single" w:sz="4" w:space="0" w:color="auto"/>
            </w:tcBorders>
            <w:noWrap/>
            <w:vAlign w:val="center"/>
          </w:tcPr>
          <w:p w14:paraId="750F8B16" w14:textId="77777777" w:rsidR="00000000" w:rsidRDefault="00000000">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中楼层</w:t>
            </w:r>
          </w:p>
        </w:tc>
        <w:tc>
          <w:tcPr>
            <w:tcW w:w="2925" w:type="dxa"/>
            <w:tcBorders>
              <w:top w:val="nil"/>
              <w:left w:val="nil"/>
              <w:bottom w:val="single" w:sz="4" w:space="0" w:color="auto"/>
              <w:right w:val="single" w:sz="4" w:space="0" w:color="auto"/>
            </w:tcBorders>
            <w:noWrap/>
            <w:vAlign w:val="center"/>
          </w:tcPr>
          <w:p w14:paraId="7057B46A" w14:textId="77777777" w:rsidR="00000000" w:rsidRDefault="00000000">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中楼层</w:t>
            </w:r>
          </w:p>
        </w:tc>
      </w:tr>
      <w:tr w:rsidR="00000000" w14:paraId="7A71057C" w14:textId="77777777">
        <w:trPr>
          <w:trHeight w:val="285"/>
          <w:jc w:val="center"/>
        </w:trPr>
        <w:tc>
          <w:tcPr>
            <w:tcW w:w="851" w:type="dxa"/>
            <w:tcBorders>
              <w:top w:val="nil"/>
              <w:left w:val="single" w:sz="4" w:space="0" w:color="auto"/>
              <w:bottom w:val="single" w:sz="4" w:space="0" w:color="auto"/>
              <w:right w:val="single" w:sz="4" w:space="0" w:color="auto"/>
            </w:tcBorders>
            <w:vAlign w:val="center"/>
          </w:tcPr>
          <w:p w14:paraId="7C7A2250" w14:textId="77777777" w:rsidR="00000000" w:rsidRDefault="00000000">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户型</w:t>
            </w:r>
          </w:p>
        </w:tc>
        <w:tc>
          <w:tcPr>
            <w:tcW w:w="2688" w:type="dxa"/>
            <w:tcBorders>
              <w:top w:val="nil"/>
              <w:left w:val="nil"/>
              <w:bottom w:val="single" w:sz="4" w:space="0" w:color="auto"/>
              <w:right w:val="single" w:sz="4" w:space="0" w:color="auto"/>
            </w:tcBorders>
            <w:noWrap/>
            <w:vAlign w:val="center"/>
          </w:tcPr>
          <w:p w14:paraId="74834FC5" w14:textId="77777777" w:rsidR="00000000" w:rsidRDefault="00000000">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三</w:t>
            </w:r>
            <w:r>
              <w:rPr>
                <w:rFonts w:ascii="Arial" w:eastAsia="华文细黑" w:hAnsi="Arial" w:cs="Arial"/>
                <w:sz w:val="18"/>
                <w:szCs w:val="18"/>
              </w:rPr>
              <w:t>居室</w:t>
            </w:r>
          </w:p>
        </w:tc>
        <w:tc>
          <w:tcPr>
            <w:tcW w:w="2835" w:type="dxa"/>
            <w:tcBorders>
              <w:top w:val="nil"/>
              <w:left w:val="nil"/>
              <w:bottom w:val="single" w:sz="4" w:space="0" w:color="auto"/>
              <w:right w:val="single" w:sz="4" w:space="0" w:color="auto"/>
            </w:tcBorders>
            <w:noWrap/>
            <w:vAlign w:val="center"/>
          </w:tcPr>
          <w:p w14:paraId="6C982A61" w14:textId="77777777" w:rsidR="00000000" w:rsidRDefault="00000000">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三居室</w:t>
            </w:r>
          </w:p>
        </w:tc>
        <w:tc>
          <w:tcPr>
            <w:tcW w:w="2925" w:type="dxa"/>
            <w:tcBorders>
              <w:top w:val="nil"/>
              <w:left w:val="nil"/>
              <w:bottom w:val="single" w:sz="4" w:space="0" w:color="auto"/>
              <w:right w:val="single" w:sz="4" w:space="0" w:color="auto"/>
            </w:tcBorders>
            <w:noWrap/>
            <w:vAlign w:val="center"/>
          </w:tcPr>
          <w:p w14:paraId="249EC825" w14:textId="77777777" w:rsidR="00000000" w:rsidRDefault="00000000">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二居室</w:t>
            </w:r>
          </w:p>
        </w:tc>
      </w:tr>
      <w:tr w:rsidR="00000000" w14:paraId="29C9528A" w14:textId="77777777">
        <w:trPr>
          <w:trHeight w:val="285"/>
          <w:jc w:val="center"/>
        </w:trPr>
        <w:tc>
          <w:tcPr>
            <w:tcW w:w="851" w:type="dxa"/>
            <w:tcBorders>
              <w:top w:val="nil"/>
              <w:left w:val="single" w:sz="4" w:space="0" w:color="auto"/>
              <w:bottom w:val="single" w:sz="4" w:space="0" w:color="auto"/>
              <w:right w:val="single" w:sz="4" w:space="0" w:color="auto"/>
            </w:tcBorders>
            <w:vAlign w:val="center"/>
          </w:tcPr>
          <w:p w14:paraId="5CEC6247" w14:textId="77777777" w:rsidR="00000000" w:rsidRDefault="00000000">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朝向</w:t>
            </w:r>
          </w:p>
        </w:tc>
        <w:tc>
          <w:tcPr>
            <w:tcW w:w="2688" w:type="dxa"/>
            <w:tcBorders>
              <w:top w:val="nil"/>
              <w:left w:val="nil"/>
              <w:bottom w:val="single" w:sz="4" w:space="0" w:color="auto"/>
              <w:right w:val="single" w:sz="4" w:space="0" w:color="auto"/>
            </w:tcBorders>
            <w:noWrap/>
            <w:vAlign w:val="center"/>
          </w:tcPr>
          <w:p w14:paraId="73831DEC" w14:textId="77777777" w:rsidR="00000000" w:rsidRDefault="00000000">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南北</w:t>
            </w:r>
          </w:p>
        </w:tc>
        <w:tc>
          <w:tcPr>
            <w:tcW w:w="2835" w:type="dxa"/>
            <w:tcBorders>
              <w:top w:val="nil"/>
              <w:left w:val="nil"/>
              <w:bottom w:val="single" w:sz="4" w:space="0" w:color="auto"/>
              <w:right w:val="single" w:sz="4" w:space="0" w:color="auto"/>
            </w:tcBorders>
            <w:noWrap/>
            <w:vAlign w:val="center"/>
          </w:tcPr>
          <w:p w14:paraId="081FE8AA" w14:textId="77777777" w:rsidR="00000000" w:rsidRDefault="00000000">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南北</w:t>
            </w:r>
          </w:p>
        </w:tc>
        <w:tc>
          <w:tcPr>
            <w:tcW w:w="2925" w:type="dxa"/>
            <w:tcBorders>
              <w:top w:val="nil"/>
              <w:left w:val="nil"/>
              <w:bottom w:val="single" w:sz="4" w:space="0" w:color="auto"/>
              <w:right w:val="single" w:sz="4" w:space="0" w:color="auto"/>
            </w:tcBorders>
            <w:noWrap/>
            <w:vAlign w:val="center"/>
          </w:tcPr>
          <w:p w14:paraId="4B2D7409" w14:textId="77777777" w:rsidR="00000000" w:rsidRDefault="00000000">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南北</w:t>
            </w:r>
          </w:p>
        </w:tc>
      </w:tr>
      <w:tr w:rsidR="00000000" w14:paraId="796438A1" w14:textId="77777777">
        <w:trPr>
          <w:trHeight w:val="285"/>
          <w:jc w:val="center"/>
        </w:trPr>
        <w:tc>
          <w:tcPr>
            <w:tcW w:w="851" w:type="dxa"/>
            <w:tcBorders>
              <w:top w:val="nil"/>
              <w:left w:val="single" w:sz="4" w:space="0" w:color="auto"/>
              <w:bottom w:val="single" w:sz="4" w:space="0" w:color="auto"/>
              <w:right w:val="single" w:sz="4" w:space="0" w:color="auto"/>
            </w:tcBorders>
            <w:vAlign w:val="center"/>
          </w:tcPr>
          <w:p w14:paraId="2B7046BC" w14:textId="77777777" w:rsidR="00000000" w:rsidRDefault="00000000">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燃气</w:t>
            </w:r>
          </w:p>
        </w:tc>
        <w:tc>
          <w:tcPr>
            <w:tcW w:w="2688" w:type="dxa"/>
            <w:tcBorders>
              <w:top w:val="nil"/>
              <w:left w:val="nil"/>
              <w:bottom w:val="single" w:sz="4" w:space="0" w:color="auto"/>
              <w:right w:val="single" w:sz="4" w:space="0" w:color="auto"/>
            </w:tcBorders>
            <w:noWrap/>
            <w:vAlign w:val="center"/>
          </w:tcPr>
          <w:p w14:paraId="0D566288" w14:textId="77777777" w:rsidR="00000000" w:rsidRDefault="00000000">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835" w:type="dxa"/>
            <w:tcBorders>
              <w:top w:val="nil"/>
              <w:left w:val="nil"/>
              <w:bottom w:val="single" w:sz="4" w:space="0" w:color="auto"/>
              <w:right w:val="single" w:sz="4" w:space="0" w:color="auto"/>
            </w:tcBorders>
            <w:noWrap/>
            <w:vAlign w:val="center"/>
          </w:tcPr>
          <w:p w14:paraId="460EB2C7" w14:textId="77777777" w:rsidR="00000000" w:rsidRDefault="00000000">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925" w:type="dxa"/>
            <w:tcBorders>
              <w:top w:val="nil"/>
              <w:left w:val="nil"/>
              <w:bottom w:val="single" w:sz="4" w:space="0" w:color="auto"/>
              <w:right w:val="single" w:sz="4" w:space="0" w:color="auto"/>
            </w:tcBorders>
            <w:noWrap/>
            <w:vAlign w:val="center"/>
          </w:tcPr>
          <w:p w14:paraId="3CED5F0D" w14:textId="77777777" w:rsidR="00000000" w:rsidRDefault="00000000">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r>
      <w:tr w:rsidR="00000000" w14:paraId="034B6406" w14:textId="77777777">
        <w:trPr>
          <w:trHeight w:val="285"/>
          <w:jc w:val="center"/>
        </w:trPr>
        <w:tc>
          <w:tcPr>
            <w:tcW w:w="851" w:type="dxa"/>
            <w:tcBorders>
              <w:top w:val="nil"/>
              <w:left w:val="single" w:sz="4" w:space="0" w:color="auto"/>
              <w:bottom w:val="single" w:sz="4" w:space="0" w:color="auto"/>
              <w:right w:val="single" w:sz="4" w:space="0" w:color="auto"/>
            </w:tcBorders>
            <w:vAlign w:val="center"/>
          </w:tcPr>
          <w:p w14:paraId="14DD8090" w14:textId="77777777" w:rsidR="00000000" w:rsidRDefault="00000000">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装修</w:t>
            </w:r>
          </w:p>
        </w:tc>
        <w:tc>
          <w:tcPr>
            <w:tcW w:w="2688" w:type="dxa"/>
            <w:tcBorders>
              <w:top w:val="nil"/>
              <w:left w:val="nil"/>
              <w:bottom w:val="single" w:sz="4" w:space="0" w:color="auto"/>
              <w:right w:val="single" w:sz="4" w:space="0" w:color="auto"/>
            </w:tcBorders>
            <w:noWrap/>
            <w:vAlign w:val="center"/>
          </w:tcPr>
          <w:p w14:paraId="1099C266" w14:textId="77777777" w:rsidR="00000000" w:rsidRDefault="00000000">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835" w:type="dxa"/>
            <w:tcBorders>
              <w:top w:val="nil"/>
              <w:left w:val="nil"/>
              <w:bottom w:val="single" w:sz="4" w:space="0" w:color="auto"/>
              <w:right w:val="single" w:sz="4" w:space="0" w:color="auto"/>
            </w:tcBorders>
            <w:noWrap/>
            <w:vAlign w:val="center"/>
          </w:tcPr>
          <w:p w14:paraId="75C36B5D" w14:textId="77777777" w:rsidR="00000000" w:rsidRDefault="00000000">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925" w:type="dxa"/>
            <w:tcBorders>
              <w:top w:val="nil"/>
              <w:left w:val="nil"/>
              <w:bottom w:val="single" w:sz="4" w:space="0" w:color="auto"/>
              <w:right w:val="single" w:sz="4" w:space="0" w:color="auto"/>
            </w:tcBorders>
            <w:noWrap/>
            <w:vAlign w:val="center"/>
          </w:tcPr>
          <w:p w14:paraId="64FAC459" w14:textId="77777777" w:rsidR="00000000" w:rsidRDefault="00000000">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r>
      <w:tr w:rsidR="00000000" w14:paraId="3744785C" w14:textId="77777777">
        <w:trPr>
          <w:trHeight w:val="285"/>
          <w:jc w:val="center"/>
        </w:trPr>
        <w:tc>
          <w:tcPr>
            <w:tcW w:w="851" w:type="dxa"/>
            <w:tcBorders>
              <w:top w:val="nil"/>
              <w:left w:val="single" w:sz="4" w:space="0" w:color="auto"/>
              <w:bottom w:val="single" w:sz="4" w:space="0" w:color="auto"/>
              <w:right w:val="single" w:sz="4" w:space="0" w:color="auto"/>
            </w:tcBorders>
            <w:vAlign w:val="center"/>
          </w:tcPr>
          <w:p w14:paraId="7E48FDE9" w14:textId="77777777" w:rsidR="00000000" w:rsidRDefault="00000000">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设备</w:t>
            </w:r>
          </w:p>
        </w:tc>
        <w:tc>
          <w:tcPr>
            <w:tcW w:w="2688" w:type="dxa"/>
            <w:tcBorders>
              <w:top w:val="nil"/>
              <w:left w:val="nil"/>
              <w:bottom w:val="single" w:sz="4" w:space="0" w:color="auto"/>
              <w:right w:val="single" w:sz="4" w:space="0" w:color="auto"/>
            </w:tcBorders>
            <w:noWrap/>
          </w:tcPr>
          <w:p w14:paraId="5141DBA4" w14:textId="77777777" w:rsidR="00000000" w:rsidRDefault="00000000">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配备家具、家电；程度较新；功能正常，质量有保证，较好</w:t>
            </w:r>
          </w:p>
        </w:tc>
        <w:tc>
          <w:tcPr>
            <w:tcW w:w="2835" w:type="dxa"/>
            <w:tcBorders>
              <w:top w:val="nil"/>
              <w:left w:val="nil"/>
              <w:bottom w:val="single" w:sz="4" w:space="0" w:color="auto"/>
              <w:right w:val="single" w:sz="4" w:space="0" w:color="auto"/>
            </w:tcBorders>
            <w:noWrap/>
          </w:tcPr>
          <w:p w14:paraId="6694070E" w14:textId="77777777" w:rsidR="00000000" w:rsidRDefault="00000000">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配备家具、家电；程度较新；功能正常，质量有保证，较好</w:t>
            </w:r>
          </w:p>
        </w:tc>
        <w:tc>
          <w:tcPr>
            <w:tcW w:w="2925" w:type="dxa"/>
            <w:tcBorders>
              <w:top w:val="nil"/>
              <w:left w:val="nil"/>
              <w:bottom w:val="single" w:sz="4" w:space="0" w:color="auto"/>
              <w:right w:val="single" w:sz="4" w:space="0" w:color="auto"/>
            </w:tcBorders>
            <w:noWrap/>
          </w:tcPr>
          <w:p w14:paraId="57DF942D" w14:textId="77777777" w:rsidR="00000000" w:rsidRDefault="00000000">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配备家具、家电；程度较新；功能正常，质量有保证，较好</w:t>
            </w:r>
          </w:p>
        </w:tc>
      </w:tr>
    </w:tbl>
    <w:p w14:paraId="58CA3E7B" w14:textId="77777777" w:rsidR="00000000" w:rsidRDefault="00000000">
      <w:pPr>
        <w:pStyle w:val="Normal"/>
        <w:wordWrap w:val="0"/>
        <w:overflowPunct w:val="0"/>
        <w:autoSpaceDE w:val="0"/>
        <w:autoSpaceDN w:val="0"/>
        <w:spacing w:beforeLines="50" w:before="120" w:line="480" w:lineRule="auto"/>
        <w:ind w:right="142" w:firstLineChars="200" w:firstLine="420"/>
        <w:jc w:val="both"/>
        <w:textAlignment w:val="auto"/>
        <w:rPr>
          <w:rFonts w:ascii="Arial" w:hAnsi="Arial" w:cs="Arial" w:hint="eastAsia"/>
          <w:color w:val="000000"/>
          <w:sz w:val="21"/>
          <w:szCs w:val="21"/>
        </w:rPr>
      </w:pPr>
      <w:r>
        <w:rPr>
          <w:rFonts w:ascii="Arial" w:hAnsi="Arial" w:cs="Arial" w:hint="eastAsia"/>
          <w:color w:val="000000"/>
          <w:sz w:val="21"/>
          <w:szCs w:val="21"/>
        </w:rPr>
        <w:t>（</w:t>
      </w:r>
      <w:r>
        <w:rPr>
          <w:rFonts w:ascii="Arial" w:hAnsi="Arial" w:cs="Arial" w:hint="eastAsia"/>
          <w:kern w:val="2"/>
          <w:sz w:val="21"/>
          <w:szCs w:val="21"/>
        </w:rPr>
        <w:t>转下页</w:t>
      </w:r>
      <w:r>
        <w:rPr>
          <w:rFonts w:ascii="Arial" w:hAnsi="Arial" w:cs="Arial" w:hint="eastAsia"/>
          <w:color w:val="000000"/>
          <w:sz w:val="21"/>
          <w:szCs w:val="21"/>
        </w:rPr>
        <w:t>）</w:t>
      </w:r>
    </w:p>
    <w:p w14:paraId="61CBE573" w14:textId="77777777" w:rsidR="00000000" w:rsidRDefault="00000000">
      <w:pPr>
        <w:pStyle w:val="Normal"/>
        <w:autoSpaceDE w:val="0"/>
        <w:autoSpaceDN w:val="0"/>
        <w:spacing w:line="480" w:lineRule="auto"/>
        <w:ind w:firstLineChars="200" w:firstLine="420"/>
        <w:jc w:val="center"/>
        <w:textAlignment w:val="bottom"/>
        <w:rPr>
          <w:rFonts w:ascii="Arial" w:hAnsi="Arial" w:cs="Arial" w:hint="eastAsia"/>
          <w:color w:val="000000"/>
          <w:sz w:val="21"/>
          <w:szCs w:val="21"/>
        </w:rPr>
      </w:pPr>
      <w:r>
        <w:rPr>
          <w:rFonts w:ascii="Arial" w:hAnsi="Arial" w:cs="Arial"/>
          <w:color w:val="000000"/>
          <w:sz w:val="21"/>
          <w:szCs w:val="21"/>
        </w:rPr>
        <w:br w:type="page"/>
      </w:r>
      <w:r>
        <w:rPr>
          <w:rFonts w:ascii="Arial" w:hAnsi="Arial" w:cs="Arial" w:hint="eastAsia"/>
          <w:color w:val="000000"/>
          <w:sz w:val="21"/>
          <w:szCs w:val="21"/>
        </w:rPr>
        <w:lastRenderedPageBreak/>
        <w:t>估价对象及样本小区位置示意图</w:t>
      </w:r>
    </w:p>
    <w:p w14:paraId="662E54C7" w14:textId="257540A7" w:rsidR="00000000" w:rsidRDefault="008F534B">
      <w:pPr>
        <w:pStyle w:val="Normal"/>
        <w:autoSpaceDE w:val="0"/>
        <w:autoSpaceDN w:val="0"/>
        <w:spacing w:line="480" w:lineRule="auto"/>
        <w:jc w:val="center"/>
        <w:textAlignment w:val="bottom"/>
        <w:rPr>
          <w:rFonts w:hint="eastAsia"/>
          <w:lang w:val="en-US" w:eastAsia="zh-CN"/>
        </w:rPr>
      </w:pPr>
      <w:r>
        <w:rPr>
          <w:noProof/>
        </w:rPr>
        <w:drawing>
          <wp:inline distT="0" distB="0" distL="0" distR="0" wp14:anchorId="413D1014" wp14:editId="71F51768">
            <wp:extent cx="5899150" cy="3670300"/>
            <wp:effectExtent l="0" t="0" r="0" b="0"/>
            <wp:docPr id="2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99150" cy="3670300"/>
                    </a:xfrm>
                    <a:prstGeom prst="rect">
                      <a:avLst/>
                    </a:prstGeom>
                    <a:noFill/>
                    <a:ln>
                      <a:noFill/>
                    </a:ln>
                  </pic:spPr>
                </pic:pic>
              </a:graphicData>
            </a:graphic>
          </wp:inline>
        </w:drawing>
      </w:r>
    </w:p>
    <w:p w14:paraId="1A7734A1" w14:textId="77777777" w:rsidR="00000000" w:rsidRDefault="00000000">
      <w:pPr>
        <w:pStyle w:val="Normal"/>
        <w:autoSpaceDE w:val="0"/>
        <w:autoSpaceDN w:val="0"/>
        <w:spacing w:line="480" w:lineRule="auto"/>
        <w:ind w:firstLineChars="200" w:firstLine="420"/>
        <w:jc w:val="both"/>
        <w:textAlignment w:val="bottom"/>
        <w:rPr>
          <w:rFonts w:ascii="Arial" w:hAnsi="Arial" w:cs="Arial" w:hint="eastAsia"/>
          <w:color w:val="000000"/>
          <w:sz w:val="21"/>
          <w:szCs w:val="21"/>
        </w:rPr>
      </w:pPr>
      <w:r>
        <w:rPr>
          <w:rFonts w:ascii="Arial" w:hAnsi="Arial" w:cs="Arial" w:hint="eastAsia"/>
          <w:color w:val="000000"/>
          <w:sz w:val="21"/>
          <w:szCs w:val="21"/>
        </w:rPr>
        <w:t>（</w:t>
      </w:r>
      <w:r>
        <w:rPr>
          <w:rFonts w:ascii="Arial" w:hAnsi="Arial" w:cs="Arial" w:hint="eastAsia"/>
          <w:kern w:val="2"/>
          <w:sz w:val="21"/>
          <w:szCs w:val="21"/>
        </w:rPr>
        <w:t>转下页</w:t>
      </w:r>
      <w:r>
        <w:rPr>
          <w:rFonts w:ascii="Arial" w:hAnsi="Arial" w:cs="Arial" w:hint="eastAsia"/>
          <w:color w:val="000000"/>
          <w:sz w:val="21"/>
          <w:szCs w:val="21"/>
        </w:rPr>
        <w:t>）</w:t>
      </w:r>
    </w:p>
    <w:p w14:paraId="6A2AD243" w14:textId="77777777" w:rsidR="00000000" w:rsidRDefault="00000000">
      <w:pPr>
        <w:pStyle w:val="Normal"/>
        <w:autoSpaceDE w:val="0"/>
        <w:autoSpaceDN w:val="0"/>
        <w:spacing w:line="480" w:lineRule="auto"/>
        <w:ind w:firstLineChars="200" w:firstLine="420"/>
        <w:jc w:val="center"/>
        <w:textAlignment w:val="bottom"/>
        <w:rPr>
          <w:rFonts w:ascii="Arial" w:hAnsi="Arial" w:cs="Arial" w:hint="eastAsia"/>
          <w:color w:val="000000"/>
          <w:sz w:val="21"/>
          <w:szCs w:val="21"/>
        </w:rPr>
      </w:pPr>
    </w:p>
    <w:p w14:paraId="07D14303" w14:textId="77777777" w:rsidR="00000000" w:rsidRDefault="00000000">
      <w:pPr>
        <w:pStyle w:val="Normal"/>
        <w:autoSpaceDE w:val="0"/>
        <w:autoSpaceDN w:val="0"/>
        <w:spacing w:line="480" w:lineRule="auto"/>
        <w:ind w:firstLineChars="200" w:firstLine="420"/>
        <w:jc w:val="both"/>
        <w:textAlignment w:val="bottom"/>
        <w:rPr>
          <w:rFonts w:ascii="Arial" w:hAnsi="Arial" w:cs="Arial" w:hint="eastAsia"/>
          <w:color w:val="000000"/>
          <w:sz w:val="21"/>
          <w:szCs w:val="21"/>
        </w:rPr>
      </w:pPr>
      <w:r>
        <w:rPr>
          <w:rFonts w:hAnsi="宋体" w:cs="Arial"/>
          <w:color w:val="000000"/>
          <w:sz w:val="21"/>
          <w:szCs w:val="21"/>
        </w:rPr>
        <w:br w:type="page"/>
      </w:r>
      <w:r>
        <w:rPr>
          <w:rFonts w:hAnsi="宋体" w:cs="Arial" w:hint="eastAsia"/>
          <w:color w:val="000000"/>
          <w:sz w:val="21"/>
          <w:szCs w:val="21"/>
        </w:rPr>
        <w:lastRenderedPageBreak/>
        <w:t>（2）</w:t>
      </w:r>
      <w:r>
        <w:rPr>
          <w:rFonts w:ascii="Arial" w:hAnsi="Arial" w:cs="Arial" w:hint="eastAsia"/>
          <w:color w:val="000000"/>
          <w:sz w:val="21"/>
          <w:szCs w:val="21"/>
        </w:rPr>
        <w:t>样本数据统计分析</w:t>
      </w:r>
    </w:p>
    <w:p w14:paraId="0204886F" w14:textId="77777777" w:rsidR="00000000" w:rsidRDefault="00000000">
      <w:pPr>
        <w:pStyle w:val="Normal"/>
        <w:autoSpaceDE w:val="0"/>
        <w:autoSpaceDN w:val="0"/>
        <w:spacing w:line="480" w:lineRule="auto"/>
        <w:ind w:firstLineChars="200" w:firstLine="420"/>
        <w:jc w:val="both"/>
        <w:textAlignment w:val="bottom"/>
        <w:rPr>
          <w:rFonts w:ascii="Arial" w:hAnsi="Arial" w:cs="Arial" w:hint="eastAsia"/>
          <w:color w:val="000000"/>
          <w:sz w:val="21"/>
          <w:szCs w:val="21"/>
        </w:rPr>
      </w:pPr>
      <w:r>
        <w:rPr>
          <w:rFonts w:ascii="Arial" w:hAnsi="Arial" w:cs="Arial" w:hint="eastAsia"/>
          <w:color w:val="000000"/>
          <w:sz w:val="21"/>
          <w:szCs w:val="21"/>
        </w:rPr>
        <w:t>本次评估估价对象周边区域住宅小区近一年平均租金水平数据来源为估价机构监测数据、行业主管部门（北京市房地产市场管理事务中心）监测数据和估价机构市场调查三方面数据，三方面数据情况分别如下：</w:t>
      </w:r>
    </w:p>
    <w:p w14:paraId="02F2C299" w14:textId="77777777" w:rsidR="00000000" w:rsidRDefault="00000000">
      <w:pPr>
        <w:pStyle w:val="Normal"/>
        <w:autoSpaceDE w:val="0"/>
        <w:autoSpaceDN w:val="0"/>
        <w:spacing w:line="480" w:lineRule="auto"/>
        <w:ind w:firstLineChars="200" w:firstLine="420"/>
        <w:jc w:val="both"/>
        <w:textAlignment w:val="bottom"/>
        <w:rPr>
          <w:rFonts w:ascii="Arial" w:hAnsi="Arial" w:cs="Arial" w:hint="eastAsia"/>
          <w:color w:val="000000"/>
          <w:sz w:val="21"/>
          <w:szCs w:val="21"/>
        </w:rPr>
      </w:pPr>
      <w:r>
        <w:rPr>
          <w:rFonts w:ascii="Arial" w:hAnsi="Arial" w:cs="Arial" w:hint="eastAsia"/>
          <w:color w:val="000000"/>
          <w:sz w:val="21"/>
          <w:szCs w:val="21"/>
        </w:rPr>
        <w:t>A.</w:t>
      </w:r>
      <w:r>
        <w:rPr>
          <w:rFonts w:ascii="Arial" w:hAnsi="Arial" w:cs="Arial" w:hint="eastAsia"/>
          <w:color w:val="000000"/>
          <w:sz w:val="21"/>
          <w:szCs w:val="21"/>
        </w:rPr>
        <w:t>估价机构监测数据</w:t>
      </w:r>
    </w:p>
    <w:p w14:paraId="36202ADF" w14:textId="77777777" w:rsidR="00000000" w:rsidRDefault="00000000">
      <w:pPr>
        <w:pStyle w:val="22"/>
        <w:autoSpaceDE w:val="0"/>
        <w:autoSpaceDN w:val="0"/>
        <w:spacing w:line="240" w:lineRule="auto"/>
        <w:ind w:firstLineChars="200" w:firstLine="420"/>
        <w:jc w:val="both"/>
        <w:textAlignment w:val="bottom"/>
        <w:rPr>
          <w:rFonts w:ascii="Arial" w:hAnsi="Arial" w:cs="Arial"/>
          <w:sz w:val="21"/>
          <w:szCs w:val="21"/>
        </w:rPr>
      </w:pPr>
      <w:r>
        <w:rPr>
          <w:rFonts w:ascii="Arial" w:hAnsi="Arial" w:cs="Arial" w:hint="eastAsia"/>
          <w:sz w:val="21"/>
          <w:szCs w:val="21"/>
        </w:rPr>
        <w:t>样本小区一：悦廷</w:t>
      </w:r>
    </w:p>
    <w:tbl>
      <w:tblPr>
        <w:tblW w:w="5000" w:type="pct"/>
        <w:tblInd w:w="0" w:type="dxa"/>
        <w:tblLook w:val="0000" w:firstRow="0" w:lastRow="0" w:firstColumn="0" w:lastColumn="0" w:noHBand="0" w:noVBand="0"/>
      </w:tblPr>
      <w:tblGrid>
        <w:gridCol w:w="3362"/>
        <w:gridCol w:w="1743"/>
        <w:gridCol w:w="4184"/>
      </w:tblGrid>
      <w:tr w:rsidR="00000000" w14:paraId="7B01272E" w14:textId="77777777">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0B197BD6" w14:textId="77777777" w:rsidR="00000000" w:rsidRDefault="00000000">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BB06FDF" w14:textId="77777777" w:rsidR="00000000" w:rsidRDefault="00000000">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AC0A184" w14:textId="77777777" w:rsidR="00000000" w:rsidRDefault="00000000">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租金平均单价（元/平方米·月）</w:t>
            </w:r>
          </w:p>
        </w:tc>
      </w:tr>
      <w:tr w:rsidR="00000000" w14:paraId="09700C7D" w14:textId="77777777">
        <w:trPr>
          <w:trHeight w:val="20"/>
        </w:trPr>
        <w:tc>
          <w:tcPr>
            <w:tcW w:w="1810" w:type="pct"/>
            <w:tcBorders>
              <w:top w:val="nil"/>
              <w:left w:val="single" w:sz="4" w:space="0" w:color="auto"/>
              <w:bottom w:val="single" w:sz="4" w:space="0" w:color="auto"/>
              <w:right w:val="single" w:sz="4" w:space="0" w:color="auto"/>
            </w:tcBorders>
            <w:vAlign w:val="center"/>
          </w:tcPr>
          <w:p w14:paraId="764914EE"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6CB4ED2A"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3FB4417"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60.43</w:t>
            </w:r>
          </w:p>
        </w:tc>
      </w:tr>
      <w:tr w:rsidR="00000000" w14:paraId="766EDE3C" w14:textId="77777777">
        <w:trPr>
          <w:trHeight w:val="20"/>
        </w:trPr>
        <w:tc>
          <w:tcPr>
            <w:tcW w:w="1810" w:type="pct"/>
            <w:tcBorders>
              <w:top w:val="nil"/>
              <w:left w:val="single" w:sz="4" w:space="0" w:color="auto"/>
              <w:bottom w:val="single" w:sz="4" w:space="0" w:color="auto"/>
              <w:right w:val="single" w:sz="4" w:space="0" w:color="auto"/>
            </w:tcBorders>
            <w:vAlign w:val="center"/>
          </w:tcPr>
          <w:p w14:paraId="2A9BBAB4"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33565412"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1E417B9"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57.63</w:t>
            </w:r>
          </w:p>
        </w:tc>
      </w:tr>
      <w:tr w:rsidR="00000000" w14:paraId="51E06187" w14:textId="77777777">
        <w:trPr>
          <w:trHeight w:val="20"/>
        </w:trPr>
        <w:tc>
          <w:tcPr>
            <w:tcW w:w="1810" w:type="pct"/>
            <w:tcBorders>
              <w:top w:val="nil"/>
              <w:left w:val="single" w:sz="4" w:space="0" w:color="auto"/>
              <w:bottom w:val="single" w:sz="4" w:space="0" w:color="auto"/>
              <w:right w:val="single" w:sz="4" w:space="0" w:color="auto"/>
            </w:tcBorders>
            <w:vAlign w:val="center"/>
          </w:tcPr>
          <w:p w14:paraId="16508F52"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2B970971"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5206EC"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53.06</w:t>
            </w:r>
          </w:p>
        </w:tc>
      </w:tr>
      <w:tr w:rsidR="00000000" w14:paraId="1F57F2C9" w14:textId="77777777">
        <w:trPr>
          <w:trHeight w:val="20"/>
        </w:trPr>
        <w:tc>
          <w:tcPr>
            <w:tcW w:w="1810" w:type="pct"/>
            <w:tcBorders>
              <w:top w:val="nil"/>
              <w:left w:val="single" w:sz="4" w:space="0" w:color="auto"/>
              <w:bottom w:val="single" w:sz="4" w:space="0" w:color="auto"/>
              <w:right w:val="single" w:sz="4" w:space="0" w:color="auto"/>
            </w:tcBorders>
            <w:vAlign w:val="center"/>
          </w:tcPr>
          <w:p w14:paraId="280A510F"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2ED47E33"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8FA2486"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54.5</w:t>
            </w:r>
          </w:p>
        </w:tc>
      </w:tr>
      <w:tr w:rsidR="00000000" w14:paraId="3B6134F1" w14:textId="77777777">
        <w:trPr>
          <w:trHeight w:val="20"/>
        </w:trPr>
        <w:tc>
          <w:tcPr>
            <w:tcW w:w="1810" w:type="pct"/>
            <w:tcBorders>
              <w:top w:val="nil"/>
              <w:left w:val="single" w:sz="4" w:space="0" w:color="auto"/>
              <w:bottom w:val="single" w:sz="4" w:space="0" w:color="auto"/>
              <w:right w:val="single" w:sz="4" w:space="0" w:color="auto"/>
            </w:tcBorders>
            <w:vAlign w:val="center"/>
          </w:tcPr>
          <w:p w14:paraId="0C09D526"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7042DB42"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FE2659E"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61.48</w:t>
            </w:r>
          </w:p>
        </w:tc>
      </w:tr>
      <w:tr w:rsidR="00000000" w14:paraId="72CEBF43" w14:textId="77777777">
        <w:trPr>
          <w:trHeight w:val="20"/>
        </w:trPr>
        <w:tc>
          <w:tcPr>
            <w:tcW w:w="1810" w:type="pct"/>
            <w:tcBorders>
              <w:top w:val="nil"/>
              <w:left w:val="single" w:sz="4" w:space="0" w:color="auto"/>
              <w:bottom w:val="single" w:sz="4" w:space="0" w:color="auto"/>
              <w:right w:val="single" w:sz="4" w:space="0" w:color="auto"/>
            </w:tcBorders>
            <w:vAlign w:val="center"/>
          </w:tcPr>
          <w:p w14:paraId="1B38D386"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6E178A94"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82C33DF"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65.59</w:t>
            </w:r>
          </w:p>
        </w:tc>
      </w:tr>
      <w:tr w:rsidR="00000000" w14:paraId="6A6CFAF7" w14:textId="77777777">
        <w:trPr>
          <w:trHeight w:val="20"/>
        </w:trPr>
        <w:tc>
          <w:tcPr>
            <w:tcW w:w="1810" w:type="pct"/>
            <w:tcBorders>
              <w:top w:val="nil"/>
              <w:left w:val="single" w:sz="4" w:space="0" w:color="auto"/>
              <w:bottom w:val="single" w:sz="4" w:space="0" w:color="auto"/>
              <w:right w:val="single" w:sz="4" w:space="0" w:color="auto"/>
            </w:tcBorders>
            <w:vAlign w:val="center"/>
          </w:tcPr>
          <w:p w14:paraId="008C5199"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22230F8F"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618A489"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64.84</w:t>
            </w:r>
          </w:p>
        </w:tc>
      </w:tr>
      <w:tr w:rsidR="00000000" w14:paraId="172FC5FD" w14:textId="77777777">
        <w:trPr>
          <w:trHeight w:val="20"/>
        </w:trPr>
        <w:tc>
          <w:tcPr>
            <w:tcW w:w="1810" w:type="pct"/>
            <w:tcBorders>
              <w:top w:val="nil"/>
              <w:left w:val="single" w:sz="4" w:space="0" w:color="auto"/>
              <w:bottom w:val="single" w:sz="4" w:space="0" w:color="auto"/>
              <w:right w:val="single" w:sz="4" w:space="0" w:color="auto"/>
            </w:tcBorders>
            <w:vAlign w:val="center"/>
          </w:tcPr>
          <w:p w14:paraId="71E4BA22"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6EC59379"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CB7832B"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66.56</w:t>
            </w:r>
          </w:p>
        </w:tc>
      </w:tr>
      <w:tr w:rsidR="00000000" w14:paraId="1589FAD1" w14:textId="77777777">
        <w:trPr>
          <w:trHeight w:val="20"/>
        </w:trPr>
        <w:tc>
          <w:tcPr>
            <w:tcW w:w="1810" w:type="pct"/>
            <w:tcBorders>
              <w:top w:val="nil"/>
              <w:left w:val="single" w:sz="4" w:space="0" w:color="auto"/>
              <w:bottom w:val="single" w:sz="4" w:space="0" w:color="auto"/>
              <w:right w:val="single" w:sz="4" w:space="0" w:color="auto"/>
            </w:tcBorders>
            <w:vAlign w:val="center"/>
          </w:tcPr>
          <w:p w14:paraId="1ECB4BAF"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78234B11"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D03CADA"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71.63</w:t>
            </w:r>
          </w:p>
        </w:tc>
      </w:tr>
      <w:tr w:rsidR="00000000" w14:paraId="48A8F5AA" w14:textId="77777777">
        <w:trPr>
          <w:trHeight w:val="20"/>
        </w:trPr>
        <w:tc>
          <w:tcPr>
            <w:tcW w:w="1810" w:type="pct"/>
            <w:tcBorders>
              <w:top w:val="nil"/>
              <w:left w:val="single" w:sz="4" w:space="0" w:color="auto"/>
              <w:bottom w:val="single" w:sz="4" w:space="0" w:color="auto"/>
              <w:right w:val="single" w:sz="4" w:space="0" w:color="auto"/>
            </w:tcBorders>
            <w:vAlign w:val="center"/>
          </w:tcPr>
          <w:p w14:paraId="6967F3DF"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5403AAF2"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BC1E633"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57.46</w:t>
            </w:r>
          </w:p>
        </w:tc>
      </w:tr>
      <w:tr w:rsidR="00000000" w14:paraId="28B250A3" w14:textId="77777777">
        <w:trPr>
          <w:trHeight w:val="20"/>
        </w:trPr>
        <w:tc>
          <w:tcPr>
            <w:tcW w:w="1810" w:type="pct"/>
            <w:tcBorders>
              <w:top w:val="nil"/>
              <w:left w:val="single" w:sz="4" w:space="0" w:color="auto"/>
              <w:bottom w:val="single" w:sz="4" w:space="0" w:color="auto"/>
              <w:right w:val="single" w:sz="4" w:space="0" w:color="auto"/>
            </w:tcBorders>
            <w:vAlign w:val="center"/>
          </w:tcPr>
          <w:p w14:paraId="14E54B02"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3B7B53CF"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54AFC00"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65.27</w:t>
            </w:r>
          </w:p>
        </w:tc>
      </w:tr>
      <w:tr w:rsidR="00000000" w14:paraId="1B84DECD" w14:textId="77777777">
        <w:trPr>
          <w:trHeight w:val="20"/>
        </w:trPr>
        <w:tc>
          <w:tcPr>
            <w:tcW w:w="1810" w:type="pct"/>
            <w:tcBorders>
              <w:top w:val="nil"/>
              <w:left w:val="single" w:sz="4" w:space="0" w:color="auto"/>
              <w:bottom w:val="single" w:sz="4" w:space="0" w:color="auto"/>
              <w:right w:val="single" w:sz="4" w:space="0" w:color="auto"/>
            </w:tcBorders>
            <w:vAlign w:val="center"/>
          </w:tcPr>
          <w:p w14:paraId="5BCC3F60"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45A82EA0"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011876A"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64.63</w:t>
            </w:r>
          </w:p>
        </w:tc>
      </w:tr>
      <w:tr w:rsidR="00000000" w14:paraId="1E2BB7CF" w14:textId="77777777">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53642A86"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44C03E88" w14:textId="77777777" w:rsidR="00000000" w:rsidRDefault="00000000">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61.92</w:t>
            </w:r>
          </w:p>
        </w:tc>
      </w:tr>
    </w:tbl>
    <w:p w14:paraId="0E372FDB" w14:textId="77777777" w:rsidR="00000000" w:rsidRDefault="00000000">
      <w:pPr>
        <w:pStyle w:val="22"/>
        <w:autoSpaceDE w:val="0"/>
        <w:autoSpaceDN w:val="0"/>
        <w:spacing w:beforeLines="100" w:before="240" w:line="240" w:lineRule="auto"/>
        <w:ind w:firstLineChars="200" w:firstLine="420"/>
        <w:jc w:val="both"/>
        <w:textAlignment w:val="bottom"/>
        <w:rPr>
          <w:rFonts w:ascii="Arial" w:hAnsi="Arial" w:cs="Arial"/>
          <w:sz w:val="21"/>
          <w:szCs w:val="21"/>
        </w:rPr>
      </w:pPr>
      <w:r>
        <w:rPr>
          <w:rFonts w:ascii="Arial" w:hAnsi="Arial" w:cs="Arial" w:hint="eastAsia"/>
          <w:sz w:val="21"/>
          <w:szCs w:val="21"/>
        </w:rPr>
        <w:t>样本小区二：中信新城西区</w:t>
      </w:r>
    </w:p>
    <w:tbl>
      <w:tblPr>
        <w:tblW w:w="5000" w:type="pct"/>
        <w:tblInd w:w="0" w:type="dxa"/>
        <w:tblLook w:val="0000" w:firstRow="0" w:lastRow="0" w:firstColumn="0" w:lastColumn="0" w:noHBand="0" w:noVBand="0"/>
      </w:tblPr>
      <w:tblGrid>
        <w:gridCol w:w="3362"/>
        <w:gridCol w:w="1743"/>
        <w:gridCol w:w="4184"/>
      </w:tblGrid>
      <w:tr w:rsidR="00000000" w14:paraId="234AF1DC" w14:textId="77777777">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7633AC1D" w14:textId="77777777" w:rsidR="00000000" w:rsidRDefault="00000000">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375EC048" w14:textId="77777777" w:rsidR="00000000" w:rsidRDefault="00000000">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49036BCA" w14:textId="77777777" w:rsidR="00000000" w:rsidRDefault="00000000">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租金平均单价（元/平方米·月）</w:t>
            </w:r>
          </w:p>
        </w:tc>
      </w:tr>
      <w:tr w:rsidR="00000000" w14:paraId="12CBFA5A" w14:textId="77777777">
        <w:trPr>
          <w:trHeight w:val="20"/>
        </w:trPr>
        <w:tc>
          <w:tcPr>
            <w:tcW w:w="1810" w:type="pct"/>
            <w:tcBorders>
              <w:top w:val="nil"/>
              <w:left w:val="single" w:sz="4" w:space="0" w:color="auto"/>
              <w:bottom w:val="single" w:sz="4" w:space="0" w:color="auto"/>
              <w:right w:val="single" w:sz="4" w:space="0" w:color="auto"/>
            </w:tcBorders>
            <w:vAlign w:val="center"/>
          </w:tcPr>
          <w:p w14:paraId="0D2D57B9"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1F8AFCAC"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20C0942"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64.39</w:t>
            </w:r>
          </w:p>
        </w:tc>
      </w:tr>
      <w:tr w:rsidR="00000000" w14:paraId="7BA5A1A0" w14:textId="77777777">
        <w:trPr>
          <w:trHeight w:val="20"/>
        </w:trPr>
        <w:tc>
          <w:tcPr>
            <w:tcW w:w="1810" w:type="pct"/>
            <w:tcBorders>
              <w:top w:val="nil"/>
              <w:left w:val="single" w:sz="4" w:space="0" w:color="auto"/>
              <w:bottom w:val="single" w:sz="4" w:space="0" w:color="auto"/>
              <w:right w:val="single" w:sz="4" w:space="0" w:color="auto"/>
            </w:tcBorders>
            <w:vAlign w:val="center"/>
          </w:tcPr>
          <w:p w14:paraId="36500C36"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37F15254"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FF02AC5"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65.28</w:t>
            </w:r>
          </w:p>
        </w:tc>
      </w:tr>
      <w:tr w:rsidR="00000000" w14:paraId="59A6DC9A" w14:textId="77777777">
        <w:trPr>
          <w:trHeight w:val="20"/>
        </w:trPr>
        <w:tc>
          <w:tcPr>
            <w:tcW w:w="1810" w:type="pct"/>
            <w:tcBorders>
              <w:top w:val="nil"/>
              <w:left w:val="single" w:sz="4" w:space="0" w:color="auto"/>
              <w:bottom w:val="single" w:sz="4" w:space="0" w:color="auto"/>
              <w:right w:val="single" w:sz="4" w:space="0" w:color="auto"/>
            </w:tcBorders>
            <w:vAlign w:val="center"/>
          </w:tcPr>
          <w:p w14:paraId="1C368411"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72754D46"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922731D"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64.29</w:t>
            </w:r>
          </w:p>
        </w:tc>
      </w:tr>
      <w:tr w:rsidR="00000000" w14:paraId="6ABB583F" w14:textId="77777777">
        <w:trPr>
          <w:trHeight w:val="20"/>
        </w:trPr>
        <w:tc>
          <w:tcPr>
            <w:tcW w:w="1810" w:type="pct"/>
            <w:tcBorders>
              <w:top w:val="nil"/>
              <w:left w:val="single" w:sz="4" w:space="0" w:color="auto"/>
              <w:bottom w:val="single" w:sz="4" w:space="0" w:color="auto"/>
              <w:right w:val="single" w:sz="4" w:space="0" w:color="auto"/>
            </w:tcBorders>
            <w:vAlign w:val="center"/>
          </w:tcPr>
          <w:p w14:paraId="7169DB35"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050B633D"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0EACCB1"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64.27</w:t>
            </w:r>
          </w:p>
        </w:tc>
      </w:tr>
      <w:tr w:rsidR="00000000" w14:paraId="41E42A57" w14:textId="77777777">
        <w:trPr>
          <w:trHeight w:val="20"/>
        </w:trPr>
        <w:tc>
          <w:tcPr>
            <w:tcW w:w="1810" w:type="pct"/>
            <w:tcBorders>
              <w:top w:val="nil"/>
              <w:left w:val="single" w:sz="4" w:space="0" w:color="auto"/>
              <w:bottom w:val="single" w:sz="4" w:space="0" w:color="auto"/>
              <w:right w:val="single" w:sz="4" w:space="0" w:color="auto"/>
            </w:tcBorders>
            <w:vAlign w:val="center"/>
          </w:tcPr>
          <w:p w14:paraId="303560B3"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0ACB7784"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AB4B72E"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63.96</w:t>
            </w:r>
          </w:p>
        </w:tc>
      </w:tr>
      <w:tr w:rsidR="00000000" w14:paraId="2D643DE8" w14:textId="77777777">
        <w:trPr>
          <w:trHeight w:val="20"/>
        </w:trPr>
        <w:tc>
          <w:tcPr>
            <w:tcW w:w="1810" w:type="pct"/>
            <w:tcBorders>
              <w:top w:val="nil"/>
              <w:left w:val="single" w:sz="4" w:space="0" w:color="auto"/>
              <w:bottom w:val="single" w:sz="4" w:space="0" w:color="auto"/>
              <w:right w:val="single" w:sz="4" w:space="0" w:color="auto"/>
            </w:tcBorders>
            <w:vAlign w:val="center"/>
          </w:tcPr>
          <w:p w14:paraId="69392225"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4FDFDDC7"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A4BEA31"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63.64</w:t>
            </w:r>
          </w:p>
        </w:tc>
      </w:tr>
      <w:tr w:rsidR="00000000" w14:paraId="328274E2" w14:textId="77777777">
        <w:trPr>
          <w:trHeight w:val="20"/>
        </w:trPr>
        <w:tc>
          <w:tcPr>
            <w:tcW w:w="1810" w:type="pct"/>
            <w:tcBorders>
              <w:top w:val="nil"/>
              <w:left w:val="single" w:sz="4" w:space="0" w:color="auto"/>
              <w:bottom w:val="single" w:sz="4" w:space="0" w:color="auto"/>
              <w:right w:val="single" w:sz="4" w:space="0" w:color="auto"/>
            </w:tcBorders>
            <w:vAlign w:val="center"/>
          </w:tcPr>
          <w:p w14:paraId="79A7BA87"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32ABD7A9"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57D49BC"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62.89</w:t>
            </w:r>
          </w:p>
        </w:tc>
      </w:tr>
      <w:tr w:rsidR="00000000" w14:paraId="70291EC1" w14:textId="77777777">
        <w:trPr>
          <w:trHeight w:val="20"/>
        </w:trPr>
        <w:tc>
          <w:tcPr>
            <w:tcW w:w="1810" w:type="pct"/>
            <w:tcBorders>
              <w:top w:val="nil"/>
              <w:left w:val="single" w:sz="4" w:space="0" w:color="auto"/>
              <w:bottom w:val="single" w:sz="4" w:space="0" w:color="auto"/>
              <w:right w:val="single" w:sz="4" w:space="0" w:color="auto"/>
            </w:tcBorders>
            <w:vAlign w:val="center"/>
          </w:tcPr>
          <w:p w14:paraId="51CAD5CC"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6D78C8D3"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DBD3F10"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62.84</w:t>
            </w:r>
          </w:p>
        </w:tc>
      </w:tr>
      <w:tr w:rsidR="00000000" w14:paraId="131EBE94" w14:textId="77777777">
        <w:trPr>
          <w:trHeight w:val="20"/>
        </w:trPr>
        <w:tc>
          <w:tcPr>
            <w:tcW w:w="1810" w:type="pct"/>
            <w:tcBorders>
              <w:top w:val="nil"/>
              <w:left w:val="single" w:sz="4" w:space="0" w:color="auto"/>
              <w:bottom w:val="single" w:sz="4" w:space="0" w:color="auto"/>
              <w:right w:val="single" w:sz="4" w:space="0" w:color="auto"/>
            </w:tcBorders>
            <w:vAlign w:val="center"/>
          </w:tcPr>
          <w:p w14:paraId="748DB910"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7C018AD4"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237D622"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64.38</w:t>
            </w:r>
          </w:p>
        </w:tc>
      </w:tr>
      <w:tr w:rsidR="00000000" w14:paraId="4487648D" w14:textId="77777777">
        <w:trPr>
          <w:trHeight w:val="20"/>
        </w:trPr>
        <w:tc>
          <w:tcPr>
            <w:tcW w:w="1810" w:type="pct"/>
            <w:tcBorders>
              <w:top w:val="nil"/>
              <w:left w:val="single" w:sz="4" w:space="0" w:color="auto"/>
              <w:bottom w:val="single" w:sz="4" w:space="0" w:color="auto"/>
              <w:right w:val="single" w:sz="4" w:space="0" w:color="auto"/>
            </w:tcBorders>
            <w:vAlign w:val="center"/>
          </w:tcPr>
          <w:p w14:paraId="1D8200A5"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1F5F7B5B"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D0C1B7D"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66.21</w:t>
            </w:r>
          </w:p>
        </w:tc>
      </w:tr>
      <w:tr w:rsidR="00000000" w14:paraId="4EB6446C" w14:textId="77777777">
        <w:trPr>
          <w:trHeight w:val="20"/>
        </w:trPr>
        <w:tc>
          <w:tcPr>
            <w:tcW w:w="1810" w:type="pct"/>
            <w:tcBorders>
              <w:top w:val="nil"/>
              <w:left w:val="single" w:sz="4" w:space="0" w:color="auto"/>
              <w:bottom w:val="single" w:sz="4" w:space="0" w:color="auto"/>
              <w:right w:val="single" w:sz="4" w:space="0" w:color="auto"/>
            </w:tcBorders>
            <w:vAlign w:val="center"/>
          </w:tcPr>
          <w:p w14:paraId="19293C68"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5DFF2AAF"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11571AA"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64.74</w:t>
            </w:r>
          </w:p>
        </w:tc>
      </w:tr>
      <w:tr w:rsidR="00000000" w14:paraId="3F7A67DE" w14:textId="77777777">
        <w:trPr>
          <w:trHeight w:val="20"/>
        </w:trPr>
        <w:tc>
          <w:tcPr>
            <w:tcW w:w="1810" w:type="pct"/>
            <w:tcBorders>
              <w:top w:val="nil"/>
              <w:left w:val="single" w:sz="4" w:space="0" w:color="auto"/>
              <w:bottom w:val="single" w:sz="4" w:space="0" w:color="auto"/>
              <w:right w:val="single" w:sz="4" w:space="0" w:color="auto"/>
            </w:tcBorders>
            <w:vAlign w:val="center"/>
          </w:tcPr>
          <w:p w14:paraId="416BCFE1"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6012D31D"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D39DA59"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65.38</w:t>
            </w:r>
          </w:p>
        </w:tc>
      </w:tr>
      <w:tr w:rsidR="00000000" w14:paraId="252F55DF" w14:textId="77777777">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55EF79D4"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5F218D1C" w14:textId="77777777" w:rsidR="00000000" w:rsidRDefault="00000000">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64.36</w:t>
            </w:r>
          </w:p>
        </w:tc>
      </w:tr>
    </w:tbl>
    <w:p w14:paraId="23FE18AA" w14:textId="77777777" w:rsidR="00000000" w:rsidRDefault="00000000">
      <w:pPr>
        <w:pStyle w:val="22"/>
        <w:autoSpaceDE w:val="0"/>
        <w:autoSpaceDN w:val="0"/>
        <w:spacing w:beforeLines="100" w:before="240" w:line="240" w:lineRule="auto"/>
        <w:ind w:firstLineChars="200" w:firstLine="420"/>
        <w:jc w:val="both"/>
        <w:textAlignment w:val="bottom"/>
        <w:rPr>
          <w:rFonts w:ascii="Arial" w:hAnsi="Arial" w:cs="Arial"/>
          <w:sz w:val="21"/>
          <w:szCs w:val="21"/>
        </w:rPr>
      </w:pPr>
      <w:r>
        <w:rPr>
          <w:rFonts w:ascii="Arial" w:hAnsi="Arial" w:cs="Arial"/>
          <w:sz w:val="21"/>
          <w:szCs w:val="21"/>
        </w:rPr>
        <w:t>样本小区三：</w:t>
      </w:r>
      <w:r>
        <w:rPr>
          <w:rFonts w:ascii="Arial" w:hAnsi="Arial" w:cs="Arial" w:hint="eastAsia"/>
          <w:sz w:val="21"/>
          <w:szCs w:val="21"/>
        </w:rPr>
        <w:t>南海家园四里</w:t>
      </w:r>
    </w:p>
    <w:tbl>
      <w:tblPr>
        <w:tblW w:w="5000" w:type="pct"/>
        <w:tblInd w:w="0" w:type="dxa"/>
        <w:tblLook w:val="0000" w:firstRow="0" w:lastRow="0" w:firstColumn="0" w:lastColumn="0" w:noHBand="0" w:noVBand="0"/>
      </w:tblPr>
      <w:tblGrid>
        <w:gridCol w:w="3362"/>
        <w:gridCol w:w="1743"/>
        <w:gridCol w:w="4184"/>
      </w:tblGrid>
      <w:tr w:rsidR="00000000" w14:paraId="4DB7DABB" w14:textId="77777777">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660504A0" w14:textId="77777777" w:rsidR="00000000" w:rsidRDefault="00000000">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98F6A47" w14:textId="77777777" w:rsidR="00000000" w:rsidRDefault="00000000">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3DED252C" w14:textId="77777777" w:rsidR="00000000" w:rsidRDefault="00000000">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租金平均单价（元/平方米·月）</w:t>
            </w:r>
          </w:p>
        </w:tc>
      </w:tr>
      <w:tr w:rsidR="00000000" w14:paraId="4FBC861B" w14:textId="77777777">
        <w:trPr>
          <w:trHeight w:val="20"/>
        </w:trPr>
        <w:tc>
          <w:tcPr>
            <w:tcW w:w="1810" w:type="pct"/>
            <w:tcBorders>
              <w:top w:val="nil"/>
              <w:left w:val="single" w:sz="4" w:space="0" w:color="auto"/>
              <w:bottom w:val="single" w:sz="4" w:space="0" w:color="auto"/>
              <w:right w:val="single" w:sz="4" w:space="0" w:color="auto"/>
            </w:tcBorders>
            <w:vAlign w:val="center"/>
          </w:tcPr>
          <w:p w14:paraId="214F184B"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7263BF59"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7B0ABD2"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53.59</w:t>
            </w:r>
          </w:p>
        </w:tc>
      </w:tr>
      <w:tr w:rsidR="00000000" w14:paraId="1A88D12A" w14:textId="77777777">
        <w:trPr>
          <w:trHeight w:val="20"/>
        </w:trPr>
        <w:tc>
          <w:tcPr>
            <w:tcW w:w="1810" w:type="pct"/>
            <w:tcBorders>
              <w:top w:val="nil"/>
              <w:left w:val="single" w:sz="4" w:space="0" w:color="auto"/>
              <w:bottom w:val="single" w:sz="4" w:space="0" w:color="auto"/>
              <w:right w:val="single" w:sz="4" w:space="0" w:color="auto"/>
            </w:tcBorders>
            <w:vAlign w:val="center"/>
          </w:tcPr>
          <w:p w14:paraId="0E71AC87"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39F46E0B"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12E5BE8"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53.7</w:t>
            </w:r>
          </w:p>
        </w:tc>
      </w:tr>
      <w:tr w:rsidR="00000000" w14:paraId="5725C67E" w14:textId="77777777">
        <w:trPr>
          <w:trHeight w:val="20"/>
        </w:trPr>
        <w:tc>
          <w:tcPr>
            <w:tcW w:w="1810" w:type="pct"/>
            <w:tcBorders>
              <w:top w:val="nil"/>
              <w:left w:val="single" w:sz="4" w:space="0" w:color="auto"/>
              <w:bottom w:val="single" w:sz="4" w:space="0" w:color="auto"/>
              <w:right w:val="single" w:sz="4" w:space="0" w:color="auto"/>
            </w:tcBorders>
            <w:vAlign w:val="center"/>
          </w:tcPr>
          <w:p w14:paraId="0DCCF1BB"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0A6252A0"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90886BC"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53.42</w:t>
            </w:r>
          </w:p>
        </w:tc>
      </w:tr>
      <w:tr w:rsidR="00000000" w14:paraId="276491AE" w14:textId="77777777">
        <w:trPr>
          <w:trHeight w:val="20"/>
        </w:trPr>
        <w:tc>
          <w:tcPr>
            <w:tcW w:w="1810" w:type="pct"/>
            <w:tcBorders>
              <w:top w:val="nil"/>
              <w:left w:val="single" w:sz="4" w:space="0" w:color="auto"/>
              <w:bottom w:val="single" w:sz="4" w:space="0" w:color="auto"/>
              <w:right w:val="single" w:sz="4" w:space="0" w:color="auto"/>
            </w:tcBorders>
            <w:vAlign w:val="center"/>
          </w:tcPr>
          <w:p w14:paraId="5F3CB4B3"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36ED2A91"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386D9F6"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58.19</w:t>
            </w:r>
          </w:p>
        </w:tc>
      </w:tr>
      <w:tr w:rsidR="00000000" w14:paraId="3AD182E8" w14:textId="77777777">
        <w:trPr>
          <w:trHeight w:val="20"/>
        </w:trPr>
        <w:tc>
          <w:tcPr>
            <w:tcW w:w="1810" w:type="pct"/>
            <w:tcBorders>
              <w:top w:val="nil"/>
              <w:left w:val="single" w:sz="4" w:space="0" w:color="auto"/>
              <w:bottom w:val="single" w:sz="4" w:space="0" w:color="auto"/>
              <w:right w:val="single" w:sz="4" w:space="0" w:color="auto"/>
            </w:tcBorders>
            <w:vAlign w:val="center"/>
          </w:tcPr>
          <w:p w14:paraId="5835757C"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15E8F582"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51F3F70"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55.89</w:t>
            </w:r>
          </w:p>
        </w:tc>
      </w:tr>
      <w:tr w:rsidR="00000000" w14:paraId="267E3100" w14:textId="77777777">
        <w:trPr>
          <w:trHeight w:val="20"/>
        </w:trPr>
        <w:tc>
          <w:tcPr>
            <w:tcW w:w="1810" w:type="pct"/>
            <w:tcBorders>
              <w:top w:val="nil"/>
              <w:left w:val="single" w:sz="4" w:space="0" w:color="auto"/>
              <w:bottom w:val="single" w:sz="4" w:space="0" w:color="auto"/>
              <w:right w:val="single" w:sz="4" w:space="0" w:color="auto"/>
            </w:tcBorders>
            <w:vAlign w:val="center"/>
          </w:tcPr>
          <w:p w14:paraId="1297C23F"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630394B2"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B6C5825"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55.26</w:t>
            </w:r>
          </w:p>
        </w:tc>
      </w:tr>
      <w:tr w:rsidR="00000000" w14:paraId="24B53B68" w14:textId="77777777">
        <w:trPr>
          <w:trHeight w:val="20"/>
        </w:trPr>
        <w:tc>
          <w:tcPr>
            <w:tcW w:w="1810" w:type="pct"/>
            <w:tcBorders>
              <w:top w:val="nil"/>
              <w:left w:val="single" w:sz="4" w:space="0" w:color="auto"/>
              <w:bottom w:val="single" w:sz="4" w:space="0" w:color="auto"/>
              <w:right w:val="single" w:sz="4" w:space="0" w:color="auto"/>
            </w:tcBorders>
            <w:vAlign w:val="center"/>
          </w:tcPr>
          <w:p w14:paraId="522A9142"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6137D06"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4B0262B"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56.05</w:t>
            </w:r>
          </w:p>
        </w:tc>
      </w:tr>
      <w:tr w:rsidR="00000000" w14:paraId="29C9AC31" w14:textId="77777777">
        <w:trPr>
          <w:trHeight w:val="20"/>
        </w:trPr>
        <w:tc>
          <w:tcPr>
            <w:tcW w:w="1810" w:type="pct"/>
            <w:tcBorders>
              <w:top w:val="nil"/>
              <w:left w:val="single" w:sz="4" w:space="0" w:color="auto"/>
              <w:bottom w:val="single" w:sz="4" w:space="0" w:color="auto"/>
              <w:right w:val="single" w:sz="4" w:space="0" w:color="auto"/>
            </w:tcBorders>
            <w:vAlign w:val="center"/>
          </w:tcPr>
          <w:p w14:paraId="57B4BAF4"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4B7508FE"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3E6D6C2"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56.64</w:t>
            </w:r>
          </w:p>
        </w:tc>
      </w:tr>
      <w:tr w:rsidR="00000000" w14:paraId="11D3FA21" w14:textId="77777777">
        <w:trPr>
          <w:trHeight w:val="20"/>
        </w:trPr>
        <w:tc>
          <w:tcPr>
            <w:tcW w:w="1810" w:type="pct"/>
            <w:tcBorders>
              <w:top w:val="nil"/>
              <w:left w:val="single" w:sz="4" w:space="0" w:color="auto"/>
              <w:bottom w:val="single" w:sz="4" w:space="0" w:color="auto"/>
              <w:right w:val="single" w:sz="4" w:space="0" w:color="auto"/>
            </w:tcBorders>
            <w:vAlign w:val="center"/>
          </w:tcPr>
          <w:p w14:paraId="38DF93DE"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74386ABC"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363AC41"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58.65</w:t>
            </w:r>
          </w:p>
        </w:tc>
      </w:tr>
      <w:tr w:rsidR="00000000" w14:paraId="4A6F81AE" w14:textId="77777777">
        <w:trPr>
          <w:trHeight w:val="20"/>
        </w:trPr>
        <w:tc>
          <w:tcPr>
            <w:tcW w:w="1810" w:type="pct"/>
            <w:tcBorders>
              <w:top w:val="nil"/>
              <w:left w:val="single" w:sz="4" w:space="0" w:color="auto"/>
              <w:bottom w:val="single" w:sz="4" w:space="0" w:color="auto"/>
              <w:right w:val="single" w:sz="4" w:space="0" w:color="auto"/>
            </w:tcBorders>
            <w:vAlign w:val="center"/>
          </w:tcPr>
          <w:p w14:paraId="0C2F8687"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lastRenderedPageBreak/>
              <w:t>2025-7</w:t>
            </w:r>
          </w:p>
        </w:tc>
        <w:tc>
          <w:tcPr>
            <w:tcW w:w="938" w:type="pct"/>
            <w:tcBorders>
              <w:top w:val="nil"/>
              <w:left w:val="nil"/>
              <w:bottom w:val="single" w:sz="4" w:space="0" w:color="auto"/>
              <w:right w:val="single" w:sz="4" w:space="0" w:color="auto"/>
            </w:tcBorders>
          </w:tcPr>
          <w:p w14:paraId="1648A7E9"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C5E5854"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58.76</w:t>
            </w:r>
          </w:p>
        </w:tc>
      </w:tr>
      <w:tr w:rsidR="00000000" w14:paraId="3CCDC8EA" w14:textId="77777777">
        <w:trPr>
          <w:trHeight w:val="20"/>
        </w:trPr>
        <w:tc>
          <w:tcPr>
            <w:tcW w:w="1810" w:type="pct"/>
            <w:tcBorders>
              <w:top w:val="nil"/>
              <w:left w:val="single" w:sz="4" w:space="0" w:color="auto"/>
              <w:bottom w:val="single" w:sz="4" w:space="0" w:color="auto"/>
              <w:right w:val="single" w:sz="4" w:space="0" w:color="auto"/>
            </w:tcBorders>
            <w:vAlign w:val="center"/>
          </w:tcPr>
          <w:p w14:paraId="32CED118"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43385A3D"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3EAABCD"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57.85</w:t>
            </w:r>
          </w:p>
        </w:tc>
      </w:tr>
      <w:tr w:rsidR="00000000" w14:paraId="00824253" w14:textId="77777777">
        <w:trPr>
          <w:trHeight w:val="20"/>
        </w:trPr>
        <w:tc>
          <w:tcPr>
            <w:tcW w:w="1810" w:type="pct"/>
            <w:tcBorders>
              <w:top w:val="nil"/>
              <w:left w:val="single" w:sz="4" w:space="0" w:color="auto"/>
              <w:bottom w:val="single" w:sz="4" w:space="0" w:color="auto"/>
              <w:right w:val="single" w:sz="4" w:space="0" w:color="auto"/>
            </w:tcBorders>
            <w:vAlign w:val="center"/>
          </w:tcPr>
          <w:p w14:paraId="3DA192FF"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7A91203E"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C8EE209"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56.77</w:t>
            </w:r>
          </w:p>
        </w:tc>
      </w:tr>
      <w:tr w:rsidR="00000000" w14:paraId="281D8B74" w14:textId="77777777">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20370F78"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B59339A" w14:textId="77777777" w:rsidR="00000000" w:rsidRDefault="00000000">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56.23</w:t>
            </w:r>
          </w:p>
        </w:tc>
      </w:tr>
    </w:tbl>
    <w:p w14:paraId="107B9D9C" w14:textId="77777777" w:rsidR="00000000" w:rsidRDefault="00000000">
      <w:pPr>
        <w:pStyle w:val="Normal"/>
        <w:autoSpaceDE w:val="0"/>
        <w:autoSpaceDN w:val="0"/>
        <w:spacing w:beforeLines="100" w:before="240" w:line="480" w:lineRule="auto"/>
        <w:ind w:firstLineChars="200" w:firstLine="360"/>
        <w:jc w:val="both"/>
        <w:textAlignment w:val="bottom"/>
        <w:rPr>
          <w:rFonts w:ascii="Arial" w:hAnsi="Arial" w:cs="Arial" w:hint="eastAsia"/>
          <w:color w:val="000000"/>
          <w:sz w:val="21"/>
          <w:szCs w:val="21"/>
        </w:rPr>
      </w:pPr>
      <w:r>
        <w:rPr>
          <w:rFonts w:ascii="Arial" w:hAnsi="Arial" w:cs="Arial" w:hint="eastAsia"/>
          <w:color w:val="000000"/>
          <w:sz w:val="18"/>
          <w:szCs w:val="18"/>
        </w:rPr>
        <w:t>注：上述样本小区租金包括地租、房屋折旧、设备折旧、维修费、保险费、物业费、管理费、利息、利润等；不含供暖费、水电费、天然气费、通信费、有线电视费、上网宽带费和</w:t>
      </w:r>
      <w:commentRangeStart w:id="58"/>
      <w:r>
        <w:rPr>
          <w:rFonts w:ascii="Arial" w:hAnsi="Arial" w:cs="Arial" w:hint="eastAsia"/>
          <w:color w:val="000000"/>
          <w:sz w:val="18"/>
          <w:szCs w:val="18"/>
        </w:rPr>
        <w:t>家具、家电租赁费</w:t>
      </w:r>
      <w:commentRangeEnd w:id="58"/>
      <w:r w:rsidR="00BF6717">
        <w:rPr>
          <w:rStyle w:val="afa"/>
          <w:rFonts w:ascii="Times New Roman"/>
        </w:rPr>
        <w:commentReference w:id="58"/>
      </w:r>
      <w:r>
        <w:rPr>
          <w:rFonts w:ascii="Arial" w:hAnsi="Arial" w:cs="Arial" w:hint="eastAsia"/>
          <w:color w:val="000000"/>
          <w:sz w:val="18"/>
          <w:szCs w:val="18"/>
        </w:rPr>
        <w:t>及租赁税费等。</w:t>
      </w:r>
    </w:p>
    <w:p w14:paraId="715A338C" w14:textId="77777777" w:rsidR="00000000" w:rsidRDefault="00000000">
      <w:pPr>
        <w:pStyle w:val="Normal"/>
        <w:autoSpaceDE w:val="0"/>
        <w:autoSpaceDN w:val="0"/>
        <w:spacing w:line="480" w:lineRule="auto"/>
        <w:ind w:firstLineChars="200" w:firstLine="420"/>
        <w:jc w:val="both"/>
        <w:textAlignment w:val="bottom"/>
        <w:rPr>
          <w:rFonts w:ascii="Arial" w:hAnsi="Arial" w:cs="Arial" w:hint="eastAsia"/>
          <w:color w:val="000000"/>
          <w:sz w:val="21"/>
          <w:szCs w:val="21"/>
        </w:rPr>
      </w:pPr>
    </w:p>
    <w:p w14:paraId="2C7885CF" w14:textId="77777777" w:rsidR="00000000" w:rsidRDefault="00000000">
      <w:pPr>
        <w:pStyle w:val="Normal"/>
        <w:autoSpaceDE w:val="0"/>
        <w:autoSpaceDN w:val="0"/>
        <w:spacing w:line="480" w:lineRule="auto"/>
        <w:ind w:firstLineChars="200" w:firstLine="420"/>
        <w:textAlignment w:val="bottom"/>
        <w:rPr>
          <w:rFonts w:ascii="Arial" w:hAnsi="Arial" w:cs="Arial" w:hint="eastAsia"/>
          <w:color w:val="000000"/>
          <w:sz w:val="21"/>
          <w:szCs w:val="21"/>
        </w:rPr>
      </w:pPr>
    </w:p>
    <w:p w14:paraId="26B22B18" w14:textId="77777777" w:rsidR="00000000" w:rsidRDefault="00000000">
      <w:pPr>
        <w:pStyle w:val="Normal"/>
        <w:autoSpaceDE w:val="0"/>
        <w:autoSpaceDN w:val="0"/>
        <w:spacing w:line="480" w:lineRule="auto"/>
        <w:ind w:firstLineChars="200" w:firstLine="420"/>
        <w:jc w:val="both"/>
        <w:textAlignment w:val="bottom"/>
        <w:rPr>
          <w:rFonts w:ascii="Arial" w:hAnsi="Arial" w:cs="Arial" w:hint="eastAsia"/>
          <w:color w:val="000000"/>
          <w:sz w:val="21"/>
          <w:szCs w:val="21"/>
        </w:rPr>
      </w:pPr>
      <w:r>
        <w:rPr>
          <w:rFonts w:ascii="Arial" w:hAnsi="Arial" w:cs="Arial"/>
          <w:color w:val="000000"/>
          <w:sz w:val="21"/>
          <w:szCs w:val="21"/>
        </w:rPr>
        <w:br w:type="page"/>
      </w:r>
      <w:r>
        <w:rPr>
          <w:rFonts w:ascii="Arial" w:hAnsi="Arial" w:cs="Arial" w:hint="eastAsia"/>
          <w:color w:val="000000"/>
          <w:sz w:val="21"/>
          <w:szCs w:val="21"/>
        </w:rPr>
        <w:lastRenderedPageBreak/>
        <w:t xml:space="preserve">B. </w:t>
      </w:r>
      <w:r>
        <w:rPr>
          <w:rFonts w:ascii="Arial" w:hAnsi="Arial" w:cs="Arial" w:hint="eastAsia"/>
          <w:color w:val="000000"/>
          <w:sz w:val="21"/>
          <w:szCs w:val="21"/>
        </w:rPr>
        <w:t>估价机构市场调查</w:t>
      </w:r>
    </w:p>
    <w:p w14:paraId="1C2C09D8" w14:textId="77777777" w:rsidR="00000000" w:rsidRDefault="00000000">
      <w:pPr>
        <w:pStyle w:val="22"/>
        <w:autoSpaceDE w:val="0"/>
        <w:autoSpaceDN w:val="0"/>
        <w:spacing w:line="240" w:lineRule="auto"/>
        <w:ind w:firstLineChars="200" w:firstLine="420"/>
        <w:jc w:val="both"/>
        <w:textAlignment w:val="bottom"/>
        <w:rPr>
          <w:rFonts w:ascii="Arial" w:hAnsi="Arial" w:cs="Arial"/>
          <w:sz w:val="21"/>
          <w:szCs w:val="21"/>
        </w:rPr>
      </w:pPr>
      <w:r>
        <w:rPr>
          <w:rFonts w:ascii="Arial" w:hAnsi="Arial" w:cs="Arial" w:hint="eastAsia"/>
          <w:sz w:val="21"/>
          <w:szCs w:val="21"/>
        </w:rPr>
        <w:t>样本小区一：悦廷</w:t>
      </w:r>
    </w:p>
    <w:tbl>
      <w:tblPr>
        <w:tblW w:w="5000" w:type="pct"/>
        <w:tblInd w:w="0" w:type="dxa"/>
        <w:tblLook w:val="0000" w:firstRow="0" w:lastRow="0" w:firstColumn="0" w:lastColumn="0" w:noHBand="0" w:noVBand="0"/>
      </w:tblPr>
      <w:tblGrid>
        <w:gridCol w:w="3362"/>
        <w:gridCol w:w="1743"/>
        <w:gridCol w:w="4184"/>
      </w:tblGrid>
      <w:tr w:rsidR="00000000" w14:paraId="12088671" w14:textId="77777777">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608259F1" w14:textId="77777777" w:rsidR="00000000" w:rsidRDefault="00000000">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3C14E6B" w14:textId="77777777" w:rsidR="00000000" w:rsidRDefault="00000000">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29EA0683" w14:textId="77777777" w:rsidR="00000000" w:rsidRDefault="00000000">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租金平均单价（元/平方米·月）</w:t>
            </w:r>
          </w:p>
        </w:tc>
      </w:tr>
      <w:tr w:rsidR="00000000" w14:paraId="72EEC1EC" w14:textId="77777777">
        <w:trPr>
          <w:trHeight w:val="20"/>
        </w:trPr>
        <w:tc>
          <w:tcPr>
            <w:tcW w:w="1810" w:type="pct"/>
            <w:tcBorders>
              <w:top w:val="nil"/>
              <w:left w:val="single" w:sz="4" w:space="0" w:color="auto"/>
              <w:bottom w:val="single" w:sz="4" w:space="0" w:color="auto"/>
              <w:right w:val="single" w:sz="4" w:space="0" w:color="auto"/>
            </w:tcBorders>
            <w:vAlign w:val="center"/>
          </w:tcPr>
          <w:p w14:paraId="6C1A4F07"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48569F4D"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E2A2C35"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000000" w14:paraId="5B4BDEB8" w14:textId="77777777">
        <w:trPr>
          <w:trHeight w:val="20"/>
        </w:trPr>
        <w:tc>
          <w:tcPr>
            <w:tcW w:w="1810" w:type="pct"/>
            <w:tcBorders>
              <w:top w:val="nil"/>
              <w:left w:val="single" w:sz="4" w:space="0" w:color="auto"/>
              <w:bottom w:val="single" w:sz="4" w:space="0" w:color="auto"/>
              <w:right w:val="single" w:sz="4" w:space="0" w:color="auto"/>
            </w:tcBorders>
            <w:vAlign w:val="center"/>
          </w:tcPr>
          <w:p w14:paraId="4C925E50"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vAlign w:val="center"/>
          </w:tcPr>
          <w:p w14:paraId="26390C57"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59B20F2"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000000" w14:paraId="3AE15AD3" w14:textId="77777777">
        <w:trPr>
          <w:trHeight w:val="20"/>
        </w:trPr>
        <w:tc>
          <w:tcPr>
            <w:tcW w:w="1810" w:type="pct"/>
            <w:tcBorders>
              <w:top w:val="nil"/>
              <w:left w:val="single" w:sz="4" w:space="0" w:color="auto"/>
              <w:bottom w:val="single" w:sz="4" w:space="0" w:color="auto"/>
              <w:right w:val="single" w:sz="4" w:space="0" w:color="auto"/>
            </w:tcBorders>
            <w:vAlign w:val="center"/>
          </w:tcPr>
          <w:p w14:paraId="08AC2DF6"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vAlign w:val="center"/>
          </w:tcPr>
          <w:p w14:paraId="506BE62C"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5669FB7A"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000000" w14:paraId="42A15683" w14:textId="77777777">
        <w:trPr>
          <w:trHeight w:val="20"/>
        </w:trPr>
        <w:tc>
          <w:tcPr>
            <w:tcW w:w="1810" w:type="pct"/>
            <w:tcBorders>
              <w:top w:val="nil"/>
              <w:left w:val="single" w:sz="4" w:space="0" w:color="auto"/>
              <w:bottom w:val="single" w:sz="4" w:space="0" w:color="auto"/>
              <w:right w:val="single" w:sz="4" w:space="0" w:color="auto"/>
            </w:tcBorders>
            <w:vAlign w:val="center"/>
          </w:tcPr>
          <w:p w14:paraId="726632E1"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55BAE6F6"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7E3B43B4"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58.40 </w:t>
            </w:r>
          </w:p>
        </w:tc>
      </w:tr>
      <w:tr w:rsidR="00000000" w14:paraId="1EAF595A" w14:textId="77777777">
        <w:trPr>
          <w:trHeight w:val="20"/>
        </w:trPr>
        <w:tc>
          <w:tcPr>
            <w:tcW w:w="1810" w:type="pct"/>
            <w:tcBorders>
              <w:top w:val="nil"/>
              <w:left w:val="single" w:sz="4" w:space="0" w:color="auto"/>
              <w:bottom w:val="single" w:sz="4" w:space="0" w:color="auto"/>
              <w:right w:val="single" w:sz="4" w:space="0" w:color="auto"/>
            </w:tcBorders>
            <w:vAlign w:val="center"/>
          </w:tcPr>
          <w:p w14:paraId="4280BED3"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60257952"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18AC225F"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61.30 </w:t>
            </w:r>
          </w:p>
        </w:tc>
      </w:tr>
      <w:tr w:rsidR="00000000" w14:paraId="7920F7E4" w14:textId="77777777">
        <w:trPr>
          <w:trHeight w:val="20"/>
        </w:trPr>
        <w:tc>
          <w:tcPr>
            <w:tcW w:w="1810" w:type="pct"/>
            <w:tcBorders>
              <w:top w:val="nil"/>
              <w:left w:val="single" w:sz="4" w:space="0" w:color="auto"/>
              <w:bottom w:val="single" w:sz="4" w:space="0" w:color="auto"/>
              <w:right w:val="single" w:sz="4" w:space="0" w:color="auto"/>
            </w:tcBorders>
            <w:vAlign w:val="center"/>
          </w:tcPr>
          <w:p w14:paraId="48038612"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4A3B391B"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5D0A8F1B"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000000" w14:paraId="6D553E7B" w14:textId="77777777">
        <w:trPr>
          <w:trHeight w:val="20"/>
        </w:trPr>
        <w:tc>
          <w:tcPr>
            <w:tcW w:w="1810" w:type="pct"/>
            <w:tcBorders>
              <w:top w:val="nil"/>
              <w:left w:val="single" w:sz="4" w:space="0" w:color="auto"/>
              <w:bottom w:val="single" w:sz="4" w:space="0" w:color="auto"/>
              <w:right w:val="single" w:sz="4" w:space="0" w:color="auto"/>
            </w:tcBorders>
            <w:vAlign w:val="center"/>
          </w:tcPr>
          <w:p w14:paraId="00D2D40D"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331DB1B1"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1536AB45"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57.85 </w:t>
            </w:r>
          </w:p>
        </w:tc>
      </w:tr>
      <w:tr w:rsidR="00000000" w14:paraId="19335EA2" w14:textId="77777777">
        <w:trPr>
          <w:trHeight w:val="20"/>
        </w:trPr>
        <w:tc>
          <w:tcPr>
            <w:tcW w:w="1810" w:type="pct"/>
            <w:tcBorders>
              <w:top w:val="nil"/>
              <w:left w:val="single" w:sz="4" w:space="0" w:color="auto"/>
              <w:bottom w:val="single" w:sz="4" w:space="0" w:color="auto"/>
              <w:right w:val="single" w:sz="4" w:space="0" w:color="auto"/>
            </w:tcBorders>
            <w:vAlign w:val="center"/>
          </w:tcPr>
          <w:p w14:paraId="7A4AF705"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28F3667D"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CAFA400"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000000" w14:paraId="7157B451" w14:textId="77777777">
        <w:trPr>
          <w:trHeight w:val="20"/>
        </w:trPr>
        <w:tc>
          <w:tcPr>
            <w:tcW w:w="1810" w:type="pct"/>
            <w:tcBorders>
              <w:top w:val="nil"/>
              <w:left w:val="single" w:sz="4" w:space="0" w:color="auto"/>
              <w:bottom w:val="single" w:sz="4" w:space="0" w:color="auto"/>
              <w:right w:val="single" w:sz="4" w:space="0" w:color="auto"/>
            </w:tcBorders>
            <w:vAlign w:val="center"/>
          </w:tcPr>
          <w:p w14:paraId="62C21D07"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4BE08DE1"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00AFBFA4"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66.40 </w:t>
            </w:r>
          </w:p>
        </w:tc>
      </w:tr>
      <w:tr w:rsidR="00000000" w14:paraId="57C724BB" w14:textId="77777777">
        <w:trPr>
          <w:trHeight w:val="20"/>
        </w:trPr>
        <w:tc>
          <w:tcPr>
            <w:tcW w:w="1810" w:type="pct"/>
            <w:tcBorders>
              <w:top w:val="nil"/>
              <w:left w:val="single" w:sz="4" w:space="0" w:color="auto"/>
              <w:bottom w:val="single" w:sz="4" w:space="0" w:color="auto"/>
              <w:right w:val="single" w:sz="4" w:space="0" w:color="auto"/>
            </w:tcBorders>
            <w:vAlign w:val="center"/>
          </w:tcPr>
          <w:p w14:paraId="4CAD7B0A"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36561E80"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20DCF59C"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66.70 </w:t>
            </w:r>
          </w:p>
        </w:tc>
      </w:tr>
      <w:tr w:rsidR="00000000" w14:paraId="0DCDD97A" w14:textId="77777777">
        <w:trPr>
          <w:trHeight w:val="20"/>
        </w:trPr>
        <w:tc>
          <w:tcPr>
            <w:tcW w:w="1810" w:type="pct"/>
            <w:tcBorders>
              <w:top w:val="nil"/>
              <w:left w:val="single" w:sz="4" w:space="0" w:color="auto"/>
              <w:bottom w:val="single" w:sz="4" w:space="0" w:color="auto"/>
              <w:right w:val="single" w:sz="4" w:space="0" w:color="auto"/>
            </w:tcBorders>
            <w:vAlign w:val="center"/>
          </w:tcPr>
          <w:p w14:paraId="0DD90995"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5A513EF7"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79E97F84"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57.10 </w:t>
            </w:r>
          </w:p>
        </w:tc>
      </w:tr>
      <w:tr w:rsidR="00000000" w14:paraId="5F142779" w14:textId="77777777">
        <w:trPr>
          <w:trHeight w:val="20"/>
        </w:trPr>
        <w:tc>
          <w:tcPr>
            <w:tcW w:w="1810" w:type="pct"/>
            <w:tcBorders>
              <w:top w:val="nil"/>
              <w:left w:val="single" w:sz="4" w:space="0" w:color="auto"/>
              <w:bottom w:val="single" w:sz="4" w:space="0" w:color="auto"/>
              <w:right w:val="single" w:sz="4" w:space="0" w:color="auto"/>
            </w:tcBorders>
            <w:vAlign w:val="center"/>
          </w:tcPr>
          <w:p w14:paraId="2D1CCDCD"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450FF8F4"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0CE8D6C"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000000" w14:paraId="4C0725FD" w14:textId="77777777">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233B327D"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310C9D9C" w14:textId="77777777" w:rsidR="00000000" w:rsidRDefault="00000000">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61.29</w:t>
            </w:r>
          </w:p>
        </w:tc>
      </w:tr>
    </w:tbl>
    <w:p w14:paraId="49493D37" w14:textId="77777777" w:rsidR="00000000" w:rsidRDefault="00000000">
      <w:pPr>
        <w:pStyle w:val="22"/>
        <w:autoSpaceDE w:val="0"/>
        <w:autoSpaceDN w:val="0"/>
        <w:spacing w:beforeLines="100" w:before="240" w:line="240" w:lineRule="auto"/>
        <w:ind w:firstLineChars="200" w:firstLine="420"/>
        <w:jc w:val="both"/>
        <w:textAlignment w:val="bottom"/>
        <w:rPr>
          <w:rFonts w:ascii="Arial" w:hAnsi="Arial" w:cs="Arial"/>
          <w:sz w:val="21"/>
          <w:szCs w:val="21"/>
        </w:rPr>
      </w:pPr>
      <w:r>
        <w:rPr>
          <w:rFonts w:ascii="Arial" w:hAnsi="Arial" w:cs="Arial" w:hint="eastAsia"/>
          <w:sz w:val="21"/>
          <w:szCs w:val="21"/>
        </w:rPr>
        <w:t>样本小区二：中信新城西区</w:t>
      </w:r>
    </w:p>
    <w:tbl>
      <w:tblPr>
        <w:tblW w:w="5000" w:type="pct"/>
        <w:tblInd w:w="0" w:type="dxa"/>
        <w:tblLook w:val="0000" w:firstRow="0" w:lastRow="0" w:firstColumn="0" w:lastColumn="0" w:noHBand="0" w:noVBand="0"/>
      </w:tblPr>
      <w:tblGrid>
        <w:gridCol w:w="3362"/>
        <w:gridCol w:w="1743"/>
        <w:gridCol w:w="4184"/>
      </w:tblGrid>
      <w:tr w:rsidR="00000000" w14:paraId="4E50B025" w14:textId="77777777">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19BE4CD0" w14:textId="77777777" w:rsidR="00000000" w:rsidRDefault="00000000">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34957545" w14:textId="77777777" w:rsidR="00000000" w:rsidRDefault="00000000">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4C0AA43" w14:textId="77777777" w:rsidR="00000000" w:rsidRDefault="00000000">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租金平均单价（元/平方米·月）</w:t>
            </w:r>
          </w:p>
        </w:tc>
      </w:tr>
      <w:tr w:rsidR="00000000" w14:paraId="21586055" w14:textId="77777777">
        <w:trPr>
          <w:trHeight w:val="20"/>
        </w:trPr>
        <w:tc>
          <w:tcPr>
            <w:tcW w:w="1810" w:type="pct"/>
            <w:tcBorders>
              <w:top w:val="nil"/>
              <w:left w:val="single" w:sz="4" w:space="0" w:color="auto"/>
              <w:bottom w:val="single" w:sz="4" w:space="0" w:color="auto"/>
              <w:right w:val="single" w:sz="4" w:space="0" w:color="auto"/>
            </w:tcBorders>
            <w:vAlign w:val="center"/>
          </w:tcPr>
          <w:p w14:paraId="08825330"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0ABE0074"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36241578"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52.80 </w:t>
            </w:r>
          </w:p>
        </w:tc>
      </w:tr>
      <w:tr w:rsidR="00000000" w14:paraId="3B3B7A77" w14:textId="77777777">
        <w:trPr>
          <w:trHeight w:val="20"/>
        </w:trPr>
        <w:tc>
          <w:tcPr>
            <w:tcW w:w="1810" w:type="pct"/>
            <w:tcBorders>
              <w:top w:val="nil"/>
              <w:left w:val="single" w:sz="4" w:space="0" w:color="auto"/>
              <w:bottom w:val="single" w:sz="4" w:space="0" w:color="auto"/>
              <w:right w:val="single" w:sz="4" w:space="0" w:color="auto"/>
            </w:tcBorders>
            <w:vAlign w:val="center"/>
          </w:tcPr>
          <w:p w14:paraId="56745825"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48667748"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DFAD7F4"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67.10 </w:t>
            </w:r>
          </w:p>
        </w:tc>
      </w:tr>
      <w:tr w:rsidR="00000000" w14:paraId="152AD9B1" w14:textId="77777777">
        <w:trPr>
          <w:trHeight w:val="20"/>
        </w:trPr>
        <w:tc>
          <w:tcPr>
            <w:tcW w:w="1810" w:type="pct"/>
            <w:tcBorders>
              <w:top w:val="nil"/>
              <w:left w:val="single" w:sz="4" w:space="0" w:color="auto"/>
              <w:bottom w:val="single" w:sz="4" w:space="0" w:color="auto"/>
              <w:right w:val="single" w:sz="4" w:space="0" w:color="auto"/>
            </w:tcBorders>
            <w:vAlign w:val="center"/>
          </w:tcPr>
          <w:p w14:paraId="73D6045D"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74725B85"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22DE158"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000000" w14:paraId="4DF1E7AE" w14:textId="77777777">
        <w:trPr>
          <w:trHeight w:val="20"/>
        </w:trPr>
        <w:tc>
          <w:tcPr>
            <w:tcW w:w="1810" w:type="pct"/>
            <w:tcBorders>
              <w:top w:val="nil"/>
              <w:left w:val="single" w:sz="4" w:space="0" w:color="auto"/>
              <w:bottom w:val="single" w:sz="4" w:space="0" w:color="auto"/>
              <w:right w:val="single" w:sz="4" w:space="0" w:color="auto"/>
            </w:tcBorders>
            <w:vAlign w:val="center"/>
          </w:tcPr>
          <w:p w14:paraId="27EE2448"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75F2B4D8"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7B10C8BD"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49.10 </w:t>
            </w:r>
          </w:p>
        </w:tc>
      </w:tr>
      <w:tr w:rsidR="00000000" w14:paraId="0365F9DE" w14:textId="77777777">
        <w:trPr>
          <w:trHeight w:val="20"/>
        </w:trPr>
        <w:tc>
          <w:tcPr>
            <w:tcW w:w="1810" w:type="pct"/>
            <w:tcBorders>
              <w:top w:val="nil"/>
              <w:left w:val="single" w:sz="4" w:space="0" w:color="auto"/>
              <w:bottom w:val="single" w:sz="4" w:space="0" w:color="auto"/>
              <w:right w:val="single" w:sz="4" w:space="0" w:color="auto"/>
            </w:tcBorders>
            <w:vAlign w:val="center"/>
          </w:tcPr>
          <w:p w14:paraId="5451E323"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6483A941"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A00FFE7"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55.60 </w:t>
            </w:r>
          </w:p>
        </w:tc>
      </w:tr>
      <w:tr w:rsidR="00000000" w14:paraId="06E8A1D6" w14:textId="77777777">
        <w:trPr>
          <w:trHeight w:val="20"/>
        </w:trPr>
        <w:tc>
          <w:tcPr>
            <w:tcW w:w="1810" w:type="pct"/>
            <w:tcBorders>
              <w:top w:val="nil"/>
              <w:left w:val="single" w:sz="4" w:space="0" w:color="auto"/>
              <w:bottom w:val="single" w:sz="4" w:space="0" w:color="auto"/>
              <w:right w:val="single" w:sz="4" w:space="0" w:color="auto"/>
            </w:tcBorders>
            <w:vAlign w:val="center"/>
          </w:tcPr>
          <w:p w14:paraId="7A2F6EEB"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08BF3332"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2A1BC887"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000000" w14:paraId="4CC5BD13" w14:textId="77777777">
        <w:trPr>
          <w:trHeight w:val="20"/>
        </w:trPr>
        <w:tc>
          <w:tcPr>
            <w:tcW w:w="1810" w:type="pct"/>
            <w:tcBorders>
              <w:top w:val="nil"/>
              <w:left w:val="single" w:sz="4" w:space="0" w:color="auto"/>
              <w:bottom w:val="single" w:sz="4" w:space="0" w:color="auto"/>
              <w:right w:val="single" w:sz="4" w:space="0" w:color="auto"/>
            </w:tcBorders>
            <w:vAlign w:val="center"/>
          </w:tcPr>
          <w:p w14:paraId="25954A76"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6B5661CA"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6BF262D0"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55.70 </w:t>
            </w:r>
          </w:p>
        </w:tc>
      </w:tr>
      <w:tr w:rsidR="00000000" w14:paraId="5D47591C" w14:textId="77777777">
        <w:trPr>
          <w:trHeight w:val="20"/>
        </w:trPr>
        <w:tc>
          <w:tcPr>
            <w:tcW w:w="1810" w:type="pct"/>
            <w:tcBorders>
              <w:top w:val="nil"/>
              <w:left w:val="single" w:sz="4" w:space="0" w:color="auto"/>
              <w:bottom w:val="single" w:sz="4" w:space="0" w:color="auto"/>
              <w:right w:val="single" w:sz="4" w:space="0" w:color="auto"/>
            </w:tcBorders>
            <w:vAlign w:val="center"/>
          </w:tcPr>
          <w:p w14:paraId="58F350F3"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09756C52"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8C94ACB"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62.50 </w:t>
            </w:r>
          </w:p>
        </w:tc>
      </w:tr>
      <w:tr w:rsidR="00000000" w14:paraId="53651110" w14:textId="77777777">
        <w:trPr>
          <w:trHeight w:val="20"/>
        </w:trPr>
        <w:tc>
          <w:tcPr>
            <w:tcW w:w="1810" w:type="pct"/>
            <w:tcBorders>
              <w:top w:val="nil"/>
              <w:left w:val="single" w:sz="4" w:space="0" w:color="auto"/>
              <w:bottom w:val="single" w:sz="4" w:space="0" w:color="auto"/>
              <w:right w:val="single" w:sz="4" w:space="0" w:color="auto"/>
            </w:tcBorders>
            <w:vAlign w:val="center"/>
          </w:tcPr>
          <w:p w14:paraId="153281AF"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4DA5C960"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C2B478E"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000000" w14:paraId="76349232" w14:textId="77777777">
        <w:trPr>
          <w:trHeight w:val="20"/>
        </w:trPr>
        <w:tc>
          <w:tcPr>
            <w:tcW w:w="1810" w:type="pct"/>
            <w:tcBorders>
              <w:top w:val="nil"/>
              <w:left w:val="single" w:sz="4" w:space="0" w:color="auto"/>
              <w:bottom w:val="single" w:sz="4" w:space="0" w:color="auto"/>
              <w:right w:val="single" w:sz="4" w:space="0" w:color="auto"/>
            </w:tcBorders>
            <w:vAlign w:val="center"/>
          </w:tcPr>
          <w:p w14:paraId="674C8407"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7D71EBFD" w14:textId="77777777" w:rsidR="00000000" w:rsidRDefault="00000000">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167734E2"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57.65</w:t>
            </w:r>
          </w:p>
        </w:tc>
      </w:tr>
      <w:tr w:rsidR="00000000" w14:paraId="7CF8377B" w14:textId="77777777">
        <w:trPr>
          <w:trHeight w:val="20"/>
        </w:trPr>
        <w:tc>
          <w:tcPr>
            <w:tcW w:w="1810" w:type="pct"/>
            <w:tcBorders>
              <w:top w:val="nil"/>
              <w:left w:val="single" w:sz="4" w:space="0" w:color="auto"/>
              <w:bottom w:val="single" w:sz="4" w:space="0" w:color="auto"/>
              <w:right w:val="single" w:sz="4" w:space="0" w:color="auto"/>
            </w:tcBorders>
            <w:vAlign w:val="center"/>
          </w:tcPr>
          <w:p w14:paraId="59D98F09"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0A512450"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5EAD4F2"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54.20 </w:t>
            </w:r>
          </w:p>
        </w:tc>
      </w:tr>
      <w:tr w:rsidR="00000000" w14:paraId="2F507D46" w14:textId="77777777">
        <w:trPr>
          <w:trHeight w:val="20"/>
        </w:trPr>
        <w:tc>
          <w:tcPr>
            <w:tcW w:w="1810" w:type="pct"/>
            <w:tcBorders>
              <w:top w:val="nil"/>
              <w:left w:val="single" w:sz="4" w:space="0" w:color="auto"/>
              <w:bottom w:val="single" w:sz="4" w:space="0" w:color="auto"/>
              <w:right w:val="single" w:sz="4" w:space="0" w:color="auto"/>
            </w:tcBorders>
            <w:vAlign w:val="center"/>
          </w:tcPr>
          <w:p w14:paraId="59755548"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05557EB5"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3BEA872C"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52.10 </w:t>
            </w:r>
          </w:p>
        </w:tc>
      </w:tr>
      <w:tr w:rsidR="00000000" w14:paraId="7DF764EF" w14:textId="77777777">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3DE2BB8C"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3E41D0E3" w14:textId="77777777" w:rsidR="00000000" w:rsidRDefault="00000000">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56.31</w:t>
            </w:r>
          </w:p>
        </w:tc>
      </w:tr>
    </w:tbl>
    <w:p w14:paraId="16E8282D" w14:textId="77777777" w:rsidR="00000000" w:rsidRDefault="00000000">
      <w:pPr>
        <w:pStyle w:val="22"/>
        <w:autoSpaceDE w:val="0"/>
        <w:autoSpaceDN w:val="0"/>
        <w:spacing w:beforeLines="100" w:before="240" w:line="240" w:lineRule="auto"/>
        <w:ind w:firstLineChars="150" w:firstLine="315"/>
        <w:jc w:val="both"/>
        <w:textAlignment w:val="bottom"/>
        <w:rPr>
          <w:rFonts w:ascii="Arial" w:hAnsi="Arial" w:cs="Arial"/>
          <w:sz w:val="21"/>
          <w:szCs w:val="21"/>
        </w:rPr>
      </w:pPr>
      <w:r>
        <w:rPr>
          <w:rFonts w:ascii="Arial" w:hAnsi="Arial" w:cs="Arial"/>
          <w:sz w:val="21"/>
          <w:szCs w:val="21"/>
        </w:rPr>
        <w:t>样本小区三：</w:t>
      </w:r>
      <w:r>
        <w:rPr>
          <w:rFonts w:ascii="Arial" w:hAnsi="Arial" w:cs="Arial" w:hint="eastAsia"/>
          <w:sz w:val="21"/>
          <w:szCs w:val="21"/>
        </w:rPr>
        <w:t>南海家园四里</w:t>
      </w:r>
    </w:p>
    <w:tbl>
      <w:tblPr>
        <w:tblW w:w="5000" w:type="pct"/>
        <w:tblInd w:w="0" w:type="dxa"/>
        <w:tblLook w:val="0000" w:firstRow="0" w:lastRow="0" w:firstColumn="0" w:lastColumn="0" w:noHBand="0" w:noVBand="0"/>
      </w:tblPr>
      <w:tblGrid>
        <w:gridCol w:w="3362"/>
        <w:gridCol w:w="1743"/>
        <w:gridCol w:w="4184"/>
      </w:tblGrid>
      <w:tr w:rsidR="00000000" w14:paraId="20D0001E" w14:textId="77777777">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635A09DB" w14:textId="77777777" w:rsidR="00000000" w:rsidRDefault="00000000">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103909A7" w14:textId="77777777" w:rsidR="00000000" w:rsidRDefault="00000000">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7733FF24" w14:textId="77777777" w:rsidR="00000000" w:rsidRDefault="00000000">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租金平均单价（元/平方米·月）</w:t>
            </w:r>
          </w:p>
        </w:tc>
      </w:tr>
      <w:tr w:rsidR="00000000" w14:paraId="3E9CF6AA" w14:textId="77777777">
        <w:trPr>
          <w:trHeight w:val="20"/>
        </w:trPr>
        <w:tc>
          <w:tcPr>
            <w:tcW w:w="1810" w:type="pct"/>
            <w:tcBorders>
              <w:top w:val="nil"/>
              <w:left w:val="single" w:sz="4" w:space="0" w:color="auto"/>
              <w:bottom w:val="single" w:sz="4" w:space="0" w:color="auto"/>
              <w:right w:val="single" w:sz="4" w:space="0" w:color="auto"/>
            </w:tcBorders>
            <w:vAlign w:val="center"/>
          </w:tcPr>
          <w:p w14:paraId="66A13213"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510ADF10"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291C52B0"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51.70 </w:t>
            </w:r>
          </w:p>
        </w:tc>
      </w:tr>
      <w:tr w:rsidR="00000000" w14:paraId="67763B96" w14:textId="77777777">
        <w:trPr>
          <w:trHeight w:val="20"/>
        </w:trPr>
        <w:tc>
          <w:tcPr>
            <w:tcW w:w="1810" w:type="pct"/>
            <w:tcBorders>
              <w:top w:val="nil"/>
              <w:left w:val="single" w:sz="4" w:space="0" w:color="auto"/>
              <w:bottom w:val="single" w:sz="4" w:space="0" w:color="auto"/>
              <w:right w:val="single" w:sz="4" w:space="0" w:color="auto"/>
            </w:tcBorders>
            <w:vAlign w:val="center"/>
          </w:tcPr>
          <w:p w14:paraId="26AFB199"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3D3D0C41"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6A0BF300"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55.60 </w:t>
            </w:r>
          </w:p>
        </w:tc>
      </w:tr>
      <w:tr w:rsidR="00000000" w14:paraId="0BA7F5F6" w14:textId="77777777">
        <w:trPr>
          <w:trHeight w:val="20"/>
        </w:trPr>
        <w:tc>
          <w:tcPr>
            <w:tcW w:w="1810" w:type="pct"/>
            <w:tcBorders>
              <w:top w:val="nil"/>
              <w:left w:val="single" w:sz="4" w:space="0" w:color="auto"/>
              <w:bottom w:val="single" w:sz="4" w:space="0" w:color="auto"/>
              <w:right w:val="single" w:sz="4" w:space="0" w:color="auto"/>
            </w:tcBorders>
            <w:vAlign w:val="center"/>
          </w:tcPr>
          <w:p w14:paraId="3DD8DB9C"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436DBBA6"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63C4B02F"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47.70 </w:t>
            </w:r>
          </w:p>
        </w:tc>
      </w:tr>
      <w:tr w:rsidR="00000000" w14:paraId="18564977" w14:textId="77777777">
        <w:trPr>
          <w:trHeight w:val="20"/>
        </w:trPr>
        <w:tc>
          <w:tcPr>
            <w:tcW w:w="1810" w:type="pct"/>
            <w:tcBorders>
              <w:top w:val="nil"/>
              <w:left w:val="single" w:sz="4" w:space="0" w:color="auto"/>
              <w:bottom w:val="single" w:sz="4" w:space="0" w:color="auto"/>
              <w:right w:val="single" w:sz="4" w:space="0" w:color="auto"/>
            </w:tcBorders>
            <w:vAlign w:val="center"/>
          </w:tcPr>
          <w:p w14:paraId="45938DA6"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48ADE462"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521F5D97"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000000" w14:paraId="319EF86F" w14:textId="77777777">
        <w:trPr>
          <w:trHeight w:val="20"/>
        </w:trPr>
        <w:tc>
          <w:tcPr>
            <w:tcW w:w="1810" w:type="pct"/>
            <w:tcBorders>
              <w:top w:val="nil"/>
              <w:left w:val="single" w:sz="4" w:space="0" w:color="auto"/>
              <w:bottom w:val="single" w:sz="4" w:space="0" w:color="auto"/>
              <w:right w:val="single" w:sz="4" w:space="0" w:color="auto"/>
            </w:tcBorders>
            <w:vAlign w:val="center"/>
          </w:tcPr>
          <w:p w14:paraId="414D2B61"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4885F736"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5669BDB0"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66.90 </w:t>
            </w:r>
          </w:p>
        </w:tc>
      </w:tr>
      <w:tr w:rsidR="00000000" w14:paraId="703CA5CD" w14:textId="77777777">
        <w:trPr>
          <w:trHeight w:val="20"/>
        </w:trPr>
        <w:tc>
          <w:tcPr>
            <w:tcW w:w="1810" w:type="pct"/>
            <w:tcBorders>
              <w:top w:val="nil"/>
              <w:left w:val="single" w:sz="4" w:space="0" w:color="auto"/>
              <w:bottom w:val="single" w:sz="4" w:space="0" w:color="auto"/>
              <w:right w:val="single" w:sz="4" w:space="0" w:color="auto"/>
            </w:tcBorders>
            <w:vAlign w:val="center"/>
          </w:tcPr>
          <w:p w14:paraId="3AAD7897"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2BF81086"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669EAC16"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58.80 </w:t>
            </w:r>
          </w:p>
        </w:tc>
      </w:tr>
      <w:tr w:rsidR="00000000" w14:paraId="11A42131" w14:textId="77777777">
        <w:trPr>
          <w:trHeight w:val="20"/>
        </w:trPr>
        <w:tc>
          <w:tcPr>
            <w:tcW w:w="1810" w:type="pct"/>
            <w:tcBorders>
              <w:top w:val="nil"/>
              <w:left w:val="single" w:sz="4" w:space="0" w:color="auto"/>
              <w:bottom w:val="single" w:sz="4" w:space="0" w:color="auto"/>
              <w:right w:val="single" w:sz="4" w:space="0" w:color="auto"/>
            </w:tcBorders>
            <w:vAlign w:val="center"/>
          </w:tcPr>
          <w:p w14:paraId="61B19332"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7468CA64"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3294760"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000000" w14:paraId="51A395C3" w14:textId="77777777">
        <w:trPr>
          <w:trHeight w:val="20"/>
        </w:trPr>
        <w:tc>
          <w:tcPr>
            <w:tcW w:w="1810" w:type="pct"/>
            <w:tcBorders>
              <w:top w:val="nil"/>
              <w:left w:val="single" w:sz="4" w:space="0" w:color="auto"/>
              <w:bottom w:val="single" w:sz="4" w:space="0" w:color="auto"/>
              <w:right w:val="single" w:sz="4" w:space="0" w:color="auto"/>
            </w:tcBorders>
            <w:vAlign w:val="center"/>
          </w:tcPr>
          <w:p w14:paraId="609A1D41"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13613942"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13DE4902"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42.80 </w:t>
            </w:r>
          </w:p>
        </w:tc>
      </w:tr>
      <w:tr w:rsidR="00000000" w14:paraId="6AC5E6B2" w14:textId="77777777">
        <w:trPr>
          <w:trHeight w:val="20"/>
        </w:trPr>
        <w:tc>
          <w:tcPr>
            <w:tcW w:w="1810" w:type="pct"/>
            <w:tcBorders>
              <w:top w:val="nil"/>
              <w:left w:val="single" w:sz="4" w:space="0" w:color="auto"/>
              <w:bottom w:val="single" w:sz="4" w:space="0" w:color="auto"/>
              <w:right w:val="single" w:sz="4" w:space="0" w:color="auto"/>
            </w:tcBorders>
            <w:vAlign w:val="center"/>
          </w:tcPr>
          <w:p w14:paraId="0BB530FC"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4124F08A"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412CB26D"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51.30 </w:t>
            </w:r>
          </w:p>
        </w:tc>
      </w:tr>
      <w:tr w:rsidR="00000000" w14:paraId="4FD23556" w14:textId="77777777">
        <w:trPr>
          <w:trHeight w:val="20"/>
        </w:trPr>
        <w:tc>
          <w:tcPr>
            <w:tcW w:w="1810" w:type="pct"/>
            <w:tcBorders>
              <w:top w:val="nil"/>
              <w:left w:val="single" w:sz="4" w:space="0" w:color="auto"/>
              <w:bottom w:val="single" w:sz="4" w:space="0" w:color="auto"/>
              <w:right w:val="single" w:sz="4" w:space="0" w:color="auto"/>
            </w:tcBorders>
            <w:vAlign w:val="center"/>
          </w:tcPr>
          <w:p w14:paraId="45303878"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65F32C88"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3D004E8C"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50.30 </w:t>
            </w:r>
          </w:p>
        </w:tc>
      </w:tr>
      <w:tr w:rsidR="00000000" w14:paraId="7F2EA63A" w14:textId="77777777">
        <w:trPr>
          <w:trHeight w:val="20"/>
        </w:trPr>
        <w:tc>
          <w:tcPr>
            <w:tcW w:w="1810" w:type="pct"/>
            <w:tcBorders>
              <w:top w:val="nil"/>
              <w:left w:val="single" w:sz="4" w:space="0" w:color="auto"/>
              <w:bottom w:val="single" w:sz="4" w:space="0" w:color="auto"/>
              <w:right w:val="single" w:sz="4" w:space="0" w:color="auto"/>
            </w:tcBorders>
            <w:vAlign w:val="center"/>
          </w:tcPr>
          <w:p w14:paraId="4E551456"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30F9F6E4"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008165E5"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57.93 </w:t>
            </w:r>
          </w:p>
        </w:tc>
      </w:tr>
      <w:tr w:rsidR="00000000" w14:paraId="545CD174" w14:textId="77777777">
        <w:trPr>
          <w:trHeight w:val="20"/>
        </w:trPr>
        <w:tc>
          <w:tcPr>
            <w:tcW w:w="1810" w:type="pct"/>
            <w:tcBorders>
              <w:top w:val="nil"/>
              <w:left w:val="single" w:sz="4" w:space="0" w:color="auto"/>
              <w:bottom w:val="single" w:sz="4" w:space="0" w:color="auto"/>
              <w:right w:val="single" w:sz="4" w:space="0" w:color="auto"/>
            </w:tcBorders>
            <w:vAlign w:val="center"/>
          </w:tcPr>
          <w:p w14:paraId="3BAC0D70"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528C4532"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6A478240"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73.50 </w:t>
            </w:r>
          </w:p>
        </w:tc>
      </w:tr>
      <w:tr w:rsidR="00000000" w14:paraId="123BF2DE" w14:textId="77777777">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7DC20D1"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2E3A4F4" w14:textId="77777777" w:rsidR="00000000" w:rsidRDefault="00000000">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55.65</w:t>
            </w:r>
          </w:p>
        </w:tc>
      </w:tr>
    </w:tbl>
    <w:p w14:paraId="20E0FA67" w14:textId="77777777" w:rsidR="00000000" w:rsidRDefault="00000000">
      <w:pPr>
        <w:pStyle w:val="Normal"/>
        <w:autoSpaceDE w:val="0"/>
        <w:autoSpaceDN w:val="0"/>
        <w:spacing w:beforeLines="100" w:before="240" w:line="480" w:lineRule="auto"/>
        <w:ind w:firstLineChars="200" w:firstLine="360"/>
        <w:jc w:val="both"/>
        <w:textAlignment w:val="bottom"/>
        <w:rPr>
          <w:rFonts w:ascii="Arial" w:hAnsi="Arial" w:cs="Arial"/>
          <w:color w:val="000000"/>
          <w:sz w:val="18"/>
          <w:szCs w:val="18"/>
        </w:rPr>
      </w:pPr>
      <w:r>
        <w:rPr>
          <w:rFonts w:ascii="Arial" w:hAnsi="Arial" w:cs="Arial" w:hint="eastAsia"/>
          <w:color w:val="000000"/>
          <w:sz w:val="18"/>
          <w:szCs w:val="18"/>
        </w:rPr>
        <w:t>注：上述样本小区租金包括地租、房屋折旧、设备折旧、维修费、保险费、物业费、管理费、利息、利润等；不含供暖费、水电费、天然气费、通信费、有线电视费、上网宽带费和</w:t>
      </w:r>
      <w:commentRangeStart w:id="59"/>
      <w:r>
        <w:rPr>
          <w:rFonts w:ascii="Arial" w:hAnsi="Arial" w:cs="Arial" w:hint="eastAsia"/>
          <w:color w:val="000000"/>
          <w:sz w:val="18"/>
          <w:szCs w:val="18"/>
        </w:rPr>
        <w:t>家具、家电</w:t>
      </w:r>
      <w:commentRangeEnd w:id="59"/>
      <w:r w:rsidR="00BE0CF3">
        <w:rPr>
          <w:rStyle w:val="afa"/>
          <w:rFonts w:ascii="Times New Roman"/>
        </w:rPr>
        <w:commentReference w:id="59"/>
      </w:r>
      <w:r>
        <w:rPr>
          <w:rFonts w:ascii="Arial" w:hAnsi="Arial" w:cs="Arial" w:hint="eastAsia"/>
          <w:color w:val="000000"/>
          <w:sz w:val="18"/>
          <w:szCs w:val="18"/>
        </w:rPr>
        <w:t>租赁费及租赁税费等。</w:t>
      </w:r>
    </w:p>
    <w:p w14:paraId="71F30D64" w14:textId="77777777" w:rsidR="00000000" w:rsidRDefault="00000000">
      <w:pPr>
        <w:pStyle w:val="Normal"/>
        <w:autoSpaceDE w:val="0"/>
        <w:autoSpaceDN w:val="0"/>
        <w:spacing w:line="480" w:lineRule="auto"/>
        <w:ind w:firstLineChars="200" w:firstLine="420"/>
        <w:jc w:val="both"/>
        <w:textAlignment w:val="bottom"/>
        <w:rPr>
          <w:rFonts w:ascii="Arial" w:hAnsi="Arial" w:cs="Arial" w:hint="eastAsia"/>
          <w:color w:val="000000"/>
          <w:sz w:val="21"/>
          <w:szCs w:val="21"/>
        </w:rPr>
      </w:pPr>
      <w:r>
        <w:rPr>
          <w:rFonts w:ascii="Arial" w:hAnsi="Arial" w:cs="Arial"/>
          <w:color w:val="000000"/>
          <w:sz w:val="21"/>
          <w:szCs w:val="21"/>
        </w:rPr>
        <w:br w:type="page"/>
      </w:r>
      <w:r>
        <w:rPr>
          <w:rFonts w:ascii="Arial" w:hAnsi="Arial" w:cs="Arial" w:hint="eastAsia"/>
          <w:color w:val="000000"/>
          <w:sz w:val="21"/>
          <w:szCs w:val="21"/>
        </w:rPr>
        <w:lastRenderedPageBreak/>
        <w:t xml:space="preserve">C. </w:t>
      </w:r>
      <w:r>
        <w:rPr>
          <w:rFonts w:ascii="Arial" w:hAnsi="Arial" w:cs="Arial" w:hint="eastAsia"/>
          <w:color w:val="000000"/>
          <w:sz w:val="21"/>
          <w:szCs w:val="21"/>
        </w:rPr>
        <w:t>行业主管部门（北京市房地产市场管理事务中心）监测数据</w:t>
      </w:r>
    </w:p>
    <w:p w14:paraId="1455BC94" w14:textId="77777777" w:rsidR="00000000" w:rsidRDefault="00000000">
      <w:pPr>
        <w:pStyle w:val="22"/>
        <w:autoSpaceDE w:val="0"/>
        <w:autoSpaceDN w:val="0"/>
        <w:spacing w:line="240" w:lineRule="auto"/>
        <w:ind w:firstLineChars="200" w:firstLine="420"/>
        <w:jc w:val="both"/>
        <w:textAlignment w:val="bottom"/>
        <w:rPr>
          <w:rFonts w:ascii="Arial" w:hAnsi="Arial" w:cs="Arial"/>
          <w:sz w:val="21"/>
          <w:szCs w:val="21"/>
        </w:rPr>
      </w:pPr>
      <w:r>
        <w:rPr>
          <w:rFonts w:ascii="Arial" w:hAnsi="Arial" w:cs="Arial" w:hint="eastAsia"/>
          <w:sz w:val="21"/>
          <w:szCs w:val="21"/>
        </w:rPr>
        <w:t>样本小区一：悦廷</w:t>
      </w:r>
    </w:p>
    <w:tbl>
      <w:tblPr>
        <w:tblW w:w="5000" w:type="pct"/>
        <w:tblInd w:w="0" w:type="dxa"/>
        <w:tblLook w:val="0000" w:firstRow="0" w:lastRow="0" w:firstColumn="0" w:lastColumn="0" w:noHBand="0" w:noVBand="0"/>
      </w:tblPr>
      <w:tblGrid>
        <w:gridCol w:w="3362"/>
        <w:gridCol w:w="1743"/>
        <w:gridCol w:w="4184"/>
      </w:tblGrid>
      <w:tr w:rsidR="00000000" w14:paraId="5DB29F9E" w14:textId="77777777">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83027FF" w14:textId="77777777" w:rsidR="00000000" w:rsidRDefault="00000000">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2A7B3E40" w14:textId="77777777" w:rsidR="00000000" w:rsidRDefault="00000000">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50FE435" w14:textId="77777777" w:rsidR="00000000" w:rsidRDefault="00000000">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租金平均单价（元/平方米·月）</w:t>
            </w:r>
          </w:p>
        </w:tc>
      </w:tr>
      <w:tr w:rsidR="00000000" w14:paraId="5A90BCF3" w14:textId="77777777">
        <w:trPr>
          <w:trHeight w:val="20"/>
        </w:trPr>
        <w:tc>
          <w:tcPr>
            <w:tcW w:w="1810" w:type="pct"/>
            <w:tcBorders>
              <w:top w:val="nil"/>
              <w:left w:val="single" w:sz="4" w:space="0" w:color="auto"/>
              <w:bottom w:val="single" w:sz="4" w:space="0" w:color="auto"/>
              <w:right w:val="single" w:sz="4" w:space="0" w:color="auto"/>
            </w:tcBorders>
            <w:vAlign w:val="center"/>
          </w:tcPr>
          <w:p w14:paraId="28A24C7D"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755D13F3"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ED3487E"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56.53 </w:t>
            </w:r>
          </w:p>
        </w:tc>
      </w:tr>
      <w:tr w:rsidR="00000000" w14:paraId="7A231257" w14:textId="77777777">
        <w:trPr>
          <w:trHeight w:val="20"/>
        </w:trPr>
        <w:tc>
          <w:tcPr>
            <w:tcW w:w="1810" w:type="pct"/>
            <w:tcBorders>
              <w:top w:val="nil"/>
              <w:left w:val="single" w:sz="4" w:space="0" w:color="auto"/>
              <w:bottom w:val="single" w:sz="4" w:space="0" w:color="auto"/>
              <w:right w:val="single" w:sz="4" w:space="0" w:color="auto"/>
            </w:tcBorders>
            <w:vAlign w:val="center"/>
          </w:tcPr>
          <w:p w14:paraId="7DAD9270"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06D7BC91"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D69AD1E"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58.31 </w:t>
            </w:r>
          </w:p>
        </w:tc>
      </w:tr>
      <w:tr w:rsidR="00000000" w14:paraId="6338DF47" w14:textId="77777777">
        <w:trPr>
          <w:trHeight w:val="20"/>
        </w:trPr>
        <w:tc>
          <w:tcPr>
            <w:tcW w:w="1810" w:type="pct"/>
            <w:tcBorders>
              <w:top w:val="nil"/>
              <w:left w:val="single" w:sz="4" w:space="0" w:color="auto"/>
              <w:bottom w:val="single" w:sz="4" w:space="0" w:color="auto"/>
              <w:right w:val="single" w:sz="4" w:space="0" w:color="auto"/>
            </w:tcBorders>
            <w:vAlign w:val="center"/>
          </w:tcPr>
          <w:p w14:paraId="2E838785"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06F2D329"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2C9B7734"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000000" w14:paraId="38E22727" w14:textId="77777777">
        <w:trPr>
          <w:trHeight w:val="20"/>
        </w:trPr>
        <w:tc>
          <w:tcPr>
            <w:tcW w:w="1810" w:type="pct"/>
            <w:tcBorders>
              <w:top w:val="nil"/>
              <w:left w:val="single" w:sz="4" w:space="0" w:color="auto"/>
              <w:bottom w:val="single" w:sz="4" w:space="0" w:color="auto"/>
              <w:right w:val="single" w:sz="4" w:space="0" w:color="auto"/>
            </w:tcBorders>
            <w:vAlign w:val="center"/>
          </w:tcPr>
          <w:p w14:paraId="17DA9B62"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3887CA5B"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C6AD109"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63.09 </w:t>
            </w:r>
          </w:p>
        </w:tc>
      </w:tr>
      <w:tr w:rsidR="00000000" w14:paraId="2C6ADE65" w14:textId="77777777">
        <w:trPr>
          <w:trHeight w:val="20"/>
        </w:trPr>
        <w:tc>
          <w:tcPr>
            <w:tcW w:w="1810" w:type="pct"/>
            <w:tcBorders>
              <w:top w:val="nil"/>
              <w:left w:val="single" w:sz="4" w:space="0" w:color="auto"/>
              <w:bottom w:val="single" w:sz="4" w:space="0" w:color="auto"/>
              <w:right w:val="single" w:sz="4" w:space="0" w:color="auto"/>
            </w:tcBorders>
            <w:vAlign w:val="center"/>
          </w:tcPr>
          <w:p w14:paraId="5704D7B0"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6FD35094"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8C72F36"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61.27 </w:t>
            </w:r>
          </w:p>
        </w:tc>
      </w:tr>
      <w:tr w:rsidR="00000000" w14:paraId="0C72A5C6" w14:textId="77777777">
        <w:trPr>
          <w:trHeight w:val="20"/>
        </w:trPr>
        <w:tc>
          <w:tcPr>
            <w:tcW w:w="1810" w:type="pct"/>
            <w:tcBorders>
              <w:top w:val="nil"/>
              <w:left w:val="single" w:sz="4" w:space="0" w:color="auto"/>
              <w:bottom w:val="single" w:sz="4" w:space="0" w:color="auto"/>
              <w:right w:val="single" w:sz="4" w:space="0" w:color="auto"/>
            </w:tcBorders>
            <w:vAlign w:val="center"/>
          </w:tcPr>
          <w:p w14:paraId="1AE28FE0"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00B64D49"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CBF92E1"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54.38 </w:t>
            </w:r>
          </w:p>
        </w:tc>
      </w:tr>
      <w:tr w:rsidR="00000000" w14:paraId="07A4D824" w14:textId="77777777">
        <w:trPr>
          <w:trHeight w:val="20"/>
        </w:trPr>
        <w:tc>
          <w:tcPr>
            <w:tcW w:w="1810" w:type="pct"/>
            <w:tcBorders>
              <w:top w:val="nil"/>
              <w:left w:val="single" w:sz="4" w:space="0" w:color="auto"/>
              <w:bottom w:val="single" w:sz="4" w:space="0" w:color="auto"/>
              <w:right w:val="single" w:sz="4" w:space="0" w:color="auto"/>
            </w:tcBorders>
            <w:vAlign w:val="center"/>
          </w:tcPr>
          <w:p w14:paraId="254E4877"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73EC529"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E1E9E1F"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57.99 </w:t>
            </w:r>
          </w:p>
        </w:tc>
      </w:tr>
      <w:tr w:rsidR="00000000" w14:paraId="5BAF4429" w14:textId="77777777">
        <w:trPr>
          <w:trHeight w:val="20"/>
        </w:trPr>
        <w:tc>
          <w:tcPr>
            <w:tcW w:w="1810" w:type="pct"/>
            <w:tcBorders>
              <w:top w:val="nil"/>
              <w:left w:val="single" w:sz="4" w:space="0" w:color="auto"/>
              <w:bottom w:val="single" w:sz="4" w:space="0" w:color="auto"/>
              <w:right w:val="single" w:sz="4" w:space="0" w:color="auto"/>
            </w:tcBorders>
            <w:vAlign w:val="center"/>
          </w:tcPr>
          <w:p w14:paraId="5A049E7D"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7E411133"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213DD208"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000000" w14:paraId="39F335FE" w14:textId="77777777">
        <w:trPr>
          <w:trHeight w:val="20"/>
        </w:trPr>
        <w:tc>
          <w:tcPr>
            <w:tcW w:w="1810" w:type="pct"/>
            <w:tcBorders>
              <w:top w:val="nil"/>
              <w:left w:val="single" w:sz="4" w:space="0" w:color="auto"/>
              <w:bottom w:val="single" w:sz="4" w:space="0" w:color="auto"/>
              <w:right w:val="single" w:sz="4" w:space="0" w:color="auto"/>
            </w:tcBorders>
            <w:vAlign w:val="center"/>
          </w:tcPr>
          <w:p w14:paraId="6DD6CF21"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64D516F4"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DDE731E"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72.25 </w:t>
            </w:r>
          </w:p>
        </w:tc>
      </w:tr>
      <w:tr w:rsidR="00000000" w14:paraId="00501F98" w14:textId="77777777">
        <w:trPr>
          <w:trHeight w:val="20"/>
        </w:trPr>
        <w:tc>
          <w:tcPr>
            <w:tcW w:w="1810" w:type="pct"/>
            <w:tcBorders>
              <w:top w:val="nil"/>
              <w:left w:val="single" w:sz="4" w:space="0" w:color="auto"/>
              <w:bottom w:val="single" w:sz="4" w:space="0" w:color="auto"/>
              <w:right w:val="single" w:sz="4" w:space="0" w:color="auto"/>
            </w:tcBorders>
            <w:vAlign w:val="center"/>
          </w:tcPr>
          <w:p w14:paraId="426B20EC"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22DADACC"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1088E83"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63.72 </w:t>
            </w:r>
          </w:p>
        </w:tc>
      </w:tr>
      <w:tr w:rsidR="00000000" w14:paraId="345CB36A" w14:textId="77777777">
        <w:trPr>
          <w:trHeight w:val="20"/>
        </w:trPr>
        <w:tc>
          <w:tcPr>
            <w:tcW w:w="1810" w:type="pct"/>
            <w:tcBorders>
              <w:top w:val="nil"/>
              <w:left w:val="single" w:sz="4" w:space="0" w:color="auto"/>
              <w:bottom w:val="single" w:sz="4" w:space="0" w:color="auto"/>
              <w:right w:val="single" w:sz="4" w:space="0" w:color="auto"/>
            </w:tcBorders>
            <w:vAlign w:val="center"/>
          </w:tcPr>
          <w:p w14:paraId="1CD8C231"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429E9F94"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A5CC775"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62.77 </w:t>
            </w:r>
          </w:p>
        </w:tc>
      </w:tr>
      <w:tr w:rsidR="00000000" w14:paraId="59A0606E" w14:textId="77777777">
        <w:trPr>
          <w:trHeight w:val="20"/>
        </w:trPr>
        <w:tc>
          <w:tcPr>
            <w:tcW w:w="1810" w:type="pct"/>
            <w:tcBorders>
              <w:top w:val="nil"/>
              <w:left w:val="single" w:sz="4" w:space="0" w:color="auto"/>
              <w:bottom w:val="single" w:sz="4" w:space="0" w:color="auto"/>
              <w:right w:val="single" w:sz="4" w:space="0" w:color="auto"/>
            </w:tcBorders>
            <w:vAlign w:val="center"/>
          </w:tcPr>
          <w:p w14:paraId="635BB02A"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4F82201C"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E16BEBE"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57.13 </w:t>
            </w:r>
          </w:p>
        </w:tc>
      </w:tr>
      <w:tr w:rsidR="00000000" w14:paraId="42FE448C" w14:textId="77777777">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8A03AE4"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3600425A" w14:textId="77777777" w:rsidR="00000000" w:rsidRDefault="00000000">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60.74</w:t>
            </w:r>
          </w:p>
        </w:tc>
      </w:tr>
    </w:tbl>
    <w:p w14:paraId="2F987E23" w14:textId="77777777" w:rsidR="00000000" w:rsidRDefault="00000000">
      <w:pPr>
        <w:pStyle w:val="22"/>
        <w:autoSpaceDE w:val="0"/>
        <w:autoSpaceDN w:val="0"/>
        <w:spacing w:beforeLines="100" w:before="240" w:line="240" w:lineRule="auto"/>
        <w:ind w:firstLineChars="200" w:firstLine="420"/>
        <w:jc w:val="both"/>
        <w:textAlignment w:val="bottom"/>
        <w:rPr>
          <w:rFonts w:ascii="Arial" w:hAnsi="Arial" w:cs="Arial"/>
          <w:sz w:val="21"/>
          <w:szCs w:val="21"/>
        </w:rPr>
      </w:pPr>
      <w:r>
        <w:rPr>
          <w:rFonts w:ascii="Arial" w:hAnsi="Arial" w:cs="Arial" w:hint="eastAsia"/>
          <w:sz w:val="21"/>
          <w:szCs w:val="21"/>
        </w:rPr>
        <w:t>样本小区二：中信新城西区</w:t>
      </w:r>
    </w:p>
    <w:tbl>
      <w:tblPr>
        <w:tblW w:w="5000" w:type="pct"/>
        <w:tblInd w:w="0" w:type="dxa"/>
        <w:tblLook w:val="0000" w:firstRow="0" w:lastRow="0" w:firstColumn="0" w:lastColumn="0" w:noHBand="0" w:noVBand="0"/>
      </w:tblPr>
      <w:tblGrid>
        <w:gridCol w:w="3362"/>
        <w:gridCol w:w="1743"/>
        <w:gridCol w:w="4184"/>
      </w:tblGrid>
      <w:tr w:rsidR="00000000" w14:paraId="6C254ECE" w14:textId="77777777">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082BBEF0" w14:textId="77777777" w:rsidR="00000000" w:rsidRDefault="00000000">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1148B5D6" w14:textId="77777777" w:rsidR="00000000" w:rsidRDefault="00000000">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2D749282" w14:textId="77777777" w:rsidR="00000000" w:rsidRDefault="00000000">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租金平均单价（元/平方米·月）</w:t>
            </w:r>
          </w:p>
        </w:tc>
      </w:tr>
      <w:tr w:rsidR="00000000" w14:paraId="46A97D44" w14:textId="77777777">
        <w:trPr>
          <w:trHeight w:val="20"/>
        </w:trPr>
        <w:tc>
          <w:tcPr>
            <w:tcW w:w="1810" w:type="pct"/>
            <w:tcBorders>
              <w:top w:val="nil"/>
              <w:left w:val="single" w:sz="4" w:space="0" w:color="auto"/>
              <w:bottom w:val="single" w:sz="4" w:space="0" w:color="auto"/>
              <w:right w:val="single" w:sz="4" w:space="0" w:color="auto"/>
            </w:tcBorders>
            <w:vAlign w:val="center"/>
          </w:tcPr>
          <w:p w14:paraId="6E4D1CE9"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1F5AFC06"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08342E2"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53.98</w:t>
            </w:r>
          </w:p>
        </w:tc>
      </w:tr>
      <w:tr w:rsidR="00000000" w14:paraId="1A7F4831" w14:textId="77777777">
        <w:trPr>
          <w:trHeight w:val="20"/>
        </w:trPr>
        <w:tc>
          <w:tcPr>
            <w:tcW w:w="1810" w:type="pct"/>
            <w:tcBorders>
              <w:top w:val="nil"/>
              <w:left w:val="single" w:sz="4" w:space="0" w:color="auto"/>
              <w:bottom w:val="single" w:sz="4" w:space="0" w:color="auto"/>
              <w:right w:val="single" w:sz="4" w:space="0" w:color="auto"/>
            </w:tcBorders>
            <w:vAlign w:val="center"/>
          </w:tcPr>
          <w:p w14:paraId="6F377723"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3DE2726D"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34C8B0D"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57.61</w:t>
            </w:r>
          </w:p>
        </w:tc>
      </w:tr>
      <w:tr w:rsidR="00000000" w14:paraId="096213BC" w14:textId="77777777">
        <w:trPr>
          <w:trHeight w:val="20"/>
        </w:trPr>
        <w:tc>
          <w:tcPr>
            <w:tcW w:w="1810" w:type="pct"/>
            <w:tcBorders>
              <w:top w:val="nil"/>
              <w:left w:val="single" w:sz="4" w:space="0" w:color="auto"/>
              <w:bottom w:val="single" w:sz="4" w:space="0" w:color="auto"/>
              <w:right w:val="single" w:sz="4" w:space="0" w:color="auto"/>
            </w:tcBorders>
            <w:vAlign w:val="center"/>
          </w:tcPr>
          <w:p w14:paraId="20014ACE"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6C9F93DB"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0F81C4A"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52.84</w:t>
            </w:r>
          </w:p>
        </w:tc>
      </w:tr>
      <w:tr w:rsidR="00000000" w14:paraId="73373C73" w14:textId="77777777">
        <w:trPr>
          <w:trHeight w:val="20"/>
        </w:trPr>
        <w:tc>
          <w:tcPr>
            <w:tcW w:w="1810" w:type="pct"/>
            <w:tcBorders>
              <w:top w:val="nil"/>
              <w:left w:val="single" w:sz="4" w:space="0" w:color="auto"/>
              <w:bottom w:val="single" w:sz="4" w:space="0" w:color="auto"/>
              <w:right w:val="single" w:sz="4" w:space="0" w:color="auto"/>
            </w:tcBorders>
            <w:vAlign w:val="center"/>
          </w:tcPr>
          <w:p w14:paraId="129BC667"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7D170C3F"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83DBAE1"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52.29</w:t>
            </w:r>
          </w:p>
        </w:tc>
      </w:tr>
      <w:tr w:rsidR="00000000" w14:paraId="0652EF48" w14:textId="77777777">
        <w:trPr>
          <w:trHeight w:val="20"/>
        </w:trPr>
        <w:tc>
          <w:tcPr>
            <w:tcW w:w="1810" w:type="pct"/>
            <w:tcBorders>
              <w:top w:val="nil"/>
              <w:left w:val="single" w:sz="4" w:space="0" w:color="auto"/>
              <w:bottom w:val="single" w:sz="4" w:space="0" w:color="auto"/>
              <w:right w:val="single" w:sz="4" w:space="0" w:color="auto"/>
            </w:tcBorders>
            <w:vAlign w:val="center"/>
          </w:tcPr>
          <w:p w14:paraId="29170B94"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7423F3B8"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249DA93"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55.59</w:t>
            </w:r>
          </w:p>
        </w:tc>
      </w:tr>
      <w:tr w:rsidR="00000000" w14:paraId="20112533" w14:textId="77777777">
        <w:trPr>
          <w:trHeight w:val="20"/>
        </w:trPr>
        <w:tc>
          <w:tcPr>
            <w:tcW w:w="1810" w:type="pct"/>
            <w:tcBorders>
              <w:top w:val="nil"/>
              <w:left w:val="single" w:sz="4" w:space="0" w:color="auto"/>
              <w:bottom w:val="single" w:sz="4" w:space="0" w:color="auto"/>
              <w:right w:val="single" w:sz="4" w:space="0" w:color="auto"/>
            </w:tcBorders>
            <w:vAlign w:val="center"/>
          </w:tcPr>
          <w:p w14:paraId="36B24146"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6F7EE308"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1D8AA7B"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57.13</w:t>
            </w:r>
          </w:p>
        </w:tc>
      </w:tr>
      <w:tr w:rsidR="00000000" w14:paraId="08319FAA" w14:textId="77777777">
        <w:trPr>
          <w:trHeight w:val="20"/>
        </w:trPr>
        <w:tc>
          <w:tcPr>
            <w:tcW w:w="1810" w:type="pct"/>
            <w:tcBorders>
              <w:top w:val="nil"/>
              <w:left w:val="single" w:sz="4" w:space="0" w:color="auto"/>
              <w:bottom w:val="single" w:sz="4" w:space="0" w:color="auto"/>
              <w:right w:val="single" w:sz="4" w:space="0" w:color="auto"/>
            </w:tcBorders>
            <w:vAlign w:val="center"/>
          </w:tcPr>
          <w:p w14:paraId="4CCCDA63"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69E2DF07"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F93124B"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56.44</w:t>
            </w:r>
          </w:p>
        </w:tc>
      </w:tr>
      <w:tr w:rsidR="00000000" w14:paraId="087E6F65" w14:textId="77777777">
        <w:trPr>
          <w:trHeight w:val="20"/>
        </w:trPr>
        <w:tc>
          <w:tcPr>
            <w:tcW w:w="1810" w:type="pct"/>
            <w:tcBorders>
              <w:top w:val="nil"/>
              <w:left w:val="single" w:sz="4" w:space="0" w:color="auto"/>
              <w:bottom w:val="single" w:sz="4" w:space="0" w:color="auto"/>
              <w:right w:val="single" w:sz="4" w:space="0" w:color="auto"/>
            </w:tcBorders>
            <w:vAlign w:val="center"/>
          </w:tcPr>
          <w:p w14:paraId="72C6FD1E"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56E96939"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3769D54"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58.02</w:t>
            </w:r>
          </w:p>
        </w:tc>
      </w:tr>
      <w:tr w:rsidR="00000000" w14:paraId="61B91AEA" w14:textId="77777777">
        <w:trPr>
          <w:trHeight w:val="20"/>
        </w:trPr>
        <w:tc>
          <w:tcPr>
            <w:tcW w:w="1810" w:type="pct"/>
            <w:tcBorders>
              <w:top w:val="nil"/>
              <w:left w:val="single" w:sz="4" w:space="0" w:color="auto"/>
              <w:bottom w:val="single" w:sz="4" w:space="0" w:color="auto"/>
              <w:right w:val="single" w:sz="4" w:space="0" w:color="auto"/>
            </w:tcBorders>
            <w:vAlign w:val="center"/>
          </w:tcPr>
          <w:p w14:paraId="75841AEE"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680A00DD"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2D00768"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58.08</w:t>
            </w:r>
          </w:p>
        </w:tc>
      </w:tr>
      <w:tr w:rsidR="00000000" w14:paraId="09597B8C" w14:textId="77777777">
        <w:trPr>
          <w:trHeight w:val="20"/>
        </w:trPr>
        <w:tc>
          <w:tcPr>
            <w:tcW w:w="1810" w:type="pct"/>
            <w:tcBorders>
              <w:top w:val="nil"/>
              <w:left w:val="single" w:sz="4" w:space="0" w:color="auto"/>
              <w:bottom w:val="single" w:sz="4" w:space="0" w:color="auto"/>
              <w:right w:val="single" w:sz="4" w:space="0" w:color="auto"/>
            </w:tcBorders>
            <w:vAlign w:val="center"/>
          </w:tcPr>
          <w:p w14:paraId="154A5FB2"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6145FD96"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51E6019"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63.08</w:t>
            </w:r>
          </w:p>
        </w:tc>
      </w:tr>
      <w:tr w:rsidR="00000000" w14:paraId="5D846D48" w14:textId="77777777">
        <w:trPr>
          <w:trHeight w:val="20"/>
        </w:trPr>
        <w:tc>
          <w:tcPr>
            <w:tcW w:w="1810" w:type="pct"/>
            <w:tcBorders>
              <w:top w:val="nil"/>
              <w:left w:val="single" w:sz="4" w:space="0" w:color="auto"/>
              <w:bottom w:val="single" w:sz="4" w:space="0" w:color="auto"/>
              <w:right w:val="single" w:sz="4" w:space="0" w:color="auto"/>
            </w:tcBorders>
            <w:vAlign w:val="center"/>
          </w:tcPr>
          <w:p w14:paraId="48E562E1"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230F3459"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957EF4F"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61.76</w:t>
            </w:r>
          </w:p>
        </w:tc>
      </w:tr>
      <w:tr w:rsidR="00000000" w14:paraId="40165BD8" w14:textId="77777777">
        <w:trPr>
          <w:trHeight w:val="20"/>
        </w:trPr>
        <w:tc>
          <w:tcPr>
            <w:tcW w:w="1810" w:type="pct"/>
            <w:tcBorders>
              <w:top w:val="nil"/>
              <w:left w:val="single" w:sz="4" w:space="0" w:color="auto"/>
              <w:bottom w:val="single" w:sz="4" w:space="0" w:color="auto"/>
              <w:right w:val="single" w:sz="4" w:space="0" w:color="auto"/>
            </w:tcBorders>
            <w:vAlign w:val="center"/>
          </w:tcPr>
          <w:p w14:paraId="3C615D37"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7E41DCB2"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FBC9113"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61.34</w:t>
            </w:r>
          </w:p>
        </w:tc>
      </w:tr>
      <w:tr w:rsidR="00000000" w14:paraId="37833FC5" w14:textId="77777777">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34CE546C"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6A897CBD" w14:textId="77777777" w:rsidR="00000000" w:rsidRDefault="00000000">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57.35</w:t>
            </w:r>
          </w:p>
        </w:tc>
      </w:tr>
    </w:tbl>
    <w:p w14:paraId="41322BA1" w14:textId="77777777" w:rsidR="00000000" w:rsidRDefault="00000000">
      <w:pPr>
        <w:pStyle w:val="22"/>
        <w:autoSpaceDE w:val="0"/>
        <w:autoSpaceDN w:val="0"/>
        <w:spacing w:beforeLines="100" w:before="240" w:line="240" w:lineRule="auto"/>
        <w:ind w:firstLineChars="150" w:firstLine="315"/>
        <w:jc w:val="both"/>
        <w:textAlignment w:val="bottom"/>
        <w:rPr>
          <w:rFonts w:ascii="Arial" w:hAnsi="Arial" w:cs="Arial"/>
          <w:sz w:val="21"/>
          <w:szCs w:val="21"/>
        </w:rPr>
      </w:pPr>
      <w:r>
        <w:rPr>
          <w:rFonts w:ascii="Arial" w:hAnsi="Arial" w:cs="Arial"/>
          <w:sz w:val="21"/>
          <w:szCs w:val="21"/>
        </w:rPr>
        <w:t>样本小区三：</w:t>
      </w:r>
      <w:r>
        <w:rPr>
          <w:rFonts w:ascii="Arial" w:hAnsi="Arial" w:cs="Arial" w:hint="eastAsia"/>
          <w:sz w:val="21"/>
          <w:szCs w:val="21"/>
        </w:rPr>
        <w:t>南海家园四里</w:t>
      </w:r>
    </w:p>
    <w:tbl>
      <w:tblPr>
        <w:tblW w:w="5000" w:type="pct"/>
        <w:tblInd w:w="0" w:type="dxa"/>
        <w:tblLook w:val="0000" w:firstRow="0" w:lastRow="0" w:firstColumn="0" w:lastColumn="0" w:noHBand="0" w:noVBand="0"/>
      </w:tblPr>
      <w:tblGrid>
        <w:gridCol w:w="3362"/>
        <w:gridCol w:w="1743"/>
        <w:gridCol w:w="4184"/>
      </w:tblGrid>
      <w:tr w:rsidR="00000000" w14:paraId="75149D6D" w14:textId="77777777">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CC088C5" w14:textId="77777777" w:rsidR="00000000" w:rsidRDefault="00000000">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414BB9C5" w14:textId="77777777" w:rsidR="00000000" w:rsidRDefault="00000000">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12289FE" w14:textId="77777777" w:rsidR="00000000" w:rsidRDefault="00000000">
            <w:pPr>
              <w:widowControl/>
              <w:adjustRightInd/>
              <w:spacing w:line="240" w:lineRule="atLeast"/>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租金平均单价（元/平方米·月）</w:t>
            </w:r>
          </w:p>
        </w:tc>
      </w:tr>
      <w:tr w:rsidR="00000000" w14:paraId="73123912" w14:textId="77777777">
        <w:trPr>
          <w:trHeight w:val="20"/>
        </w:trPr>
        <w:tc>
          <w:tcPr>
            <w:tcW w:w="1810" w:type="pct"/>
            <w:tcBorders>
              <w:top w:val="nil"/>
              <w:left w:val="single" w:sz="4" w:space="0" w:color="auto"/>
              <w:bottom w:val="single" w:sz="4" w:space="0" w:color="auto"/>
              <w:right w:val="single" w:sz="4" w:space="0" w:color="auto"/>
            </w:tcBorders>
            <w:vAlign w:val="center"/>
          </w:tcPr>
          <w:p w14:paraId="32E85BBB"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1713D599"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EF61F0D"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68.84</w:t>
            </w:r>
          </w:p>
        </w:tc>
      </w:tr>
      <w:tr w:rsidR="00000000" w14:paraId="59FABFC7" w14:textId="77777777">
        <w:trPr>
          <w:trHeight w:val="20"/>
        </w:trPr>
        <w:tc>
          <w:tcPr>
            <w:tcW w:w="1810" w:type="pct"/>
            <w:tcBorders>
              <w:top w:val="nil"/>
              <w:left w:val="single" w:sz="4" w:space="0" w:color="auto"/>
              <w:bottom w:val="single" w:sz="4" w:space="0" w:color="auto"/>
              <w:right w:val="single" w:sz="4" w:space="0" w:color="auto"/>
            </w:tcBorders>
            <w:vAlign w:val="center"/>
          </w:tcPr>
          <w:p w14:paraId="1D24516A"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15541C50"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6CEE381"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59.45</w:t>
            </w:r>
          </w:p>
        </w:tc>
      </w:tr>
      <w:tr w:rsidR="00000000" w14:paraId="61C5C70F" w14:textId="77777777">
        <w:trPr>
          <w:trHeight w:val="20"/>
        </w:trPr>
        <w:tc>
          <w:tcPr>
            <w:tcW w:w="1810" w:type="pct"/>
            <w:tcBorders>
              <w:top w:val="nil"/>
              <w:left w:val="single" w:sz="4" w:space="0" w:color="auto"/>
              <w:bottom w:val="single" w:sz="4" w:space="0" w:color="auto"/>
              <w:right w:val="single" w:sz="4" w:space="0" w:color="auto"/>
            </w:tcBorders>
            <w:vAlign w:val="center"/>
          </w:tcPr>
          <w:p w14:paraId="039C0F10"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14FA7D28"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8A01EAD"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53.26</w:t>
            </w:r>
          </w:p>
        </w:tc>
      </w:tr>
      <w:tr w:rsidR="00000000" w14:paraId="065C1C39" w14:textId="77777777">
        <w:trPr>
          <w:trHeight w:val="20"/>
        </w:trPr>
        <w:tc>
          <w:tcPr>
            <w:tcW w:w="1810" w:type="pct"/>
            <w:tcBorders>
              <w:top w:val="nil"/>
              <w:left w:val="single" w:sz="4" w:space="0" w:color="auto"/>
              <w:bottom w:val="single" w:sz="4" w:space="0" w:color="auto"/>
              <w:right w:val="single" w:sz="4" w:space="0" w:color="auto"/>
            </w:tcBorders>
            <w:vAlign w:val="center"/>
          </w:tcPr>
          <w:p w14:paraId="7B728015"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72A8AC92"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BF1627C"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50.18</w:t>
            </w:r>
          </w:p>
        </w:tc>
      </w:tr>
      <w:tr w:rsidR="00000000" w14:paraId="5D03F25F" w14:textId="77777777">
        <w:trPr>
          <w:trHeight w:val="20"/>
        </w:trPr>
        <w:tc>
          <w:tcPr>
            <w:tcW w:w="1810" w:type="pct"/>
            <w:tcBorders>
              <w:top w:val="nil"/>
              <w:left w:val="single" w:sz="4" w:space="0" w:color="auto"/>
              <w:bottom w:val="single" w:sz="4" w:space="0" w:color="auto"/>
              <w:right w:val="single" w:sz="4" w:space="0" w:color="auto"/>
            </w:tcBorders>
            <w:vAlign w:val="center"/>
          </w:tcPr>
          <w:p w14:paraId="16B35CC6"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79FAD5E4"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6EC9459"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48.69</w:t>
            </w:r>
          </w:p>
        </w:tc>
      </w:tr>
      <w:tr w:rsidR="00000000" w14:paraId="443B09B6" w14:textId="77777777">
        <w:trPr>
          <w:trHeight w:val="20"/>
        </w:trPr>
        <w:tc>
          <w:tcPr>
            <w:tcW w:w="1810" w:type="pct"/>
            <w:tcBorders>
              <w:top w:val="nil"/>
              <w:left w:val="single" w:sz="4" w:space="0" w:color="auto"/>
              <w:bottom w:val="single" w:sz="4" w:space="0" w:color="auto"/>
              <w:right w:val="single" w:sz="4" w:space="0" w:color="auto"/>
            </w:tcBorders>
            <w:vAlign w:val="center"/>
          </w:tcPr>
          <w:p w14:paraId="7B7610C2"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7B6DD20B"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F1FDBAB"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48.82</w:t>
            </w:r>
          </w:p>
        </w:tc>
      </w:tr>
      <w:tr w:rsidR="00000000" w14:paraId="012A033A" w14:textId="77777777">
        <w:trPr>
          <w:trHeight w:val="20"/>
        </w:trPr>
        <w:tc>
          <w:tcPr>
            <w:tcW w:w="1810" w:type="pct"/>
            <w:tcBorders>
              <w:top w:val="nil"/>
              <w:left w:val="single" w:sz="4" w:space="0" w:color="auto"/>
              <w:bottom w:val="single" w:sz="4" w:space="0" w:color="auto"/>
              <w:right w:val="single" w:sz="4" w:space="0" w:color="auto"/>
            </w:tcBorders>
            <w:vAlign w:val="center"/>
          </w:tcPr>
          <w:p w14:paraId="27F055BF"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A1656EE"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611BA6E"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42.53</w:t>
            </w:r>
          </w:p>
        </w:tc>
      </w:tr>
      <w:tr w:rsidR="00000000" w14:paraId="0399BD55" w14:textId="77777777">
        <w:trPr>
          <w:trHeight w:val="20"/>
        </w:trPr>
        <w:tc>
          <w:tcPr>
            <w:tcW w:w="1810" w:type="pct"/>
            <w:tcBorders>
              <w:top w:val="nil"/>
              <w:left w:val="single" w:sz="4" w:space="0" w:color="auto"/>
              <w:bottom w:val="single" w:sz="4" w:space="0" w:color="auto"/>
              <w:right w:val="single" w:sz="4" w:space="0" w:color="auto"/>
            </w:tcBorders>
            <w:vAlign w:val="center"/>
          </w:tcPr>
          <w:p w14:paraId="43CA85D0"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4B7C49D0"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A28A047"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54.4</w:t>
            </w:r>
          </w:p>
        </w:tc>
      </w:tr>
      <w:tr w:rsidR="00000000" w14:paraId="0EC6AB73" w14:textId="77777777">
        <w:trPr>
          <w:trHeight w:val="20"/>
        </w:trPr>
        <w:tc>
          <w:tcPr>
            <w:tcW w:w="1810" w:type="pct"/>
            <w:tcBorders>
              <w:top w:val="nil"/>
              <w:left w:val="single" w:sz="4" w:space="0" w:color="auto"/>
              <w:bottom w:val="single" w:sz="4" w:space="0" w:color="auto"/>
              <w:right w:val="single" w:sz="4" w:space="0" w:color="auto"/>
            </w:tcBorders>
            <w:vAlign w:val="center"/>
          </w:tcPr>
          <w:p w14:paraId="3C010AF8"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0F0EA290"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F7F3951"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48.09</w:t>
            </w:r>
          </w:p>
        </w:tc>
      </w:tr>
      <w:tr w:rsidR="00000000" w14:paraId="119E6561" w14:textId="77777777">
        <w:trPr>
          <w:trHeight w:val="20"/>
        </w:trPr>
        <w:tc>
          <w:tcPr>
            <w:tcW w:w="1810" w:type="pct"/>
            <w:tcBorders>
              <w:top w:val="nil"/>
              <w:left w:val="single" w:sz="4" w:space="0" w:color="auto"/>
              <w:bottom w:val="single" w:sz="4" w:space="0" w:color="auto"/>
              <w:right w:val="single" w:sz="4" w:space="0" w:color="auto"/>
            </w:tcBorders>
            <w:vAlign w:val="center"/>
          </w:tcPr>
          <w:p w14:paraId="76AC1824"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43271437"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D3F54A0"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52.67</w:t>
            </w:r>
          </w:p>
        </w:tc>
      </w:tr>
      <w:tr w:rsidR="00000000" w14:paraId="7CD51766" w14:textId="77777777">
        <w:trPr>
          <w:trHeight w:val="20"/>
        </w:trPr>
        <w:tc>
          <w:tcPr>
            <w:tcW w:w="1810" w:type="pct"/>
            <w:tcBorders>
              <w:top w:val="nil"/>
              <w:left w:val="single" w:sz="4" w:space="0" w:color="auto"/>
              <w:bottom w:val="single" w:sz="4" w:space="0" w:color="auto"/>
              <w:right w:val="single" w:sz="4" w:space="0" w:color="auto"/>
            </w:tcBorders>
            <w:vAlign w:val="center"/>
          </w:tcPr>
          <w:p w14:paraId="04A3F942"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219E033D"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5EEFFB8"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55.36</w:t>
            </w:r>
          </w:p>
        </w:tc>
      </w:tr>
      <w:tr w:rsidR="00000000" w14:paraId="11F29678" w14:textId="77777777">
        <w:trPr>
          <w:trHeight w:val="20"/>
        </w:trPr>
        <w:tc>
          <w:tcPr>
            <w:tcW w:w="1810" w:type="pct"/>
            <w:tcBorders>
              <w:top w:val="nil"/>
              <w:left w:val="single" w:sz="4" w:space="0" w:color="auto"/>
              <w:bottom w:val="single" w:sz="4" w:space="0" w:color="auto"/>
              <w:right w:val="single" w:sz="4" w:space="0" w:color="auto"/>
            </w:tcBorders>
            <w:vAlign w:val="center"/>
          </w:tcPr>
          <w:p w14:paraId="15EF90EE"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2297AB17"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F8B66C6"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58.56</w:t>
            </w:r>
          </w:p>
        </w:tc>
      </w:tr>
      <w:tr w:rsidR="00000000" w14:paraId="31764DC0" w14:textId="77777777">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22833996" w14:textId="77777777" w:rsidR="00000000" w:rsidRDefault="0000000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F44E79E" w14:textId="77777777" w:rsidR="00000000" w:rsidRDefault="00000000">
            <w:pPr>
              <w:widowControl/>
              <w:adjustRightInd/>
              <w:spacing w:line="240" w:lineRule="atLeast"/>
              <w:jc w:val="center"/>
              <w:textAlignment w:val="auto"/>
              <w:rPr>
                <w:rFonts w:ascii="Arial" w:eastAsia="华文细黑" w:hAnsi="Arial" w:cs="Arial" w:hint="eastAsia"/>
                <w:sz w:val="18"/>
                <w:szCs w:val="18"/>
              </w:rPr>
            </w:pPr>
            <w:r>
              <w:rPr>
                <w:rFonts w:ascii="Arial" w:eastAsia="华文细黑" w:hAnsi="Arial" w:cs="Arial" w:hint="eastAsia"/>
                <w:sz w:val="18"/>
                <w:szCs w:val="18"/>
              </w:rPr>
              <w:t>53.40</w:t>
            </w:r>
          </w:p>
        </w:tc>
      </w:tr>
    </w:tbl>
    <w:p w14:paraId="22917ED1" w14:textId="77777777" w:rsidR="00000000" w:rsidRDefault="00000000">
      <w:pPr>
        <w:pStyle w:val="Normal"/>
        <w:autoSpaceDE w:val="0"/>
        <w:autoSpaceDN w:val="0"/>
        <w:spacing w:beforeLines="100" w:before="240" w:line="480" w:lineRule="auto"/>
        <w:ind w:firstLineChars="200" w:firstLine="360"/>
        <w:jc w:val="both"/>
        <w:textAlignment w:val="bottom"/>
        <w:rPr>
          <w:rFonts w:ascii="Arial" w:hAnsi="Arial" w:cs="Arial"/>
          <w:color w:val="000000"/>
          <w:sz w:val="18"/>
          <w:szCs w:val="18"/>
        </w:rPr>
      </w:pPr>
      <w:r>
        <w:rPr>
          <w:rFonts w:ascii="Arial" w:hAnsi="Arial" w:cs="Arial" w:hint="eastAsia"/>
          <w:color w:val="000000"/>
          <w:sz w:val="18"/>
          <w:szCs w:val="18"/>
        </w:rPr>
        <w:t>注：上述样本小区租金包括地租、房屋折旧、设备折旧、维修费、保险费、物业费、管理费、利息、利润等；不含供暖费、水电费、天然气费、通信费、有线电视费、上网宽带费和</w:t>
      </w:r>
      <w:commentRangeStart w:id="60"/>
      <w:r>
        <w:rPr>
          <w:rFonts w:ascii="Arial" w:hAnsi="Arial" w:cs="Arial" w:hint="eastAsia"/>
          <w:color w:val="000000"/>
          <w:sz w:val="18"/>
          <w:szCs w:val="18"/>
        </w:rPr>
        <w:t>家具、家电</w:t>
      </w:r>
      <w:commentRangeEnd w:id="60"/>
      <w:r w:rsidR="00BE0CF3">
        <w:rPr>
          <w:rStyle w:val="afa"/>
          <w:rFonts w:ascii="Times New Roman"/>
        </w:rPr>
        <w:commentReference w:id="60"/>
      </w:r>
      <w:r>
        <w:rPr>
          <w:rFonts w:ascii="Arial" w:hAnsi="Arial" w:cs="Arial" w:hint="eastAsia"/>
          <w:color w:val="000000"/>
          <w:sz w:val="18"/>
          <w:szCs w:val="18"/>
        </w:rPr>
        <w:t>租赁费及租赁税费等。</w:t>
      </w:r>
    </w:p>
    <w:p w14:paraId="42BAD704" w14:textId="77777777" w:rsidR="00000000" w:rsidRDefault="00000000">
      <w:pPr>
        <w:pStyle w:val="Normal"/>
        <w:autoSpaceDE w:val="0"/>
        <w:autoSpaceDN w:val="0"/>
        <w:spacing w:line="480" w:lineRule="auto"/>
        <w:ind w:firstLineChars="200" w:firstLine="420"/>
        <w:jc w:val="both"/>
        <w:textAlignment w:val="bottom"/>
        <w:rPr>
          <w:rFonts w:ascii="Arial" w:hAnsi="Arial" w:cs="Arial" w:hint="eastAsia"/>
          <w:color w:val="000000"/>
          <w:sz w:val="21"/>
          <w:szCs w:val="21"/>
        </w:rPr>
      </w:pPr>
      <w:r>
        <w:rPr>
          <w:rFonts w:hAnsi="宋体" w:cs="Arial"/>
          <w:color w:val="000000"/>
          <w:sz w:val="21"/>
          <w:szCs w:val="21"/>
        </w:rPr>
        <w:br w:type="page"/>
      </w:r>
      <w:r>
        <w:rPr>
          <w:rFonts w:hAnsi="宋体" w:cs="Arial" w:hint="eastAsia"/>
          <w:color w:val="000000"/>
          <w:sz w:val="21"/>
          <w:szCs w:val="21"/>
        </w:rPr>
        <w:lastRenderedPageBreak/>
        <w:t>（3）确定可比实例年平均租金水平</w:t>
      </w:r>
    </w:p>
    <w:p w14:paraId="14D78C0C" w14:textId="77777777" w:rsidR="00000000" w:rsidRDefault="00000000">
      <w:pPr>
        <w:pStyle w:val="Normal"/>
        <w:autoSpaceDE w:val="0"/>
        <w:autoSpaceDN w:val="0"/>
        <w:spacing w:line="480" w:lineRule="auto"/>
        <w:ind w:firstLineChars="200" w:firstLine="420"/>
        <w:jc w:val="both"/>
        <w:textAlignment w:val="bottom"/>
        <w:rPr>
          <w:rFonts w:ascii="Arial" w:hAnsi="Arial" w:cs="Arial" w:hint="eastAsia"/>
          <w:color w:val="000000"/>
          <w:sz w:val="21"/>
          <w:szCs w:val="21"/>
        </w:rPr>
      </w:pPr>
      <w:r>
        <w:rPr>
          <w:rFonts w:ascii="Arial" w:hAnsi="Arial" w:cs="Arial" w:hint="eastAsia"/>
          <w:color w:val="000000"/>
          <w:sz w:val="21"/>
          <w:szCs w:val="21"/>
        </w:rPr>
        <w:t>结合三方面数据</w:t>
      </w:r>
      <w:r>
        <w:rPr>
          <w:rFonts w:ascii="Arial" w:hAnsi="Arial" w:cs="Arial" w:hint="eastAsia"/>
          <w:color w:val="000000"/>
          <w:sz w:val="21"/>
          <w:szCs w:val="21"/>
        </w:rPr>
        <w:t>,</w:t>
      </w:r>
      <w:r>
        <w:rPr>
          <w:rFonts w:ascii="Arial" w:hAnsi="Arial" w:cs="Arial" w:hint="eastAsia"/>
          <w:color w:val="000000"/>
          <w:sz w:val="21"/>
          <w:szCs w:val="21"/>
        </w:rPr>
        <w:t>本次估价从评估专业人员掌握的交易实例中选取悦廷、</w:t>
      </w:r>
      <w:commentRangeStart w:id="61"/>
      <w:r>
        <w:rPr>
          <w:rFonts w:ascii="Arial" w:hAnsi="Arial" w:cs="Arial" w:hint="eastAsia"/>
          <w:color w:val="000000"/>
          <w:sz w:val="21"/>
          <w:szCs w:val="21"/>
        </w:rPr>
        <w:t>鹿海园三里</w:t>
      </w:r>
      <w:commentRangeEnd w:id="61"/>
      <w:r w:rsidR="00BE0CF3">
        <w:rPr>
          <w:rStyle w:val="afa"/>
          <w:rFonts w:ascii="Times New Roman"/>
        </w:rPr>
        <w:commentReference w:id="61"/>
      </w:r>
      <w:r>
        <w:rPr>
          <w:rFonts w:ascii="Arial" w:hAnsi="Arial" w:cs="Arial" w:hint="eastAsia"/>
          <w:color w:val="000000"/>
          <w:sz w:val="21"/>
          <w:szCs w:val="21"/>
        </w:rPr>
        <w:t>、</w:t>
      </w:r>
      <w:commentRangeStart w:id="62"/>
      <w:r>
        <w:rPr>
          <w:rFonts w:ascii="Arial" w:hAnsi="Arial" w:cs="Arial" w:hint="eastAsia"/>
          <w:color w:val="000000"/>
          <w:sz w:val="21"/>
          <w:szCs w:val="21"/>
        </w:rPr>
        <w:t>南海家园三里</w:t>
      </w:r>
      <w:commentRangeEnd w:id="62"/>
      <w:r w:rsidR="00BE0CF3">
        <w:rPr>
          <w:rStyle w:val="afa"/>
          <w:rFonts w:ascii="Times New Roman"/>
        </w:rPr>
        <w:commentReference w:id="62"/>
      </w:r>
      <w:r>
        <w:rPr>
          <w:rFonts w:ascii="Arial" w:hAnsi="Arial" w:cs="Arial" w:hint="eastAsia"/>
          <w:color w:val="000000"/>
          <w:sz w:val="21"/>
          <w:szCs w:val="21"/>
        </w:rPr>
        <w:t xml:space="preserve">3 </w:t>
      </w:r>
      <w:r>
        <w:rPr>
          <w:rFonts w:ascii="Arial" w:hAnsi="Arial" w:cs="Arial" w:hint="eastAsia"/>
          <w:color w:val="000000"/>
          <w:sz w:val="21"/>
          <w:szCs w:val="21"/>
        </w:rPr>
        <w:t>个普通住宅小区作为可比实例。</w:t>
      </w:r>
    </w:p>
    <w:p w14:paraId="2C2468CD" w14:textId="77777777" w:rsidR="00000000" w:rsidRDefault="00000000">
      <w:pPr>
        <w:pStyle w:val="Normal"/>
        <w:autoSpaceDE w:val="0"/>
        <w:autoSpaceDN w:val="0"/>
        <w:spacing w:line="480" w:lineRule="auto"/>
        <w:ind w:firstLineChars="200" w:firstLine="420"/>
        <w:jc w:val="both"/>
        <w:textAlignment w:val="bottom"/>
        <w:rPr>
          <w:rFonts w:ascii="Arial" w:hAnsi="Arial" w:cs="Arial" w:hint="eastAsia"/>
          <w:color w:val="000000"/>
          <w:sz w:val="21"/>
          <w:szCs w:val="21"/>
        </w:rPr>
      </w:pPr>
      <w:r>
        <w:rPr>
          <w:rFonts w:ascii="Arial" w:hAnsi="Arial" w:cs="Arial" w:hint="eastAsia"/>
          <w:color w:val="000000"/>
          <w:sz w:val="21"/>
          <w:szCs w:val="21"/>
        </w:rPr>
        <w:t>经过统计分析及测算，各小区的数据来源及近一年平均租金水平分别如下：</w:t>
      </w:r>
    </w:p>
    <w:tbl>
      <w:tblPr>
        <w:tblW w:w="5000" w:type="pct"/>
        <w:tblInd w:w="0" w:type="dxa"/>
        <w:tblLook w:val="0000" w:firstRow="0" w:lastRow="0" w:firstColumn="0" w:lastColumn="0" w:noHBand="0" w:noVBand="0"/>
      </w:tblPr>
      <w:tblGrid>
        <w:gridCol w:w="3979"/>
        <w:gridCol w:w="1860"/>
        <w:gridCol w:w="1725"/>
        <w:gridCol w:w="1725"/>
      </w:tblGrid>
      <w:tr w:rsidR="00000000" w14:paraId="1D0558F0" w14:textId="77777777">
        <w:trPr>
          <w:trHeight w:val="440"/>
        </w:trPr>
        <w:tc>
          <w:tcPr>
            <w:tcW w:w="2142" w:type="pct"/>
            <w:tcBorders>
              <w:top w:val="single" w:sz="4" w:space="0" w:color="auto"/>
              <w:left w:val="single" w:sz="4" w:space="0" w:color="auto"/>
              <w:bottom w:val="single" w:sz="4" w:space="0" w:color="auto"/>
              <w:right w:val="single" w:sz="4" w:space="0" w:color="auto"/>
            </w:tcBorders>
            <w:vAlign w:val="center"/>
          </w:tcPr>
          <w:p w14:paraId="0BD53C0B"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数据来源</w:t>
            </w:r>
          </w:p>
        </w:tc>
        <w:tc>
          <w:tcPr>
            <w:tcW w:w="1907" w:type="dxa"/>
            <w:tcBorders>
              <w:top w:val="single" w:sz="4" w:space="0" w:color="auto"/>
              <w:left w:val="nil"/>
              <w:bottom w:val="single" w:sz="4" w:space="0" w:color="auto"/>
              <w:right w:val="single" w:sz="4" w:space="0" w:color="auto"/>
            </w:tcBorders>
            <w:vAlign w:val="center"/>
          </w:tcPr>
          <w:p w14:paraId="0E6D34FC"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sz w:val="18"/>
                <w:szCs w:val="18"/>
              </w:rPr>
              <w:t>悦廷</w:t>
            </w:r>
          </w:p>
        </w:tc>
        <w:tc>
          <w:tcPr>
            <w:tcW w:w="1766" w:type="dxa"/>
            <w:tcBorders>
              <w:top w:val="single" w:sz="4" w:space="0" w:color="auto"/>
              <w:left w:val="nil"/>
              <w:bottom w:val="single" w:sz="4" w:space="0" w:color="auto"/>
              <w:right w:val="single" w:sz="4" w:space="0" w:color="auto"/>
            </w:tcBorders>
            <w:vAlign w:val="center"/>
          </w:tcPr>
          <w:p w14:paraId="0E9669DD"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sz w:val="18"/>
                <w:szCs w:val="18"/>
              </w:rPr>
              <w:t>中信新城西区</w:t>
            </w:r>
          </w:p>
        </w:tc>
        <w:tc>
          <w:tcPr>
            <w:tcW w:w="1766" w:type="dxa"/>
            <w:tcBorders>
              <w:top w:val="single" w:sz="4" w:space="0" w:color="auto"/>
              <w:left w:val="nil"/>
              <w:bottom w:val="single" w:sz="4" w:space="0" w:color="auto"/>
              <w:right w:val="single" w:sz="4" w:space="0" w:color="auto"/>
            </w:tcBorders>
            <w:vAlign w:val="center"/>
          </w:tcPr>
          <w:p w14:paraId="3B67ED3F"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sz w:val="18"/>
                <w:szCs w:val="18"/>
              </w:rPr>
              <w:t>南海家园四里</w:t>
            </w:r>
          </w:p>
        </w:tc>
      </w:tr>
      <w:tr w:rsidR="00000000" w14:paraId="67C2A790" w14:textId="77777777">
        <w:trPr>
          <w:trHeight w:val="480"/>
        </w:trPr>
        <w:tc>
          <w:tcPr>
            <w:tcW w:w="2142" w:type="pct"/>
            <w:tcBorders>
              <w:top w:val="nil"/>
              <w:left w:val="single" w:sz="4" w:space="0" w:color="auto"/>
              <w:bottom w:val="single" w:sz="4" w:space="0" w:color="auto"/>
              <w:right w:val="single" w:sz="4" w:space="0" w:color="auto"/>
            </w:tcBorders>
            <w:vAlign w:val="center"/>
          </w:tcPr>
          <w:p w14:paraId="7131BADD"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估价机构样本数据</w:t>
            </w:r>
          </w:p>
        </w:tc>
        <w:tc>
          <w:tcPr>
            <w:tcW w:w="1907" w:type="dxa"/>
            <w:tcBorders>
              <w:top w:val="nil"/>
              <w:left w:val="nil"/>
              <w:bottom w:val="single" w:sz="4" w:space="0" w:color="auto"/>
              <w:right w:val="single" w:sz="4" w:space="0" w:color="auto"/>
            </w:tcBorders>
            <w:vAlign w:val="center"/>
          </w:tcPr>
          <w:p w14:paraId="1BDA9BA9"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sz w:val="18"/>
                <w:szCs w:val="18"/>
              </w:rPr>
              <w:t>61.92</w:t>
            </w:r>
          </w:p>
        </w:tc>
        <w:tc>
          <w:tcPr>
            <w:tcW w:w="1766" w:type="dxa"/>
            <w:tcBorders>
              <w:top w:val="nil"/>
              <w:left w:val="nil"/>
              <w:bottom w:val="single" w:sz="4" w:space="0" w:color="auto"/>
              <w:right w:val="single" w:sz="4" w:space="0" w:color="auto"/>
            </w:tcBorders>
            <w:vAlign w:val="center"/>
          </w:tcPr>
          <w:p w14:paraId="2C92611C"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sz w:val="18"/>
                <w:szCs w:val="18"/>
              </w:rPr>
              <w:t>64.36</w:t>
            </w:r>
          </w:p>
        </w:tc>
        <w:tc>
          <w:tcPr>
            <w:tcW w:w="1766" w:type="dxa"/>
            <w:tcBorders>
              <w:top w:val="nil"/>
              <w:left w:val="nil"/>
              <w:bottom w:val="single" w:sz="4" w:space="0" w:color="auto"/>
              <w:right w:val="single" w:sz="4" w:space="0" w:color="auto"/>
            </w:tcBorders>
            <w:vAlign w:val="center"/>
          </w:tcPr>
          <w:p w14:paraId="06A44A4A"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sz w:val="18"/>
                <w:szCs w:val="18"/>
              </w:rPr>
              <w:t>56.23</w:t>
            </w:r>
          </w:p>
        </w:tc>
      </w:tr>
      <w:tr w:rsidR="00000000" w14:paraId="4C205C2A" w14:textId="77777777">
        <w:trPr>
          <w:trHeight w:val="480"/>
        </w:trPr>
        <w:tc>
          <w:tcPr>
            <w:tcW w:w="2142" w:type="pct"/>
            <w:tcBorders>
              <w:top w:val="nil"/>
              <w:left w:val="single" w:sz="4" w:space="0" w:color="auto"/>
              <w:bottom w:val="single" w:sz="4" w:space="0" w:color="auto"/>
              <w:right w:val="single" w:sz="4" w:space="0" w:color="auto"/>
            </w:tcBorders>
            <w:vAlign w:val="center"/>
          </w:tcPr>
          <w:p w14:paraId="31A31F5F"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市场调查数据</w:t>
            </w:r>
          </w:p>
        </w:tc>
        <w:tc>
          <w:tcPr>
            <w:tcW w:w="1907" w:type="dxa"/>
            <w:tcBorders>
              <w:top w:val="nil"/>
              <w:left w:val="nil"/>
              <w:bottom w:val="single" w:sz="4" w:space="0" w:color="auto"/>
              <w:right w:val="single" w:sz="4" w:space="0" w:color="auto"/>
            </w:tcBorders>
            <w:vAlign w:val="center"/>
          </w:tcPr>
          <w:p w14:paraId="59F7541B"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sz w:val="18"/>
                <w:szCs w:val="18"/>
              </w:rPr>
              <w:t>61.29</w:t>
            </w:r>
          </w:p>
        </w:tc>
        <w:tc>
          <w:tcPr>
            <w:tcW w:w="1766" w:type="dxa"/>
            <w:tcBorders>
              <w:top w:val="nil"/>
              <w:left w:val="nil"/>
              <w:bottom w:val="single" w:sz="4" w:space="0" w:color="auto"/>
              <w:right w:val="single" w:sz="4" w:space="0" w:color="auto"/>
            </w:tcBorders>
            <w:vAlign w:val="center"/>
          </w:tcPr>
          <w:p w14:paraId="00626C6D"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sz w:val="18"/>
                <w:szCs w:val="18"/>
              </w:rPr>
              <w:t>56.31</w:t>
            </w:r>
          </w:p>
        </w:tc>
        <w:tc>
          <w:tcPr>
            <w:tcW w:w="1766" w:type="dxa"/>
            <w:tcBorders>
              <w:top w:val="nil"/>
              <w:left w:val="nil"/>
              <w:bottom w:val="single" w:sz="4" w:space="0" w:color="auto"/>
              <w:right w:val="single" w:sz="4" w:space="0" w:color="auto"/>
            </w:tcBorders>
            <w:vAlign w:val="center"/>
          </w:tcPr>
          <w:p w14:paraId="5AE63231"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sz w:val="18"/>
                <w:szCs w:val="18"/>
              </w:rPr>
              <w:t>55.65</w:t>
            </w:r>
          </w:p>
        </w:tc>
      </w:tr>
      <w:tr w:rsidR="00000000" w14:paraId="7B829706" w14:textId="77777777">
        <w:trPr>
          <w:trHeight w:val="480"/>
        </w:trPr>
        <w:tc>
          <w:tcPr>
            <w:tcW w:w="2142" w:type="pct"/>
            <w:tcBorders>
              <w:top w:val="nil"/>
              <w:left w:val="single" w:sz="4" w:space="0" w:color="auto"/>
              <w:bottom w:val="single" w:sz="4" w:space="0" w:color="auto"/>
              <w:right w:val="single" w:sz="4" w:space="0" w:color="auto"/>
            </w:tcBorders>
            <w:vAlign w:val="center"/>
          </w:tcPr>
          <w:p w14:paraId="107CA1BC"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北京市房地产市场管理事务中心样本数据</w:t>
            </w:r>
          </w:p>
        </w:tc>
        <w:tc>
          <w:tcPr>
            <w:tcW w:w="1907" w:type="dxa"/>
            <w:tcBorders>
              <w:top w:val="nil"/>
              <w:left w:val="nil"/>
              <w:bottom w:val="single" w:sz="4" w:space="0" w:color="auto"/>
              <w:right w:val="single" w:sz="4" w:space="0" w:color="auto"/>
            </w:tcBorders>
            <w:vAlign w:val="center"/>
          </w:tcPr>
          <w:p w14:paraId="1855610C"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sz w:val="18"/>
                <w:szCs w:val="18"/>
              </w:rPr>
              <w:t>60.74</w:t>
            </w:r>
          </w:p>
        </w:tc>
        <w:tc>
          <w:tcPr>
            <w:tcW w:w="1766" w:type="dxa"/>
            <w:tcBorders>
              <w:top w:val="nil"/>
              <w:left w:val="nil"/>
              <w:bottom w:val="single" w:sz="4" w:space="0" w:color="auto"/>
              <w:right w:val="single" w:sz="4" w:space="0" w:color="auto"/>
            </w:tcBorders>
            <w:vAlign w:val="center"/>
          </w:tcPr>
          <w:p w14:paraId="1E78C23B"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sz w:val="18"/>
                <w:szCs w:val="18"/>
              </w:rPr>
              <w:t>57.35</w:t>
            </w:r>
          </w:p>
        </w:tc>
        <w:tc>
          <w:tcPr>
            <w:tcW w:w="1766" w:type="dxa"/>
            <w:tcBorders>
              <w:top w:val="nil"/>
              <w:left w:val="nil"/>
              <w:bottom w:val="single" w:sz="4" w:space="0" w:color="auto"/>
              <w:right w:val="single" w:sz="4" w:space="0" w:color="auto"/>
            </w:tcBorders>
            <w:vAlign w:val="center"/>
          </w:tcPr>
          <w:p w14:paraId="19C0261B"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sz w:val="18"/>
                <w:szCs w:val="18"/>
              </w:rPr>
              <w:t>53.40</w:t>
            </w:r>
          </w:p>
        </w:tc>
      </w:tr>
      <w:tr w:rsidR="00000000" w14:paraId="6986576C" w14:textId="77777777">
        <w:trPr>
          <w:trHeight w:val="467"/>
        </w:trPr>
        <w:tc>
          <w:tcPr>
            <w:tcW w:w="2142" w:type="pct"/>
            <w:tcBorders>
              <w:top w:val="nil"/>
              <w:left w:val="single" w:sz="4" w:space="0" w:color="auto"/>
              <w:bottom w:val="single" w:sz="4" w:space="0" w:color="auto"/>
              <w:right w:val="single" w:sz="4" w:space="0" w:color="auto"/>
            </w:tcBorders>
            <w:vAlign w:val="center"/>
          </w:tcPr>
          <w:p w14:paraId="5BE8AA61"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平均价</w:t>
            </w:r>
          </w:p>
        </w:tc>
        <w:tc>
          <w:tcPr>
            <w:tcW w:w="1907" w:type="dxa"/>
            <w:tcBorders>
              <w:top w:val="nil"/>
              <w:left w:val="nil"/>
              <w:bottom w:val="single" w:sz="4" w:space="0" w:color="auto"/>
              <w:right w:val="single" w:sz="4" w:space="0" w:color="auto"/>
            </w:tcBorders>
            <w:vAlign w:val="center"/>
          </w:tcPr>
          <w:p w14:paraId="07DD25FB"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sz w:val="18"/>
                <w:szCs w:val="18"/>
              </w:rPr>
              <w:t>61.32</w:t>
            </w:r>
          </w:p>
        </w:tc>
        <w:tc>
          <w:tcPr>
            <w:tcW w:w="1766" w:type="dxa"/>
            <w:tcBorders>
              <w:top w:val="nil"/>
              <w:left w:val="nil"/>
              <w:bottom w:val="single" w:sz="4" w:space="0" w:color="auto"/>
              <w:right w:val="single" w:sz="4" w:space="0" w:color="auto"/>
            </w:tcBorders>
            <w:vAlign w:val="center"/>
          </w:tcPr>
          <w:p w14:paraId="4A06C063"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sz w:val="18"/>
                <w:szCs w:val="18"/>
              </w:rPr>
              <w:t>59.34</w:t>
            </w:r>
          </w:p>
        </w:tc>
        <w:tc>
          <w:tcPr>
            <w:tcW w:w="1766" w:type="dxa"/>
            <w:tcBorders>
              <w:top w:val="nil"/>
              <w:left w:val="nil"/>
              <w:bottom w:val="single" w:sz="4" w:space="0" w:color="auto"/>
              <w:right w:val="single" w:sz="4" w:space="0" w:color="auto"/>
            </w:tcBorders>
            <w:vAlign w:val="center"/>
          </w:tcPr>
          <w:p w14:paraId="000F6445" w14:textId="77777777" w:rsidR="00000000" w:rsidRDefault="00000000">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sz w:val="18"/>
                <w:szCs w:val="18"/>
              </w:rPr>
              <w:t>55.09</w:t>
            </w:r>
          </w:p>
        </w:tc>
      </w:tr>
    </w:tbl>
    <w:p w14:paraId="61D4B874" w14:textId="77777777" w:rsidR="00000000" w:rsidRDefault="00000000">
      <w:pPr>
        <w:spacing w:before="22"/>
        <w:ind w:right="370"/>
        <w:rPr>
          <w:rFonts w:hint="eastAsia"/>
          <w:sz w:val="18"/>
        </w:rPr>
      </w:pPr>
      <w:r>
        <w:rPr>
          <w:rFonts w:hint="eastAsia"/>
          <w:sz w:val="18"/>
        </w:rPr>
        <w:t>单位：元</w:t>
      </w:r>
      <w:r>
        <w:rPr>
          <w:rFonts w:eastAsia="Times New Roman"/>
          <w:sz w:val="18"/>
        </w:rPr>
        <w:t>/</w:t>
      </w:r>
      <w:r>
        <w:rPr>
          <w:rFonts w:hint="eastAsia"/>
          <w:sz w:val="18"/>
        </w:rPr>
        <w:t>平方米</w:t>
      </w:r>
      <w:r>
        <w:rPr>
          <w:rFonts w:eastAsia="Times New Roman"/>
          <w:sz w:val="18"/>
        </w:rPr>
        <w:t>·</w:t>
      </w:r>
      <w:r>
        <w:rPr>
          <w:rFonts w:hint="eastAsia"/>
          <w:sz w:val="18"/>
        </w:rPr>
        <w:t>月</w:t>
      </w:r>
    </w:p>
    <w:p w14:paraId="38B52909" w14:textId="77777777" w:rsidR="00000000" w:rsidRDefault="00000000">
      <w:pPr>
        <w:pStyle w:val="22"/>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t>悦廷小区租金平均价＝（</w:t>
      </w:r>
      <w:r>
        <w:rPr>
          <w:rFonts w:ascii="Arial" w:hAnsi="Arial" w:cs="Arial" w:hint="eastAsia"/>
          <w:sz w:val="21"/>
          <w:szCs w:val="21"/>
        </w:rPr>
        <w:t>61.92+61.29+60.74</w:t>
      </w: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Pr>
          <w:rFonts w:ascii="Arial" w:hAnsi="Arial" w:cs="Arial" w:hint="eastAsia"/>
          <w:sz w:val="21"/>
          <w:szCs w:val="21"/>
        </w:rPr>
        <w:t>61.32</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月·㎡）</w:t>
      </w:r>
    </w:p>
    <w:p w14:paraId="18F41184" w14:textId="77777777" w:rsidR="00000000" w:rsidRDefault="00000000">
      <w:pPr>
        <w:pStyle w:val="22"/>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中信新城西区小区租金平均价＝（</w:t>
      </w:r>
      <w:r>
        <w:rPr>
          <w:rFonts w:ascii="Arial" w:hAnsi="Arial" w:cs="Arial" w:hint="eastAsia"/>
          <w:sz w:val="21"/>
          <w:szCs w:val="21"/>
        </w:rPr>
        <w:t>64.36+56.31+57.35</w:t>
      </w: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Pr>
          <w:rFonts w:ascii="Arial" w:hAnsi="Arial" w:cs="Arial" w:hint="eastAsia"/>
          <w:sz w:val="21"/>
          <w:szCs w:val="21"/>
        </w:rPr>
        <w:t>59.34</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月·㎡）</w:t>
      </w:r>
    </w:p>
    <w:p w14:paraId="6650C739" w14:textId="77777777" w:rsidR="00000000" w:rsidRDefault="00000000">
      <w:pPr>
        <w:pStyle w:val="22"/>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南海家园四里小区租金平均价＝（</w:t>
      </w:r>
      <w:r>
        <w:rPr>
          <w:rFonts w:ascii="Arial" w:hAnsi="Arial" w:cs="Arial" w:hint="eastAsia"/>
          <w:sz w:val="21"/>
          <w:szCs w:val="21"/>
        </w:rPr>
        <w:t>56.23+55.65+53.40</w:t>
      </w: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Pr>
          <w:rFonts w:ascii="Arial" w:hAnsi="Arial" w:cs="Arial" w:hint="eastAsia"/>
          <w:sz w:val="21"/>
          <w:szCs w:val="21"/>
        </w:rPr>
        <w:t>55.09</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月·㎡）</w:t>
      </w:r>
    </w:p>
    <w:p w14:paraId="43F7C07B" w14:textId="77777777" w:rsidR="00000000" w:rsidRDefault="00000000">
      <w:pPr>
        <w:spacing w:before="22"/>
        <w:ind w:right="370"/>
        <w:jc w:val="center"/>
        <w:rPr>
          <w:rFonts w:ascii="Arial" w:hAnsi="Arial" w:cs="Arial"/>
          <w:sz w:val="21"/>
          <w:szCs w:val="21"/>
        </w:rPr>
      </w:pPr>
      <w:r>
        <w:rPr>
          <w:rFonts w:ascii="Arial" w:hAnsi="Arial" w:cs="Arial" w:hint="eastAsia"/>
          <w:sz w:val="21"/>
          <w:szCs w:val="21"/>
        </w:rPr>
        <w:t>可比实例外观照片</w:t>
      </w:r>
    </w:p>
    <w:p w14:paraId="12A0024F" w14:textId="77777777" w:rsidR="00000000" w:rsidRDefault="00000000">
      <w:pPr>
        <w:pStyle w:val="a9"/>
        <w:spacing w:before="4"/>
        <w:ind w:firstLineChars="500" w:firstLine="1050"/>
        <w:rPr>
          <w:rFonts w:ascii="Arial" w:eastAsia="宋体" w:hAnsi="Arial" w:cs="Arial"/>
          <w:sz w:val="21"/>
          <w:szCs w:val="21"/>
        </w:rPr>
      </w:pPr>
      <w:r>
        <w:rPr>
          <w:rFonts w:ascii="Arial" w:eastAsia="宋体" w:hAnsi="Arial" w:cs="Arial" w:hint="eastAsia"/>
          <w:sz w:val="21"/>
          <w:szCs w:val="21"/>
        </w:rPr>
        <w:t>悦廷</w:t>
      </w:r>
      <w:r>
        <w:rPr>
          <w:rFonts w:ascii="Arial" w:eastAsia="宋体" w:hAnsi="Arial" w:cs="Arial" w:hint="eastAsia"/>
          <w:sz w:val="21"/>
          <w:szCs w:val="21"/>
        </w:rPr>
        <w:t xml:space="preserve">             </w:t>
      </w:r>
      <w:r>
        <w:rPr>
          <w:rFonts w:ascii="Arial" w:eastAsia="宋体" w:hAnsi="Arial" w:cs="Arial"/>
          <w:sz w:val="21"/>
          <w:szCs w:val="21"/>
        </w:rPr>
        <w:t xml:space="preserve">      </w:t>
      </w:r>
      <w:r>
        <w:rPr>
          <w:rFonts w:ascii="Arial" w:eastAsia="宋体" w:hAnsi="Arial" w:cs="Arial" w:hint="eastAsia"/>
          <w:sz w:val="21"/>
          <w:szCs w:val="21"/>
        </w:rPr>
        <w:t xml:space="preserve">   </w:t>
      </w:r>
      <w:r>
        <w:rPr>
          <w:rFonts w:ascii="Arial" w:eastAsia="宋体" w:hAnsi="Arial" w:cs="Arial" w:hint="eastAsia"/>
          <w:sz w:val="21"/>
          <w:szCs w:val="21"/>
        </w:rPr>
        <w:t>中信新城西区</w:t>
      </w:r>
      <w:r>
        <w:rPr>
          <w:rFonts w:ascii="Arial" w:eastAsia="宋体" w:hAnsi="Arial" w:cs="Arial" w:hint="eastAsia"/>
          <w:sz w:val="21"/>
          <w:szCs w:val="21"/>
        </w:rPr>
        <w:t xml:space="preserve">                  </w:t>
      </w:r>
      <w:r>
        <w:rPr>
          <w:rFonts w:ascii="Arial" w:eastAsia="宋体" w:hAnsi="Arial" w:cs="Arial"/>
          <w:sz w:val="21"/>
          <w:szCs w:val="21"/>
        </w:rPr>
        <w:t xml:space="preserve">  </w:t>
      </w:r>
      <w:r>
        <w:rPr>
          <w:rFonts w:ascii="Arial" w:eastAsia="宋体" w:hAnsi="Arial" w:cs="Arial" w:hint="eastAsia"/>
          <w:sz w:val="21"/>
          <w:szCs w:val="21"/>
        </w:rPr>
        <w:t>南海家园四里</w:t>
      </w:r>
    </w:p>
    <w:p w14:paraId="1F853916" w14:textId="25AFE5E0" w:rsidR="00000000" w:rsidRDefault="008F534B">
      <w:pPr>
        <w:pStyle w:val="a9"/>
        <w:spacing w:before="4"/>
        <w:ind w:left="520" w:hangingChars="100" w:hanging="520"/>
        <w:rPr>
          <w:rFonts w:ascii="Arial" w:eastAsia="宋体" w:hAnsi="Arial" w:cs="Arial" w:hint="eastAsia"/>
          <w:color w:val="000000"/>
          <w:sz w:val="21"/>
          <w:szCs w:val="21"/>
        </w:rPr>
      </w:pPr>
      <w:r>
        <w:rPr>
          <w:noProof/>
        </w:rPr>
        <w:drawing>
          <wp:inline distT="0" distB="0" distL="0" distR="0" wp14:anchorId="5E9E9A1E" wp14:editId="147D4AEB">
            <wp:extent cx="1581150" cy="2089150"/>
            <wp:effectExtent l="0" t="0" r="0" b="0"/>
            <wp:docPr id="22"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81150" cy="2089150"/>
                    </a:xfrm>
                    <a:prstGeom prst="rect">
                      <a:avLst/>
                    </a:prstGeom>
                    <a:noFill/>
                    <a:ln>
                      <a:noFill/>
                    </a:ln>
                  </pic:spPr>
                </pic:pic>
              </a:graphicData>
            </a:graphic>
          </wp:inline>
        </w:drawing>
      </w:r>
      <w:r w:rsidR="00000000">
        <w:rPr>
          <w:rFonts w:hint="eastAsia"/>
        </w:rPr>
        <w:t xml:space="preserve"> </w:t>
      </w:r>
      <w:r w:rsidR="00000000">
        <w:t xml:space="preserve"> </w:t>
      </w:r>
      <w:r w:rsidR="00000000">
        <w:rPr>
          <w:rFonts w:hint="eastAsia"/>
        </w:rPr>
        <w:t xml:space="preserve"> </w:t>
      </w:r>
      <w:r>
        <w:rPr>
          <w:noProof/>
        </w:rPr>
        <w:drawing>
          <wp:inline distT="0" distB="0" distL="0" distR="0" wp14:anchorId="058B5C59" wp14:editId="0CB6B1D9">
            <wp:extent cx="1581150" cy="2082800"/>
            <wp:effectExtent l="0" t="0" r="0" b="0"/>
            <wp:docPr id="23"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81150" cy="2082800"/>
                    </a:xfrm>
                    <a:prstGeom prst="rect">
                      <a:avLst/>
                    </a:prstGeom>
                    <a:noFill/>
                    <a:ln>
                      <a:noFill/>
                    </a:ln>
                  </pic:spPr>
                </pic:pic>
              </a:graphicData>
            </a:graphic>
          </wp:inline>
        </w:drawing>
      </w:r>
      <w:r w:rsidR="00000000">
        <w:t xml:space="preserve"> </w:t>
      </w:r>
      <w:r w:rsidR="00000000">
        <w:rPr>
          <w:rFonts w:hint="eastAsia"/>
        </w:rPr>
        <w:t xml:space="preserve">  </w:t>
      </w:r>
      <w:r>
        <w:rPr>
          <w:noProof/>
        </w:rPr>
        <w:drawing>
          <wp:inline distT="0" distB="0" distL="0" distR="0" wp14:anchorId="4E6287F1" wp14:editId="0CA1D6FE">
            <wp:extent cx="1581150" cy="20828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81150" cy="2082800"/>
                    </a:xfrm>
                    <a:prstGeom prst="rect">
                      <a:avLst/>
                    </a:prstGeom>
                    <a:noFill/>
                    <a:ln>
                      <a:noFill/>
                    </a:ln>
                  </pic:spPr>
                </pic:pic>
              </a:graphicData>
            </a:graphic>
          </wp:inline>
        </w:drawing>
      </w:r>
    </w:p>
    <w:p w14:paraId="54EBD729" w14:textId="77777777" w:rsidR="00000000" w:rsidRDefault="00000000">
      <w:pPr>
        <w:pStyle w:val="a9"/>
        <w:spacing w:before="4"/>
        <w:rPr>
          <w:rFonts w:ascii="Arial" w:eastAsia="宋体" w:hAnsi="Arial" w:cs="Arial" w:hint="eastAsia"/>
          <w:color w:val="000000"/>
          <w:sz w:val="21"/>
          <w:szCs w:val="21"/>
        </w:rPr>
      </w:pPr>
    </w:p>
    <w:p w14:paraId="76AA1562" w14:textId="77777777" w:rsidR="00000000" w:rsidRDefault="00000000">
      <w:pPr>
        <w:pStyle w:val="3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通过上述三方面数据的对比分析，各种数据来源的平均租金水平相对接近，均有一定的参考价值。</w:t>
      </w:r>
      <w:r>
        <w:rPr>
          <w:rFonts w:ascii="Arial" w:hAnsi="Arial" w:cs="Arial" w:hint="eastAsia"/>
          <w:color w:val="000000"/>
          <w:sz w:val="21"/>
          <w:szCs w:val="21"/>
        </w:rPr>
        <w:t>上述样本小区租金包括地租、房屋折旧、设备折旧、维修费、家具及家电租赁费、保险费、物业费、供暖费、管理费、利息、利润和租赁税费等；不含水电费、天然气费、通信费、有线电视费、上网宽带费等</w:t>
      </w:r>
      <w:r>
        <w:rPr>
          <w:rFonts w:ascii="Arial" w:hAnsi="Arial" w:cs="Arial"/>
          <w:color w:val="000000"/>
          <w:sz w:val="21"/>
          <w:szCs w:val="21"/>
        </w:rPr>
        <w:t>。由于各项目物业费水平不同，故需扣除物业费、供暖费和租赁税费，求取三个可比实例不含物业费、供暖费和租赁税费的租金。</w:t>
      </w:r>
      <w:r>
        <w:rPr>
          <w:rFonts w:ascii="Arial" w:hAnsi="Arial" w:cs="Arial" w:hint="eastAsia"/>
          <w:sz w:val="21"/>
          <w:szCs w:val="21"/>
        </w:rPr>
        <w:t>经注册房地产估价师现场调查，各小区物业费及供暖费如下：</w:t>
      </w:r>
    </w:p>
    <w:p w14:paraId="76035A77" w14:textId="77777777" w:rsidR="00000000" w:rsidRDefault="00000000">
      <w:pPr>
        <w:pStyle w:val="22"/>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lastRenderedPageBreak/>
        <w:t>悦廷物业费</w:t>
      </w:r>
      <w:r>
        <w:rPr>
          <w:rFonts w:ascii="Arial" w:hAnsi="Arial" w:cs="Arial" w:hint="eastAsia"/>
          <w:sz w:val="21"/>
          <w:szCs w:val="21"/>
        </w:rPr>
        <w:t>2.8</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平方米•月，小区市政供暖，供暖费为</w:t>
      </w:r>
      <w:r>
        <w:rPr>
          <w:rFonts w:ascii="Arial" w:hAnsi="Arial" w:cs="Arial"/>
          <w:sz w:val="21"/>
          <w:szCs w:val="21"/>
        </w:rPr>
        <w:t>2.5</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w:t>
      </w:r>
    </w:p>
    <w:p w14:paraId="79B28FD2" w14:textId="77777777" w:rsidR="00000000" w:rsidRDefault="00000000">
      <w:pPr>
        <w:pStyle w:val="22"/>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中信新城西区物业费</w:t>
      </w:r>
      <w:r>
        <w:rPr>
          <w:rFonts w:ascii="Arial" w:hAnsi="Arial" w:cs="Arial" w:hint="eastAsia"/>
          <w:sz w:val="21"/>
          <w:szCs w:val="21"/>
        </w:rPr>
        <w:t>3.66</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平方米•月，小区市政供暖，供暖费为</w:t>
      </w:r>
      <w:r>
        <w:rPr>
          <w:rFonts w:ascii="Arial" w:hAnsi="Arial" w:cs="Arial"/>
          <w:sz w:val="21"/>
          <w:szCs w:val="21"/>
        </w:rPr>
        <w:t>2.5</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w:t>
      </w:r>
    </w:p>
    <w:p w14:paraId="52447096" w14:textId="77777777" w:rsidR="00000000" w:rsidRDefault="00000000">
      <w:pPr>
        <w:pStyle w:val="22"/>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南海家园四里物业费</w:t>
      </w:r>
      <w:r>
        <w:rPr>
          <w:rFonts w:ascii="Arial" w:hAnsi="Arial" w:cs="Arial" w:hint="eastAsia"/>
          <w:sz w:val="21"/>
          <w:szCs w:val="21"/>
        </w:rPr>
        <w:t>1.5</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平方米•月，小区市政供暖，供暖费为</w:t>
      </w:r>
      <w:r>
        <w:rPr>
          <w:rFonts w:ascii="Arial" w:hAnsi="Arial" w:cs="Arial"/>
          <w:sz w:val="21"/>
          <w:szCs w:val="21"/>
        </w:rPr>
        <w:t>2.5</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w:t>
      </w:r>
    </w:p>
    <w:p w14:paraId="26A009BA" w14:textId="77777777" w:rsidR="00000000" w:rsidRDefault="00000000">
      <w:pPr>
        <w:pStyle w:val="22"/>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扣除各小区物业费、供暖费，即：</w:t>
      </w:r>
    </w:p>
    <w:p w14:paraId="64A1F93D" w14:textId="77777777" w:rsidR="00000000" w:rsidRDefault="00000000">
      <w:pPr>
        <w:pStyle w:val="22"/>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悦廷平均租金：</w:t>
      </w:r>
      <w:r>
        <w:rPr>
          <w:rFonts w:ascii="Arial" w:hAnsi="Arial" w:cs="Arial" w:hint="eastAsia"/>
          <w:sz w:val="21"/>
          <w:szCs w:val="21"/>
        </w:rPr>
        <w:t>61.32-2.8-2.5=56.02</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w:t>
      </w:r>
    </w:p>
    <w:p w14:paraId="34E37CBE" w14:textId="77777777" w:rsidR="00000000" w:rsidRDefault="00000000">
      <w:pPr>
        <w:pStyle w:val="22"/>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中信新城西区平均租金：</w:t>
      </w:r>
      <w:r>
        <w:rPr>
          <w:rFonts w:ascii="Arial" w:hAnsi="Arial" w:cs="Arial" w:hint="eastAsia"/>
          <w:sz w:val="21"/>
          <w:szCs w:val="21"/>
        </w:rPr>
        <w:t>59.34-3.66-2.5=53.18</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w:t>
      </w:r>
    </w:p>
    <w:p w14:paraId="163547DD" w14:textId="77777777" w:rsidR="00000000" w:rsidRDefault="00000000">
      <w:pPr>
        <w:pStyle w:val="22"/>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南海家园四里平均租金：</w:t>
      </w:r>
      <w:r>
        <w:rPr>
          <w:rFonts w:ascii="Arial" w:hAnsi="Arial" w:cs="Arial" w:hint="eastAsia"/>
          <w:sz w:val="21"/>
          <w:szCs w:val="21"/>
        </w:rPr>
        <w:t>55.09-1.5-2.5=51.09</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w:t>
      </w:r>
    </w:p>
    <w:p w14:paraId="15129DAA" w14:textId="77777777" w:rsidR="00000000" w:rsidRDefault="00000000">
      <w:pPr>
        <w:pStyle w:val="31"/>
        <w:autoSpaceDE w:val="0"/>
        <w:autoSpaceDN w:val="0"/>
        <w:spacing w:line="480" w:lineRule="auto"/>
        <w:ind w:firstLineChars="200" w:firstLine="420"/>
        <w:jc w:val="both"/>
        <w:textAlignment w:val="bottom"/>
        <w:rPr>
          <w:rFonts w:ascii="Arial" w:hAnsi="Arial" w:cs="Arial"/>
          <w:sz w:val="21"/>
          <w:szCs w:val="21"/>
        </w:rPr>
      </w:pPr>
      <w:r>
        <w:rPr>
          <w:rFonts w:ascii="Arial" w:hAnsi="Arial" w:cs="Arial"/>
          <w:sz w:val="21"/>
          <w:szCs w:val="21"/>
        </w:rPr>
        <w:t>根据注册房地产估价师调查，北京地区对于个人出租商品住宅房的，月租金收入（不含税）在</w:t>
      </w:r>
      <w:r>
        <w:rPr>
          <w:rFonts w:ascii="Arial" w:hAnsi="Arial" w:cs="Arial"/>
          <w:sz w:val="21"/>
          <w:szCs w:val="21"/>
        </w:rPr>
        <w:t>10</w:t>
      </w:r>
      <w:r>
        <w:rPr>
          <w:rFonts w:ascii="Arial" w:hAnsi="Arial" w:cs="Arial"/>
          <w:sz w:val="21"/>
          <w:szCs w:val="21"/>
        </w:rPr>
        <w:t>万元（含）以下的，按照</w:t>
      </w:r>
      <w:r>
        <w:rPr>
          <w:rFonts w:ascii="Arial" w:hAnsi="Arial" w:cs="Arial"/>
          <w:sz w:val="21"/>
          <w:szCs w:val="21"/>
        </w:rPr>
        <w:t>2.5%</w:t>
      </w:r>
      <w:r>
        <w:rPr>
          <w:rFonts w:ascii="Arial" w:hAnsi="Arial" w:cs="Arial"/>
          <w:sz w:val="21"/>
          <w:szCs w:val="21"/>
        </w:rPr>
        <w:t>的综合税率来征收租赁税费。则租赁税费计算方式如下：</w:t>
      </w:r>
    </w:p>
    <w:p w14:paraId="063734F7" w14:textId="77777777" w:rsidR="00000000" w:rsidRDefault="00000000">
      <w:pPr>
        <w:pStyle w:val="31"/>
        <w:autoSpaceDE w:val="0"/>
        <w:autoSpaceDN w:val="0"/>
        <w:spacing w:line="480" w:lineRule="auto"/>
        <w:ind w:firstLineChars="200" w:firstLine="420"/>
        <w:jc w:val="both"/>
        <w:textAlignment w:val="bottom"/>
        <w:rPr>
          <w:rFonts w:ascii="Arial" w:hAnsi="Arial" w:cs="Arial"/>
          <w:sz w:val="21"/>
          <w:szCs w:val="21"/>
        </w:rPr>
      </w:pPr>
      <w:r>
        <w:rPr>
          <w:rFonts w:ascii="Arial" w:hAnsi="Arial" w:cs="Arial"/>
          <w:sz w:val="21"/>
          <w:szCs w:val="21"/>
        </w:rPr>
        <w:t>租赁税费</w:t>
      </w:r>
      <w:r>
        <w:rPr>
          <w:rFonts w:ascii="Arial" w:hAnsi="Arial" w:cs="Arial"/>
          <w:sz w:val="21"/>
          <w:szCs w:val="21"/>
        </w:rPr>
        <w:t>=</w:t>
      </w:r>
      <w:r>
        <w:rPr>
          <w:rFonts w:ascii="Arial" w:hAnsi="Arial" w:cs="Arial"/>
          <w:sz w:val="21"/>
          <w:szCs w:val="21"/>
        </w:rPr>
        <w:t>（可比实例的月平均租金水平</w:t>
      </w:r>
      <w:r>
        <w:rPr>
          <w:rFonts w:ascii="Arial" w:hAnsi="Arial" w:cs="Arial"/>
          <w:sz w:val="21"/>
          <w:szCs w:val="21"/>
        </w:rPr>
        <w:t>-</w:t>
      </w:r>
      <w:r>
        <w:rPr>
          <w:rFonts w:ascii="Arial" w:hAnsi="Arial" w:cs="Arial"/>
          <w:sz w:val="21"/>
          <w:szCs w:val="21"/>
        </w:rPr>
        <w:t>物业费</w:t>
      </w:r>
      <w:r>
        <w:rPr>
          <w:rFonts w:ascii="Arial" w:hAnsi="Arial" w:cs="Arial"/>
          <w:sz w:val="21"/>
          <w:szCs w:val="21"/>
        </w:rPr>
        <w:t>-</w:t>
      </w:r>
      <w:r>
        <w:rPr>
          <w:rFonts w:ascii="Arial" w:hAnsi="Arial" w:cs="Arial"/>
          <w:sz w:val="21"/>
          <w:szCs w:val="21"/>
        </w:rPr>
        <w:t>供暖费）</w:t>
      </w:r>
      <w:r>
        <w:rPr>
          <w:rFonts w:ascii="Arial" w:hAnsi="Arial" w:cs="Arial"/>
          <w:sz w:val="21"/>
          <w:szCs w:val="21"/>
        </w:rPr>
        <w:t>÷</w:t>
      </w:r>
      <w:r>
        <w:rPr>
          <w:rFonts w:ascii="Arial" w:hAnsi="Arial" w:cs="Arial"/>
          <w:sz w:val="21"/>
          <w:szCs w:val="21"/>
        </w:rPr>
        <w:t>（</w:t>
      </w:r>
      <w:r>
        <w:rPr>
          <w:rFonts w:ascii="Arial" w:hAnsi="Arial" w:cs="Arial"/>
          <w:sz w:val="21"/>
          <w:szCs w:val="21"/>
        </w:rPr>
        <w:t>1+5%</w:t>
      </w:r>
      <w:r>
        <w:rPr>
          <w:rFonts w:ascii="Arial" w:hAnsi="Arial" w:cs="Arial"/>
          <w:sz w:val="21"/>
          <w:szCs w:val="21"/>
        </w:rPr>
        <w:t>）</w:t>
      </w:r>
      <w:r>
        <w:rPr>
          <w:rFonts w:ascii="Arial" w:hAnsi="Arial" w:cs="Arial"/>
          <w:sz w:val="21"/>
          <w:szCs w:val="21"/>
        </w:rPr>
        <w:t xml:space="preserve">×2.5% </w:t>
      </w:r>
    </w:p>
    <w:p w14:paraId="0EF78FAC" w14:textId="77777777" w:rsidR="00000000" w:rsidRDefault="00000000">
      <w:pPr>
        <w:pStyle w:val="22"/>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扣除租赁税费，则有：</w:t>
      </w:r>
    </w:p>
    <w:p w14:paraId="4A4F65D7" w14:textId="77777777" w:rsidR="00000000" w:rsidRDefault="00000000">
      <w:pPr>
        <w:pStyle w:val="22"/>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悦廷平均租金：</w:t>
      </w:r>
      <w:r>
        <w:rPr>
          <w:rFonts w:ascii="Arial" w:hAnsi="Arial" w:cs="Arial" w:hint="eastAsia"/>
          <w:sz w:val="21"/>
          <w:szCs w:val="21"/>
        </w:rPr>
        <w:t>56.02-56.02</w:t>
      </w:r>
      <w:r>
        <w:rPr>
          <w:rFonts w:ascii="Arial" w:hAnsi="Arial" w:cs="Arial"/>
          <w:sz w:val="21"/>
          <w:szCs w:val="21"/>
        </w:rPr>
        <w:t>÷</w:t>
      </w:r>
      <w:r>
        <w:rPr>
          <w:rFonts w:ascii="Arial" w:hAnsi="Arial" w:cs="Arial"/>
          <w:sz w:val="21"/>
          <w:szCs w:val="21"/>
        </w:rPr>
        <w:t>（</w:t>
      </w:r>
      <w:r>
        <w:rPr>
          <w:rFonts w:ascii="Arial" w:hAnsi="Arial" w:cs="Arial"/>
          <w:sz w:val="21"/>
          <w:szCs w:val="21"/>
        </w:rPr>
        <w:t>1+5%</w:t>
      </w:r>
      <w:r>
        <w:rPr>
          <w:rFonts w:ascii="Arial" w:hAnsi="Arial" w:cs="Arial"/>
          <w:sz w:val="21"/>
          <w:szCs w:val="21"/>
        </w:rPr>
        <w:t>）</w:t>
      </w:r>
      <w:r>
        <w:rPr>
          <w:rFonts w:ascii="Arial" w:hAnsi="Arial" w:cs="Arial"/>
          <w:sz w:val="21"/>
          <w:szCs w:val="21"/>
        </w:rPr>
        <w:t>×2.5%</w:t>
      </w:r>
      <w:r>
        <w:rPr>
          <w:rFonts w:ascii="Arial" w:hAnsi="Arial" w:cs="Arial" w:hint="eastAsia"/>
          <w:sz w:val="21"/>
          <w:szCs w:val="21"/>
        </w:rPr>
        <w:t>=54.69</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w:t>
      </w:r>
    </w:p>
    <w:p w14:paraId="6302D753" w14:textId="77777777" w:rsidR="00000000" w:rsidRDefault="00000000">
      <w:pPr>
        <w:pStyle w:val="22"/>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中信新城西区平均租金：</w:t>
      </w:r>
      <w:r>
        <w:rPr>
          <w:rFonts w:ascii="Arial" w:hAnsi="Arial" w:cs="Arial" w:hint="eastAsia"/>
          <w:sz w:val="21"/>
          <w:szCs w:val="21"/>
        </w:rPr>
        <w:t>53.18-53.18</w:t>
      </w:r>
      <w:r>
        <w:rPr>
          <w:rFonts w:ascii="Arial" w:hAnsi="Arial" w:cs="Arial"/>
          <w:sz w:val="21"/>
          <w:szCs w:val="21"/>
        </w:rPr>
        <w:t>÷</w:t>
      </w:r>
      <w:r>
        <w:rPr>
          <w:rFonts w:ascii="Arial" w:hAnsi="Arial" w:cs="Arial"/>
          <w:sz w:val="21"/>
          <w:szCs w:val="21"/>
        </w:rPr>
        <w:t>（</w:t>
      </w:r>
      <w:r>
        <w:rPr>
          <w:rFonts w:ascii="Arial" w:hAnsi="Arial" w:cs="Arial"/>
          <w:sz w:val="21"/>
          <w:szCs w:val="21"/>
        </w:rPr>
        <w:t>1+5%</w:t>
      </w:r>
      <w:r>
        <w:rPr>
          <w:rFonts w:ascii="Arial" w:hAnsi="Arial" w:cs="Arial"/>
          <w:sz w:val="21"/>
          <w:szCs w:val="21"/>
        </w:rPr>
        <w:t>）</w:t>
      </w:r>
      <w:r>
        <w:rPr>
          <w:rFonts w:ascii="Arial" w:hAnsi="Arial" w:cs="Arial"/>
          <w:sz w:val="21"/>
          <w:szCs w:val="21"/>
        </w:rPr>
        <w:t>×2.5%</w:t>
      </w:r>
      <w:r>
        <w:rPr>
          <w:rFonts w:ascii="Arial" w:hAnsi="Arial" w:cs="Arial" w:hint="eastAsia"/>
          <w:sz w:val="21"/>
          <w:szCs w:val="21"/>
        </w:rPr>
        <w:t>=51.91</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w:t>
      </w:r>
    </w:p>
    <w:p w14:paraId="7F0B6C68" w14:textId="77777777" w:rsidR="00000000" w:rsidRDefault="00000000">
      <w:pPr>
        <w:pStyle w:val="22"/>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南海家园四里平均租金：</w:t>
      </w:r>
      <w:r>
        <w:rPr>
          <w:rFonts w:ascii="Arial" w:hAnsi="Arial" w:cs="Arial" w:hint="eastAsia"/>
          <w:sz w:val="21"/>
          <w:szCs w:val="21"/>
        </w:rPr>
        <w:t>51.09-51.09</w:t>
      </w:r>
      <w:r>
        <w:rPr>
          <w:rFonts w:ascii="Arial" w:hAnsi="Arial" w:cs="Arial"/>
          <w:sz w:val="21"/>
          <w:szCs w:val="21"/>
        </w:rPr>
        <w:t>÷</w:t>
      </w:r>
      <w:r>
        <w:rPr>
          <w:rFonts w:ascii="Arial" w:hAnsi="Arial" w:cs="Arial"/>
          <w:sz w:val="21"/>
          <w:szCs w:val="21"/>
        </w:rPr>
        <w:t>（</w:t>
      </w:r>
      <w:r>
        <w:rPr>
          <w:rFonts w:ascii="Arial" w:hAnsi="Arial" w:cs="Arial"/>
          <w:sz w:val="21"/>
          <w:szCs w:val="21"/>
        </w:rPr>
        <w:t>1+5%</w:t>
      </w:r>
      <w:r>
        <w:rPr>
          <w:rFonts w:ascii="Arial" w:hAnsi="Arial" w:cs="Arial"/>
          <w:sz w:val="21"/>
          <w:szCs w:val="21"/>
        </w:rPr>
        <w:t>）</w:t>
      </w:r>
      <w:r>
        <w:rPr>
          <w:rFonts w:ascii="Arial" w:hAnsi="Arial" w:cs="Arial"/>
          <w:sz w:val="21"/>
          <w:szCs w:val="21"/>
        </w:rPr>
        <w:t>×2.5%</w:t>
      </w:r>
      <w:r>
        <w:rPr>
          <w:rFonts w:ascii="Arial" w:hAnsi="Arial" w:cs="Arial" w:hint="eastAsia"/>
          <w:sz w:val="21"/>
          <w:szCs w:val="21"/>
        </w:rPr>
        <w:t>=49.87</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w:t>
      </w:r>
    </w:p>
    <w:p w14:paraId="744AC924" w14:textId="77777777" w:rsidR="00000000" w:rsidRDefault="00000000">
      <w:pPr>
        <w:pStyle w:val="Normal"/>
        <w:autoSpaceDE w:val="0"/>
        <w:autoSpaceDN w:val="0"/>
        <w:spacing w:line="480" w:lineRule="auto"/>
        <w:ind w:firstLineChars="200" w:firstLine="420"/>
        <w:jc w:val="both"/>
        <w:textAlignment w:val="bottom"/>
        <w:rPr>
          <w:rFonts w:ascii="Arial" w:hAnsi="Arial" w:cs="Arial" w:hint="eastAsia"/>
          <w:color w:val="000000"/>
          <w:sz w:val="21"/>
          <w:szCs w:val="21"/>
        </w:rPr>
      </w:pPr>
      <w:r>
        <w:rPr>
          <w:rFonts w:ascii="Arial" w:hAnsi="Arial" w:cs="Arial" w:hint="eastAsia"/>
          <w:sz w:val="21"/>
          <w:szCs w:val="21"/>
        </w:rPr>
        <w:t>即三个可比实例的不含物业费、供暖费、租赁税费的月平均租金水平分别为</w:t>
      </w:r>
      <w:r>
        <w:rPr>
          <w:rFonts w:ascii="Arial" w:hAnsi="Arial" w:cs="Arial" w:hint="eastAsia"/>
          <w:sz w:val="21"/>
          <w:szCs w:val="21"/>
        </w:rPr>
        <w:t>54.69</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w:t>
      </w:r>
      <w:r>
        <w:rPr>
          <w:rFonts w:ascii="Arial" w:hAnsi="Arial" w:cs="Arial" w:hint="eastAsia"/>
          <w:sz w:val="21"/>
          <w:szCs w:val="21"/>
        </w:rPr>
        <w:t>51.91</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w:t>
      </w:r>
      <w:r>
        <w:rPr>
          <w:rFonts w:ascii="Arial" w:hAnsi="Arial" w:cs="Arial" w:hint="eastAsia"/>
          <w:sz w:val="21"/>
          <w:szCs w:val="21"/>
        </w:rPr>
        <w:t>49.87</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w:t>
      </w:r>
    </w:p>
    <w:p w14:paraId="7413518D" w14:textId="77777777" w:rsidR="00000000" w:rsidRDefault="00000000">
      <w:pPr>
        <w:pStyle w:val="ac"/>
        <w:spacing w:line="480" w:lineRule="auto"/>
        <w:rPr>
          <w:rFonts w:ascii="Arial" w:eastAsia="宋体" w:hAnsi="Arial" w:cs="Arial" w:hint="eastAsia"/>
          <w:sz w:val="21"/>
          <w:szCs w:val="21"/>
        </w:rPr>
      </w:pPr>
      <w:r>
        <w:rPr>
          <w:rFonts w:ascii="Arial" w:eastAsia="宋体" w:hAnsi="Arial" w:cs="Arial"/>
          <w:sz w:val="21"/>
          <w:szCs w:val="21"/>
        </w:rPr>
        <w:br w:type="page"/>
      </w:r>
      <w:r>
        <w:rPr>
          <w:rFonts w:ascii="Arial" w:eastAsia="宋体" w:hAnsi="Arial" w:cs="Arial"/>
          <w:sz w:val="21"/>
          <w:szCs w:val="21"/>
        </w:rPr>
        <w:lastRenderedPageBreak/>
        <w:t>（</w:t>
      </w:r>
      <w:r>
        <w:rPr>
          <w:rFonts w:ascii="Arial" w:eastAsia="宋体" w:hAnsi="Arial" w:cs="Arial" w:hint="eastAsia"/>
          <w:sz w:val="21"/>
          <w:szCs w:val="21"/>
        </w:rPr>
        <w:t>二</w:t>
      </w:r>
      <w:r>
        <w:rPr>
          <w:rFonts w:ascii="Arial" w:eastAsia="宋体" w:hAnsi="Arial" w:cs="Arial"/>
          <w:sz w:val="21"/>
          <w:szCs w:val="21"/>
        </w:rPr>
        <w:t>）</w:t>
      </w:r>
      <w:r>
        <w:rPr>
          <w:rFonts w:ascii="Arial" w:eastAsia="宋体" w:hAnsi="Arial" w:cs="Arial" w:hint="eastAsia"/>
          <w:sz w:val="21"/>
          <w:szCs w:val="21"/>
        </w:rPr>
        <w:t xml:space="preserve"> </w:t>
      </w:r>
      <w:r>
        <w:rPr>
          <w:rFonts w:ascii="Arial" w:eastAsia="宋体" w:hAnsi="Arial" w:cs="Arial" w:hint="eastAsia"/>
          <w:sz w:val="21"/>
          <w:szCs w:val="21"/>
        </w:rPr>
        <w:t>比较法测算过程</w:t>
      </w:r>
    </w:p>
    <w:p w14:paraId="242C8895" w14:textId="77777777" w:rsidR="00000000" w:rsidRDefault="00000000">
      <w:pPr>
        <w:wordWrap w:val="0"/>
        <w:overflowPunct w:val="0"/>
        <w:spacing w:line="480" w:lineRule="auto"/>
        <w:ind w:firstLineChars="200" w:firstLine="420"/>
        <w:rPr>
          <w:rFonts w:ascii="Arial" w:hAnsi="Arial"/>
          <w:sz w:val="21"/>
          <w:szCs w:val="21"/>
        </w:rPr>
      </w:pPr>
      <w:r>
        <w:rPr>
          <w:rFonts w:ascii="Arial" w:hAnsi="Arial" w:hint="eastAsia"/>
          <w:sz w:val="21"/>
          <w:szCs w:val="21"/>
        </w:rPr>
        <w:t>（</w:t>
      </w:r>
      <w:r>
        <w:rPr>
          <w:rFonts w:ascii="Arial" w:hAnsi="Arial" w:hint="eastAsia"/>
          <w:sz w:val="21"/>
          <w:szCs w:val="21"/>
        </w:rPr>
        <w:t>1</w:t>
      </w:r>
      <w:r>
        <w:rPr>
          <w:rFonts w:ascii="Arial" w:hAnsi="Arial" w:hint="eastAsia"/>
          <w:sz w:val="21"/>
          <w:szCs w:val="21"/>
        </w:rPr>
        <w:t>）建立比较因素条件说明表</w:t>
      </w:r>
      <w:r>
        <w:rPr>
          <w:rFonts w:ascii="Arial" w:hAnsi="Arial"/>
          <w:sz w:val="21"/>
          <w:szCs w:val="21"/>
        </w:rPr>
        <w:t xml:space="preserve"> </w:t>
      </w:r>
    </w:p>
    <w:p w14:paraId="5B80876E" w14:textId="77777777" w:rsidR="00000000" w:rsidRDefault="00000000">
      <w:pPr>
        <w:wordWrap w:val="0"/>
        <w:overflowPunct w:val="0"/>
        <w:spacing w:line="480" w:lineRule="auto"/>
        <w:ind w:firstLineChars="200" w:firstLine="420"/>
        <w:rPr>
          <w:rFonts w:ascii="Arial" w:hAnsi="Arial" w:hint="eastAsia"/>
          <w:sz w:val="21"/>
          <w:szCs w:val="21"/>
        </w:rPr>
      </w:pPr>
      <w:r>
        <w:rPr>
          <w:rFonts w:ascii="Arial" w:hAnsi="Arial"/>
          <w:sz w:val="21"/>
          <w:szCs w:val="21"/>
        </w:rPr>
        <w:t>参与比较的因素条件应是对估价对象与可比案例小区之间的价格差异产生作用的因素，通过对估价对象各自特点的分析，本次估价选择了区域状况、实物状况和宜居状况进行比较，详见比较因素情况描述表</w:t>
      </w:r>
      <w:r>
        <w:rPr>
          <w:rFonts w:ascii="Arial" w:hAnsi="Arial" w:hint="eastAsia"/>
          <w:sz w:val="21"/>
          <w:szCs w:val="21"/>
        </w:rPr>
        <w:t>：</w:t>
      </w:r>
    </w:p>
    <w:p w14:paraId="6CD875DA" w14:textId="77777777" w:rsidR="00000000" w:rsidRDefault="00000000">
      <w:pPr>
        <w:overflowPunct w:val="0"/>
        <w:spacing w:line="480" w:lineRule="auto"/>
        <w:ind w:firstLineChars="200" w:firstLine="420"/>
        <w:jc w:val="center"/>
        <w:rPr>
          <w:rFonts w:ascii="Arial" w:hAnsi="Arial"/>
          <w:sz w:val="21"/>
          <w:szCs w:val="21"/>
        </w:rPr>
      </w:pPr>
      <w:r>
        <w:rPr>
          <w:rFonts w:ascii="Arial" w:hAnsi="Arial" w:cs="Arial" w:hint="eastAsia"/>
          <w:color w:val="000000"/>
          <w:sz w:val="21"/>
          <w:szCs w:val="21"/>
        </w:rPr>
        <w:t>X13</w:t>
      </w:r>
      <w:r>
        <w:rPr>
          <w:rFonts w:ascii="Arial" w:hAnsi="Arial" w:cs="Arial" w:hint="eastAsia"/>
          <w:color w:val="000000"/>
          <w:sz w:val="21"/>
          <w:szCs w:val="21"/>
        </w:rPr>
        <w:t>海棠苑</w:t>
      </w:r>
      <w:r>
        <w:rPr>
          <w:rFonts w:ascii="Arial" w:hAnsi="Arial" w:hint="eastAsia"/>
          <w:sz w:val="21"/>
          <w:szCs w:val="21"/>
        </w:rPr>
        <w:t>比较因素情况描述表</w:t>
      </w:r>
    </w:p>
    <w:tbl>
      <w:tblPr>
        <w:tblW w:w="5000" w:type="pct"/>
        <w:jc w:val="center"/>
        <w:tblInd w:w="0" w:type="dxa"/>
        <w:tblLook w:val="0000" w:firstRow="0" w:lastRow="0" w:firstColumn="0" w:lastColumn="0" w:noHBand="0" w:noVBand="0"/>
      </w:tblPr>
      <w:tblGrid>
        <w:gridCol w:w="681"/>
        <w:gridCol w:w="1540"/>
        <w:gridCol w:w="1772"/>
        <w:gridCol w:w="1772"/>
        <w:gridCol w:w="1772"/>
        <w:gridCol w:w="1752"/>
      </w:tblGrid>
      <w:tr w:rsidR="00000000" w14:paraId="6283CF09" w14:textId="77777777">
        <w:trPr>
          <w:trHeight w:val="270"/>
          <w:tblHeader/>
          <w:jc w:val="center"/>
        </w:trPr>
        <w:tc>
          <w:tcPr>
            <w:tcW w:w="1195" w:type="pct"/>
            <w:gridSpan w:val="2"/>
            <w:tcBorders>
              <w:top w:val="single" w:sz="4" w:space="0" w:color="auto"/>
              <w:left w:val="single" w:sz="4" w:space="0" w:color="auto"/>
              <w:bottom w:val="single" w:sz="4" w:space="0" w:color="auto"/>
              <w:right w:val="single" w:sz="4" w:space="0" w:color="000000"/>
            </w:tcBorders>
            <w:vAlign w:val="center"/>
          </w:tcPr>
          <w:p w14:paraId="472E25CE"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项目</w:t>
            </w:r>
          </w:p>
        </w:tc>
        <w:tc>
          <w:tcPr>
            <w:tcW w:w="954" w:type="pct"/>
            <w:tcBorders>
              <w:top w:val="single" w:sz="4" w:space="0" w:color="auto"/>
              <w:left w:val="nil"/>
              <w:bottom w:val="single" w:sz="4" w:space="0" w:color="auto"/>
              <w:right w:val="single" w:sz="4" w:space="0" w:color="auto"/>
            </w:tcBorders>
            <w:vAlign w:val="center"/>
          </w:tcPr>
          <w:p w14:paraId="506D222E"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估价对象</w:t>
            </w:r>
          </w:p>
        </w:tc>
        <w:tc>
          <w:tcPr>
            <w:tcW w:w="954" w:type="pct"/>
            <w:tcBorders>
              <w:top w:val="single" w:sz="4" w:space="0" w:color="auto"/>
              <w:left w:val="nil"/>
              <w:bottom w:val="single" w:sz="4" w:space="0" w:color="auto"/>
              <w:right w:val="single" w:sz="4" w:space="0" w:color="auto"/>
            </w:tcBorders>
            <w:vAlign w:val="center"/>
          </w:tcPr>
          <w:p w14:paraId="05C53075"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1</w:t>
            </w:r>
          </w:p>
        </w:tc>
        <w:tc>
          <w:tcPr>
            <w:tcW w:w="1815" w:type="dxa"/>
            <w:tcBorders>
              <w:top w:val="single" w:sz="4" w:space="0" w:color="auto"/>
              <w:left w:val="nil"/>
              <w:bottom w:val="single" w:sz="4" w:space="0" w:color="auto"/>
              <w:right w:val="single" w:sz="4" w:space="0" w:color="auto"/>
            </w:tcBorders>
            <w:vAlign w:val="center"/>
          </w:tcPr>
          <w:p w14:paraId="78E0A1A3"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2</w:t>
            </w:r>
          </w:p>
        </w:tc>
        <w:tc>
          <w:tcPr>
            <w:tcW w:w="1796" w:type="dxa"/>
            <w:tcBorders>
              <w:top w:val="single" w:sz="4" w:space="0" w:color="auto"/>
              <w:left w:val="nil"/>
              <w:bottom w:val="single" w:sz="4" w:space="0" w:color="auto"/>
              <w:right w:val="single" w:sz="4" w:space="0" w:color="auto"/>
            </w:tcBorders>
            <w:vAlign w:val="center"/>
          </w:tcPr>
          <w:p w14:paraId="5CA5DFB3"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可比案例</w:t>
            </w:r>
            <w:r>
              <w:rPr>
                <w:rFonts w:ascii="Arial" w:eastAsia="华文细黑" w:hAnsi="Arial" w:cs="Arial" w:hint="eastAsia"/>
                <w:sz w:val="18"/>
                <w:szCs w:val="18"/>
              </w:rPr>
              <w:t>3</w:t>
            </w:r>
          </w:p>
        </w:tc>
      </w:tr>
      <w:tr w:rsidR="00000000" w14:paraId="14EE2563" w14:textId="77777777">
        <w:trPr>
          <w:trHeight w:val="270"/>
          <w:tblHeader/>
          <w:jc w:val="center"/>
        </w:trPr>
        <w:tc>
          <w:tcPr>
            <w:tcW w:w="1195" w:type="pct"/>
            <w:gridSpan w:val="2"/>
            <w:tcBorders>
              <w:top w:val="single" w:sz="4" w:space="0" w:color="auto"/>
              <w:left w:val="single" w:sz="4" w:space="0" w:color="auto"/>
              <w:bottom w:val="single" w:sz="4" w:space="0" w:color="auto"/>
              <w:right w:val="single" w:sz="4" w:space="0" w:color="auto"/>
            </w:tcBorders>
            <w:vAlign w:val="center"/>
          </w:tcPr>
          <w:p w14:paraId="75AA7385"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小区名称</w:t>
            </w:r>
          </w:p>
        </w:tc>
        <w:tc>
          <w:tcPr>
            <w:tcW w:w="954" w:type="pct"/>
            <w:tcBorders>
              <w:top w:val="nil"/>
              <w:left w:val="nil"/>
              <w:bottom w:val="single" w:sz="4" w:space="0" w:color="auto"/>
              <w:right w:val="single" w:sz="4" w:space="0" w:color="auto"/>
            </w:tcBorders>
            <w:vAlign w:val="center"/>
          </w:tcPr>
          <w:p w14:paraId="271E9AB2"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X13</w:t>
            </w:r>
            <w:r>
              <w:rPr>
                <w:rFonts w:ascii="Arial" w:eastAsia="华文细黑" w:hAnsi="Arial" w:cs="Arial" w:hint="eastAsia"/>
                <w:sz w:val="18"/>
                <w:szCs w:val="18"/>
              </w:rPr>
              <w:t>海棠苑</w:t>
            </w:r>
          </w:p>
        </w:tc>
        <w:tc>
          <w:tcPr>
            <w:tcW w:w="954" w:type="pct"/>
            <w:tcBorders>
              <w:top w:val="nil"/>
              <w:left w:val="nil"/>
              <w:bottom w:val="single" w:sz="4" w:space="0" w:color="auto"/>
              <w:right w:val="single" w:sz="4" w:space="0" w:color="auto"/>
            </w:tcBorders>
            <w:vAlign w:val="center"/>
          </w:tcPr>
          <w:p w14:paraId="5C216F5C"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悦廷</w:t>
            </w:r>
          </w:p>
        </w:tc>
        <w:tc>
          <w:tcPr>
            <w:tcW w:w="1815" w:type="dxa"/>
            <w:tcBorders>
              <w:top w:val="nil"/>
              <w:left w:val="nil"/>
              <w:bottom w:val="single" w:sz="4" w:space="0" w:color="auto"/>
              <w:right w:val="single" w:sz="4" w:space="0" w:color="auto"/>
            </w:tcBorders>
            <w:vAlign w:val="center"/>
          </w:tcPr>
          <w:p w14:paraId="09BA0E51"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中信新城西区</w:t>
            </w:r>
          </w:p>
        </w:tc>
        <w:tc>
          <w:tcPr>
            <w:tcW w:w="1796" w:type="dxa"/>
            <w:tcBorders>
              <w:top w:val="nil"/>
              <w:left w:val="nil"/>
              <w:bottom w:val="single" w:sz="4" w:space="0" w:color="auto"/>
              <w:right w:val="single" w:sz="4" w:space="0" w:color="auto"/>
            </w:tcBorders>
            <w:vAlign w:val="center"/>
          </w:tcPr>
          <w:p w14:paraId="41C3F080"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南海家园四里</w:t>
            </w:r>
          </w:p>
        </w:tc>
      </w:tr>
      <w:tr w:rsidR="00000000" w14:paraId="3A8E51AA" w14:textId="77777777">
        <w:trPr>
          <w:trHeight w:val="270"/>
          <w:jc w:val="center"/>
        </w:trPr>
        <w:tc>
          <w:tcPr>
            <w:tcW w:w="1195" w:type="pct"/>
            <w:gridSpan w:val="2"/>
            <w:tcBorders>
              <w:top w:val="single" w:sz="4" w:space="0" w:color="auto"/>
              <w:left w:val="single" w:sz="4" w:space="0" w:color="auto"/>
              <w:bottom w:val="single" w:sz="4" w:space="0" w:color="auto"/>
              <w:right w:val="single" w:sz="4" w:space="0" w:color="auto"/>
            </w:tcBorders>
            <w:vAlign w:val="center"/>
          </w:tcPr>
          <w:p w14:paraId="0F1CF400"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平均租金（元</w:t>
            </w:r>
            <w:r>
              <w:rPr>
                <w:rFonts w:ascii="Arial" w:eastAsia="华文细黑" w:hAnsi="Arial" w:cs="Arial" w:hint="eastAsia"/>
                <w:sz w:val="18"/>
                <w:szCs w:val="18"/>
              </w:rPr>
              <w:t>/</w:t>
            </w:r>
            <w:r>
              <w:rPr>
                <w:rFonts w:ascii="Arial" w:eastAsia="华文细黑" w:hAnsi="Arial" w:cs="Arial" w:hint="eastAsia"/>
                <w:sz w:val="18"/>
                <w:szCs w:val="18"/>
              </w:rPr>
              <w:t>平方米·月）</w:t>
            </w:r>
          </w:p>
        </w:tc>
        <w:tc>
          <w:tcPr>
            <w:tcW w:w="954" w:type="pct"/>
            <w:tcBorders>
              <w:top w:val="nil"/>
              <w:left w:val="nil"/>
              <w:bottom w:val="single" w:sz="4" w:space="0" w:color="auto"/>
              <w:right w:val="single" w:sz="4" w:space="0" w:color="auto"/>
            </w:tcBorders>
            <w:vAlign w:val="center"/>
          </w:tcPr>
          <w:p w14:paraId="64C95DD8"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待估</w:t>
            </w:r>
          </w:p>
        </w:tc>
        <w:tc>
          <w:tcPr>
            <w:tcW w:w="954" w:type="pct"/>
            <w:tcBorders>
              <w:top w:val="nil"/>
              <w:left w:val="nil"/>
              <w:bottom w:val="single" w:sz="4" w:space="0" w:color="auto"/>
              <w:right w:val="single" w:sz="4" w:space="0" w:color="auto"/>
            </w:tcBorders>
            <w:vAlign w:val="center"/>
          </w:tcPr>
          <w:p w14:paraId="1C220A01" w14:textId="77777777" w:rsidR="00000000" w:rsidRDefault="00000000">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54.69</w:t>
            </w:r>
          </w:p>
        </w:tc>
        <w:tc>
          <w:tcPr>
            <w:tcW w:w="1815" w:type="dxa"/>
            <w:tcBorders>
              <w:top w:val="nil"/>
              <w:left w:val="nil"/>
              <w:bottom w:val="single" w:sz="4" w:space="0" w:color="auto"/>
              <w:right w:val="single" w:sz="4" w:space="0" w:color="auto"/>
            </w:tcBorders>
            <w:vAlign w:val="center"/>
          </w:tcPr>
          <w:p w14:paraId="60E6765E"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51.91</w:t>
            </w:r>
          </w:p>
        </w:tc>
        <w:tc>
          <w:tcPr>
            <w:tcW w:w="1796" w:type="dxa"/>
            <w:tcBorders>
              <w:top w:val="nil"/>
              <w:left w:val="nil"/>
              <w:bottom w:val="single" w:sz="4" w:space="0" w:color="auto"/>
              <w:right w:val="single" w:sz="4" w:space="0" w:color="auto"/>
            </w:tcBorders>
            <w:vAlign w:val="center"/>
          </w:tcPr>
          <w:p w14:paraId="0457E239"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49.87</w:t>
            </w:r>
          </w:p>
        </w:tc>
      </w:tr>
      <w:tr w:rsidR="00000000" w14:paraId="1AF775A1" w14:textId="77777777">
        <w:trPr>
          <w:trHeight w:val="495"/>
          <w:jc w:val="center"/>
        </w:trPr>
        <w:tc>
          <w:tcPr>
            <w:tcW w:w="1195" w:type="pct"/>
            <w:gridSpan w:val="2"/>
            <w:tcBorders>
              <w:top w:val="single" w:sz="4" w:space="0" w:color="auto"/>
              <w:left w:val="single" w:sz="4" w:space="0" w:color="auto"/>
              <w:bottom w:val="single" w:sz="4" w:space="0" w:color="auto"/>
              <w:right w:val="single" w:sz="4" w:space="0" w:color="auto"/>
            </w:tcBorders>
            <w:vAlign w:val="center"/>
          </w:tcPr>
          <w:p w14:paraId="00DFC000"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交易时间</w:t>
            </w:r>
          </w:p>
        </w:tc>
        <w:tc>
          <w:tcPr>
            <w:tcW w:w="954" w:type="pct"/>
            <w:tcBorders>
              <w:top w:val="nil"/>
              <w:left w:val="nil"/>
              <w:bottom w:val="single" w:sz="4" w:space="0" w:color="auto"/>
              <w:right w:val="single" w:sz="4" w:space="0" w:color="auto"/>
            </w:tcBorders>
            <w:vAlign w:val="center"/>
          </w:tcPr>
          <w:p w14:paraId="22D5804A"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于价值时点过去</w:t>
            </w:r>
            <w:r>
              <w:rPr>
                <w:rFonts w:ascii="Arial" w:eastAsia="华文细黑" w:hAnsi="Arial" w:cs="Arial" w:hint="eastAsia"/>
                <w:sz w:val="18"/>
                <w:szCs w:val="18"/>
              </w:rPr>
              <w:t>12</w:t>
            </w:r>
            <w:r>
              <w:rPr>
                <w:rFonts w:ascii="Arial" w:eastAsia="华文细黑" w:hAnsi="Arial" w:cs="Arial" w:hint="eastAsia"/>
                <w:sz w:val="18"/>
                <w:szCs w:val="18"/>
              </w:rPr>
              <w:t>个月</w:t>
            </w:r>
          </w:p>
        </w:tc>
        <w:tc>
          <w:tcPr>
            <w:tcW w:w="954" w:type="pct"/>
            <w:tcBorders>
              <w:top w:val="nil"/>
              <w:left w:val="nil"/>
              <w:bottom w:val="single" w:sz="4" w:space="0" w:color="auto"/>
              <w:right w:val="single" w:sz="4" w:space="0" w:color="auto"/>
            </w:tcBorders>
            <w:vAlign w:val="center"/>
          </w:tcPr>
          <w:p w14:paraId="73A76AE0"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于价值时点过去</w:t>
            </w:r>
            <w:r>
              <w:rPr>
                <w:rFonts w:ascii="Arial" w:eastAsia="华文细黑" w:hAnsi="Arial" w:cs="Arial" w:hint="eastAsia"/>
                <w:sz w:val="18"/>
                <w:szCs w:val="18"/>
              </w:rPr>
              <w:t>12</w:t>
            </w:r>
            <w:r>
              <w:rPr>
                <w:rFonts w:ascii="Arial" w:eastAsia="华文细黑" w:hAnsi="Arial" w:cs="Arial" w:hint="eastAsia"/>
                <w:sz w:val="18"/>
                <w:szCs w:val="18"/>
              </w:rPr>
              <w:t>个月</w:t>
            </w:r>
          </w:p>
        </w:tc>
        <w:tc>
          <w:tcPr>
            <w:tcW w:w="1815" w:type="dxa"/>
            <w:tcBorders>
              <w:top w:val="nil"/>
              <w:left w:val="nil"/>
              <w:bottom w:val="single" w:sz="4" w:space="0" w:color="auto"/>
              <w:right w:val="single" w:sz="4" w:space="0" w:color="auto"/>
            </w:tcBorders>
            <w:vAlign w:val="center"/>
          </w:tcPr>
          <w:p w14:paraId="78BC1077"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于价值时点过去</w:t>
            </w:r>
            <w:r>
              <w:rPr>
                <w:rFonts w:ascii="Arial" w:eastAsia="华文细黑" w:hAnsi="Arial" w:cs="Arial" w:hint="eastAsia"/>
                <w:sz w:val="18"/>
                <w:szCs w:val="18"/>
              </w:rPr>
              <w:t>12</w:t>
            </w:r>
            <w:r>
              <w:rPr>
                <w:rFonts w:ascii="Arial" w:eastAsia="华文细黑" w:hAnsi="Arial" w:cs="Arial" w:hint="eastAsia"/>
                <w:sz w:val="18"/>
                <w:szCs w:val="18"/>
              </w:rPr>
              <w:t>个月</w:t>
            </w:r>
          </w:p>
        </w:tc>
        <w:tc>
          <w:tcPr>
            <w:tcW w:w="1796" w:type="dxa"/>
            <w:tcBorders>
              <w:top w:val="nil"/>
              <w:left w:val="nil"/>
              <w:bottom w:val="single" w:sz="4" w:space="0" w:color="auto"/>
              <w:right w:val="single" w:sz="4" w:space="0" w:color="auto"/>
            </w:tcBorders>
            <w:vAlign w:val="center"/>
          </w:tcPr>
          <w:p w14:paraId="61D09BD7"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于价值时点过去</w:t>
            </w:r>
            <w:r>
              <w:rPr>
                <w:rFonts w:ascii="Arial" w:eastAsia="华文细黑" w:hAnsi="Arial" w:cs="Arial" w:hint="eastAsia"/>
                <w:sz w:val="18"/>
                <w:szCs w:val="18"/>
              </w:rPr>
              <w:t>12</w:t>
            </w:r>
            <w:r>
              <w:rPr>
                <w:rFonts w:ascii="Arial" w:eastAsia="华文细黑" w:hAnsi="Arial" w:cs="Arial" w:hint="eastAsia"/>
                <w:sz w:val="18"/>
                <w:szCs w:val="18"/>
              </w:rPr>
              <w:t>个月</w:t>
            </w:r>
          </w:p>
        </w:tc>
      </w:tr>
      <w:tr w:rsidR="00000000" w14:paraId="34DC2A61" w14:textId="77777777">
        <w:trPr>
          <w:trHeight w:val="270"/>
          <w:jc w:val="center"/>
        </w:trPr>
        <w:tc>
          <w:tcPr>
            <w:tcW w:w="1195" w:type="pct"/>
            <w:gridSpan w:val="2"/>
            <w:tcBorders>
              <w:top w:val="single" w:sz="4" w:space="0" w:color="auto"/>
              <w:left w:val="single" w:sz="4" w:space="0" w:color="auto"/>
              <w:bottom w:val="single" w:sz="4" w:space="0" w:color="auto"/>
              <w:right w:val="single" w:sz="4" w:space="0" w:color="auto"/>
            </w:tcBorders>
            <w:vAlign w:val="center"/>
          </w:tcPr>
          <w:p w14:paraId="226851E5"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交易情况</w:t>
            </w:r>
          </w:p>
        </w:tc>
        <w:tc>
          <w:tcPr>
            <w:tcW w:w="954" w:type="pct"/>
            <w:tcBorders>
              <w:top w:val="nil"/>
              <w:left w:val="nil"/>
              <w:bottom w:val="single" w:sz="4" w:space="0" w:color="auto"/>
              <w:right w:val="single" w:sz="4" w:space="0" w:color="auto"/>
            </w:tcBorders>
            <w:vAlign w:val="center"/>
          </w:tcPr>
          <w:p w14:paraId="171A7EB5"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正常</w:t>
            </w:r>
          </w:p>
        </w:tc>
        <w:tc>
          <w:tcPr>
            <w:tcW w:w="954" w:type="pct"/>
            <w:tcBorders>
              <w:top w:val="nil"/>
              <w:left w:val="nil"/>
              <w:bottom w:val="single" w:sz="4" w:space="0" w:color="auto"/>
              <w:right w:val="single" w:sz="4" w:space="0" w:color="auto"/>
            </w:tcBorders>
            <w:vAlign w:val="center"/>
          </w:tcPr>
          <w:p w14:paraId="6E7BA84A"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正常</w:t>
            </w:r>
          </w:p>
        </w:tc>
        <w:tc>
          <w:tcPr>
            <w:tcW w:w="954" w:type="pct"/>
            <w:tcBorders>
              <w:top w:val="nil"/>
              <w:left w:val="nil"/>
              <w:bottom w:val="single" w:sz="4" w:space="0" w:color="auto"/>
              <w:right w:val="single" w:sz="4" w:space="0" w:color="auto"/>
            </w:tcBorders>
            <w:vAlign w:val="center"/>
          </w:tcPr>
          <w:p w14:paraId="18F4041D"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正常</w:t>
            </w:r>
          </w:p>
        </w:tc>
        <w:tc>
          <w:tcPr>
            <w:tcW w:w="943" w:type="pct"/>
            <w:tcBorders>
              <w:top w:val="nil"/>
              <w:left w:val="nil"/>
              <w:bottom w:val="single" w:sz="4" w:space="0" w:color="auto"/>
              <w:right w:val="single" w:sz="4" w:space="0" w:color="auto"/>
            </w:tcBorders>
            <w:vAlign w:val="center"/>
          </w:tcPr>
          <w:p w14:paraId="644E8F4B"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正常</w:t>
            </w:r>
          </w:p>
        </w:tc>
      </w:tr>
      <w:tr w:rsidR="00000000" w14:paraId="077DED12" w14:textId="77777777">
        <w:trPr>
          <w:trHeight w:val="241"/>
          <w:jc w:val="center"/>
        </w:trPr>
        <w:tc>
          <w:tcPr>
            <w:tcW w:w="366" w:type="pct"/>
            <w:vMerge w:val="restart"/>
            <w:tcBorders>
              <w:top w:val="nil"/>
              <w:left w:val="single" w:sz="4" w:space="0" w:color="auto"/>
              <w:bottom w:val="single" w:sz="4" w:space="0" w:color="000000"/>
              <w:right w:val="single" w:sz="4" w:space="0" w:color="auto"/>
            </w:tcBorders>
            <w:vAlign w:val="center"/>
          </w:tcPr>
          <w:p w14:paraId="7D52A7EC"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区域状况</w:t>
            </w:r>
          </w:p>
        </w:tc>
        <w:tc>
          <w:tcPr>
            <w:tcW w:w="829" w:type="pct"/>
            <w:tcBorders>
              <w:top w:val="nil"/>
              <w:left w:val="nil"/>
              <w:bottom w:val="single" w:sz="4" w:space="0" w:color="auto"/>
              <w:right w:val="single" w:sz="4" w:space="0" w:color="auto"/>
            </w:tcBorders>
            <w:vAlign w:val="center"/>
          </w:tcPr>
          <w:p w14:paraId="6700FD05"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居住区成熟度</w:t>
            </w:r>
          </w:p>
        </w:tc>
        <w:tc>
          <w:tcPr>
            <w:tcW w:w="954" w:type="pct"/>
            <w:tcBorders>
              <w:top w:val="nil"/>
              <w:left w:val="nil"/>
              <w:bottom w:val="single" w:sz="4" w:space="0" w:color="auto"/>
              <w:right w:val="single" w:sz="4" w:space="0" w:color="auto"/>
            </w:tcBorders>
            <w:vAlign w:val="center"/>
          </w:tcPr>
          <w:p w14:paraId="2BF7A56C"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周边有观海苑、泰河园小区、中芯花园、悦廷、鹿海园、南海家园、博客雅苑等居住小区，居住小区规模较大，入住率较高，综合评价居住区成熟度较好。</w:t>
            </w:r>
          </w:p>
        </w:tc>
        <w:tc>
          <w:tcPr>
            <w:tcW w:w="954" w:type="pct"/>
            <w:tcBorders>
              <w:top w:val="nil"/>
              <w:left w:val="nil"/>
              <w:bottom w:val="single" w:sz="4" w:space="0" w:color="auto"/>
              <w:right w:val="single" w:sz="4" w:space="0" w:color="auto"/>
            </w:tcBorders>
            <w:vAlign w:val="center"/>
          </w:tcPr>
          <w:p w14:paraId="5691FCB2"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周边有观海苑、泰河园小区、中芯花园、悦廷、鹿海园、南海家园、博客雅苑等居住小区，居住小区规模较大，入住率较高，综合评价居住区成熟度较好。</w:t>
            </w:r>
          </w:p>
        </w:tc>
        <w:tc>
          <w:tcPr>
            <w:tcW w:w="1815" w:type="dxa"/>
            <w:tcBorders>
              <w:top w:val="nil"/>
              <w:left w:val="nil"/>
              <w:bottom w:val="single" w:sz="4" w:space="0" w:color="auto"/>
              <w:right w:val="single" w:sz="4" w:space="0" w:color="auto"/>
            </w:tcBorders>
            <w:vAlign w:val="center"/>
          </w:tcPr>
          <w:p w14:paraId="3998180C"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周边有贵园南里、中信新城、赢海庄园等居住小区，居住小区规模较大，入住率较高，综合评价居住区成熟度较好</w:t>
            </w:r>
          </w:p>
        </w:tc>
        <w:tc>
          <w:tcPr>
            <w:tcW w:w="1796" w:type="dxa"/>
            <w:tcBorders>
              <w:top w:val="nil"/>
              <w:left w:val="nil"/>
              <w:bottom w:val="single" w:sz="4" w:space="0" w:color="auto"/>
              <w:right w:val="single" w:sz="4" w:space="0" w:color="auto"/>
            </w:tcBorders>
            <w:vAlign w:val="center"/>
          </w:tcPr>
          <w:p w14:paraId="1ADF66F8"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周边有南海家园一里、南海家园二里、北京城建海梓府等居住小区，居住小区规模较大，入住率较高，综合评价居住区成熟度较好。</w:t>
            </w:r>
          </w:p>
        </w:tc>
      </w:tr>
      <w:tr w:rsidR="00000000" w14:paraId="5E030F33" w14:textId="77777777">
        <w:trPr>
          <w:trHeight w:val="270"/>
          <w:jc w:val="center"/>
        </w:trPr>
        <w:tc>
          <w:tcPr>
            <w:tcW w:w="366" w:type="pct"/>
            <w:vMerge/>
            <w:tcBorders>
              <w:top w:val="nil"/>
              <w:left w:val="single" w:sz="4" w:space="0" w:color="auto"/>
              <w:bottom w:val="single" w:sz="4" w:space="0" w:color="000000"/>
              <w:right w:val="single" w:sz="4" w:space="0" w:color="auto"/>
            </w:tcBorders>
            <w:vAlign w:val="center"/>
          </w:tcPr>
          <w:p w14:paraId="04FC8F21" w14:textId="77777777" w:rsidR="00000000" w:rsidRDefault="00000000">
            <w:pPr>
              <w:widowControl/>
              <w:adjustRightInd/>
              <w:spacing w:line="240" w:lineRule="auto"/>
              <w:jc w:val="center"/>
              <w:textAlignment w:val="auto"/>
              <w:rPr>
                <w:rFonts w:ascii="Arial" w:eastAsia="华文细黑" w:hAnsi="Arial" w:cs="Arial" w:hint="eastAsia"/>
                <w:sz w:val="18"/>
                <w:szCs w:val="18"/>
              </w:rPr>
            </w:pPr>
          </w:p>
        </w:tc>
        <w:tc>
          <w:tcPr>
            <w:tcW w:w="829" w:type="pct"/>
            <w:tcBorders>
              <w:top w:val="nil"/>
              <w:left w:val="nil"/>
              <w:bottom w:val="single" w:sz="4" w:space="0" w:color="auto"/>
              <w:right w:val="single" w:sz="4" w:space="0" w:color="auto"/>
            </w:tcBorders>
            <w:vAlign w:val="center"/>
          </w:tcPr>
          <w:p w14:paraId="680B9251"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交通条件</w:t>
            </w:r>
          </w:p>
        </w:tc>
        <w:tc>
          <w:tcPr>
            <w:tcW w:w="954" w:type="pct"/>
            <w:tcBorders>
              <w:top w:val="nil"/>
              <w:left w:val="nil"/>
              <w:bottom w:val="single" w:sz="4" w:space="0" w:color="auto"/>
              <w:right w:val="single" w:sz="4" w:space="0" w:color="auto"/>
            </w:tcBorders>
            <w:vAlign w:val="center"/>
          </w:tcPr>
          <w:p w14:paraId="1EF92982"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紧邻城市支路——凉水河二街，距南六环路约</w:t>
            </w:r>
            <w:r>
              <w:rPr>
                <w:rFonts w:ascii="Arial" w:eastAsia="华文细黑" w:hAnsi="Arial" w:cs="Arial" w:hint="eastAsia"/>
                <w:sz w:val="18"/>
                <w:szCs w:val="18"/>
              </w:rPr>
              <w:t>3.4</w:t>
            </w:r>
            <w:r>
              <w:rPr>
                <w:rFonts w:ascii="Arial" w:eastAsia="华文细黑" w:hAnsi="Arial" w:cs="Arial" w:hint="eastAsia"/>
                <w:sz w:val="18"/>
                <w:szCs w:val="18"/>
              </w:rPr>
              <w:t>公里，路网密集度较好；周边有公交车站（鹿海园），停靠线路有</w:t>
            </w:r>
            <w:r>
              <w:rPr>
                <w:rFonts w:ascii="Arial" w:eastAsia="华文细黑" w:hAnsi="Arial" w:cs="Arial" w:hint="eastAsia"/>
                <w:sz w:val="18"/>
                <w:szCs w:val="18"/>
              </w:rPr>
              <w:t>573</w:t>
            </w:r>
            <w:r>
              <w:rPr>
                <w:rFonts w:ascii="Arial" w:eastAsia="华文细黑" w:hAnsi="Arial" w:cs="Arial" w:hint="eastAsia"/>
                <w:sz w:val="18"/>
                <w:szCs w:val="18"/>
              </w:rPr>
              <w:t>路、</w:t>
            </w:r>
            <w:r>
              <w:rPr>
                <w:rFonts w:ascii="Arial" w:eastAsia="华文细黑" w:hAnsi="Arial" w:cs="Arial" w:hint="eastAsia"/>
                <w:sz w:val="18"/>
                <w:szCs w:val="18"/>
              </w:rPr>
              <w:t>580</w:t>
            </w:r>
            <w:r>
              <w:rPr>
                <w:rFonts w:ascii="Arial" w:eastAsia="华文细黑" w:hAnsi="Arial" w:cs="Arial" w:hint="eastAsia"/>
                <w:sz w:val="18"/>
                <w:szCs w:val="18"/>
              </w:rPr>
              <w:t>路、</w:t>
            </w:r>
            <w:r>
              <w:rPr>
                <w:rFonts w:ascii="Arial" w:eastAsia="华文细黑" w:hAnsi="Arial" w:cs="Arial" w:hint="eastAsia"/>
                <w:sz w:val="18"/>
                <w:szCs w:val="18"/>
              </w:rPr>
              <w:t>599</w:t>
            </w:r>
            <w:r>
              <w:rPr>
                <w:rFonts w:ascii="Arial" w:eastAsia="华文细黑" w:hAnsi="Arial" w:cs="Arial" w:hint="eastAsia"/>
                <w:sz w:val="18"/>
                <w:szCs w:val="18"/>
              </w:rPr>
              <w:t>路、</w:t>
            </w:r>
            <w:r>
              <w:rPr>
                <w:rFonts w:ascii="Arial" w:eastAsia="华文细黑" w:hAnsi="Arial" w:cs="Arial" w:hint="eastAsia"/>
                <w:sz w:val="18"/>
                <w:szCs w:val="18"/>
              </w:rPr>
              <w:t>665</w:t>
            </w:r>
            <w:r>
              <w:rPr>
                <w:rFonts w:ascii="Arial" w:eastAsia="华文细黑" w:hAnsi="Arial" w:cs="Arial" w:hint="eastAsia"/>
                <w:sz w:val="18"/>
                <w:szCs w:val="18"/>
              </w:rPr>
              <w:t>路、兴</w:t>
            </w:r>
            <w:r>
              <w:rPr>
                <w:rFonts w:ascii="Arial" w:eastAsia="华文细黑" w:hAnsi="Arial" w:cs="Arial" w:hint="eastAsia"/>
                <w:sz w:val="18"/>
                <w:szCs w:val="18"/>
              </w:rPr>
              <w:t>78</w:t>
            </w:r>
            <w:r>
              <w:rPr>
                <w:rFonts w:ascii="Arial" w:eastAsia="华文细黑" w:hAnsi="Arial" w:cs="Arial" w:hint="eastAsia"/>
                <w:sz w:val="18"/>
                <w:szCs w:val="18"/>
              </w:rPr>
              <w:t>路等十余条公交线路，距离地铁亦庄</w:t>
            </w:r>
            <w:r>
              <w:rPr>
                <w:rFonts w:ascii="Arial" w:eastAsia="华文细黑" w:hAnsi="Arial" w:cs="Arial" w:hint="eastAsia"/>
                <w:sz w:val="18"/>
                <w:szCs w:val="18"/>
              </w:rPr>
              <w:t>T1</w:t>
            </w:r>
            <w:r>
              <w:rPr>
                <w:rFonts w:ascii="Arial" w:eastAsia="华文细黑" w:hAnsi="Arial" w:cs="Arial" w:hint="eastAsia"/>
                <w:sz w:val="18"/>
                <w:szCs w:val="18"/>
              </w:rPr>
              <w:t>线（鹿圈东站）约</w:t>
            </w:r>
            <w:r>
              <w:rPr>
                <w:rFonts w:ascii="Arial" w:eastAsia="华文细黑" w:hAnsi="Arial" w:cs="Arial" w:hint="eastAsia"/>
                <w:sz w:val="18"/>
                <w:szCs w:val="18"/>
              </w:rPr>
              <w:t>1500</w:t>
            </w:r>
            <w:r>
              <w:rPr>
                <w:rFonts w:ascii="Arial" w:eastAsia="华文细黑" w:hAnsi="Arial" w:cs="Arial" w:hint="eastAsia"/>
                <w:sz w:val="18"/>
                <w:szCs w:val="18"/>
              </w:rPr>
              <w:t>米，道路通达度较好，综合评价交通便捷度较好。</w:t>
            </w:r>
          </w:p>
        </w:tc>
        <w:tc>
          <w:tcPr>
            <w:tcW w:w="954" w:type="pct"/>
            <w:tcBorders>
              <w:top w:val="nil"/>
              <w:left w:val="nil"/>
              <w:bottom w:val="single" w:sz="4" w:space="0" w:color="auto"/>
              <w:right w:val="single" w:sz="4" w:space="0" w:color="auto"/>
            </w:tcBorders>
            <w:vAlign w:val="center"/>
          </w:tcPr>
          <w:p w14:paraId="57BA3246" w14:textId="77777777" w:rsidR="00000000" w:rsidRDefault="00000000">
            <w:pPr>
              <w:widowControl/>
              <w:adjustRightInd/>
              <w:spacing w:line="240" w:lineRule="auto"/>
              <w:jc w:val="center"/>
              <w:textAlignment w:val="auto"/>
              <w:rPr>
                <w:rFonts w:ascii="Arial" w:eastAsia="华文细黑" w:hAnsi="Arial" w:cs="Arial" w:hint="eastAsia"/>
                <w:sz w:val="18"/>
                <w:szCs w:val="18"/>
              </w:rPr>
            </w:pPr>
          </w:p>
          <w:p w14:paraId="1D277D4D"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紧邻城市次干道——博兴七路，距南六环路约</w:t>
            </w:r>
            <w:r>
              <w:rPr>
                <w:rFonts w:ascii="Arial" w:eastAsia="华文细黑" w:hAnsi="Arial" w:cs="Arial" w:hint="eastAsia"/>
                <w:sz w:val="18"/>
                <w:szCs w:val="18"/>
              </w:rPr>
              <w:t>3.4</w:t>
            </w:r>
            <w:r>
              <w:rPr>
                <w:rFonts w:ascii="Arial" w:eastAsia="华文细黑" w:hAnsi="Arial" w:cs="Arial" w:hint="eastAsia"/>
                <w:sz w:val="18"/>
                <w:szCs w:val="18"/>
              </w:rPr>
              <w:t>公里，路网密集度较好；周边有公交车站（鹿海园），停靠线路有</w:t>
            </w:r>
            <w:r>
              <w:rPr>
                <w:rFonts w:ascii="Arial" w:eastAsia="华文细黑" w:hAnsi="Arial" w:cs="Arial" w:hint="eastAsia"/>
                <w:sz w:val="18"/>
                <w:szCs w:val="18"/>
              </w:rPr>
              <w:t>573</w:t>
            </w:r>
            <w:r>
              <w:rPr>
                <w:rFonts w:ascii="Arial" w:eastAsia="华文细黑" w:hAnsi="Arial" w:cs="Arial" w:hint="eastAsia"/>
                <w:sz w:val="18"/>
                <w:szCs w:val="18"/>
              </w:rPr>
              <w:t>路、</w:t>
            </w:r>
            <w:r>
              <w:rPr>
                <w:rFonts w:ascii="Arial" w:eastAsia="华文细黑" w:hAnsi="Arial" w:cs="Arial" w:hint="eastAsia"/>
                <w:sz w:val="18"/>
                <w:szCs w:val="18"/>
              </w:rPr>
              <w:t>580</w:t>
            </w:r>
            <w:r>
              <w:rPr>
                <w:rFonts w:ascii="Arial" w:eastAsia="华文细黑" w:hAnsi="Arial" w:cs="Arial" w:hint="eastAsia"/>
                <w:sz w:val="18"/>
                <w:szCs w:val="18"/>
              </w:rPr>
              <w:t>路、</w:t>
            </w:r>
            <w:r>
              <w:rPr>
                <w:rFonts w:ascii="Arial" w:eastAsia="华文细黑" w:hAnsi="Arial" w:cs="Arial" w:hint="eastAsia"/>
                <w:sz w:val="18"/>
                <w:szCs w:val="18"/>
              </w:rPr>
              <w:t>599</w:t>
            </w:r>
            <w:r>
              <w:rPr>
                <w:rFonts w:ascii="Arial" w:eastAsia="华文细黑" w:hAnsi="Arial" w:cs="Arial" w:hint="eastAsia"/>
                <w:sz w:val="18"/>
                <w:szCs w:val="18"/>
              </w:rPr>
              <w:t>路、</w:t>
            </w:r>
            <w:r>
              <w:rPr>
                <w:rFonts w:ascii="Arial" w:eastAsia="华文细黑" w:hAnsi="Arial" w:cs="Arial" w:hint="eastAsia"/>
                <w:sz w:val="18"/>
                <w:szCs w:val="18"/>
              </w:rPr>
              <w:t>665</w:t>
            </w:r>
            <w:r>
              <w:rPr>
                <w:rFonts w:ascii="Arial" w:eastAsia="华文细黑" w:hAnsi="Arial" w:cs="Arial" w:hint="eastAsia"/>
                <w:sz w:val="18"/>
                <w:szCs w:val="18"/>
              </w:rPr>
              <w:t>路、兴</w:t>
            </w:r>
            <w:r>
              <w:rPr>
                <w:rFonts w:ascii="Arial" w:eastAsia="华文细黑" w:hAnsi="Arial" w:cs="Arial" w:hint="eastAsia"/>
                <w:sz w:val="18"/>
                <w:szCs w:val="18"/>
              </w:rPr>
              <w:t>78</w:t>
            </w:r>
            <w:r>
              <w:rPr>
                <w:rFonts w:ascii="Arial" w:eastAsia="华文细黑" w:hAnsi="Arial" w:cs="Arial" w:hint="eastAsia"/>
                <w:sz w:val="18"/>
                <w:szCs w:val="18"/>
              </w:rPr>
              <w:t>路等十余条公交线路，距离地铁亦庄</w:t>
            </w:r>
            <w:r>
              <w:rPr>
                <w:rFonts w:ascii="Arial" w:eastAsia="华文细黑" w:hAnsi="Arial" w:cs="Arial" w:hint="eastAsia"/>
                <w:sz w:val="18"/>
                <w:szCs w:val="18"/>
              </w:rPr>
              <w:t>T1</w:t>
            </w:r>
            <w:r>
              <w:rPr>
                <w:rFonts w:ascii="Arial" w:eastAsia="华文细黑" w:hAnsi="Arial" w:cs="Arial" w:hint="eastAsia"/>
                <w:sz w:val="18"/>
                <w:szCs w:val="18"/>
              </w:rPr>
              <w:t>线（鹿圈东站）约</w:t>
            </w:r>
            <w:r>
              <w:rPr>
                <w:rFonts w:ascii="Arial" w:eastAsia="华文细黑" w:hAnsi="Arial" w:cs="Arial" w:hint="eastAsia"/>
                <w:sz w:val="18"/>
                <w:szCs w:val="18"/>
              </w:rPr>
              <w:t>1000</w:t>
            </w:r>
            <w:r>
              <w:rPr>
                <w:rFonts w:ascii="Arial" w:eastAsia="华文细黑" w:hAnsi="Arial" w:cs="Arial" w:hint="eastAsia"/>
                <w:sz w:val="18"/>
                <w:szCs w:val="18"/>
              </w:rPr>
              <w:t>米，道路通达度较好，综合评价交通便捷度较好。</w:t>
            </w:r>
          </w:p>
        </w:tc>
        <w:tc>
          <w:tcPr>
            <w:tcW w:w="1815" w:type="dxa"/>
            <w:tcBorders>
              <w:top w:val="nil"/>
              <w:left w:val="nil"/>
              <w:bottom w:val="single" w:sz="4" w:space="0" w:color="auto"/>
              <w:right w:val="single" w:sz="4" w:space="0" w:color="auto"/>
            </w:tcBorders>
            <w:vAlign w:val="center"/>
          </w:tcPr>
          <w:p w14:paraId="0EFEAC99"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紧邻城市次干道——凉水河一街，距南六环路约</w:t>
            </w:r>
            <w:r>
              <w:rPr>
                <w:rFonts w:ascii="Arial" w:eastAsia="华文细黑" w:hAnsi="Arial" w:cs="Arial" w:hint="eastAsia"/>
                <w:sz w:val="18"/>
                <w:szCs w:val="18"/>
              </w:rPr>
              <w:t>2</w:t>
            </w:r>
            <w:r>
              <w:rPr>
                <w:rFonts w:ascii="Arial" w:eastAsia="华文细黑" w:hAnsi="Arial" w:cs="Arial" w:hint="eastAsia"/>
                <w:sz w:val="18"/>
                <w:szCs w:val="18"/>
              </w:rPr>
              <w:t>公里，周边有公交车站（中信新城西区西门、枫丹壹号小区等），停靠线路有兴</w:t>
            </w:r>
            <w:r>
              <w:rPr>
                <w:rFonts w:ascii="Arial" w:eastAsia="华文细黑" w:hAnsi="Arial" w:cs="Arial" w:hint="eastAsia"/>
                <w:sz w:val="18"/>
                <w:szCs w:val="18"/>
              </w:rPr>
              <w:t>59</w:t>
            </w:r>
            <w:r>
              <w:rPr>
                <w:rFonts w:ascii="Arial" w:eastAsia="华文细黑" w:hAnsi="Arial" w:cs="Arial" w:hint="eastAsia"/>
                <w:sz w:val="18"/>
                <w:szCs w:val="18"/>
              </w:rPr>
              <w:t>路、兴</w:t>
            </w:r>
            <w:r>
              <w:rPr>
                <w:rFonts w:ascii="Arial" w:eastAsia="华文细黑" w:hAnsi="Arial" w:cs="Arial" w:hint="eastAsia"/>
                <w:sz w:val="18"/>
                <w:szCs w:val="18"/>
              </w:rPr>
              <w:t>72</w:t>
            </w:r>
            <w:r>
              <w:rPr>
                <w:rFonts w:ascii="Arial" w:eastAsia="华文细黑" w:hAnsi="Arial" w:cs="Arial" w:hint="eastAsia"/>
                <w:sz w:val="18"/>
                <w:szCs w:val="18"/>
              </w:rPr>
              <w:t>路、</w:t>
            </w:r>
            <w:r>
              <w:rPr>
                <w:rFonts w:ascii="Arial" w:eastAsia="华文细黑" w:hAnsi="Arial" w:cs="Arial" w:hint="eastAsia"/>
                <w:sz w:val="18"/>
                <w:szCs w:val="18"/>
              </w:rPr>
              <w:t>324</w:t>
            </w:r>
            <w:r>
              <w:rPr>
                <w:rFonts w:ascii="Arial" w:eastAsia="华文细黑" w:hAnsi="Arial" w:cs="Arial" w:hint="eastAsia"/>
                <w:sz w:val="18"/>
                <w:szCs w:val="18"/>
              </w:rPr>
              <w:t>路、</w:t>
            </w:r>
            <w:r>
              <w:rPr>
                <w:rFonts w:ascii="Arial" w:eastAsia="华文细黑" w:hAnsi="Arial" w:cs="Arial" w:hint="eastAsia"/>
                <w:sz w:val="18"/>
                <w:szCs w:val="18"/>
              </w:rPr>
              <w:t>599</w:t>
            </w:r>
            <w:r>
              <w:rPr>
                <w:rFonts w:ascii="Arial" w:eastAsia="华文细黑" w:hAnsi="Arial" w:cs="Arial" w:hint="eastAsia"/>
                <w:sz w:val="18"/>
                <w:szCs w:val="18"/>
              </w:rPr>
              <w:t>路等十余条公交线路，距地铁亦庄线（荣京东街站）约</w:t>
            </w:r>
            <w:r>
              <w:rPr>
                <w:rFonts w:ascii="Arial" w:eastAsia="华文细黑" w:hAnsi="Arial" w:cs="Arial" w:hint="eastAsia"/>
                <w:sz w:val="18"/>
                <w:szCs w:val="18"/>
              </w:rPr>
              <w:t>3000</w:t>
            </w:r>
            <w:r>
              <w:rPr>
                <w:rFonts w:ascii="Arial" w:eastAsia="华文细黑" w:hAnsi="Arial" w:cs="Arial" w:hint="eastAsia"/>
                <w:sz w:val="18"/>
                <w:szCs w:val="18"/>
              </w:rPr>
              <w:t>米，综合评价交通便捷度较差</w:t>
            </w:r>
          </w:p>
        </w:tc>
        <w:tc>
          <w:tcPr>
            <w:tcW w:w="1796" w:type="dxa"/>
            <w:tcBorders>
              <w:top w:val="nil"/>
              <w:left w:val="nil"/>
              <w:bottom w:val="single" w:sz="4" w:space="0" w:color="auto"/>
              <w:right w:val="single" w:sz="4" w:space="0" w:color="auto"/>
            </w:tcBorders>
            <w:vAlign w:val="center"/>
          </w:tcPr>
          <w:p w14:paraId="5B3010D8"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紧邻城市次干道——三海子东路，距南六环路约</w:t>
            </w:r>
            <w:r>
              <w:rPr>
                <w:rFonts w:ascii="Arial" w:eastAsia="华文细黑" w:hAnsi="Arial" w:cs="Arial" w:hint="eastAsia"/>
                <w:sz w:val="18"/>
                <w:szCs w:val="18"/>
              </w:rPr>
              <w:t>3</w:t>
            </w:r>
            <w:r>
              <w:rPr>
                <w:rFonts w:ascii="Arial" w:eastAsia="华文细黑" w:hAnsi="Arial" w:cs="Arial" w:hint="eastAsia"/>
                <w:sz w:val="18"/>
                <w:szCs w:val="18"/>
              </w:rPr>
              <w:t>公里，路网密集度较好；周边有公交车站（南海家园四里南门、南海家园二里等），停靠线路有兴</w:t>
            </w:r>
            <w:r>
              <w:rPr>
                <w:rFonts w:ascii="Arial" w:eastAsia="华文细黑" w:hAnsi="Arial" w:cs="Arial" w:hint="eastAsia"/>
                <w:sz w:val="18"/>
                <w:szCs w:val="18"/>
              </w:rPr>
              <w:t>31</w:t>
            </w:r>
            <w:r>
              <w:rPr>
                <w:rFonts w:ascii="Arial" w:eastAsia="华文细黑" w:hAnsi="Arial" w:cs="Arial" w:hint="eastAsia"/>
                <w:sz w:val="18"/>
                <w:szCs w:val="18"/>
              </w:rPr>
              <w:t>路、兴</w:t>
            </w:r>
            <w:r>
              <w:rPr>
                <w:rFonts w:ascii="Arial" w:eastAsia="华文细黑" w:hAnsi="Arial" w:cs="Arial" w:hint="eastAsia"/>
                <w:sz w:val="18"/>
                <w:szCs w:val="18"/>
              </w:rPr>
              <w:t>72</w:t>
            </w:r>
            <w:r>
              <w:rPr>
                <w:rFonts w:ascii="Arial" w:eastAsia="华文细黑" w:hAnsi="Arial" w:cs="Arial" w:hint="eastAsia"/>
                <w:sz w:val="18"/>
                <w:szCs w:val="18"/>
              </w:rPr>
              <w:t>路、</w:t>
            </w:r>
            <w:r>
              <w:rPr>
                <w:rFonts w:ascii="Arial" w:eastAsia="华文细黑" w:hAnsi="Arial" w:cs="Arial" w:hint="eastAsia"/>
                <w:sz w:val="18"/>
                <w:szCs w:val="18"/>
              </w:rPr>
              <w:t>580</w:t>
            </w:r>
            <w:r>
              <w:rPr>
                <w:rFonts w:ascii="Arial" w:eastAsia="华文细黑" w:hAnsi="Arial" w:cs="Arial" w:hint="eastAsia"/>
                <w:sz w:val="18"/>
                <w:szCs w:val="18"/>
              </w:rPr>
              <w:t>路、</w:t>
            </w:r>
            <w:r>
              <w:rPr>
                <w:rFonts w:ascii="Arial" w:eastAsia="华文细黑" w:hAnsi="Arial" w:cs="Arial" w:hint="eastAsia"/>
                <w:sz w:val="18"/>
                <w:szCs w:val="18"/>
              </w:rPr>
              <w:t>581</w:t>
            </w:r>
            <w:r>
              <w:rPr>
                <w:rFonts w:ascii="Arial" w:eastAsia="华文细黑" w:hAnsi="Arial" w:cs="Arial" w:hint="eastAsia"/>
                <w:sz w:val="18"/>
                <w:szCs w:val="18"/>
              </w:rPr>
              <w:t>路等十余条公交线路，距离地铁亦庄</w:t>
            </w:r>
            <w:r>
              <w:rPr>
                <w:rFonts w:ascii="Arial" w:eastAsia="华文细黑" w:hAnsi="Arial" w:cs="Arial" w:hint="eastAsia"/>
                <w:sz w:val="18"/>
                <w:szCs w:val="18"/>
              </w:rPr>
              <w:t>T1</w:t>
            </w:r>
            <w:r>
              <w:rPr>
                <w:rFonts w:ascii="Arial" w:eastAsia="华文细黑" w:hAnsi="Arial" w:cs="Arial" w:hint="eastAsia"/>
                <w:sz w:val="18"/>
                <w:szCs w:val="18"/>
              </w:rPr>
              <w:t>线（九号村站）约</w:t>
            </w:r>
            <w:r>
              <w:rPr>
                <w:rFonts w:ascii="Arial" w:eastAsia="华文细黑" w:hAnsi="Arial" w:cs="Arial" w:hint="eastAsia"/>
                <w:sz w:val="18"/>
                <w:szCs w:val="18"/>
              </w:rPr>
              <w:t>1900</w:t>
            </w:r>
            <w:r>
              <w:rPr>
                <w:rFonts w:ascii="Arial" w:eastAsia="华文细黑" w:hAnsi="Arial" w:cs="Arial" w:hint="eastAsia"/>
                <w:sz w:val="18"/>
                <w:szCs w:val="18"/>
              </w:rPr>
              <w:t>米，道路通达度较好，综合评价交通便捷度一般</w:t>
            </w:r>
          </w:p>
        </w:tc>
      </w:tr>
      <w:tr w:rsidR="00000000" w14:paraId="47E261D0" w14:textId="77777777">
        <w:trPr>
          <w:trHeight w:val="270"/>
          <w:jc w:val="center"/>
        </w:trPr>
        <w:tc>
          <w:tcPr>
            <w:tcW w:w="366" w:type="pct"/>
            <w:vMerge/>
            <w:tcBorders>
              <w:top w:val="nil"/>
              <w:left w:val="single" w:sz="4" w:space="0" w:color="auto"/>
              <w:bottom w:val="single" w:sz="4" w:space="0" w:color="000000"/>
              <w:right w:val="single" w:sz="4" w:space="0" w:color="auto"/>
            </w:tcBorders>
            <w:vAlign w:val="center"/>
          </w:tcPr>
          <w:p w14:paraId="366B0479" w14:textId="77777777" w:rsidR="00000000" w:rsidRDefault="00000000">
            <w:pPr>
              <w:widowControl/>
              <w:adjustRightInd/>
              <w:spacing w:line="240" w:lineRule="auto"/>
              <w:jc w:val="center"/>
              <w:textAlignment w:val="auto"/>
              <w:rPr>
                <w:rFonts w:ascii="Arial" w:eastAsia="华文细黑" w:hAnsi="Arial" w:cs="Arial" w:hint="eastAsia"/>
                <w:sz w:val="18"/>
                <w:szCs w:val="18"/>
              </w:rPr>
            </w:pPr>
          </w:p>
        </w:tc>
        <w:tc>
          <w:tcPr>
            <w:tcW w:w="829" w:type="pct"/>
            <w:tcBorders>
              <w:top w:val="nil"/>
              <w:left w:val="nil"/>
              <w:bottom w:val="single" w:sz="4" w:space="0" w:color="auto"/>
              <w:right w:val="single" w:sz="4" w:space="0" w:color="auto"/>
            </w:tcBorders>
            <w:vAlign w:val="center"/>
          </w:tcPr>
          <w:p w14:paraId="429773D8"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商业设施</w:t>
            </w:r>
          </w:p>
        </w:tc>
        <w:tc>
          <w:tcPr>
            <w:tcW w:w="954" w:type="pct"/>
            <w:tcBorders>
              <w:top w:val="nil"/>
              <w:left w:val="nil"/>
              <w:bottom w:val="single" w:sz="4" w:space="0" w:color="auto"/>
              <w:right w:val="single" w:sz="4" w:space="0" w:color="auto"/>
            </w:tcBorders>
            <w:vAlign w:val="center"/>
          </w:tcPr>
          <w:p w14:paraId="4743EFCC"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周边有临街商铺等，商业设施以小区配套为主，且数量一般，综合评价商业设施一般。</w:t>
            </w:r>
          </w:p>
        </w:tc>
        <w:tc>
          <w:tcPr>
            <w:tcW w:w="954" w:type="pct"/>
            <w:tcBorders>
              <w:top w:val="nil"/>
              <w:left w:val="nil"/>
              <w:bottom w:val="single" w:sz="4" w:space="0" w:color="auto"/>
              <w:right w:val="single" w:sz="4" w:space="0" w:color="auto"/>
            </w:tcBorders>
            <w:vAlign w:val="center"/>
          </w:tcPr>
          <w:p w14:paraId="14534625"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周边有临街商铺等，商业设施以小区配套为主，且数量一般，综合评价商业设施一般。</w:t>
            </w:r>
          </w:p>
        </w:tc>
        <w:tc>
          <w:tcPr>
            <w:tcW w:w="1815" w:type="dxa"/>
            <w:tcBorders>
              <w:top w:val="nil"/>
              <w:left w:val="nil"/>
              <w:bottom w:val="single" w:sz="4" w:space="0" w:color="auto"/>
              <w:right w:val="single" w:sz="4" w:space="0" w:color="auto"/>
            </w:tcBorders>
            <w:vAlign w:val="center"/>
          </w:tcPr>
          <w:p w14:paraId="59B6B588"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周边有物美超市、世纪华联超市、大雄商业中心等，商业设施以小区配套为主，且数量一般，综合评价商业设施一般。</w:t>
            </w:r>
          </w:p>
        </w:tc>
        <w:tc>
          <w:tcPr>
            <w:tcW w:w="1796" w:type="dxa"/>
            <w:tcBorders>
              <w:top w:val="nil"/>
              <w:left w:val="nil"/>
              <w:bottom w:val="single" w:sz="4" w:space="0" w:color="auto"/>
              <w:right w:val="single" w:sz="4" w:space="0" w:color="auto"/>
            </w:tcBorders>
            <w:vAlign w:val="center"/>
          </w:tcPr>
          <w:p w14:paraId="515F162B"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周边有临街商铺等，商业设施以小区配套为主，且数量一般，综合评价商业设施一般。</w:t>
            </w:r>
          </w:p>
        </w:tc>
      </w:tr>
      <w:tr w:rsidR="00000000" w14:paraId="035E764D" w14:textId="77777777">
        <w:trPr>
          <w:trHeight w:val="282"/>
          <w:jc w:val="center"/>
        </w:trPr>
        <w:tc>
          <w:tcPr>
            <w:tcW w:w="366" w:type="pct"/>
            <w:vMerge/>
            <w:tcBorders>
              <w:top w:val="nil"/>
              <w:left w:val="single" w:sz="4" w:space="0" w:color="auto"/>
              <w:bottom w:val="single" w:sz="4" w:space="0" w:color="000000"/>
              <w:right w:val="single" w:sz="4" w:space="0" w:color="auto"/>
            </w:tcBorders>
            <w:vAlign w:val="center"/>
          </w:tcPr>
          <w:p w14:paraId="52CF3B82" w14:textId="77777777" w:rsidR="00000000" w:rsidRDefault="00000000">
            <w:pPr>
              <w:widowControl/>
              <w:adjustRightInd/>
              <w:spacing w:line="240" w:lineRule="auto"/>
              <w:jc w:val="center"/>
              <w:textAlignment w:val="auto"/>
              <w:rPr>
                <w:rFonts w:ascii="Arial" w:eastAsia="华文细黑" w:hAnsi="Arial" w:cs="Arial" w:hint="eastAsia"/>
                <w:sz w:val="18"/>
                <w:szCs w:val="18"/>
              </w:rPr>
            </w:pPr>
          </w:p>
        </w:tc>
        <w:tc>
          <w:tcPr>
            <w:tcW w:w="829" w:type="pct"/>
            <w:tcBorders>
              <w:top w:val="nil"/>
              <w:left w:val="nil"/>
              <w:bottom w:val="single" w:sz="4" w:space="0" w:color="auto"/>
              <w:right w:val="single" w:sz="4" w:space="0" w:color="auto"/>
            </w:tcBorders>
            <w:vAlign w:val="center"/>
          </w:tcPr>
          <w:p w14:paraId="732AC6FC"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自然环境</w:t>
            </w:r>
          </w:p>
        </w:tc>
        <w:tc>
          <w:tcPr>
            <w:tcW w:w="954" w:type="pct"/>
            <w:tcBorders>
              <w:top w:val="nil"/>
              <w:left w:val="nil"/>
              <w:bottom w:val="single" w:sz="4" w:space="0" w:color="auto"/>
              <w:right w:val="single" w:sz="4" w:space="0" w:color="auto"/>
            </w:tcBorders>
            <w:vAlign w:val="center"/>
          </w:tcPr>
          <w:p w14:paraId="4B20ACCE"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周边有南海子公园、亦庄新城滨河公园、凉水河、体育公园等，周边无高等教育学校或博物馆等人文景观，综合评价环</w:t>
            </w:r>
            <w:r>
              <w:rPr>
                <w:rFonts w:ascii="Arial" w:eastAsia="华文细黑" w:hAnsi="Arial" w:cs="Arial" w:hint="eastAsia"/>
                <w:sz w:val="18"/>
                <w:szCs w:val="18"/>
              </w:rPr>
              <w:lastRenderedPageBreak/>
              <w:t>境状况一般。</w:t>
            </w:r>
          </w:p>
        </w:tc>
        <w:tc>
          <w:tcPr>
            <w:tcW w:w="954" w:type="pct"/>
            <w:tcBorders>
              <w:top w:val="nil"/>
              <w:left w:val="nil"/>
              <w:bottom w:val="single" w:sz="4" w:space="0" w:color="auto"/>
              <w:right w:val="single" w:sz="4" w:space="0" w:color="auto"/>
            </w:tcBorders>
            <w:vAlign w:val="center"/>
          </w:tcPr>
          <w:p w14:paraId="3F922D08"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lastRenderedPageBreak/>
              <w:t>周边有南海子公园、亦庄新城滨河公园、凉水河、体育公园等，周边无高等教育学校或博物馆等人文景观，综合评价环</w:t>
            </w:r>
            <w:r>
              <w:rPr>
                <w:rFonts w:ascii="Arial" w:eastAsia="华文细黑" w:hAnsi="Arial" w:cs="Arial" w:hint="eastAsia"/>
                <w:sz w:val="18"/>
                <w:szCs w:val="18"/>
              </w:rPr>
              <w:lastRenderedPageBreak/>
              <w:t>境状况一般。</w:t>
            </w:r>
          </w:p>
        </w:tc>
        <w:tc>
          <w:tcPr>
            <w:tcW w:w="1815" w:type="dxa"/>
            <w:tcBorders>
              <w:top w:val="nil"/>
              <w:left w:val="nil"/>
              <w:bottom w:val="single" w:sz="4" w:space="0" w:color="auto"/>
              <w:right w:val="single" w:sz="4" w:space="0" w:color="auto"/>
            </w:tcBorders>
            <w:vAlign w:val="center"/>
          </w:tcPr>
          <w:p w14:paraId="65D66FB5"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lastRenderedPageBreak/>
              <w:t>周边有南海子公园、亦庄文化广场等，绿化面积较大，自然与人环境较好</w:t>
            </w:r>
          </w:p>
        </w:tc>
        <w:tc>
          <w:tcPr>
            <w:tcW w:w="1796" w:type="dxa"/>
            <w:tcBorders>
              <w:top w:val="nil"/>
              <w:left w:val="nil"/>
              <w:bottom w:val="single" w:sz="4" w:space="0" w:color="auto"/>
              <w:right w:val="single" w:sz="4" w:space="0" w:color="auto"/>
            </w:tcBorders>
            <w:vAlign w:val="center"/>
          </w:tcPr>
          <w:p w14:paraId="6E8870DB"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周边有南海子公园、亦庄新城滨河公园、凉水河、体育公园等，周边无高等教育学校或博物馆等人文景观，综合评价环</w:t>
            </w:r>
            <w:r>
              <w:rPr>
                <w:rFonts w:ascii="Arial" w:eastAsia="华文细黑" w:hAnsi="Arial" w:cs="Arial" w:hint="eastAsia"/>
                <w:sz w:val="18"/>
                <w:szCs w:val="18"/>
              </w:rPr>
              <w:lastRenderedPageBreak/>
              <w:t>境状况一般。</w:t>
            </w:r>
          </w:p>
        </w:tc>
      </w:tr>
      <w:tr w:rsidR="00000000" w14:paraId="045376AF" w14:textId="77777777">
        <w:trPr>
          <w:trHeight w:val="1200"/>
          <w:jc w:val="center"/>
        </w:trPr>
        <w:tc>
          <w:tcPr>
            <w:tcW w:w="366" w:type="pct"/>
            <w:vMerge/>
            <w:tcBorders>
              <w:top w:val="nil"/>
              <w:left w:val="single" w:sz="4" w:space="0" w:color="auto"/>
              <w:bottom w:val="single" w:sz="4" w:space="0" w:color="000000"/>
              <w:right w:val="single" w:sz="4" w:space="0" w:color="auto"/>
            </w:tcBorders>
            <w:vAlign w:val="center"/>
          </w:tcPr>
          <w:p w14:paraId="59ED1B72" w14:textId="77777777" w:rsidR="00000000" w:rsidRDefault="00000000">
            <w:pPr>
              <w:widowControl/>
              <w:adjustRightInd/>
              <w:spacing w:line="240" w:lineRule="auto"/>
              <w:jc w:val="center"/>
              <w:textAlignment w:val="auto"/>
              <w:rPr>
                <w:rFonts w:ascii="Arial" w:eastAsia="华文细黑" w:hAnsi="Arial" w:cs="Arial" w:hint="eastAsia"/>
                <w:sz w:val="18"/>
                <w:szCs w:val="18"/>
              </w:rPr>
            </w:pPr>
          </w:p>
        </w:tc>
        <w:tc>
          <w:tcPr>
            <w:tcW w:w="829" w:type="pct"/>
            <w:tcBorders>
              <w:top w:val="nil"/>
              <w:left w:val="nil"/>
              <w:bottom w:val="single" w:sz="4" w:space="0" w:color="auto"/>
              <w:right w:val="single" w:sz="4" w:space="0" w:color="auto"/>
            </w:tcBorders>
            <w:vAlign w:val="center"/>
          </w:tcPr>
          <w:p w14:paraId="7842DC72"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公共配套</w:t>
            </w:r>
          </w:p>
        </w:tc>
        <w:tc>
          <w:tcPr>
            <w:tcW w:w="1815" w:type="dxa"/>
            <w:tcBorders>
              <w:top w:val="nil"/>
              <w:left w:val="nil"/>
              <w:bottom w:val="single" w:sz="4" w:space="0" w:color="auto"/>
              <w:right w:val="single" w:sz="4" w:space="0" w:color="auto"/>
            </w:tcBorders>
            <w:vAlign w:val="center"/>
          </w:tcPr>
          <w:p w14:paraId="3810012B"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周边</w:t>
            </w:r>
            <w:r>
              <w:rPr>
                <w:rFonts w:ascii="Arial" w:eastAsia="华文细黑" w:hAnsi="Arial" w:cs="Arial" w:hint="eastAsia"/>
                <w:sz w:val="18"/>
                <w:szCs w:val="18"/>
              </w:rPr>
              <w:t>2</w:t>
            </w:r>
            <w:r>
              <w:rPr>
                <w:rFonts w:ascii="Arial" w:eastAsia="华文细黑" w:hAnsi="Arial" w:cs="Arial" w:hint="eastAsia"/>
                <w:sz w:val="18"/>
                <w:szCs w:val="18"/>
              </w:rPr>
              <w:t>公里范围内有北京农村商业银行、中国建设银行等金融机构；北京瑞海喜盛超市、物美超市等商服设施；周边有中芯学校、亦庄实验中学、亦庄实验小校、亦庄第二中心小学等教育机构；有北京中医药大学东方医院等医疗机构设施。公共配套设施较齐全</w:t>
            </w:r>
          </w:p>
        </w:tc>
        <w:tc>
          <w:tcPr>
            <w:tcW w:w="1815" w:type="dxa"/>
            <w:tcBorders>
              <w:top w:val="nil"/>
              <w:left w:val="nil"/>
              <w:bottom w:val="single" w:sz="4" w:space="0" w:color="auto"/>
              <w:right w:val="single" w:sz="4" w:space="0" w:color="auto"/>
            </w:tcBorders>
            <w:vAlign w:val="center"/>
          </w:tcPr>
          <w:p w14:paraId="59099CEC"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周边</w:t>
            </w:r>
            <w:r>
              <w:rPr>
                <w:rFonts w:ascii="Arial" w:eastAsia="华文细黑" w:hAnsi="Arial" w:cs="Arial" w:hint="eastAsia"/>
                <w:sz w:val="18"/>
                <w:szCs w:val="18"/>
              </w:rPr>
              <w:t>2</w:t>
            </w:r>
            <w:r>
              <w:rPr>
                <w:rFonts w:ascii="Arial" w:eastAsia="华文细黑" w:hAnsi="Arial" w:cs="Arial" w:hint="eastAsia"/>
                <w:sz w:val="18"/>
                <w:szCs w:val="18"/>
              </w:rPr>
              <w:t>公里范围内有北京农村商业银行、中国建设银行等金融机构；北京瑞海喜盛超市、物美超市等商服设施；周边有中芯学校、亦庄实验中学、亦庄实验小校、亦庄第二中心小学等教育机构；有北京中医药大学东方医院等医疗机构设施。公共配套设施较齐全</w:t>
            </w:r>
          </w:p>
        </w:tc>
        <w:tc>
          <w:tcPr>
            <w:tcW w:w="1815" w:type="dxa"/>
            <w:tcBorders>
              <w:top w:val="nil"/>
              <w:left w:val="nil"/>
              <w:bottom w:val="single" w:sz="4" w:space="0" w:color="auto"/>
              <w:right w:val="single" w:sz="4" w:space="0" w:color="auto"/>
            </w:tcBorders>
            <w:vAlign w:val="center"/>
          </w:tcPr>
          <w:p w14:paraId="60D5DC74"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周边有亦庄镇第六幼儿园、北京小学大兴分校亦庄校区、北京二中亦庄分校、人大附中北京经济技术开发区学校、亦庄中心小学、开发区实验学校等教育设施；同仁医院亦庄分院、大兴区亦庄医院、国家康复辅具研究中心附属康复医院等医疗设施；、中信银行、北京农商银行、中国建设银行等配套设施，公共配套设施较齐全</w:t>
            </w:r>
          </w:p>
        </w:tc>
        <w:tc>
          <w:tcPr>
            <w:tcW w:w="1796" w:type="dxa"/>
            <w:tcBorders>
              <w:top w:val="nil"/>
              <w:left w:val="nil"/>
              <w:bottom w:val="single" w:sz="4" w:space="0" w:color="auto"/>
              <w:right w:val="single" w:sz="4" w:space="0" w:color="auto"/>
            </w:tcBorders>
            <w:vAlign w:val="center"/>
          </w:tcPr>
          <w:p w14:paraId="07773C5D"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周边</w:t>
            </w:r>
            <w:r>
              <w:rPr>
                <w:rFonts w:ascii="Arial" w:eastAsia="华文细黑" w:hAnsi="Arial" w:cs="Arial" w:hint="eastAsia"/>
                <w:sz w:val="18"/>
                <w:szCs w:val="18"/>
              </w:rPr>
              <w:t>2</w:t>
            </w:r>
            <w:r>
              <w:rPr>
                <w:rFonts w:ascii="Arial" w:eastAsia="华文细黑" w:hAnsi="Arial" w:cs="Arial" w:hint="eastAsia"/>
                <w:sz w:val="18"/>
                <w:szCs w:val="18"/>
              </w:rPr>
              <w:t>公里范围内有北京农村商业银行、中国建设银行等金融机构；北京瑞海喜盛超市、物美超市等商服设施；周边有中芯学校、亦庄实验中学、亦庄实验小校、亦庄第二中心小学等教育机构；有北京中医药大学东方医院等医疗机构设施。公共配套设施较齐全</w:t>
            </w:r>
          </w:p>
        </w:tc>
      </w:tr>
      <w:tr w:rsidR="00000000" w14:paraId="57ADDA4A" w14:textId="77777777">
        <w:trPr>
          <w:trHeight w:val="270"/>
          <w:jc w:val="center"/>
        </w:trPr>
        <w:tc>
          <w:tcPr>
            <w:tcW w:w="366" w:type="pct"/>
            <w:vMerge w:val="restart"/>
            <w:tcBorders>
              <w:top w:val="nil"/>
              <w:left w:val="single" w:sz="4" w:space="0" w:color="auto"/>
              <w:bottom w:val="single" w:sz="4" w:space="0" w:color="auto"/>
              <w:right w:val="single" w:sz="4" w:space="0" w:color="auto"/>
            </w:tcBorders>
            <w:vAlign w:val="center"/>
          </w:tcPr>
          <w:p w14:paraId="10FCC236"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实物状况</w:t>
            </w:r>
          </w:p>
        </w:tc>
        <w:tc>
          <w:tcPr>
            <w:tcW w:w="829" w:type="pct"/>
            <w:tcBorders>
              <w:top w:val="nil"/>
              <w:left w:val="nil"/>
              <w:bottom w:val="single" w:sz="4" w:space="0" w:color="auto"/>
              <w:right w:val="single" w:sz="4" w:space="0" w:color="auto"/>
            </w:tcBorders>
            <w:vAlign w:val="center"/>
          </w:tcPr>
          <w:p w14:paraId="4BB352A8"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物业服务</w:t>
            </w:r>
          </w:p>
        </w:tc>
        <w:tc>
          <w:tcPr>
            <w:tcW w:w="954" w:type="pct"/>
            <w:tcBorders>
              <w:top w:val="nil"/>
              <w:left w:val="nil"/>
              <w:bottom w:val="single" w:sz="4" w:space="0" w:color="auto"/>
              <w:right w:val="single" w:sz="4" w:space="0" w:color="auto"/>
            </w:tcBorders>
            <w:vAlign w:val="center"/>
          </w:tcPr>
          <w:p w14:paraId="3976C3FC"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有专业物业公司，物业服务保障较好。</w:t>
            </w:r>
          </w:p>
        </w:tc>
        <w:tc>
          <w:tcPr>
            <w:tcW w:w="954" w:type="pct"/>
            <w:tcBorders>
              <w:top w:val="nil"/>
              <w:left w:val="nil"/>
              <w:bottom w:val="single" w:sz="4" w:space="0" w:color="auto"/>
              <w:right w:val="single" w:sz="4" w:space="0" w:color="auto"/>
            </w:tcBorders>
            <w:vAlign w:val="center"/>
          </w:tcPr>
          <w:p w14:paraId="1C4962EE"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有专业物业公司，物业服务保障较好。</w:t>
            </w:r>
          </w:p>
        </w:tc>
        <w:tc>
          <w:tcPr>
            <w:tcW w:w="954" w:type="pct"/>
            <w:tcBorders>
              <w:top w:val="nil"/>
              <w:left w:val="nil"/>
              <w:bottom w:val="single" w:sz="4" w:space="0" w:color="auto"/>
              <w:right w:val="single" w:sz="4" w:space="0" w:color="auto"/>
            </w:tcBorders>
            <w:vAlign w:val="center"/>
          </w:tcPr>
          <w:p w14:paraId="466509C5"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有专业物业公司，物业服务保障较好。</w:t>
            </w:r>
          </w:p>
        </w:tc>
        <w:tc>
          <w:tcPr>
            <w:tcW w:w="943" w:type="pct"/>
            <w:tcBorders>
              <w:top w:val="nil"/>
              <w:left w:val="nil"/>
              <w:bottom w:val="single" w:sz="4" w:space="0" w:color="auto"/>
              <w:right w:val="single" w:sz="4" w:space="0" w:color="auto"/>
            </w:tcBorders>
            <w:vAlign w:val="center"/>
          </w:tcPr>
          <w:p w14:paraId="2D34A515"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有专业物业公司，物业服务保障较好。</w:t>
            </w:r>
          </w:p>
        </w:tc>
      </w:tr>
      <w:tr w:rsidR="00000000" w14:paraId="5090680D" w14:textId="77777777">
        <w:trPr>
          <w:trHeight w:val="510"/>
          <w:jc w:val="center"/>
        </w:trPr>
        <w:tc>
          <w:tcPr>
            <w:tcW w:w="366" w:type="pct"/>
            <w:vMerge/>
            <w:tcBorders>
              <w:top w:val="nil"/>
              <w:left w:val="single" w:sz="4" w:space="0" w:color="auto"/>
              <w:bottom w:val="single" w:sz="4" w:space="0" w:color="auto"/>
              <w:right w:val="single" w:sz="4" w:space="0" w:color="auto"/>
            </w:tcBorders>
            <w:vAlign w:val="center"/>
          </w:tcPr>
          <w:p w14:paraId="439C238C" w14:textId="77777777" w:rsidR="00000000" w:rsidRDefault="00000000">
            <w:pPr>
              <w:widowControl/>
              <w:adjustRightInd/>
              <w:spacing w:line="240" w:lineRule="auto"/>
              <w:jc w:val="center"/>
              <w:textAlignment w:val="auto"/>
              <w:rPr>
                <w:rFonts w:ascii="Arial" w:eastAsia="华文细黑" w:hAnsi="Arial" w:cs="Arial" w:hint="eastAsia"/>
                <w:sz w:val="18"/>
                <w:szCs w:val="18"/>
              </w:rPr>
            </w:pPr>
          </w:p>
        </w:tc>
        <w:tc>
          <w:tcPr>
            <w:tcW w:w="829" w:type="pct"/>
            <w:tcBorders>
              <w:top w:val="nil"/>
              <w:left w:val="nil"/>
              <w:bottom w:val="single" w:sz="4" w:space="0" w:color="auto"/>
              <w:right w:val="single" w:sz="4" w:space="0" w:color="auto"/>
            </w:tcBorders>
            <w:vAlign w:val="center"/>
          </w:tcPr>
          <w:p w14:paraId="580C8375"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小区环境</w:t>
            </w:r>
          </w:p>
        </w:tc>
        <w:tc>
          <w:tcPr>
            <w:tcW w:w="954" w:type="pct"/>
            <w:tcBorders>
              <w:top w:val="nil"/>
              <w:left w:val="nil"/>
              <w:bottom w:val="single" w:sz="4" w:space="0" w:color="auto"/>
              <w:right w:val="single" w:sz="4" w:space="0" w:color="auto"/>
            </w:tcBorders>
            <w:vAlign w:val="center"/>
          </w:tcPr>
          <w:p w14:paraId="731BF1EC"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绿化率约为</w:t>
            </w:r>
            <w:r>
              <w:rPr>
                <w:rFonts w:ascii="Arial" w:eastAsia="华文细黑" w:hAnsi="Arial" w:cs="Arial" w:hint="eastAsia"/>
                <w:sz w:val="18"/>
                <w:szCs w:val="18"/>
              </w:rPr>
              <w:t>30%</w:t>
            </w:r>
            <w:r>
              <w:rPr>
                <w:rFonts w:ascii="Arial" w:eastAsia="华文细黑" w:hAnsi="Arial" w:cs="Arial" w:hint="eastAsia"/>
                <w:sz w:val="18"/>
                <w:szCs w:val="18"/>
              </w:rPr>
              <w:t>，较好。</w:t>
            </w:r>
          </w:p>
        </w:tc>
        <w:tc>
          <w:tcPr>
            <w:tcW w:w="954" w:type="pct"/>
            <w:tcBorders>
              <w:top w:val="nil"/>
              <w:left w:val="nil"/>
              <w:bottom w:val="single" w:sz="4" w:space="0" w:color="auto"/>
              <w:right w:val="single" w:sz="4" w:space="0" w:color="auto"/>
            </w:tcBorders>
            <w:vAlign w:val="center"/>
          </w:tcPr>
          <w:p w14:paraId="121CE372"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绿化率约为</w:t>
            </w:r>
            <w:r>
              <w:rPr>
                <w:rFonts w:ascii="Arial" w:eastAsia="华文细黑" w:hAnsi="Arial" w:cs="Arial" w:hint="eastAsia"/>
                <w:sz w:val="18"/>
                <w:szCs w:val="18"/>
              </w:rPr>
              <w:t>30%</w:t>
            </w:r>
            <w:r>
              <w:rPr>
                <w:rFonts w:ascii="Arial" w:eastAsia="华文细黑" w:hAnsi="Arial" w:cs="Arial" w:hint="eastAsia"/>
                <w:sz w:val="18"/>
                <w:szCs w:val="18"/>
              </w:rPr>
              <w:t>，较好。</w:t>
            </w:r>
          </w:p>
        </w:tc>
        <w:tc>
          <w:tcPr>
            <w:tcW w:w="954" w:type="pct"/>
            <w:tcBorders>
              <w:top w:val="nil"/>
              <w:left w:val="nil"/>
              <w:bottom w:val="single" w:sz="4" w:space="0" w:color="auto"/>
              <w:right w:val="single" w:sz="4" w:space="0" w:color="auto"/>
            </w:tcBorders>
            <w:vAlign w:val="center"/>
          </w:tcPr>
          <w:p w14:paraId="794E57DD"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绿化率约为</w:t>
            </w:r>
            <w:r>
              <w:rPr>
                <w:rFonts w:ascii="Arial" w:eastAsia="华文细黑" w:hAnsi="Arial" w:cs="Arial" w:hint="eastAsia"/>
                <w:sz w:val="18"/>
                <w:szCs w:val="18"/>
              </w:rPr>
              <w:t>30%</w:t>
            </w:r>
            <w:r>
              <w:rPr>
                <w:rFonts w:ascii="Arial" w:eastAsia="华文细黑" w:hAnsi="Arial" w:cs="Arial" w:hint="eastAsia"/>
                <w:sz w:val="18"/>
                <w:szCs w:val="18"/>
              </w:rPr>
              <w:t>，较好。</w:t>
            </w:r>
          </w:p>
        </w:tc>
        <w:tc>
          <w:tcPr>
            <w:tcW w:w="943" w:type="pct"/>
            <w:tcBorders>
              <w:top w:val="nil"/>
              <w:left w:val="nil"/>
              <w:bottom w:val="single" w:sz="4" w:space="0" w:color="auto"/>
              <w:right w:val="single" w:sz="4" w:space="0" w:color="auto"/>
            </w:tcBorders>
            <w:vAlign w:val="center"/>
          </w:tcPr>
          <w:p w14:paraId="4D8DB61D"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绿化率约为</w:t>
            </w:r>
            <w:r>
              <w:rPr>
                <w:rFonts w:ascii="Arial" w:eastAsia="华文细黑" w:hAnsi="Arial" w:cs="Arial" w:hint="eastAsia"/>
                <w:sz w:val="18"/>
                <w:szCs w:val="18"/>
              </w:rPr>
              <w:t>30%</w:t>
            </w:r>
            <w:r>
              <w:rPr>
                <w:rFonts w:ascii="Arial" w:eastAsia="华文细黑" w:hAnsi="Arial" w:cs="Arial" w:hint="eastAsia"/>
                <w:sz w:val="18"/>
                <w:szCs w:val="18"/>
              </w:rPr>
              <w:t>，较好。</w:t>
            </w:r>
          </w:p>
        </w:tc>
      </w:tr>
      <w:tr w:rsidR="00000000" w14:paraId="243442E0" w14:textId="77777777">
        <w:trPr>
          <w:trHeight w:val="510"/>
          <w:jc w:val="center"/>
        </w:trPr>
        <w:tc>
          <w:tcPr>
            <w:tcW w:w="366" w:type="pct"/>
            <w:vMerge/>
            <w:tcBorders>
              <w:top w:val="nil"/>
              <w:left w:val="single" w:sz="4" w:space="0" w:color="auto"/>
              <w:bottom w:val="single" w:sz="4" w:space="0" w:color="auto"/>
              <w:right w:val="single" w:sz="4" w:space="0" w:color="auto"/>
            </w:tcBorders>
            <w:vAlign w:val="center"/>
          </w:tcPr>
          <w:p w14:paraId="4EF49BAE" w14:textId="77777777" w:rsidR="00000000" w:rsidRDefault="00000000">
            <w:pPr>
              <w:widowControl/>
              <w:adjustRightInd/>
              <w:spacing w:line="240" w:lineRule="auto"/>
              <w:jc w:val="center"/>
              <w:textAlignment w:val="auto"/>
              <w:rPr>
                <w:rFonts w:ascii="Arial" w:eastAsia="华文细黑" w:hAnsi="Arial" w:cs="Arial" w:hint="eastAsia"/>
                <w:sz w:val="18"/>
                <w:szCs w:val="18"/>
              </w:rPr>
            </w:pPr>
          </w:p>
        </w:tc>
        <w:tc>
          <w:tcPr>
            <w:tcW w:w="829" w:type="pct"/>
            <w:tcBorders>
              <w:top w:val="nil"/>
              <w:left w:val="nil"/>
              <w:bottom w:val="single" w:sz="4" w:space="0" w:color="auto"/>
              <w:right w:val="single" w:sz="4" w:space="0" w:color="auto"/>
            </w:tcBorders>
            <w:vAlign w:val="center"/>
          </w:tcPr>
          <w:p w14:paraId="19053DB3"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配套设施</w:t>
            </w:r>
          </w:p>
        </w:tc>
        <w:tc>
          <w:tcPr>
            <w:tcW w:w="954" w:type="pct"/>
            <w:tcBorders>
              <w:top w:val="nil"/>
              <w:left w:val="nil"/>
              <w:bottom w:val="single" w:sz="4" w:space="0" w:color="auto"/>
              <w:right w:val="single" w:sz="4" w:space="0" w:color="auto"/>
            </w:tcBorders>
            <w:vAlign w:val="center"/>
          </w:tcPr>
          <w:p w14:paraId="791CCD8C"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配备活动站、医疗站。</w:t>
            </w:r>
          </w:p>
        </w:tc>
        <w:tc>
          <w:tcPr>
            <w:tcW w:w="954" w:type="pct"/>
            <w:tcBorders>
              <w:top w:val="nil"/>
              <w:left w:val="nil"/>
              <w:bottom w:val="single" w:sz="4" w:space="0" w:color="auto"/>
              <w:right w:val="single" w:sz="4" w:space="0" w:color="auto"/>
            </w:tcBorders>
            <w:vAlign w:val="center"/>
          </w:tcPr>
          <w:p w14:paraId="610665AC"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配备活动站、医疗站。</w:t>
            </w:r>
          </w:p>
        </w:tc>
        <w:tc>
          <w:tcPr>
            <w:tcW w:w="954" w:type="pct"/>
            <w:tcBorders>
              <w:top w:val="nil"/>
              <w:left w:val="nil"/>
              <w:bottom w:val="single" w:sz="4" w:space="0" w:color="auto"/>
              <w:right w:val="single" w:sz="4" w:space="0" w:color="auto"/>
            </w:tcBorders>
            <w:vAlign w:val="center"/>
          </w:tcPr>
          <w:p w14:paraId="4D777464"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配备活动站、医疗站。</w:t>
            </w:r>
          </w:p>
        </w:tc>
        <w:tc>
          <w:tcPr>
            <w:tcW w:w="943" w:type="pct"/>
            <w:tcBorders>
              <w:top w:val="nil"/>
              <w:left w:val="nil"/>
              <w:bottom w:val="single" w:sz="4" w:space="0" w:color="auto"/>
              <w:right w:val="single" w:sz="4" w:space="0" w:color="auto"/>
            </w:tcBorders>
            <w:vAlign w:val="center"/>
          </w:tcPr>
          <w:p w14:paraId="7AB8F24C"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配备活动站、医疗站。</w:t>
            </w:r>
          </w:p>
        </w:tc>
      </w:tr>
      <w:tr w:rsidR="00000000" w14:paraId="5A61E0D9" w14:textId="77777777">
        <w:trPr>
          <w:trHeight w:val="270"/>
          <w:jc w:val="center"/>
        </w:trPr>
        <w:tc>
          <w:tcPr>
            <w:tcW w:w="366" w:type="pct"/>
            <w:vMerge/>
            <w:tcBorders>
              <w:top w:val="nil"/>
              <w:left w:val="single" w:sz="4" w:space="0" w:color="auto"/>
              <w:bottom w:val="single" w:sz="4" w:space="0" w:color="auto"/>
              <w:right w:val="single" w:sz="4" w:space="0" w:color="auto"/>
            </w:tcBorders>
            <w:vAlign w:val="center"/>
          </w:tcPr>
          <w:p w14:paraId="03F64932" w14:textId="77777777" w:rsidR="00000000" w:rsidRDefault="00000000">
            <w:pPr>
              <w:widowControl/>
              <w:adjustRightInd/>
              <w:spacing w:line="240" w:lineRule="auto"/>
              <w:jc w:val="center"/>
              <w:textAlignment w:val="auto"/>
              <w:rPr>
                <w:rFonts w:ascii="Arial" w:eastAsia="华文细黑" w:hAnsi="Arial" w:cs="Arial" w:hint="eastAsia"/>
                <w:sz w:val="18"/>
                <w:szCs w:val="18"/>
              </w:rPr>
            </w:pPr>
          </w:p>
        </w:tc>
        <w:tc>
          <w:tcPr>
            <w:tcW w:w="829" w:type="pct"/>
            <w:tcBorders>
              <w:top w:val="nil"/>
              <w:left w:val="nil"/>
              <w:bottom w:val="single" w:sz="4" w:space="0" w:color="auto"/>
              <w:right w:val="single" w:sz="4" w:space="0" w:color="auto"/>
            </w:tcBorders>
            <w:vAlign w:val="center"/>
          </w:tcPr>
          <w:p w14:paraId="1A62B106"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居住管理</w:t>
            </w:r>
          </w:p>
        </w:tc>
        <w:tc>
          <w:tcPr>
            <w:tcW w:w="954" w:type="pct"/>
            <w:tcBorders>
              <w:top w:val="nil"/>
              <w:left w:val="nil"/>
              <w:bottom w:val="single" w:sz="4" w:space="0" w:color="auto"/>
              <w:right w:val="single" w:sz="4" w:space="0" w:color="auto"/>
            </w:tcBorders>
            <w:vAlign w:val="center"/>
          </w:tcPr>
          <w:p w14:paraId="572DECF3"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配备管理人员，数量充足，居住管理较好。</w:t>
            </w:r>
          </w:p>
        </w:tc>
        <w:tc>
          <w:tcPr>
            <w:tcW w:w="1815" w:type="dxa"/>
            <w:tcBorders>
              <w:top w:val="nil"/>
              <w:left w:val="nil"/>
              <w:bottom w:val="single" w:sz="4" w:space="0" w:color="auto"/>
              <w:right w:val="single" w:sz="4" w:space="0" w:color="auto"/>
            </w:tcBorders>
            <w:vAlign w:val="center"/>
          </w:tcPr>
          <w:p w14:paraId="17E801D8"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配备管理人员，数量充足，居住管理较好</w:t>
            </w:r>
          </w:p>
        </w:tc>
        <w:tc>
          <w:tcPr>
            <w:tcW w:w="1815" w:type="dxa"/>
            <w:tcBorders>
              <w:top w:val="nil"/>
              <w:left w:val="nil"/>
              <w:bottom w:val="single" w:sz="4" w:space="0" w:color="auto"/>
              <w:right w:val="single" w:sz="4" w:space="0" w:color="auto"/>
            </w:tcBorders>
            <w:vAlign w:val="center"/>
          </w:tcPr>
          <w:p w14:paraId="3A9B6D99"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配备管理人员，数量充足，居住管理较好</w:t>
            </w:r>
          </w:p>
        </w:tc>
        <w:tc>
          <w:tcPr>
            <w:tcW w:w="1796" w:type="dxa"/>
            <w:tcBorders>
              <w:top w:val="nil"/>
              <w:left w:val="nil"/>
              <w:bottom w:val="single" w:sz="4" w:space="0" w:color="auto"/>
              <w:right w:val="single" w:sz="4" w:space="0" w:color="auto"/>
            </w:tcBorders>
            <w:vAlign w:val="center"/>
          </w:tcPr>
          <w:p w14:paraId="77C84DE9"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配备管理人员，数量充足，居住管理较好</w:t>
            </w:r>
          </w:p>
        </w:tc>
      </w:tr>
      <w:tr w:rsidR="00000000" w14:paraId="5138131B" w14:textId="77777777">
        <w:trPr>
          <w:trHeight w:val="960"/>
          <w:jc w:val="center"/>
        </w:trPr>
        <w:tc>
          <w:tcPr>
            <w:tcW w:w="366" w:type="pct"/>
            <w:vMerge/>
            <w:tcBorders>
              <w:top w:val="nil"/>
              <w:left w:val="single" w:sz="4" w:space="0" w:color="auto"/>
              <w:bottom w:val="single" w:sz="4" w:space="0" w:color="auto"/>
              <w:right w:val="single" w:sz="4" w:space="0" w:color="auto"/>
            </w:tcBorders>
            <w:vAlign w:val="center"/>
          </w:tcPr>
          <w:p w14:paraId="77FBD2C0" w14:textId="77777777" w:rsidR="00000000" w:rsidRDefault="00000000">
            <w:pPr>
              <w:widowControl/>
              <w:adjustRightInd/>
              <w:spacing w:line="240" w:lineRule="auto"/>
              <w:jc w:val="center"/>
              <w:textAlignment w:val="auto"/>
              <w:rPr>
                <w:rFonts w:ascii="Arial" w:eastAsia="华文细黑" w:hAnsi="Arial" w:cs="Arial" w:hint="eastAsia"/>
                <w:sz w:val="18"/>
                <w:szCs w:val="18"/>
              </w:rPr>
            </w:pPr>
          </w:p>
        </w:tc>
        <w:tc>
          <w:tcPr>
            <w:tcW w:w="829" w:type="pct"/>
            <w:tcBorders>
              <w:top w:val="nil"/>
              <w:left w:val="nil"/>
              <w:bottom w:val="single" w:sz="4" w:space="0" w:color="auto"/>
              <w:right w:val="single" w:sz="4" w:space="0" w:color="auto"/>
            </w:tcBorders>
            <w:vAlign w:val="center"/>
          </w:tcPr>
          <w:p w14:paraId="12D0FB80"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朝向</w:t>
            </w:r>
          </w:p>
        </w:tc>
        <w:tc>
          <w:tcPr>
            <w:tcW w:w="954" w:type="pct"/>
            <w:tcBorders>
              <w:top w:val="nil"/>
              <w:left w:val="nil"/>
              <w:bottom w:val="single" w:sz="4" w:space="0" w:color="auto"/>
              <w:right w:val="single" w:sz="4" w:space="0" w:color="auto"/>
            </w:tcBorders>
            <w:vAlign w:val="center"/>
          </w:tcPr>
          <w:p w14:paraId="764D18C4"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朝向（西）一般，能保证一定时间的采光，通风一般，综合评价一般。</w:t>
            </w:r>
          </w:p>
        </w:tc>
        <w:tc>
          <w:tcPr>
            <w:tcW w:w="1815" w:type="dxa"/>
            <w:tcBorders>
              <w:top w:val="nil"/>
              <w:left w:val="nil"/>
              <w:bottom w:val="single" w:sz="4" w:space="0" w:color="auto"/>
              <w:right w:val="single" w:sz="4" w:space="0" w:color="auto"/>
            </w:tcBorders>
            <w:vAlign w:val="center"/>
          </w:tcPr>
          <w:p w14:paraId="06BC0B0C"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朝向较好（南北），能保证较长时间的采光，通风较好，好</w:t>
            </w:r>
          </w:p>
        </w:tc>
        <w:tc>
          <w:tcPr>
            <w:tcW w:w="1815" w:type="dxa"/>
            <w:tcBorders>
              <w:top w:val="nil"/>
              <w:left w:val="nil"/>
              <w:bottom w:val="single" w:sz="4" w:space="0" w:color="auto"/>
              <w:right w:val="single" w:sz="4" w:space="0" w:color="auto"/>
            </w:tcBorders>
            <w:vAlign w:val="center"/>
          </w:tcPr>
          <w:p w14:paraId="770077F0"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朝向较好（南北），能保证较长时间的采光，通风较好，好</w:t>
            </w:r>
          </w:p>
        </w:tc>
        <w:tc>
          <w:tcPr>
            <w:tcW w:w="1796" w:type="dxa"/>
            <w:tcBorders>
              <w:top w:val="nil"/>
              <w:left w:val="nil"/>
              <w:bottom w:val="single" w:sz="4" w:space="0" w:color="auto"/>
              <w:right w:val="single" w:sz="4" w:space="0" w:color="auto"/>
            </w:tcBorders>
            <w:vAlign w:val="center"/>
          </w:tcPr>
          <w:p w14:paraId="6806354F"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朝向较好（南北），能保证较长时间的采光，通风较好，好</w:t>
            </w:r>
          </w:p>
        </w:tc>
      </w:tr>
      <w:tr w:rsidR="00000000" w14:paraId="0822E898" w14:textId="77777777">
        <w:trPr>
          <w:trHeight w:val="549"/>
          <w:jc w:val="center"/>
        </w:trPr>
        <w:tc>
          <w:tcPr>
            <w:tcW w:w="366" w:type="pct"/>
            <w:vMerge/>
            <w:tcBorders>
              <w:top w:val="nil"/>
              <w:left w:val="single" w:sz="4" w:space="0" w:color="auto"/>
              <w:bottom w:val="single" w:sz="4" w:space="0" w:color="auto"/>
              <w:right w:val="single" w:sz="4" w:space="0" w:color="auto"/>
            </w:tcBorders>
            <w:vAlign w:val="center"/>
          </w:tcPr>
          <w:p w14:paraId="6F41D2DD" w14:textId="77777777" w:rsidR="00000000" w:rsidRDefault="00000000">
            <w:pPr>
              <w:widowControl/>
              <w:adjustRightInd/>
              <w:spacing w:line="240" w:lineRule="auto"/>
              <w:jc w:val="center"/>
              <w:textAlignment w:val="auto"/>
              <w:rPr>
                <w:rFonts w:ascii="Arial" w:eastAsia="华文细黑" w:hAnsi="Arial" w:cs="Arial" w:hint="eastAsia"/>
                <w:sz w:val="18"/>
                <w:szCs w:val="18"/>
              </w:rPr>
            </w:pPr>
          </w:p>
        </w:tc>
        <w:tc>
          <w:tcPr>
            <w:tcW w:w="829" w:type="pct"/>
            <w:tcBorders>
              <w:top w:val="nil"/>
              <w:left w:val="nil"/>
              <w:bottom w:val="single" w:sz="4" w:space="0" w:color="auto"/>
              <w:right w:val="single" w:sz="4" w:space="0" w:color="auto"/>
            </w:tcBorders>
            <w:vAlign w:val="center"/>
          </w:tcPr>
          <w:p w14:paraId="4B43633E"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户型</w:t>
            </w:r>
          </w:p>
        </w:tc>
        <w:tc>
          <w:tcPr>
            <w:tcW w:w="954" w:type="pct"/>
            <w:tcBorders>
              <w:top w:val="nil"/>
              <w:left w:val="nil"/>
              <w:bottom w:val="single" w:sz="4" w:space="0" w:color="auto"/>
              <w:right w:val="single" w:sz="4" w:space="0" w:color="auto"/>
            </w:tcBorders>
            <w:vAlign w:val="center"/>
          </w:tcPr>
          <w:p w14:paraId="73431E35"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主力户型为一居室</w:t>
            </w:r>
          </w:p>
        </w:tc>
        <w:tc>
          <w:tcPr>
            <w:tcW w:w="954" w:type="pct"/>
            <w:tcBorders>
              <w:top w:val="nil"/>
              <w:left w:val="nil"/>
              <w:bottom w:val="single" w:sz="4" w:space="0" w:color="auto"/>
              <w:right w:val="single" w:sz="4" w:space="0" w:color="auto"/>
            </w:tcBorders>
            <w:vAlign w:val="center"/>
          </w:tcPr>
          <w:p w14:paraId="70EACB8A"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主力户型为三居室</w:t>
            </w:r>
          </w:p>
        </w:tc>
        <w:tc>
          <w:tcPr>
            <w:tcW w:w="954" w:type="pct"/>
            <w:tcBorders>
              <w:top w:val="nil"/>
              <w:left w:val="nil"/>
              <w:bottom w:val="single" w:sz="4" w:space="0" w:color="auto"/>
              <w:right w:val="single" w:sz="4" w:space="0" w:color="auto"/>
            </w:tcBorders>
            <w:vAlign w:val="center"/>
          </w:tcPr>
          <w:p w14:paraId="7A8F69BC"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主力户型为三居室</w:t>
            </w:r>
          </w:p>
        </w:tc>
        <w:tc>
          <w:tcPr>
            <w:tcW w:w="943" w:type="pct"/>
            <w:tcBorders>
              <w:top w:val="nil"/>
              <w:left w:val="nil"/>
              <w:bottom w:val="single" w:sz="4" w:space="0" w:color="auto"/>
              <w:right w:val="single" w:sz="4" w:space="0" w:color="auto"/>
            </w:tcBorders>
            <w:vAlign w:val="center"/>
          </w:tcPr>
          <w:p w14:paraId="6AD85432"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主力户型为二居室</w:t>
            </w:r>
          </w:p>
        </w:tc>
      </w:tr>
      <w:tr w:rsidR="00000000" w14:paraId="30DB13ED" w14:textId="77777777">
        <w:trPr>
          <w:trHeight w:val="1020"/>
          <w:jc w:val="center"/>
        </w:trPr>
        <w:tc>
          <w:tcPr>
            <w:tcW w:w="366" w:type="pct"/>
            <w:vMerge/>
            <w:tcBorders>
              <w:top w:val="nil"/>
              <w:left w:val="single" w:sz="4" w:space="0" w:color="auto"/>
              <w:bottom w:val="single" w:sz="4" w:space="0" w:color="auto"/>
              <w:right w:val="single" w:sz="4" w:space="0" w:color="auto"/>
            </w:tcBorders>
            <w:vAlign w:val="center"/>
          </w:tcPr>
          <w:p w14:paraId="3E41CE62" w14:textId="77777777" w:rsidR="00000000" w:rsidRDefault="00000000">
            <w:pPr>
              <w:widowControl/>
              <w:adjustRightInd/>
              <w:spacing w:line="240" w:lineRule="auto"/>
              <w:jc w:val="center"/>
              <w:textAlignment w:val="auto"/>
              <w:rPr>
                <w:rFonts w:ascii="Arial" w:eastAsia="华文细黑" w:hAnsi="Arial" w:cs="Arial" w:hint="eastAsia"/>
                <w:sz w:val="18"/>
                <w:szCs w:val="18"/>
              </w:rPr>
            </w:pPr>
          </w:p>
        </w:tc>
        <w:tc>
          <w:tcPr>
            <w:tcW w:w="829" w:type="pct"/>
            <w:tcBorders>
              <w:top w:val="nil"/>
              <w:left w:val="nil"/>
              <w:bottom w:val="single" w:sz="4" w:space="0" w:color="auto"/>
              <w:right w:val="single" w:sz="4" w:space="0" w:color="auto"/>
            </w:tcBorders>
            <w:vAlign w:val="center"/>
          </w:tcPr>
          <w:p w14:paraId="7D976428"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装修</w:t>
            </w:r>
          </w:p>
        </w:tc>
        <w:tc>
          <w:tcPr>
            <w:tcW w:w="1815" w:type="dxa"/>
            <w:tcBorders>
              <w:top w:val="nil"/>
              <w:left w:val="nil"/>
              <w:bottom w:val="single" w:sz="4" w:space="0" w:color="auto"/>
              <w:right w:val="single" w:sz="4" w:space="0" w:color="auto"/>
            </w:tcBorders>
            <w:vAlign w:val="center"/>
          </w:tcPr>
          <w:p w14:paraId="33EA5B93"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该小区装修为普通装修，公共部分装修效果较好，与居住功能相适用，较好</w:t>
            </w:r>
          </w:p>
        </w:tc>
        <w:tc>
          <w:tcPr>
            <w:tcW w:w="1815" w:type="dxa"/>
            <w:tcBorders>
              <w:top w:val="nil"/>
              <w:left w:val="nil"/>
              <w:bottom w:val="single" w:sz="4" w:space="0" w:color="auto"/>
              <w:right w:val="single" w:sz="4" w:space="0" w:color="auto"/>
            </w:tcBorders>
            <w:vAlign w:val="center"/>
          </w:tcPr>
          <w:p w14:paraId="40C7F8C9"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该小区装修为普通装修，公共部分装修效果较好，与居住功能相适用，较好</w:t>
            </w:r>
          </w:p>
        </w:tc>
        <w:tc>
          <w:tcPr>
            <w:tcW w:w="1815" w:type="dxa"/>
            <w:tcBorders>
              <w:top w:val="nil"/>
              <w:left w:val="nil"/>
              <w:bottom w:val="single" w:sz="4" w:space="0" w:color="auto"/>
              <w:right w:val="single" w:sz="4" w:space="0" w:color="auto"/>
            </w:tcBorders>
            <w:vAlign w:val="center"/>
          </w:tcPr>
          <w:p w14:paraId="529FFD74"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该小区装修为普通装修，公共部分装修效果较好，与居住功能相适用，较好</w:t>
            </w:r>
          </w:p>
        </w:tc>
        <w:tc>
          <w:tcPr>
            <w:tcW w:w="1796" w:type="dxa"/>
            <w:tcBorders>
              <w:top w:val="nil"/>
              <w:left w:val="nil"/>
              <w:bottom w:val="single" w:sz="4" w:space="0" w:color="auto"/>
              <w:right w:val="single" w:sz="4" w:space="0" w:color="auto"/>
            </w:tcBorders>
            <w:vAlign w:val="center"/>
          </w:tcPr>
          <w:p w14:paraId="5ECB1B16"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该小区装修为普通装修，公共部分装修效果较好，与居住功能相适用，较好</w:t>
            </w:r>
          </w:p>
        </w:tc>
      </w:tr>
      <w:tr w:rsidR="00000000" w14:paraId="14F00B10" w14:textId="77777777">
        <w:trPr>
          <w:trHeight w:val="951"/>
          <w:jc w:val="center"/>
        </w:trPr>
        <w:tc>
          <w:tcPr>
            <w:tcW w:w="366" w:type="pct"/>
            <w:vMerge/>
            <w:tcBorders>
              <w:top w:val="nil"/>
              <w:left w:val="single" w:sz="4" w:space="0" w:color="auto"/>
              <w:bottom w:val="single" w:sz="4" w:space="0" w:color="auto"/>
              <w:right w:val="single" w:sz="4" w:space="0" w:color="auto"/>
            </w:tcBorders>
            <w:vAlign w:val="center"/>
          </w:tcPr>
          <w:p w14:paraId="5F984B61" w14:textId="77777777" w:rsidR="00000000" w:rsidRDefault="00000000">
            <w:pPr>
              <w:widowControl/>
              <w:adjustRightInd/>
              <w:spacing w:line="240" w:lineRule="auto"/>
              <w:jc w:val="center"/>
              <w:textAlignment w:val="auto"/>
              <w:rPr>
                <w:rFonts w:ascii="Arial" w:eastAsia="华文细黑" w:hAnsi="Arial" w:cs="Arial" w:hint="eastAsia"/>
                <w:sz w:val="18"/>
                <w:szCs w:val="18"/>
              </w:rPr>
            </w:pPr>
          </w:p>
        </w:tc>
        <w:tc>
          <w:tcPr>
            <w:tcW w:w="829" w:type="pct"/>
            <w:tcBorders>
              <w:top w:val="nil"/>
              <w:left w:val="nil"/>
              <w:bottom w:val="single" w:sz="4" w:space="0" w:color="auto"/>
              <w:right w:val="single" w:sz="4" w:space="0" w:color="auto"/>
            </w:tcBorders>
            <w:vAlign w:val="center"/>
          </w:tcPr>
          <w:p w14:paraId="7090B1BC"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设备</w:t>
            </w:r>
          </w:p>
        </w:tc>
        <w:tc>
          <w:tcPr>
            <w:tcW w:w="954" w:type="pct"/>
            <w:tcBorders>
              <w:top w:val="nil"/>
              <w:left w:val="nil"/>
              <w:bottom w:val="single" w:sz="4" w:space="0" w:color="auto"/>
              <w:right w:val="single" w:sz="4" w:space="0" w:color="auto"/>
            </w:tcBorders>
            <w:vAlign w:val="center"/>
          </w:tcPr>
          <w:p w14:paraId="79FF6FE8"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部分户型配备家具家电，程度较新；功能正常，质量有保证，一般。</w:t>
            </w:r>
          </w:p>
        </w:tc>
        <w:tc>
          <w:tcPr>
            <w:tcW w:w="1815" w:type="dxa"/>
            <w:tcBorders>
              <w:top w:val="nil"/>
              <w:left w:val="nil"/>
              <w:bottom w:val="single" w:sz="4" w:space="0" w:color="auto"/>
              <w:right w:val="single" w:sz="4" w:space="0" w:color="auto"/>
            </w:tcBorders>
            <w:vAlign w:val="center"/>
          </w:tcPr>
          <w:p w14:paraId="577505CD"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配备家具、家电；程度较新；功能正常，质量有保证，较好</w:t>
            </w:r>
          </w:p>
        </w:tc>
        <w:tc>
          <w:tcPr>
            <w:tcW w:w="1815" w:type="dxa"/>
            <w:tcBorders>
              <w:top w:val="nil"/>
              <w:left w:val="nil"/>
              <w:bottom w:val="single" w:sz="4" w:space="0" w:color="auto"/>
              <w:right w:val="single" w:sz="4" w:space="0" w:color="auto"/>
            </w:tcBorders>
            <w:vAlign w:val="center"/>
          </w:tcPr>
          <w:p w14:paraId="3F6C6051"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配备家具、家电；程度较新；功能正常，质量有保证，较好</w:t>
            </w:r>
          </w:p>
        </w:tc>
        <w:tc>
          <w:tcPr>
            <w:tcW w:w="1796" w:type="dxa"/>
            <w:tcBorders>
              <w:top w:val="nil"/>
              <w:left w:val="nil"/>
              <w:bottom w:val="single" w:sz="4" w:space="0" w:color="auto"/>
              <w:right w:val="single" w:sz="4" w:space="0" w:color="auto"/>
            </w:tcBorders>
            <w:vAlign w:val="center"/>
          </w:tcPr>
          <w:p w14:paraId="3BB7CAE8"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配备家具、家电；程度较新；功能正常，质量有保证，较好</w:t>
            </w:r>
          </w:p>
        </w:tc>
      </w:tr>
    </w:tbl>
    <w:p w14:paraId="57E5240D" w14:textId="77777777" w:rsidR="00000000" w:rsidRDefault="00000000">
      <w:pPr>
        <w:wordWrap w:val="0"/>
        <w:overflowPunct w:val="0"/>
        <w:spacing w:line="480" w:lineRule="auto"/>
        <w:rPr>
          <w:rFonts w:ascii="Arial" w:hAnsi="Arial" w:hint="eastAsia"/>
          <w:sz w:val="21"/>
          <w:szCs w:val="21"/>
        </w:rPr>
      </w:pPr>
    </w:p>
    <w:p w14:paraId="0CA4EC41" w14:textId="77777777" w:rsidR="00000000" w:rsidRDefault="00000000">
      <w:pPr>
        <w:wordWrap w:val="0"/>
        <w:overflowPunct w:val="0"/>
        <w:spacing w:line="480" w:lineRule="auto"/>
        <w:ind w:firstLineChars="200" w:firstLine="420"/>
        <w:rPr>
          <w:rFonts w:ascii="Arial" w:hAnsi="Arial"/>
          <w:sz w:val="21"/>
          <w:szCs w:val="21"/>
        </w:rPr>
      </w:pPr>
      <w:r>
        <w:rPr>
          <w:rFonts w:ascii="Arial" w:hAnsi="Arial"/>
          <w:sz w:val="21"/>
          <w:szCs w:val="21"/>
        </w:rPr>
        <w:br w:type="page"/>
      </w:r>
      <w:r>
        <w:rPr>
          <w:rFonts w:ascii="Arial" w:hAnsi="Arial" w:hint="eastAsia"/>
          <w:sz w:val="21"/>
          <w:szCs w:val="21"/>
        </w:rPr>
        <w:lastRenderedPageBreak/>
        <w:t>（</w:t>
      </w:r>
      <w:r>
        <w:rPr>
          <w:rFonts w:ascii="Arial" w:hAnsi="Arial" w:hint="eastAsia"/>
          <w:sz w:val="21"/>
          <w:szCs w:val="21"/>
        </w:rPr>
        <w:t>2</w:t>
      </w:r>
      <w:r>
        <w:rPr>
          <w:rFonts w:ascii="Arial" w:hAnsi="Arial" w:hint="eastAsia"/>
          <w:sz w:val="21"/>
          <w:szCs w:val="21"/>
        </w:rPr>
        <w:t>）</w:t>
      </w:r>
      <w:r>
        <w:rPr>
          <w:rFonts w:ascii="Arial" w:hAnsi="Arial"/>
          <w:sz w:val="21"/>
          <w:szCs w:val="21"/>
        </w:rPr>
        <w:t xml:space="preserve"> </w:t>
      </w:r>
      <w:r>
        <w:rPr>
          <w:rFonts w:ascii="Arial" w:hAnsi="Arial" w:hint="eastAsia"/>
          <w:sz w:val="21"/>
          <w:szCs w:val="21"/>
        </w:rPr>
        <w:t>建立比较因素条件指数表和因素比较修正系数表</w:t>
      </w:r>
      <w:r>
        <w:rPr>
          <w:rFonts w:ascii="Arial" w:hAnsi="Arial"/>
          <w:sz w:val="21"/>
          <w:szCs w:val="21"/>
        </w:rPr>
        <w:t xml:space="preserve"> </w:t>
      </w:r>
    </w:p>
    <w:p w14:paraId="2E0831D0" w14:textId="77777777" w:rsidR="00000000" w:rsidRDefault="00000000">
      <w:pPr>
        <w:wordWrap w:val="0"/>
        <w:overflowPunct w:val="0"/>
        <w:spacing w:line="480" w:lineRule="auto"/>
        <w:ind w:firstLineChars="200" w:firstLine="420"/>
        <w:rPr>
          <w:rFonts w:ascii="Arial" w:hAnsi="Arial" w:hint="eastAsia"/>
          <w:sz w:val="21"/>
          <w:szCs w:val="21"/>
        </w:rPr>
      </w:pPr>
      <w:r>
        <w:rPr>
          <w:rFonts w:ascii="Arial" w:hAnsi="Arial"/>
          <w:sz w:val="21"/>
          <w:szCs w:val="21"/>
        </w:rPr>
        <w:t>根据对估价对象和可比案例情况的分析，把各可比案例的自身状况按照参比因素分别与估价对象的相应状况进行比较，编制比较因素条件指数表。具体如下</w:t>
      </w:r>
      <w:r>
        <w:rPr>
          <w:rFonts w:ascii="Arial" w:hAnsi="Arial" w:hint="eastAsia"/>
          <w:sz w:val="21"/>
          <w:szCs w:val="21"/>
        </w:rPr>
        <w:t>：</w:t>
      </w:r>
    </w:p>
    <w:p w14:paraId="0B6BB4E2" w14:textId="77777777" w:rsidR="00000000" w:rsidRDefault="00000000">
      <w:pPr>
        <w:overflowPunct w:val="0"/>
        <w:spacing w:line="480" w:lineRule="auto"/>
        <w:ind w:firstLineChars="200" w:firstLine="420"/>
        <w:jc w:val="center"/>
        <w:rPr>
          <w:rFonts w:ascii="Arial" w:hAnsi="Arial" w:hint="eastAsia"/>
          <w:sz w:val="21"/>
          <w:szCs w:val="21"/>
        </w:rPr>
      </w:pPr>
      <w:r>
        <w:rPr>
          <w:rFonts w:ascii="Arial" w:hAnsi="Arial" w:hint="eastAsia"/>
          <w:sz w:val="21"/>
          <w:szCs w:val="21"/>
        </w:rPr>
        <w:t>X13</w:t>
      </w:r>
      <w:r>
        <w:rPr>
          <w:rFonts w:ascii="Arial" w:hAnsi="Arial" w:hint="eastAsia"/>
          <w:sz w:val="21"/>
          <w:szCs w:val="21"/>
        </w:rPr>
        <w:t>海棠苑</w:t>
      </w:r>
      <w:r>
        <w:rPr>
          <w:rFonts w:ascii="Arial" w:hAnsi="Arial"/>
          <w:sz w:val="21"/>
          <w:szCs w:val="21"/>
        </w:rPr>
        <w:t>比较因素条件指数表</w:t>
      </w:r>
    </w:p>
    <w:tbl>
      <w:tblPr>
        <w:tblW w:w="5000" w:type="pct"/>
        <w:tblInd w:w="0" w:type="dxa"/>
        <w:tblLook w:val="0000" w:firstRow="0" w:lastRow="0" w:firstColumn="0" w:lastColumn="0" w:noHBand="0" w:noVBand="0"/>
      </w:tblPr>
      <w:tblGrid>
        <w:gridCol w:w="582"/>
        <w:gridCol w:w="956"/>
        <w:gridCol w:w="999"/>
        <w:gridCol w:w="999"/>
        <w:gridCol w:w="999"/>
        <w:gridCol w:w="998"/>
        <w:gridCol w:w="3756"/>
      </w:tblGrid>
      <w:tr w:rsidR="00000000" w14:paraId="4D388A63" w14:textId="77777777">
        <w:trPr>
          <w:trHeight w:val="405"/>
          <w:tblHeader/>
        </w:trPr>
        <w:tc>
          <w:tcPr>
            <w:tcW w:w="827"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3E06FE0B"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估价对象及</w:t>
            </w:r>
          </w:p>
          <w:p w14:paraId="2D4CD1D3"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可比实例</w:t>
            </w:r>
          </w:p>
          <w:p w14:paraId="771A5FB8" w14:textId="77777777" w:rsidR="00000000" w:rsidRDefault="00000000">
            <w:pPr>
              <w:widowControl/>
              <w:adjustRightInd/>
              <w:spacing w:line="240" w:lineRule="auto"/>
              <w:jc w:val="center"/>
              <w:textAlignment w:val="auto"/>
              <w:rPr>
                <w:rFonts w:ascii="Arial" w:eastAsia="华文细黑" w:hAnsi="Arial" w:cs="Arial" w:hint="eastAsia"/>
                <w:sz w:val="18"/>
                <w:szCs w:val="18"/>
              </w:rPr>
            </w:pPr>
          </w:p>
          <w:p w14:paraId="49D70E67" w14:textId="77777777" w:rsidR="00000000" w:rsidRDefault="00000000">
            <w:pPr>
              <w:widowControl/>
              <w:adjustRightInd/>
              <w:spacing w:line="240" w:lineRule="auto"/>
              <w:jc w:val="center"/>
              <w:textAlignment w:val="auto"/>
              <w:rPr>
                <w:rFonts w:ascii="Arial" w:eastAsia="华文细黑" w:hAnsi="Arial" w:cs="Arial" w:hint="eastAsia"/>
                <w:sz w:val="18"/>
                <w:szCs w:val="18"/>
              </w:rPr>
            </w:pPr>
          </w:p>
          <w:p w14:paraId="5A50694C"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比较因素</w:t>
            </w:r>
          </w:p>
        </w:tc>
        <w:tc>
          <w:tcPr>
            <w:tcW w:w="538" w:type="pct"/>
            <w:tcBorders>
              <w:top w:val="single" w:sz="4" w:space="0" w:color="auto"/>
              <w:left w:val="nil"/>
              <w:bottom w:val="single" w:sz="4" w:space="0" w:color="auto"/>
              <w:right w:val="single" w:sz="4" w:space="0" w:color="auto"/>
            </w:tcBorders>
            <w:vAlign w:val="center"/>
          </w:tcPr>
          <w:p w14:paraId="59E46751"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估价对象</w:t>
            </w:r>
          </w:p>
        </w:tc>
        <w:tc>
          <w:tcPr>
            <w:tcW w:w="538" w:type="pct"/>
            <w:tcBorders>
              <w:top w:val="single" w:sz="4" w:space="0" w:color="auto"/>
              <w:left w:val="nil"/>
              <w:bottom w:val="single" w:sz="4" w:space="0" w:color="auto"/>
              <w:right w:val="single" w:sz="4" w:space="0" w:color="auto"/>
            </w:tcBorders>
            <w:vAlign w:val="center"/>
          </w:tcPr>
          <w:p w14:paraId="2A5C7F0B"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1</w:t>
            </w:r>
          </w:p>
        </w:tc>
        <w:tc>
          <w:tcPr>
            <w:tcW w:w="538" w:type="pct"/>
            <w:tcBorders>
              <w:top w:val="single" w:sz="4" w:space="0" w:color="auto"/>
              <w:left w:val="nil"/>
              <w:bottom w:val="single" w:sz="4" w:space="0" w:color="auto"/>
              <w:right w:val="single" w:sz="4" w:space="0" w:color="auto"/>
            </w:tcBorders>
            <w:vAlign w:val="center"/>
          </w:tcPr>
          <w:p w14:paraId="3982A310"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2</w:t>
            </w:r>
          </w:p>
        </w:tc>
        <w:tc>
          <w:tcPr>
            <w:tcW w:w="537" w:type="pct"/>
            <w:tcBorders>
              <w:top w:val="single" w:sz="4" w:space="0" w:color="auto"/>
              <w:left w:val="nil"/>
              <w:bottom w:val="single" w:sz="4" w:space="0" w:color="auto"/>
              <w:right w:val="single" w:sz="4" w:space="0" w:color="auto"/>
            </w:tcBorders>
            <w:vAlign w:val="center"/>
          </w:tcPr>
          <w:p w14:paraId="63B65D06"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3</w:t>
            </w:r>
          </w:p>
        </w:tc>
        <w:tc>
          <w:tcPr>
            <w:tcW w:w="2022" w:type="pct"/>
            <w:tcBorders>
              <w:top w:val="single" w:sz="4" w:space="0" w:color="auto"/>
              <w:left w:val="nil"/>
              <w:bottom w:val="single" w:sz="4" w:space="0" w:color="auto"/>
              <w:right w:val="single" w:sz="4" w:space="0" w:color="auto"/>
            </w:tcBorders>
            <w:vAlign w:val="center"/>
          </w:tcPr>
          <w:p w14:paraId="661BA291"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比较因素调整说明</w:t>
            </w:r>
          </w:p>
        </w:tc>
      </w:tr>
      <w:tr w:rsidR="00000000" w14:paraId="149B28CD" w14:textId="77777777">
        <w:trPr>
          <w:trHeight w:val="555"/>
          <w:tblHeader/>
        </w:trPr>
        <w:tc>
          <w:tcPr>
            <w:tcW w:w="827" w:type="pct"/>
            <w:gridSpan w:val="2"/>
            <w:vMerge/>
            <w:tcBorders>
              <w:top w:val="single" w:sz="4" w:space="0" w:color="auto"/>
              <w:left w:val="single" w:sz="4" w:space="0" w:color="auto"/>
              <w:bottom w:val="single" w:sz="4" w:space="0" w:color="000000"/>
              <w:right w:val="single" w:sz="4" w:space="0" w:color="000000"/>
            </w:tcBorders>
            <w:vAlign w:val="center"/>
          </w:tcPr>
          <w:p w14:paraId="0D21DF85" w14:textId="77777777" w:rsidR="00000000" w:rsidRDefault="00000000">
            <w:pPr>
              <w:widowControl/>
              <w:adjustRightInd/>
              <w:spacing w:line="240" w:lineRule="auto"/>
              <w:jc w:val="center"/>
              <w:textAlignment w:val="auto"/>
              <w:rPr>
                <w:rFonts w:ascii="Arial" w:eastAsia="华文细黑" w:hAnsi="Arial" w:cs="Arial" w:hint="eastAsia"/>
                <w:sz w:val="18"/>
                <w:szCs w:val="18"/>
              </w:rPr>
            </w:pPr>
          </w:p>
        </w:tc>
        <w:tc>
          <w:tcPr>
            <w:tcW w:w="538" w:type="pct"/>
            <w:tcBorders>
              <w:top w:val="nil"/>
              <w:left w:val="nil"/>
              <w:bottom w:val="single" w:sz="4" w:space="0" w:color="auto"/>
              <w:right w:val="single" w:sz="4" w:space="0" w:color="auto"/>
            </w:tcBorders>
            <w:vAlign w:val="center"/>
          </w:tcPr>
          <w:p w14:paraId="6788A5D7" w14:textId="77777777" w:rsidR="00000000" w:rsidRDefault="00000000">
            <w:pPr>
              <w:widowControl/>
              <w:adjustRightInd/>
              <w:spacing w:line="240" w:lineRule="auto"/>
              <w:jc w:val="center"/>
              <w:textAlignment w:val="auto"/>
              <w:rPr>
                <w:rFonts w:ascii="Arial" w:eastAsia="华文细黑" w:hAnsi="Arial" w:cs="Arial" w:hint="eastAsia"/>
                <w:sz w:val="18"/>
                <w:szCs w:val="18"/>
              </w:rPr>
            </w:pPr>
            <w:bookmarkStart w:id="63" w:name="_Hlk111570394"/>
            <w:r>
              <w:rPr>
                <w:rFonts w:ascii="Arial" w:eastAsia="华文细黑" w:hAnsi="Arial" w:cs="Arial" w:hint="eastAsia"/>
                <w:sz w:val="18"/>
                <w:szCs w:val="18"/>
              </w:rPr>
              <w:t>X13</w:t>
            </w:r>
            <w:r>
              <w:rPr>
                <w:rFonts w:ascii="Arial" w:eastAsia="华文细黑" w:hAnsi="Arial" w:cs="Arial" w:hint="eastAsia"/>
                <w:sz w:val="18"/>
                <w:szCs w:val="18"/>
              </w:rPr>
              <w:t>海棠苑</w:t>
            </w:r>
            <w:bookmarkEnd w:id="63"/>
          </w:p>
        </w:tc>
        <w:tc>
          <w:tcPr>
            <w:tcW w:w="538" w:type="pct"/>
            <w:tcBorders>
              <w:top w:val="nil"/>
              <w:left w:val="nil"/>
              <w:bottom w:val="single" w:sz="4" w:space="0" w:color="auto"/>
              <w:right w:val="single" w:sz="4" w:space="0" w:color="auto"/>
            </w:tcBorders>
            <w:vAlign w:val="center"/>
          </w:tcPr>
          <w:p w14:paraId="004F0F9D"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悦廷</w:t>
            </w:r>
          </w:p>
        </w:tc>
        <w:tc>
          <w:tcPr>
            <w:tcW w:w="1024" w:type="dxa"/>
            <w:tcBorders>
              <w:top w:val="nil"/>
              <w:left w:val="nil"/>
              <w:bottom w:val="single" w:sz="4" w:space="0" w:color="auto"/>
              <w:right w:val="single" w:sz="4" w:space="0" w:color="auto"/>
            </w:tcBorders>
            <w:vAlign w:val="center"/>
          </w:tcPr>
          <w:p w14:paraId="741699BA"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中信新城西区</w:t>
            </w:r>
          </w:p>
        </w:tc>
        <w:tc>
          <w:tcPr>
            <w:tcW w:w="1022" w:type="dxa"/>
            <w:tcBorders>
              <w:top w:val="nil"/>
              <w:left w:val="nil"/>
              <w:bottom w:val="single" w:sz="4" w:space="0" w:color="auto"/>
              <w:right w:val="single" w:sz="4" w:space="0" w:color="auto"/>
            </w:tcBorders>
            <w:vAlign w:val="center"/>
          </w:tcPr>
          <w:p w14:paraId="22146E68"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南海家园四里</w:t>
            </w:r>
          </w:p>
        </w:tc>
        <w:tc>
          <w:tcPr>
            <w:tcW w:w="2022" w:type="pct"/>
            <w:tcBorders>
              <w:top w:val="nil"/>
              <w:left w:val="nil"/>
              <w:bottom w:val="single" w:sz="4" w:space="0" w:color="auto"/>
              <w:right w:val="single" w:sz="4" w:space="0" w:color="auto"/>
            </w:tcBorders>
            <w:vAlign w:val="center"/>
          </w:tcPr>
          <w:p w14:paraId="04DC5AFC"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w:t>
            </w:r>
          </w:p>
        </w:tc>
      </w:tr>
      <w:tr w:rsidR="00000000" w14:paraId="0AE2F016" w14:textId="77777777">
        <w:trPr>
          <w:trHeight w:val="601"/>
        </w:trPr>
        <w:tc>
          <w:tcPr>
            <w:tcW w:w="827" w:type="pct"/>
            <w:gridSpan w:val="2"/>
            <w:tcBorders>
              <w:top w:val="single" w:sz="4" w:space="0" w:color="auto"/>
              <w:left w:val="single" w:sz="4" w:space="0" w:color="auto"/>
              <w:bottom w:val="single" w:sz="4" w:space="0" w:color="auto"/>
              <w:right w:val="single" w:sz="4" w:space="0" w:color="000000"/>
            </w:tcBorders>
            <w:vAlign w:val="bottom"/>
          </w:tcPr>
          <w:p w14:paraId="1F78FD3E"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确定的交易价格</w:t>
            </w:r>
            <w:r>
              <w:rPr>
                <w:rFonts w:ascii="Arial" w:eastAsia="华文细黑" w:hAnsi="Arial" w:cs="Arial" w:hint="eastAsia"/>
                <w:sz w:val="18"/>
                <w:szCs w:val="18"/>
              </w:rPr>
              <w:br/>
            </w:r>
            <w:r>
              <w:rPr>
                <w:rFonts w:ascii="Arial" w:eastAsia="华文细黑" w:hAnsi="Arial" w:cs="Arial" w:hint="eastAsia"/>
                <w:sz w:val="18"/>
                <w:szCs w:val="18"/>
              </w:rPr>
              <w:t>（元</w:t>
            </w:r>
            <w:r>
              <w:rPr>
                <w:rFonts w:ascii="Arial" w:eastAsia="华文细黑" w:hAnsi="Arial" w:cs="Arial" w:hint="eastAsia"/>
                <w:sz w:val="18"/>
                <w:szCs w:val="18"/>
              </w:rPr>
              <w:t>/</w:t>
            </w:r>
            <w:r>
              <w:rPr>
                <w:rFonts w:ascii="Arial" w:eastAsia="华文细黑" w:hAnsi="Arial" w:cs="Arial" w:hint="eastAsia"/>
                <w:sz w:val="18"/>
                <w:szCs w:val="18"/>
              </w:rPr>
              <w:t>平方米·月）</w:t>
            </w:r>
          </w:p>
        </w:tc>
        <w:tc>
          <w:tcPr>
            <w:tcW w:w="538" w:type="pct"/>
            <w:tcBorders>
              <w:top w:val="nil"/>
              <w:left w:val="nil"/>
              <w:bottom w:val="single" w:sz="4" w:space="0" w:color="auto"/>
              <w:right w:val="single" w:sz="4" w:space="0" w:color="auto"/>
            </w:tcBorders>
            <w:vAlign w:val="center"/>
          </w:tcPr>
          <w:p w14:paraId="7F97F2E9"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待估</w:t>
            </w:r>
          </w:p>
        </w:tc>
        <w:tc>
          <w:tcPr>
            <w:tcW w:w="1024" w:type="dxa"/>
            <w:tcBorders>
              <w:top w:val="nil"/>
              <w:left w:val="nil"/>
              <w:bottom w:val="single" w:sz="4" w:space="0" w:color="auto"/>
              <w:right w:val="single" w:sz="4" w:space="0" w:color="auto"/>
            </w:tcBorders>
            <w:vAlign w:val="center"/>
          </w:tcPr>
          <w:p w14:paraId="034EC81D"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54.69</w:t>
            </w:r>
          </w:p>
        </w:tc>
        <w:tc>
          <w:tcPr>
            <w:tcW w:w="1024" w:type="dxa"/>
            <w:tcBorders>
              <w:top w:val="nil"/>
              <w:left w:val="nil"/>
              <w:bottom w:val="single" w:sz="4" w:space="0" w:color="auto"/>
              <w:right w:val="single" w:sz="4" w:space="0" w:color="auto"/>
            </w:tcBorders>
            <w:vAlign w:val="center"/>
          </w:tcPr>
          <w:p w14:paraId="005FB092"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51.91</w:t>
            </w:r>
          </w:p>
        </w:tc>
        <w:tc>
          <w:tcPr>
            <w:tcW w:w="1022" w:type="dxa"/>
            <w:tcBorders>
              <w:top w:val="nil"/>
              <w:left w:val="nil"/>
              <w:bottom w:val="single" w:sz="4" w:space="0" w:color="auto"/>
              <w:right w:val="single" w:sz="4" w:space="0" w:color="auto"/>
            </w:tcBorders>
            <w:vAlign w:val="center"/>
          </w:tcPr>
          <w:p w14:paraId="72056EB6"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49.87</w:t>
            </w:r>
          </w:p>
        </w:tc>
        <w:tc>
          <w:tcPr>
            <w:tcW w:w="2022" w:type="pct"/>
            <w:tcBorders>
              <w:top w:val="nil"/>
              <w:left w:val="nil"/>
              <w:bottom w:val="single" w:sz="4" w:space="0" w:color="auto"/>
              <w:right w:val="single" w:sz="4" w:space="0" w:color="auto"/>
            </w:tcBorders>
            <w:vAlign w:val="center"/>
          </w:tcPr>
          <w:p w14:paraId="55752A41"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w:t>
            </w:r>
          </w:p>
        </w:tc>
      </w:tr>
      <w:tr w:rsidR="00000000" w14:paraId="20BD6F1B" w14:textId="77777777">
        <w:trPr>
          <w:trHeight w:val="533"/>
        </w:trPr>
        <w:tc>
          <w:tcPr>
            <w:tcW w:w="827" w:type="pct"/>
            <w:gridSpan w:val="2"/>
            <w:tcBorders>
              <w:top w:val="single" w:sz="4" w:space="0" w:color="auto"/>
              <w:left w:val="single" w:sz="4" w:space="0" w:color="auto"/>
              <w:bottom w:val="single" w:sz="4" w:space="0" w:color="auto"/>
              <w:right w:val="single" w:sz="4" w:space="0" w:color="auto"/>
            </w:tcBorders>
            <w:vAlign w:val="center"/>
          </w:tcPr>
          <w:p w14:paraId="3F2121C2"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交易时间</w:t>
            </w:r>
          </w:p>
        </w:tc>
        <w:tc>
          <w:tcPr>
            <w:tcW w:w="538" w:type="pct"/>
            <w:tcBorders>
              <w:top w:val="nil"/>
              <w:left w:val="nil"/>
              <w:bottom w:val="single" w:sz="4" w:space="0" w:color="auto"/>
              <w:right w:val="single" w:sz="4" w:space="0" w:color="auto"/>
            </w:tcBorders>
            <w:vAlign w:val="center"/>
          </w:tcPr>
          <w:p w14:paraId="7518D7EE"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538" w:type="pct"/>
            <w:tcBorders>
              <w:top w:val="nil"/>
              <w:left w:val="nil"/>
              <w:bottom w:val="single" w:sz="4" w:space="0" w:color="auto"/>
              <w:right w:val="single" w:sz="4" w:space="0" w:color="auto"/>
            </w:tcBorders>
            <w:vAlign w:val="center"/>
          </w:tcPr>
          <w:p w14:paraId="5520B81A"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538" w:type="pct"/>
            <w:tcBorders>
              <w:top w:val="nil"/>
              <w:left w:val="nil"/>
              <w:bottom w:val="single" w:sz="4" w:space="0" w:color="auto"/>
              <w:right w:val="single" w:sz="4" w:space="0" w:color="auto"/>
            </w:tcBorders>
            <w:vAlign w:val="center"/>
          </w:tcPr>
          <w:p w14:paraId="634393FC"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537" w:type="pct"/>
            <w:tcBorders>
              <w:top w:val="nil"/>
              <w:left w:val="nil"/>
              <w:bottom w:val="single" w:sz="4" w:space="0" w:color="auto"/>
              <w:right w:val="single" w:sz="4" w:space="0" w:color="auto"/>
            </w:tcBorders>
            <w:vAlign w:val="center"/>
          </w:tcPr>
          <w:p w14:paraId="329122E2"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2022" w:type="pct"/>
            <w:tcBorders>
              <w:top w:val="nil"/>
              <w:left w:val="nil"/>
              <w:bottom w:val="single" w:sz="4" w:space="0" w:color="auto"/>
              <w:right w:val="single" w:sz="4" w:space="0" w:color="auto"/>
            </w:tcBorders>
            <w:vAlign w:val="center"/>
          </w:tcPr>
          <w:p w14:paraId="04F40701"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估价对象与可比实例的交易时间一致，因此确定估价对象与可比实例该因素指数均为</w:t>
            </w:r>
            <w:r>
              <w:rPr>
                <w:rFonts w:ascii="Arial" w:eastAsia="华文细黑" w:hAnsi="Arial" w:cs="Arial" w:hint="eastAsia"/>
                <w:sz w:val="18"/>
                <w:szCs w:val="18"/>
              </w:rPr>
              <w:t>100</w:t>
            </w:r>
            <w:r>
              <w:rPr>
                <w:rFonts w:ascii="Arial" w:eastAsia="华文细黑" w:hAnsi="Arial" w:cs="Arial" w:hint="eastAsia"/>
                <w:sz w:val="18"/>
                <w:szCs w:val="18"/>
              </w:rPr>
              <w:t>；</w:t>
            </w:r>
          </w:p>
        </w:tc>
      </w:tr>
      <w:tr w:rsidR="00000000" w14:paraId="017B5683" w14:textId="77777777">
        <w:trPr>
          <w:trHeight w:val="301"/>
        </w:trPr>
        <w:tc>
          <w:tcPr>
            <w:tcW w:w="827" w:type="pct"/>
            <w:gridSpan w:val="2"/>
            <w:tcBorders>
              <w:top w:val="single" w:sz="4" w:space="0" w:color="auto"/>
              <w:left w:val="single" w:sz="4" w:space="0" w:color="auto"/>
              <w:bottom w:val="single" w:sz="4" w:space="0" w:color="auto"/>
              <w:right w:val="single" w:sz="4" w:space="0" w:color="auto"/>
            </w:tcBorders>
            <w:vAlign w:val="center"/>
          </w:tcPr>
          <w:p w14:paraId="1E5C2C10"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交易情况</w:t>
            </w:r>
          </w:p>
        </w:tc>
        <w:tc>
          <w:tcPr>
            <w:tcW w:w="538" w:type="pct"/>
            <w:tcBorders>
              <w:top w:val="nil"/>
              <w:left w:val="nil"/>
              <w:bottom w:val="single" w:sz="4" w:space="0" w:color="auto"/>
              <w:right w:val="single" w:sz="4" w:space="0" w:color="auto"/>
            </w:tcBorders>
            <w:vAlign w:val="center"/>
          </w:tcPr>
          <w:p w14:paraId="51131FB4"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538" w:type="pct"/>
            <w:tcBorders>
              <w:top w:val="nil"/>
              <w:left w:val="nil"/>
              <w:bottom w:val="single" w:sz="4" w:space="0" w:color="auto"/>
              <w:right w:val="single" w:sz="4" w:space="0" w:color="auto"/>
            </w:tcBorders>
            <w:vAlign w:val="center"/>
          </w:tcPr>
          <w:p w14:paraId="65B41794"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1024" w:type="dxa"/>
            <w:tcBorders>
              <w:top w:val="nil"/>
              <w:left w:val="nil"/>
              <w:bottom w:val="single" w:sz="4" w:space="0" w:color="auto"/>
              <w:right w:val="single" w:sz="4" w:space="0" w:color="auto"/>
            </w:tcBorders>
            <w:vAlign w:val="center"/>
          </w:tcPr>
          <w:p w14:paraId="48F964C7" w14:textId="77777777" w:rsidR="00000000" w:rsidRDefault="00000000">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1022" w:type="dxa"/>
            <w:tcBorders>
              <w:top w:val="nil"/>
              <w:left w:val="nil"/>
              <w:bottom w:val="single" w:sz="4" w:space="0" w:color="auto"/>
              <w:right w:val="single" w:sz="4" w:space="0" w:color="auto"/>
            </w:tcBorders>
            <w:vAlign w:val="center"/>
          </w:tcPr>
          <w:p w14:paraId="229C023B" w14:textId="77777777" w:rsidR="00000000" w:rsidRDefault="00000000">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2022" w:type="pct"/>
            <w:tcBorders>
              <w:top w:val="nil"/>
              <w:left w:val="nil"/>
              <w:bottom w:val="single" w:sz="4" w:space="0" w:color="auto"/>
              <w:right w:val="single" w:sz="4" w:space="0" w:color="auto"/>
            </w:tcBorders>
            <w:vAlign w:val="center"/>
          </w:tcPr>
          <w:p w14:paraId="560E6667"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可比实例均为正常交易或已修正为正常交易，故不予修正，交易情况指数均</w:t>
            </w:r>
            <w:r>
              <w:rPr>
                <w:rFonts w:ascii="Arial" w:eastAsia="华文细黑" w:hAnsi="Arial" w:cs="Arial" w:hint="eastAsia"/>
                <w:sz w:val="18"/>
                <w:szCs w:val="18"/>
              </w:rPr>
              <w:t>100</w:t>
            </w:r>
            <w:r>
              <w:rPr>
                <w:rFonts w:ascii="Arial" w:eastAsia="华文细黑" w:hAnsi="Arial" w:cs="Arial" w:hint="eastAsia"/>
                <w:sz w:val="18"/>
                <w:szCs w:val="18"/>
              </w:rPr>
              <w:t>；</w:t>
            </w:r>
          </w:p>
        </w:tc>
      </w:tr>
      <w:tr w:rsidR="00000000" w14:paraId="28C3CB4B" w14:textId="77777777">
        <w:trPr>
          <w:trHeight w:val="788"/>
        </w:trPr>
        <w:tc>
          <w:tcPr>
            <w:tcW w:w="313" w:type="pct"/>
            <w:vMerge w:val="restart"/>
            <w:tcBorders>
              <w:top w:val="single" w:sz="4" w:space="0" w:color="auto"/>
              <w:left w:val="single" w:sz="4" w:space="0" w:color="auto"/>
              <w:bottom w:val="single" w:sz="4" w:space="0" w:color="auto"/>
              <w:right w:val="single" w:sz="4" w:space="0" w:color="auto"/>
            </w:tcBorders>
            <w:vAlign w:val="center"/>
          </w:tcPr>
          <w:p w14:paraId="73B291F0"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区域</w:t>
            </w:r>
          </w:p>
          <w:p w14:paraId="2495A6CA"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状况</w:t>
            </w:r>
          </w:p>
        </w:tc>
        <w:tc>
          <w:tcPr>
            <w:tcW w:w="514" w:type="pct"/>
            <w:tcBorders>
              <w:top w:val="nil"/>
              <w:left w:val="nil"/>
              <w:bottom w:val="single" w:sz="4" w:space="0" w:color="auto"/>
              <w:right w:val="single" w:sz="4" w:space="0" w:color="auto"/>
            </w:tcBorders>
            <w:vAlign w:val="center"/>
          </w:tcPr>
          <w:p w14:paraId="1C2C697A"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居住区成熟度</w:t>
            </w:r>
          </w:p>
        </w:tc>
        <w:tc>
          <w:tcPr>
            <w:tcW w:w="538" w:type="pct"/>
            <w:tcBorders>
              <w:top w:val="nil"/>
              <w:left w:val="nil"/>
              <w:bottom w:val="single" w:sz="4" w:space="0" w:color="auto"/>
              <w:right w:val="single" w:sz="4" w:space="0" w:color="auto"/>
            </w:tcBorders>
            <w:vAlign w:val="center"/>
          </w:tcPr>
          <w:p w14:paraId="6ED73BD8"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538" w:type="pct"/>
            <w:tcBorders>
              <w:top w:val="nil"/>
              <w:left w:val="nil"/>
              <w:bottom w:val="single" w:sz="4" w:space="0" w:color="auto"/>
              <w:right w:val="single" w:sz="4" w:space="0" w:color="auto"/>
            </w:tcBorders>
            <w:vAlign w:val="center"/>
          </w:tcPr>
          <w:p w14:paraId="521FB518"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538" w:type="pct"/>
            <w:tcBorders>
              <w:top w:val="nil"/>
              <w:left w:val="nil"/>
              <w:bottom w:val="single" w:sz="4" w:space="0" w:color="auto"/>
              <w:right w:val="single" w:sz="4" w:space="0" w:color="auto"/>
            </w:tcBorders>
            <w:vAlign w:val="center"/>
          </w:tcPr>
          <w:p w14:paraId="25733BA7"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537" w:type="pct"/>
            <w:tcBorders>
              <w:top w:val="nil"/>
              <w:left w:val="nil"/>
              <w:bottom w:val="single" w:sz="4" w:space="0" w:color="auto"/>
              <w:right w:val="single" w:sz="4" w:space="0" w:color="auto"/>
            </w:tcBorders>
            <w:vAlign w:val="center"/>
          </w:tcPr>
          <w:p w14:paraId="50C438A7"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2022" w:type="pct"/>
            <w:tcBorders>
              <w:top w:val="nil"/>
              <w:left w:val="nil"/>
              <w:bottom w:val="single" w:sz="4" w:space="0" w:color="auto"/>
              <w:right w:val="single" w:sz="4" w:space="0" w:color="auto"/>
            </w:tcBorders>
            <w:vAlign w:val="center"/>
          </w:tcPr>
          <w:p w14:paraId="12BE4759"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从好到差划分为好、较好、一般、较差、差五个等级，每个等级相差</w:t>
            </w:r>
            <w:r>
              <w:rPr>
                <w:rFonts w:ascii="Arial" w:eastAsia="华文细黑" w:hAnsi="Arial" w:cs="Arial" w:hint="eastAsia"/>
                <w:sz w:val="18"/>
                <w:szCs w:val="18"/>
              </w:rPr>
              <w:t>5</w:t>
            </w:r>
            <w:r>
              <w:rPr>
                <w:rFonts w:ascii="Arial" w:eastAsia="华文细黑" w:hAnsi="Arial" w:cs="Arial" w:hint="eastAsia"/>
                <w:sz w:val="18"/>
                <w:szCs w:val="18"/>
              </w:rPr>
              <w:t>分，确定可比实例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p>
        </w:tc>
      </w:tr>
      <w:tr w:rsidR="00000000" w14:paraId="546FC818" w14:textId="77777777">
        <w:trPr>
          <w:trHeight w:val="774"/>
        </w:trPr>
        <w:tc>
          <w:tcPr>
            <w:tcW w:w="313" w:type="pct"/>
            <w:vMerge/>
            <w:tcBorders>
              <w:top w:val="single" w:sz="4" w:space="0" w:color="auto"/>
              <w:left w:val="single" w:sz="4" w:space="0" w:color="auto"/>
              <w:bottom w:val="single" w:sz="4" w:space="0" w:color="auto"/>
              <w:right w:val="single" w:sz="4" w:space="0" w:color="auto"/>
            </w:tcBorders>
            <w:vAlign w:val="center"/>
          </w:tcPr>
          <w:p w14:paraId="7A5ACB4B" w14:textId="77777777" w:rsidR="00000000" w:rsidRDefault="00000000">
            <w:pPr>
              <w:widowControl/>
              <w:adjustRightInd/>
              <w:spacing w:line="240" w:lineRule="auto"/>
              <w:jc w:val="center"/>
              <w:textAlignment w:val="auto"/>
              <w:rPr>
                <w:rFonts w:ascii="Arial" w:eastAsia="华文细黑" w:hAnsi="Arial" w:cs="Arial" w:hint="eastAsia"/>
                <w:sz w:val="18"/>
                <w:szCs w:val="18"/>
              </w:rPr>
            </w:pPr>
          </w:p>
        </w:tc>
        <w:tc>
          <w:tcPr>
            <w:tcW w:w="514" w:type="pct"/>
            <w:tcBorders>
              <w:top w:val="nil"/>
              <w:left w:val="nil"/>
              <w:bottom w:val="single" w:sz="4" w:space="0" w:color="auto"/>
              <w:right w:val="single" w:sz="4" w:space="0" w:color="auto"/>
            </w:tcBorders>
            <w:vAlign w:val="center"/>
          </w:tcPr>
          <w:p w14:paraId="0835EE4A"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交通条件</w:t>
            </w:r>
          </w:p>
        </w:tc>
        <w:tc>
          <w:tcPr>
            <w:tcW w:w="538" w:type="pct"/>
            <w:tcBorders>
              <w:top w:val="nil"/>
              <w:left w:val="nil"/>
              <w:bottom w:val="single" w:sz="4" w:space="0" w:color="auto"/>
              <w:right w:val="single" w:sz="4" w:space="0" w:color="auto"/>
            </w:tcBorders>
            <w:vAlign w:val="center"/>
          </w:tcPr>
          <w:p w14:paraId="1803520B"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538" w:type="pct"/>
            <w:tcBorders>
              <w:top w:val="nil"/>
              <w:left w:val="nil"/>
              <w:bottom w:val="single" w:sz="4" w:space="0" w:color="auto"/>
              <w:right w:val="single" w:sz="4" w:space="0" w:color="auto"/>
            </w:tcBorders>
            <w:vAlign w:val="center"/>
          </w:tcPr>
          <w:p w14:paraId="526F3C92"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538" w:type="pct"/>
            <w:tcBorders>
              <w:top w:val="nil"/>
              <w:left w:val="nil"/>
              <w:bottom w:val="single" w:sz="4" w:space="0" w:color="auto"/>
              <w:right w:val="single" w:sz="4" w:space="0" w:color="auto"/>
            </w:tcBorders>
            <w:vAlign w:val="center"/>
          </w:tcPr>
          <w:p w14:paraId="10739F4F" w14:textId="77777777" w:rsidR="00000000" w:rsidRDefault="00000000">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98</w:t>
            </w:r>
          </w:p>
        </w:tc>
        <w:tc>
          <w:tcPr>
            <w:tcW w:w="537" w:type="pct"/>
            <w:tcBorders>
              <w:top w:val="nil"/>
              <w:left w:val="nil"/>
              <w:bottom w:val="single" w:sz="4" w:space="0" w:color="auto"/>
              <w:right w:val="single" w:sz="4" w:space="0" w:color="auto"/>
            </w:tcBorders>
            <w:vAlign w:val="center"/>
          </w:tcPr>
          <w:p w14:paraId="3EB34D40" w14:textId="77777777" w:rsidR="00000000" w:rsidRDefault="00000000">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99</w:t>
            </w:r>
          </w:p>
        </w:tc>
        <w:tc>
          <w:tcPr>
            <w:tcW w:w="2022" w:type="pct"/>
            <w:tcBorders>
              <w:top w:val="nil"/>
              <w:left w:val="nil"/>
              <w:bottom w:val="single" w:sz="4" w:space="0" w:color="auto"/>
              <w:right w:val="single" w:sz="4" w:space="0" w:color="auto"/>
            </w:tcBorders>
            <w:vAlign w:val="center"/>
          </w:tcPr>
          <w:p w14:paraId="7FA768E3"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从好到差划分为好、较好、一般、较差、差五个等级，每个等级相差</w:t>
            </w:r>
            <w:r>
              <w:rPr>
                <w:rFonts w:ascii="Arial" w:eastAsia="华文细黑" w:hAnsi="Arial" w:cs="Arial" w:hint="eastAsia"/>
                <w:sz w:val="18"/>
                <w:szCs w:val="18"/>
              </w:rPr>
              <w:t>1</w:t>
            </w:r>
            <w:r>
              <w:rPr>
                <w:rFonts w:ascii="Arial" w:eastAsia="华文细黑" w:hAnsi="Arial" w:cs="Arial" w:hint="eastAsia"/>
                <w:sz w:val="18"/>
                <w:szCs w:val="18"/>
              </w:rPr>
              <w:t>分，确定可比实例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98</w:t>
            </w:r>
            <w:r>
              <w:rPr>
                <w:rFonts w:ascii="Arial" w:eastAsia="华文细黑" w:hAnsi="Arial" w:cs="Arial" w:hint="eastAsia"/>
                <w:sz w:val="18"/>
                <w:szCs w:val="18"/>
              </w:rPr>
              <w:t>、</w:t>
            </w:r>
            <w:r>
              <w:rPr>
                <w:rFonts w:ascii="Arial" w:eastAsia="华文细黑" w:hAnsi="Arial" w:cs="Arial" w:hint="eastAsia"/>
                <w:sz w:val="18"/>
                <w:szCs w:val="18"/>
              </w:rPr>
              <w:t>99</w:t>
            </w:r>
            <w:r>
              <w:rPr>
                <w:rFonts w:ascii="Arial" w:eastAsia="华文细黑" w:hAnsi="Arial" w:cs="Arial" w:hint="eastAsia"/>
                <w:sz w:val="18"/>
                <w:szCs w:val="18"/>
              </w:rPr>
              <w:t>；</w:t>
            </w:r>
          </w:p>
        </w:tc>
      </w:tr>
      <w:tr w:rsidR="00000000" w14:paraId="081E1364" w14:textId="77777777">
        <w:trPr>
          <w:trHeight w:val="848"/>
        </w:trPr>
        <w:tc>
          <w:tcPr>
            <w:tcW w:w="313" w:type="pct"/>
            <w:vMerge/>
            <w:tcBorders>
              <w:top w:val="single" w:sz="4" w:space="0" w:color="auto"/>
              <w:left w:val="single" w:sz="4" w:space="0" w:color="auto"/>
              <w:bottom w:val="single" w:sz="4" w:space="0" w:color="auto"/>
              <w:right w:val="single" w:sz="4" w:space="0" w:color="auto"/>
            </w:tcBorders>
            <w:vAlign w:val="center"/>
          </w:tcPr>
          <w:p w14:paraId="5F5C35D5" w14:textId="77777777" w:rsidR="00000000" w:rsidRDefault="00000000">
            <w:pPr>
              <w:widowControl/>
              <w:adjustRightInd/>
              <w:spacing w:line="240" w:lineRule="auto"/>
              <w:jc w:val="center"/>
              <w:textAlignment w:val="auto"/>
              <w:rPr>
                <w:rFonts w:ascii="Arial" w:eastAsia="华文细黑" w:hAnsi="Arial" w:cs="Arial" w:hint="eastAsia"/>
                <w:sz w:val="18"/>
                <w:szCs w:val="18"/>
              </w:rPr>
            </w:pPr>
          </w:p>
        </w:tc>
        <w:tc>
          <w:tcPr>
            <w:tcW w:w="514" w:type="pct"/>
            <w:tcBorders>
              <w:top w:val="nil"/>
              <w:left w:val="nil"/>
              <w:bottom w:val="single" w:sz="4" w:space="0" w:color="auto"/>
              <w:right w:val="single" w:sz="4" w:space="0" w:color="auto"/>
            </w:tcBorders>
            <w:vAlign w:val="center"/>
          </w:tcPr>
          <w:p w14:paraId="6F8A028B"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商业设施</w:t>
            </w:r>
          </w:p>
        </w:tc>
        <w:tc>
          <w:tcPr>
            <w:tcW w:w="538" w:type="pct"/>
            <w:tcBorders>
              <w:top w:val="nil"/>
              <w:left w:val="nil"/>
              <w:bottom w:val="single" w:sz="4" w:space="0" w:color="auto"/>
              <w:right w:val="single" w:sz="4" w:space="0" w:color="auto"/>
            </w:tcBorders>
            <w:vAlign w:val="center"/>
          </w:tcPr>
          <w:p w14:paraId="1C908A5B"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538" w:type="pct"/>
            <w:tcBorders>
              <w:top w:val="nil"/>
              <w:left w:val="nil"/>
              <w:bottom w:val="single" w:sz="4" w:space="0" w:color="auto"/>
              <w:right w:val="single" w:sz="4" w:space="0" w:color="auto"/>
            </w:tcBorders>
            <w:vAlign w:val="center"/>
          </w:tcPr>
          <w:p w14:paraId="70188246"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538" w:type="pct"/>
            <w:tcBorders>
              <w:top w:val="nil"/>
              <w:left w:val="nil"/>
              <w:bottom w:val="single" w:sz="4" w:space="0" w:color="auto"/>
              <w:right w:val="single" w:sz="4" w:space="0" w:color="auto"/>
            </w:tcBorders>
            <w:vAlign w:val="center"/>
          </w:tcPr>
          <w:p w14:paraId="774AA0A0"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537" w:type="pct"/>
            <w:tcBorders>
              <w:top w:val="nil"/>
              <w:left w:val="nil"/>
              <w:bottom w:val="single" w:sz="4" w:space="0" w:color="auto"/>
              <w:right w:val="single" w:sz="4" w:space="0" w:color="auto"/>
            </w:tcBorders>
            <w:vAlign w:val="center"/>
          </w:tcPr>
          <w:p w14:paraId="05011B3B"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2022" w:type="pct"/>
            <w:tcBorders>
              <w:top w:val="nil"/>
              <w:left w:val="nil"/>
              <w:bottom w:val="single" w:sz="4" w:space="0" w:color="auto"/>
              <w:right w:val="single" w:sz="4" w:space="0" w:color="auto"/>
            </w:tcBorders>
            <w:vAlign w:val="center"/>
          </w:tcPr>
          <w:p w14:paraId="167E58B7"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从好到差划分为好、较好、一般、较差、差五个等级，每个等级相差</w:t>
            </w:r>
            <w:r>
              <w:rPr>
                <w:rFonts w:ascii="Arial" w:eastAsia="华文细黑" w:hAnsi="Arial" w:cs="Arial" w:hint="eastAsia"/>
                <w:sz w:val="18"/>
                <w:szCs w:val="18"/>
              </w:rPr>
              <w:t>2</w:t>
            </w:r>
            <w:r>
              <w:rPr>
                <w:rFonts w:ascii="Arial" w:eastAsia="华文细黑" w:hAnsi="Arial" w:cs="Arial" w:hint="eastAsia"/>
                <w:sz w:val="18"/>
                <w:szCs w:val="18"/>
              </w:rPr>
              <w:t>分，确定可比实例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p>
        </w:tc>
      </w:tr>
      <w:tr w:rsidR="00000000" w14:paraId="24D16C3F" w14:textId="77777777">
        <w:trPr>
          <w:trHeight w:val="900"/>
        </w:trPr>
        <w:tc>
          <w:tcPr>
            <w:tcW w:w="313" w:type="pct"/>
            <w:vMerge/>
            <w:tcBorders>
              <w:top w:val="single" w:sz="4" w:space="0" w:color="auto"/>
              <w:left w:val="single" w:sz="4" w:space="0" w:color="auto"/>
              <w:bottom w:val="single" w:sz="4" w:space="0" w:color="auto"/>
              <w:right w:val="single" w:sz="4" w:space="0" w:color="auto"/>
            </w:tcBorders>
            <w:vAlign w:val="center"/>
          </w:tcPr>
          <w:p w14:paraId="04DA8B92" w14:textId="77777777" w:rsidR="00000000" w:rsidRDefault="00000000">
            <w:pPr>
              <w:widowControl/>
              <w:adjustRightInd/>
              <w:spacing w:line="240" w:lineRule="auto"/>
              <w:jc w:val="center"/>
              <w:textAlignment w:val="auto"/>
              <w:rPr>
                <w:rFonts w:ascii="Arial" w:eastAsia="华文细黑" w:hAnsi="Arial" w:cs="Arial" w:hint="eastAsia"/>
                <w:sz w:val="18"/>
                <w:szCs w:val="18"/>
              </w:rPr>
            </w:pPr>
          </w:p>
        </w:tc>
        <w:tc>
          <w:tcPr>
            <w:tcW w:w="514" w:type="pct"/>
            <w:tcBorders>
              <w:top w:val="nil"/>
              <w:left w:val="nil"/>
              <w:bottom w:val="single" w:sz="4" w:space="0" w:color="auto"/>
              <w:right w:val="single" w:sz="4" w:space="0" w:color="auto"/>
            </w:tcBorders>
            <w:vAlign w:val="center"/>
          </w:tcPr>
          <w:p w14:paraId="4F2901E8"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自然环境</w:t>
            </w:r>
          </w:p>
        </w:tc>
        <w:tc>
          <w:tcPr>
            <w:tcW w:w="538" w:type="pct"/>
            <w:tcBorders>
              <w:top w:val="nil"/>
              <w:left w:val="nil"/>
              <w:bottom w:val="single" w:sz="4" w:space="0" w:color="auto"/>
              <w:right w:val="single" w:sz="4" w:space="0" w:color="auto"/>
            </w:tcBorders>
            <w:vAlign w:val="center"/>
          </w:tcPr>
          <w:p w14:paraId="733AFF04"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538" w:type="pct"/>
            <w:tcBorders>
              <w:top w:val="nil"/>
              <w:left w:val="nil"/>
              <w:bottom w:val="single" w:sz="4" w:space="0" w:color="auto"/>
              <w:right w:val="single" w:sz="4" w:space="0" w:color="auto"/>
            </w:tcBorders>
            <w:vAlign w:val="center"/>
          </w:tcPr>
          <w:p w14:paraId="39561F36"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538" w:type="pct"/>
            <w:tcBorders>
              <w:top w:val="nil"/>
              <w:left w:val="nil"/>
              <w:bottom w:val="single" w:sz="4" w:space="0" w:color="auto"/>
              <w:right w:val="single" w:sz="4" w:space="0" w:color="auto"/>
            </w:tcBorders>
            <w:vAlign w:val="center"/>
          </w:tcPr>
          <w:p w14:paraId="37F81DAE"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101</w:t>
            </w:r>
          </w:p>
        </w:tc>
        <w:tc>
          <w:tcPr>
            <w:tcW w:w="537" w:type="pct"/>
            <w:tcBorders>
              <w:top w:val="nil"/>
              <w:left w:val="nil"/>
              <w:bottom w:val="single" w:sz="4" w:space="0" w:color="auto"/>
              <w:right w:val="single" w:sz="4" w:space="0" w:color="auto"/>
            </w:tcBorders>
            <w:vAlign w:val="center"/>
          </w:tcPr>
          <w:p w14:paraId="4497657E"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2022" w:type="pct"/>
            <w:tcBorders>
              <w:top w:val="nil"/>
              <w:left w:val="nil"/>
              <w:bottom w:val="single" w:sz="4" w:space="0" w:color="auto"/>
              <w:right w:val="single" w:sz="4" w:space="0" w:color="auto"/>
            </w:tcBorders>
            <w:vAlign w:val="center"/>
          </w:tcPr>
          <w:p w14:paraId="7F1D5EF9"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从好到差划分为好、较好、一般、较差、差五个等级，每个等级相差</w:t>
            </w:r>
            <w:r>
              <w:rPr>
                <w:rFonts w:ascii="Arial" w:eastAsia="华文细黑" w:hAnsi="Arial" w:cs="Arial" w:hint="eastAsia"/>
                <w:sz w:val="18"/>
                <w:szCs w:val="18"/>
              </w:rPr>
              <w:t>1</w:t>
            </w:r>
            <w:r>
              <w:rPr>
                <w:rFonts w:ascii="Arial" w:eastAsia="华文细黑" w:hAnsi="Arial" w:cs="Arial" w:hint="eastAsia"/>
                <w:sz w:val="18"/>
                <w:szCs w:val="18"/>
              </w:rPr>
              <w:t>分，确定可比实例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101</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p>
        </w:tc>
      </w:tr>
      <w:tr w:rsidR="00000000" w14:paraId="4F3536E3" w14:textId="77777777">
        <w:trPr>
          <w:trHeight w:val="946"/>
        </w:trPr>
        <w:tc>
          <w:tcPr>
            <w:tcW w:w="313" w:type="pct"/>
            <w:vMerge/>
            <w:tcBorders>
              <w:top w:val="single" w:sz="4" w:space="0" w:color="auto"/>
              <w:left w:val="single" w:sz="4" w:space="0" w:color="auto"/>
              <w:bottom w:val="single" w:sz="4" w:space="0" w:color="auto"/>
              <w:right w:val="single" w:sz="4" w:space="0" w:color="auto"/>
            </w:tcBorders>
            <w:vAlign w:val="center"/>
          </w:tcPr>
          <w:p w14:paraId="1132750C" w14:textId="77777777" w:rsidR="00000000" w:rsidRDefault="00000000">
            <w:pPr>
              <w:widowControl/>
              <w:adjustRightInd/>
              <w:spacing w:line="240" w:lineRule="auto"/>
              <w:jc w:val="center"/>
              <w:textAlignment w:val="auto"/>
              <w:rPr>
                <w:rFonts w:ascii="Arial" w:eastAsia="华文细黑" w:hAnsi="Arial" w:cs="Arial" w:hint="eastAsia"/>
                <w:sz w:val="18"/>
                <w:szCs w:val="18"/>
              </w:rPr>
            </w:pPr>
          </w:p>
        </w:tc>
        <w:tc>
          <w:tcPr>
            <w:tcW w:w="514" w:type="pct"/>
            <w:tcBorders>
              <w:top w:val="nil"/>
              <w:left w:val="nil"/>
              <w:bottom w:val="single" w:sz="4" w:space="0" w:color="auto"/>
              <w:right w:val="single" w:sz="4" w:space="0" w:color="auto"/>
            </w:tcBorders>
            <w:vAlign w:val="center"/>
          </w:tcPr>
          <w:p w14:paraId="57C0FDC3"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公共配套</w:t>
            </w:r>
          </w:p>
        </w:tc>
        <w:tc>
          <w:tcPr>
            <w:tcW w:w="538" w:type="pct"/>
            <w:tcBorders>
              <w:top w:val="nil"/>
              <w:left w:val="nil"/>
              <w:bottom w:val="single" w:sz="4" w:space="0" w:color="auto"/>
              <w:right w:val="single" w:sz="4" w:space="0" w:color="auto"/>
            </w:tcBorders>
            <w:vAlign w:val="center"/>
          </w:tcPr>
          <w:p w14:paraId="21D408B8"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538" w:type="pct"/>
            <w:tcBorders>
              <w:top w:val="nil"/>
              <w:left w:val="nil"/>
              <w:bottom w:val="single" w:sz="4" w:space="0" w:color="auto"/>
              <w:right w:val="single" w:sz="4" w:space="0" w:color="auto"/>
            </w:tcBorders>
            <w:vAlign w:val="center"/>
          </w:tcPr>
          <w:p w14:paraId="5E5F3D61"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538" w:type="pct"/>
            <w:tcBorders>
              <w:top w:val="nil"/>
              <w:left w:val="nil"/>
              <w:bottom w:val="single" w:sz="4" w:space="0" w:color="auto"/>
              <w:right w:val="single" w:sz="4" w:space="0" w:color="auto"/>
            </w:tcBorders>
            <w:vAlign w:val="center"/>
          </w:tcPr>
          <w:p w14:paraId="06C29778"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537" w:type="pct"/>
            <w:tcBorders>
              <w:top w:val="nil"/>
              <w:left w:val="nil"/>
              <w:bottom w:val="single" w:sz="4" w:space="0" w:color="auto"/>
              <w:right w:val="single" w:sz="4" w:space="0" w:color="auto"/>
            </w:tcBorders>
            <w:vAlign w:val="center"/>
          </w:tcPr>
          <w:p w14:paraId="72399947"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2022" w:type="pct"/>
            <w:tcBorders>
              <w:top w:val="nil"/>
              <w:left w:val="nil"/>
              <w:bottom w:val="single" w:sz="4" w:space="0" w:color="auto"/>
              <w:right w:val="single" w:sz="4" w:space="0" w:color="auto"/>
            </w:tcBorders>
            <w:vAlign w:val="center"/>
          </w:tcPr>
          <w:p w14:paraId="26BA2BF6"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从好到差划分为齐全、较齐全、一般、较不齐全、不齐全五个等级，每个等级相差</w:t>
            </w:r>
            <w:r>
              <w:rPr>
                <w:rFonts w:ascii="Arial" w:eastAsia="华文细黑" w:hAnsi="Arial" w:cs="Arial" w:hint="eastAsia"/>
                <w:sz w:val="18"/>
                <w:szCs w:val="18"/>
              </w:rPr>
              <w:t>5</w:t>
            </w:r>
            <w:r>
              <w:rPr>
                <w:rFonts w:ascii="Arial" w:eastAsia="华文细黑" w:hAnsi="Arial" w:cs="Arial" w:hint="eastAsia"/>
                <w:sz w:val="18"/>
                <w:szCs w:val="18"/>
              </w:rPr>
              <w:t>分，确定可比实例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p>
        </w:tc>
      </w:tr>
      <w:tr w:rsidR="00000000" w14:paraId="227C05D6" w14:textId="77777777">
        <w:trPr>
          <w:trHeight w:val="975"/>
        </w:trPr>
        <w:tc>
          <w:tcPr>
            <w:tcW w:w="313" w:type="pct"/>
            <w:vMerge w:val="restart"/>
            <w:tcBorders>
              <w:top w:val="single" w:sz="4" w:space="0" w:color="auto"/>
              <w:left w:val="single" w:sz="4" w:space="0" w:color="auto"/>
              <w:bottom w:val="single" w:sz="4" w:space="0" w:color="auto"/>
              <w:right w:val="single" w:sz="4" w:space="0" w:color="auto"/>
            </w:tcBorders>
            <w:vAlign w:val="center"/>
          </w:tcPr>
          <w:p w14:paraId="478776FC"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实物</w:t>
            </w:r>
          </w:p>
          <w:p w14:paraId="32EC7731"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状况</w:t>
            </w:r>
          </w:p>
        </w:tc>
        <w:tc>
          <w:tcPr>
            <w:tcW w:w="514" w:type="pct"/>
            <w:tcBorders>
              <w:top w:val="nil"/>
              <w:left w:val="nil"/>
              <w:bottom w:val="single" w:sz="4" w:space="0" w:color="auto"/>
              <w:right w:val="single" w:sz="4" w:space="0" w:color="auto"/>
            </w:tcBorders>
            <w:vAlign w:val="center"/>
          </w:tcPr>
          <w:p w14:paraId="34A55DE1"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物业服务</w:t>
            </w:r>
          </w:p>
        </w:tc>
        <w:tc>
          <w:tcPr>
            <w:tcW w:w="538" w:type="pct"/>
            <w:tcBorders>
              <w:top w:val="nil"/>
              <w:left w:val="nil"/>
              <w:bottom w:val="single" w:sz="4" w:space="0" w:color="auto"/>
              <w:right w:val="single" w:sz="4" w:space="0" w:color="auto"/>
            </w:tcBorders>
            <w:vAlign w:val="center"/>
          </w:tcPr>
          <w:p w14:paraId="470F5ABA"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538" w:type="pct"/>
            <w:tcBorders>
              <w:top w:val="nil"/>
              <w:left w:val="nil"/>
              <w:bottom w:val="single" w:sz="4" w:space="0" w:color="auto"/>
              <w:right w:val="single" w:sz="4" w:space="0" w:color="auto"/>
            </w:tcBorders>
            <w:vAlign w:val="center"/>
          </w:tcPr>
          <w:p w14:paraId="3318712E"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538" w:type="pct"/>
            <w:tcBorders>
              <w:top w:val="nil"/>
              <w:left w:val="nil"/>
              <w:bottom w:val="single" w:sz="4" w:space="0" w:color="auto"/>
              <w:right w:val="single" w:sz="4" w:space="0" w:color="auto"/>
            </w:tcBorders>
            <w:vAlign w:val="center"/>
          </w:tcPr>
          <w:p w14:paraId="4BBAC2DC"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537" w:type="pct"/>
            <w:tcBorders>
              <w:top w:val="nil"/>
              <w:left w:val="nil"/>
              <w:bottom w:val="single" w:sz="4" w:space="0" w:color="auto"/>
              <w:right w:val="single" w:sz="4" w:space="0" w:color="auto"/>
            </w:tcBorders>
            <w:vAlign w:val="center"/>
          </w:tcPr>
          <w:p w14:paraId="56D240E5"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2022" w:type="pct"/>
            <w:tcBorders>
              <w:top w:val="nil"/>
              <w:left w:val="nil"/>
              <w:bottom w:val="single" w:sz="4" w:space="0" w:color="auto"/>
              <w:right w:val="single" w:sz="4" w:space="0" w:color="auto"/>
            </w:tcBorders>
            <w:vAlign w:val="center"/>
          </w:tcPr>
          <w:p w14:paraId="5B107C43"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根据物业服务对其价值的影响，从好到差划分为有专业物业公司、无物业公司二个等级。以估价对象该因素指数为</w:t>
            </w:r>
            <w:r>
              <w:rPr>
                <w:rFonts w:ascii="Arial" w:eastAsia="华文细黑" w:hAnsi="Arial" w:cs="Arial" w:hint="eastAsia"/>
                <w:sz w:val="18"/>
                <w:szCs w:val="18"/>
              </w:rPr>
              <w:t>100</w:t>
            </w:r>
            <w:r>
              <w:rPr>
                <w:rFonts w:ascii="Arial" w:eastAsia="华文细黑" w:hAnsi="Arial" w:cs="Arial" w:hint="eastAsia"/>
                <w:sz w:val="18"/>
                <w:szCs w:val="18"/>
              </w:rPr>
              <w:t>，各可比实例与之相比，确定可比实例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p>
        </w:tc>
      </w:tr>
      <w:tr w:rsidR="00000000" w14:paraId="4A24C42A" w14:textId="77777777">
        <w:trPr>
          <w:trHeight w:val="1360"/>
        </w:trPr>
        <w:tc>
          <w:tcPr>
            <w:tcW w:w="313" w:type="pct"/>
            <w:vMerge/>
            <w:tcBorders>
              <w:top w:val="nil"/>
              <w:left w:val="single" w:sz="4" w:space="0" w:color="auto"/>
              <w:bottom w:val="single" w:sz="4" w:space="0" w:color="auto"/>
              <w:right w:val="single" w:sz="4" w:space="0" w:color="auto"/>
            </w:tcBorders>
            <w:vAlign w:val="center"/>
          </w:tcPr>
          <w:p w14:paraId="0AF8A103" w14:textId="77777777" w:rsidR="00000000" w:rsidRDefault="00000000">
            <w:pPr>
              <w:widowControl/>
              <w:adjustRightInd/>
              <w:spacing w:line="240" w:lineRule="auto"/>
              <w:jc w:val="center"/>
              <w:textAlignment w:val="auto"/>
              <w:rPr>
                <w:rFonts w:ascii="Arial" w:eastAsia="华文细黑" w:hAnsi="Arial" w:cs="Arial" w:hint="eastAsia"/>
                <w:sz w:val="18"/>
                <w:szCs w:val="18"/>
              </w:rPr>
            </w:pPr>
          </w:p>
        </w:tc>
        <w:tc>
          <w:tcPr>
            <w:tcW w:w="514" w:type="pct"/>
            <w:tcBorders>
              <w:top w:val="nil"/>
              <w:left w:val="nil"/>
              <w:bottom w:val="single" w:sz="4" w:space="0" w:color="auto"/>
              <w:right w:val="single" w:sz="4" w:space="0" w:color="auto"/>
            </w:tcBorders>
            <w:vAlign w:val="center"/>
          </w:tcPr>
          <w:p w14:paraId="7F45A164"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小区环境</w:t>
            </w:r>
          </w:p>
        </w:tc>
        <w:tc>
          <w:tcPr>
            <w:tcW w:w="538" w:type="pct"/>
            <w:tcBorders>
              <w:top w:val="nil"/>
              <w:left w:val="nil"/>
              <w:bottom w:val="single" w:sz="4" w:space="0" w:color="auto"/>
              <w:right w:val="single" w:sz="4" w:space="0" w:color="auto"/>
            </w:tcBorders>
            <w:vAlign w:val="center"/>
          </w:tcPr>
          <w:p w14:paraId="2D4D6719"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538" w:type="pct"/>
            <w:tcBorders>
              <w:top w:val="nil"/>
              <w:left w:val="nil"/>
              <w:bottom w:val="single" w:sz="4" w:space="0" w:color="auto"/>
              <w:right w:val="single" w:sz="4" w:space="0" w:color="auto"/>
            </w:tcBorders>
            <w:vAlign w:val="center"/>
          </w:tcPr>
          <w:p w14:paraId="0D7907F8"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538" w:type="pct"/>
            <w:tcBorders>
              <w:top w:val="nil"/>
              <w:left w:val="nil"/>
              <w:bottom w:val="single" w:sz="4" w:space="0" w:color="auto"/>
              <w:right w:val="single" w:sz="4" w:space="0" w:color="auto"/>
            </w:tcBorders>
            <w:vAlign w:val="center"/>
          </w:tcPr>
          <w:p w14:paraId="77337F6B"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537" w:type="pct"/>
            <w:tcBorders>
              <w:top w:val="nil"/>
              <w:left w:val="nil"/>
              <w:bottom w:val="single" w:sz="4" w:space="0" w:color="auto"/>
              <w:right w:val="single" w:sz="4" w:space="0" w:color="auto"/>
            </w:tcBorders>
            <w:vAlign w:val="center"/>
          </w:tcPr>
          <w:p w14:paraId="0DAC3345"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2022" w:type="pct"/>
            <w:tcBorders>
              <w:top w:val="nil"/>
              <w:left w:val="nil"/>
              <w:bottom w:val="single" w:sz="4" w:space="0" w:color="auto"/>
              <w:right w:val="single" w:sz="4" w:space="0" w:color="auto"/>
            </w:tcBorders>
            <w:vAlign w:val="center"/>
          </w:tcPr>
          <w:p w14:paraId="22379A3C"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根据小区环境对其价值的影响，从好到差划分为绿化率≥</w:t>
            </w:r>
            <w:r>
              <w:rPr>
                <w:rFonts w:ascii="Arial" w:eastAsia="华文细黑" w:hAnsi="Arial" w:cs="Arial" w:hint="eastAsia"/>
                <w:sz w:val="18"/>
                <w:szCs w:val="18"/>
              </w:rPr>
              <w:t>35%</w:t>
            </w:r>
            <w:r>
              <w:rPr>
                <w:rFonts w:ascii="Arial" w:eastAsia="华文细黑" w:hAnsi="Arial" w:cs="Arial" w:hint="eastAsia"/>
                <w:sz w:val="18"/>
                <w:szCs w:val="18"/>
              </w:rPr>
              <w:t>为好，</w:t>
            </w:r>
            <w:r>
              <w:rPr>
                <w:rFonts w:ascii="Arial" w:eastAsia="华文细黑" w:hAnsi="Arial" w:cs="Arial" w:hint="eastAsia"/>
                <w:sz w:val="18"/>
                <w:szCs w:val="18"/>
              </w:rPr>
              <w:t>35</w:t>
            </w:r>
            <w:r>
              <w:rPr>
                <w:rFonts w:ascii="Arial" w:eastAsia="华文细黑" w:hAnsi="Arial" w:cs="Arial" w:hint="eastAsia"/>
                <w:sz w:val="18"/>
                <w:szCs w:val="18"/>
              </w:rPr>
              <w:t>％</w:t>
            </w:r>
            <w:r>
              <w:rPr>
                <w:rFonts w:ascii="Arial" w:eastAsia="华文细黑" w:hAnsi="Arial" w:cs="Arial" w:hint="eastAsia"/>
                <w:sz w:val="18"/>
                <w:szCs w:val="18"/>
              </w:rPr>
              <w:t>&gt;</w:t>
            </w:r>
            <w:r>
              <w:rPr>
                <w:rFonts w:ascii="Arial" w:eastAsia="华文细黑" w:hAnsi="Arial" w:cs="Arial" w:hint="eastAsia"/>
                <w:sz w:val="18"/>
                <w:szCs w:val="18"/>
              </w:rPr>
              <w:t>绿化率≥</w:t>
            </w:r>
            <w:r>
              <w:rPr>
                <w:rFonts w:ascii="Arial" w:eastAsia="华文细黑" w:hAnsi="Arial" w:cs="Arial" w:hint="eastAsia"/>
                <w:sz w:val="18"/>
                <w:szCs w:val="18"/>
              </w:rPr>
              <w:t>30%</w:t>
            </w:r>
            <w:r>
              <w:rPr>
                <w:rFonts w:ascii="Arial" w:eastAsia="华文细黑" w:hAnsi="Arial" w:cs="Arial" w:hint="eastAsia"/>
                <w:sz w:val="18"/>
                <w:szCs w:val="18"/>
              </w:rPr>
              <w:t>为较好，</w:t>
            </w:r>
            <w:r>
              <w:rPr>
                <w:rFonts w:ascii="Arial" w:eastAsia="华文细黑" w:hAnsi="Arial" w:cs="Arial" w:hint="eastAsia"/>
                <w:sz w:val="18"/>
                <w:szCs w:val="18"/>
              </w:rPr>
              <w:t>30%&gt;</w:t>
            </w:r>
            <w:r>
              <w:rPr>
                <w:rFonts w:ascii="Arial" w:eastAsia="华文细黑" w:hAnsi="Arial" w:cs="Arial" w:hint="eastAsia"/>
                <w:sz w:val="18"/>
                <w:szCs w:val="18"/>
              </w:rPr>
              <w:t>绿化率≥</w:t>
            </w:r>
            <w:r>
              <w:rPr>
                <w:rFonts w:ascii="Arial" w:eastAsia="华文细黑" w:hAnsi="Arial" w:cs="Arial" w:hint="eastAsia"/>
                <w:sz w:val="18"/>
                <w:szCs w:val="18"/>
              </w:rPr>
              <w:t>25%&gt;</w:t>
            </w:r>
            <w:r>
              <w:rPr>
                <w:rFonts w:ascii="Arial" w:eastAsia="华文细黑" w:hAnsi="Arial" w:cs="Arial" w:hint="eastAsia"/>
                <w:sz w:val="18"/>
                <w:szCs w:val="18"/>
              </w:rPr>
              <w:t>为一般，</w:t>
            </w:r>
            <w:r>
              <w:rPr>
                <w:rFonts w:ascii="Arial" w:eastAsia="华文细黑" w:hAnsi="Arial" w:cs="Arial" w:hint="eastAsia"/>
                <w:sz w:val="18"/>
                <w:szCs w:val="18"/>
              </w:rPr>
              <w:t>25%&gt;</w:t>
            </w:r>
            <w:r>
              <w:rPr>
                <w:rFonts w:ascii="Arial" w:eastAsia="华文细黑" w:hAnsi="Arial" w:cs="Arial" w:hint="eastAsia"/>
                <w:sz w:val="18"/>
                <w:szCs w:val="18"/>
              </w:rPr>
              <w:t>绿化率≥</w:t>
            </w:r>
            <w:r>
              <w:rPr>
                <w:rFonts w:ascii="Arial" w:eastAsia="华文细黑" w:hAnsi="Arial" w:cs="Arial" w:hint="eastAsia"/>
                <w:sz w:val="18"/>
                <w:szCs w:val="18"/>
              </w:rPr>
              <w:t>20%</w:t>
            </w:r>
            <w:r>
              <w:rPr>
                <w:rFonts w:ascii="Arial" w:eastAsia="华文细黑" w:hAnsi="Arial" w:cs="Arial" w:hint="eastAsia"/>
                <w:sz w:val="18"/>
                <w:szCs w:val="18"/>
              </w:rPr>
              <w:t>为较差，绿化率</w:t>
            </w:r>
            <w:r>
              <w:rPr>
                <w:rFonts w:ascii="Arial" w:eastAsia="华文细黑" w:hAnsi="Arial" w:cs="Arial" w:hint="eastAsia"/>
                <w:sz w:val="18"/>
                <w:szCs w:val="18"/>
              </w:rPr>
              <w:t>&lt;20%</w:t>
            </w:r>
            <w:r>
              <w:rPr>
                <w:rFonts w:ascii="Arial" w:eastAsia="华文细黑" w:hAnsi="Arial" w:cs="Arial" w:hint="eastAsia"/>
                <w:sz w:val="18"/>
                <w:szCs w:val="18"/>
              </w:rPr>
              <w:t>为差五个等级。以估价对象该因素指数为</w:t>
            </w:r>
            <w:r>
              <w:rPr>
                <w:rFonts w:ascii="Arial" w:eastAsia="华文细黑" w:hAnsi="Arial" w:cs="Arial" w:hint="eastAsia"/>
                <w:sz w:val="18"/>
                <w:szCs w:val="18"/>
              </w:rPr>
              <w:t>100</w:t>
            </w:r>
            <w:r>
              <w:rPr>
                <w:rFonts w:ascii="Arial" w:eastAsia="华文细黑" w:hAnsi="Arial" w:cs="Arial" w:hint="eastAsia"/>
                <w:sz w:val="18"/>
                <w:szCs w:val="18"/>
              </w:rPr>
              <w:t>，各可比实例与之相比，确定可比实例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p>
        </w:tc>
      </w:tr>
      <w:tr w:rsidR="00000000" w14:paraId="0415351B" w14:textId="77777777">
        <w:trPr>
          <w:trHeight w:val="1127"/>
        </w:trPr>
        <w:tc>
          <w:tcPr>
            <w:tcW w:w="313" w:type="pct"/>
            <w:vMerge/>
            <w:tcBorders>
              <w:top w:val="nil"/>
              <w:left w:val="single" w:sz="4" w:space="0" w:color="auto"/>
              <w:bottom w:val="single" w:sz="4" w:space="0" w:color="auto"/>
              <w:right w:val="single" w:sz="4" w:space="0" w:color="auto"/>
            </w:tcBorders>
            <w:vAlign w:val="center"/>
          </w:tcPr>
          <w:p w14:paraId="7F866D53" w14:textId="77777777" w:rsidR="00000000" w:rsidRDefault="00000000">
            <w:pPr>
              <w:widowControl/>
              <w:adjustRightInd/>
              <w:spacing w:line="240" w:lineRule="auto"/>
              <w:jc w:val="center"/>
              <w:textAlignment w:val="auto"/>
              <w:rPr>
                <w:rFonts w:ascii="Arial" w:eastAsia="华文细黑" w:hAnsi="Arial" w:cs="Arial" w:hint="eastAsia"/>
                <w:sz w:val="18"/>
                <w:szCs w:val="18"/>
              </w:rPr>
            </w:pPr>
          </w:p>
        </w:tc>
        <w:tc>
          <w:tcPr>
            <w:tcW w:w="514" w:type="pct"/>
            <w:tcBorders>
              <w:top w:val="nil"/>
              <w:left w:val="nil"/>
              <w:bottom w:val="single" w:sz="4" w:space="0" w:color="auto"/>
              <w:right w:val="single" w:sz="4" w:space="0" w:color="auto"/>
            </w:tcBorders>
            <w:vAlign w:val="center"/>
          </w:tcPr>
          <w:p w14:paraId="631D02D6"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配套设施</w:t>
            </w:r>
          </w:p>
        </w:tc>
        <w:tc>
          <w:tcPr>
            <w:tcW w:w="538" w:type="pct"/>
            <w:tcBorders>
              <w:top w:val="nil"/>
              <w:left w:val="nil"/>
              <w:bottom w:val="single" w:sz="4" w:space="0" w:color="auto"/>
              <w:right w:val="single" w:sz="4" w:space="0" w:color="auto"/>
            </w:tcBorders>
            <w:vAlign w:val="center"/>
          </w:tcPr>
          <w:p w14:paraId="6B02A4FB"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538" w:type="pct"/>
            <w:tcBorders>
              <w:top w:val="nil"/>
              <w:left w:val="nil"/>
              <w:bottom w:val="single" w:sz="4" w:space="0" w:color="auto"/>
              <w:right w:val="single" w:sz="4" w:space="0" w:color="auto"/>
            </w:tcBorders>
            <w:vAlign w:val="center"/>
          </w:tcPr>
          <w:p w14:paraId="5F8017D5"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538" w:type="pct"/>
            <w:tcBorders>
              <w:top w:val="nil"/>
              <w:left w:val="nil"/>
              <w:bottom w:val="single" w:sz="4" w:space="0" w:color="auto"/>
              <w:right w:val="single" w:sz="4" w:space="0" w:color="auto"/>
            </w:tcBorders>
            <w:vAlign w:val="center"/>
          </w:tcPr>
          <w:p w14:paraId="501F40E3"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537" w:type="pct"/>
            <w:tcBorders>
              <w:top w:val="nil"/>
              <w:left w:val="nil"/>
              <w:bottom w:val="single" w:sz="4" w:space="0" w:color="auto"/>
              <w:right w:val="single" w:sz="4" w:space="0" w:color="auto"/>
            </w:tcBorders>
            <w:vAlign w:val="center"/>
          </w:tcPr>
          <w:p w14:paraId="5A091DA1"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2022" w:type="pct"/>
            <w:tcBorders>
              <w:top w:val="nil"/>
              <w:left w:val="nil"/>
              <w:bottom w:val="single" w:sz="4" w:space="0" w:color="auto"/>
              <w:right w:val="single" w:sz="4" w:space="0" w:color="auto"/>
            </w:tcBorders>
            <w:vAlign w:val="center"/>
          </w:tcPr>
          <w:p w14:paraId="2AC2892C"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根据配套设施对其价值的影响，从好到差划分为配备医疗站、活动站；配备活动站、不配备医疗站或配备医疗站，无活动站；无医疗站、活动站三个等级以估价对象该因素指数为</w:t>
            </w:r>
            <w:r>
              <w:rPr>
                <w:rFonts w:ascii="Arial" w:eastAsia="华文细黑" w:hAnsi="Arial" w:cs="Arial" w:hint="eastAsia"/>
                <w:sz w:val="18"/>
                <w:szCs w:val="18"/>
              </w:rPr>
              <w:t>100</w:t>
            </w:r>
            <w:r>
              <w:rPr>
                <w:rFonts w:ascii="Arial" w:eastAsia="华文细黑" w:hAnsi="Arial" w:cs="Arial" w:hint="eastAsia"/>
                <w:sz w:val="18"/>
                <w:szCs w:val="18"/>
              </w:rPr>
              <w:t>，各可比实例与之相比，确定可比实例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lastRenderedPageBreak/>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p>
        </w:tc>
      </w:tr>
      <w:tr w:rsidR="00000000" w14:paraId="3FED0BAA" w14:textId="77777777">
        <w:trPr>
          <w:trHeight w:val="1148"/>
        </w:trPr>
        <w:tc>
          <w:tcPr>
            <w:tcW w:w="313" w:type="pct"/>
            <w:vMerge/>
            <w:tcBorders>
              <w:top w:val="nil"/>
              <w:left w:val="single" w:sz="4" w:space="0" w:color="auto"/>
              <w:bottom w:val="single" w:sz="4" w:space="0" w:color="auto"/>
              <w:right w:val="single" w:sz="4" w:space="0" w:color="auto"/>
            </w:tcBorders>
            <w:vAlign w:val="center"/>
          </w:tcPr>
          <w:p w14:paraId="3CA2F14D" w14:textId="77777777" w:rsidR="00000000" w:rsidRDefault="00000000">
            <w:pPr>
              <w:widowControl/>
              <w:adjustRightInd/>
              <w:spacing w:line="240" w:lineRule="auto"/>
              <w:jc w:val="center"/>
              <w:textAlignment w:val="auto"/>
              <w:rPr>
                <w:rFonts w:ascii="Arial" w:eastAsia="华文细黑" w:hAnsi="Arial" w:cs="Arial" w:hint="eastAsia"/>
                <w:sz w:val="18"/>
                <w:szCs w:val="18"/>
              </w:rPr>
            </w:pPr>
          </w:p>
        </w:tc>
        <w:tc>
          <w:tcPr>
            <w:tcW w:w="514" w:type="pct"/>
            <w:tcBorders>
              <w:top w:val="nil"/>
              <w:left w:val="nil"/>
              <w:bottom w:val="single" w:sz="4" w:space="0" w:color="auto"/>
              <w:right w:val="single" w:sz="4" w:space="0" w:color="auto"/>
            </w:tcBorders>
            <w:vAlign w:val="center"/>
          </w:tcPr>
          <w:p w14:paraId="520FDC0E"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居住管理</w:t>
            </w:r>
          </w:p>
        </w:tc>
        <w:tc>
          <w:tcPr>
            <w:tcW w:w="538" w:type="pct"/>
            <w:tcBorders>
              <w:top w:val="nil"/>
              <w:left w:val="nil"/>
              <w:bottom w:val="single" w:sz="4" w:space="0" w:color="auto"/>
              <w:right w:val="single" w:sz="4" w:space="0" w:color="auto"/>
            </w:tcBorders>
            <w:vAlign w:val="center"/>
          </w:tcPr>
          <w:p w14:paraId="4579F10F"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538" w:type="pct"/>
            <w:tcBorders>
              <w:top w:val="nil"/>
              <w:left w:val="nil"/>
              <w:bottom w:val="single" w:sz="4" w:space="0" w:color="auto"/>
              <w:right w:val="single" w:sz="4" w:space="0" w:color="auto"/>
            </w:tcBorders>
            <w:vAlign w:val="center"/>
          </w:tcPr>
          <w:p w14:paraId="72219C78"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538" w:type="pct"/>
            <w:tcBorders>
              <w:top w:val="nil"/>
              <w:left w:val="nil"/>
              <w:bottom w:val="single" w:sz="4" w:space="0" w:color="auto"/>
              <w:right w:val="single" w:sz="4" w:space="0" w:color="auto"/>
            </w:tcBorders>
            <w:vAlign w:val="center"/>
          </w:tcPr>
          <w:p w14:paraId="0E7CA780"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537" w:type="pct"/>
            <w:tcBorders>
              <w:top w:val="nil"/>
              <w:left w:val="nil"/>
              <w:bottom w:val="single" w:sz="4" w:space="0" w:color="auto"/>
              <w:right w:val="single" w:sz="4" w:space="0" w:color="auto"/>
            </w:tcBorders>
            <w:vAlign w:val="center"/>
          </w:tcPr>
          <w:p w14:paraId="5F328F5F"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2022" w:type="pct"/>
            <w:tcBorders>
              <w:top w:val="nil"/>
              <w:left w:val="nil"/>
              <w:bottom w:val="single" w:sz="4" w:space="0" w:color="auto"/>
              <w:right w:val="single" w:sz="4" w:space="0" w:color="auto"/>
            </w:tcBorders>
            <w:vAlign w:val="center"/>
          </w:tcPr>
          <w:p w14:paraId="31B3205B"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根据居住管理对其价值的影响，从好到差划分为有管理人员配置，房屋住户均有备案、有管理人员配置，房屋住户备案较少、无管理人员配置三个等级。以估价对象该因素指数为</w:t>
            </w:r>
            <w:r>
              <w:rPr>
                <w:rFonts w:ascii="Arial" w:eastAsia="华文细黑" w:hAnsi="Arial" w:cs="Arial" w:hint="eastAsia"/>
                <w:sz w:val="18"/>
                <w:szCs w:val="18"/>
              </w:rPr>
              <w:t>100</w:t>
            </w:r>
            <w:r>
              <w:rPr>
                <w:rFonts w:ascii="Arial" w:eastAsia="华文细黑" w:hAnsi="Arial" w:cs="Arial" w:hint="eastAsia"/>
                <w:sz w:val="18"/>
                <w:szCs w:val="18"/>
              </w:rPr>
              <w:t>，各可比实例与之相比，确定可比实例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p>
        </w:tc>
      </w:tr>
      <w:tr w:rsidR="00000000" w14:paraId="3857DBC7" w14:textId="77777777">
        <w:trPr>
          <w:trHeight w:val="1148"/>
        </w:trPr>
        <w:tc>
          <w:tcPr>
            <w:tcW w:w="313" w:type="pct"/>
            <w:vMerge/>
            <w:tcBorders>
              <w:top w:val="nil"/>
              <w:left w:val="single" w:sz="4" w:space="0" w:color="auto"/>
              <w:bottom w:val="single" w:sz="4" w:space="0" w:color="auto"/>
              <w:right w:val="single" w:sz="4" w:space="0" w:color="auto"/>
            </w:tcBorders>
            <w:vAlign w:val="center"/>
          </w:tcPr>
          <w:p w14:paraId="03E552FA" w14:textId="77777777" w:rsidR="00000000" w:rsidRDefault="00000000">
            <w:pPr>
              <w:widowControl/>
              <w:adjustRightInd/>
              <w:spacing w:line="240" w:lineRule="auto"/>
              <w:jc w:val="center"/>
              <w:textAlignment w:val="auto"/>
              <w:rPr>
                <w:rFonts w:ascii="Arial" w:eastAsia="华文细黑" w:hAnsi="Arial" w:cs="Arial" w:hint="eastAsia"/>
                <w:sz w:val="18"/>
                <w:szCs w:val="18"/>
              </w:rPr>
            </w:pPr>
          </w:p>
        </w:tc>
        <w:tc>
          <w:tcPr>
            <w:tcW w:w="514" w:type="pct"/>
            <w:tcBorders>
              <w:top w:val="nil"/>
              <w:left w:val="nil"/>
              <w:bottom w:val="single" w:sz="4" w:space="0" w:color="auto"/>
              <w:right w:val="single" w:sz="4" w:space="0" w:color="auto"/>
            </w:tcBorders>
            <w:vAlign w:val="center"/>
          </w:tcPr>
          <w:p w14:paraId="0FACE89C"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朝向</w:t>
            </w:r>
          </w:p>
        </w:tc>
        <w:tc>
          <w:tcPr>
            <w:tcW w:w="538" w:type="pct"/>
            <w:tcBorders>
              <w:top w:val="nil"/>
              <w:left w:val="nil"/>
              <w:bottom w:val="single" w:sz="4" w:space="0" w:color="auto"/>
              <w:right w:val="single" w:sz="4" w:space="0" w:color="auto"/>
            </w:tcBorders>
            <w:vAlign w:val="center"/>
          </w:tcPr>
          <w:p w14:paraId="77646D74"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538" w:type="pct"/>
            <w:tcBorders>
              <w:top w:val="nil"/>
              <w:left w:val="nil"/>
              <w:bottom w:val="single" w:sz="4" w:space="0" w:color="auto"/>
              <w:right w:val="single" w:sz="4" w:space="0" w:color="auto"/>
            </w:tcBorders>
            <w:vAlign w:val="center"/>
          </w:tcPr>
          <w:p w14:paraId="62C7F19A" w14:textId="77777777" w:rsidR="00000000" w:rsidRDefault="00000000">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102</w:t>
            </w:r>
          </w:p>
        </w:tc>
        <w:tc>
          <w:tcPr>
            <w:tcW w:w="538" w:type="pct"/>
            <w:tcBorders>
              <w:top w:val="nil"/>
              <w:left w:val="nil"/>
              <w:bottom w:val="single" w:sz="4" w:space="0" w:color="auto"/>
              <w:right w:val="single" w:sz="4" w:space="0" w:color="auto"/>
            </w:tcBorders>
            <w:vAlign w:val="center"/>
          </w:tcPr>
          <w:p w14:paraId="2B8C8188" w14:textId="77777777" w:rsidR="00000000" w:rsidRDefault="00000000">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102</w:t>
            </w:r>
          </w:p>
        </w:tc>
        <w:tc>
          <w:tcPr>
            <w:tcW w:w="537" w:type="pct"/>
            <w:tcBorders>
              <w:top w:val="nil"/>
              <w:left w:val="nil"/>
              <w:bottom w:val="single" w:sz="4" w:space="0" w:color="auto"/>
              <w:right w:val="single" w:sz="4" w:space="0" w:color="auto"/>
            </w:tcBorders>
            <w:vAlign w:val="center"/>
          </w:tcPr>
          <w:p w14:paraId="4851F70D" w14:textId="77777777" w:rsidR="00000000" w:rsidRDefault="00000000">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102</w:t>
            </w:r>
          </w:p>
        </w:tc>
        <w:tc>
          <w:tcPr>
            <w:tcW w:w="2022" w:type="pct"/>
            <w:tcBorders>
              <w:top w:val="nil"/>
              <w:left w:val="nil"/>
              <w:bottom w:val="single" w:sz="4" w:space="0" w:color="auto"/>
              <w:right w:val="single" w:sz="4" w:space="0" w:color="auto"/>
            </w:tcBorders>
            <w:vAlign w:val="center"/>
          </w:tcPr>
          <w:p w14:paraId="0B7F93DA"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根据户型对其价值的影响，从好到差划分为好、较好、一般、较差、差五个等级。南北通透，多数房间、通风、采光好，好；朝向较好，能保证较长时间的采光，通风较好，较好；朝向一般，能保证一定时间的采光，通风一般，一般；采光时间较短、通风不良，较差；没有采光、不通风，差。以估价对象该因素指数为</w:t>
            </w:r>
            <w:r>
              <w:rPr>
                <w:rFonts w:ascii="Arial" w:eastAsia="华文细黑" w:hAnsi="Arial" w:cs="Arial" w:hint="eastAsia"/>
                <w:sz w:val="18"/>
                <w:szCs w:val="18"/>
              </w:rPr>
              <w:t>100</w:t>
            </w:r>
            <w:r>
              <w:rPr>
                <w:rFonts w:ascii="Arial" w:eastAsia="华文细黑" w:hAnsi="Arial" w:cs="Arial" w:hint="eastAsia"/>
                <w:sz w:val="18"/>
                <w:szCs w:val="18"/>
              </w:rPr>
              <w:t>，各可比实例与之相比，确定可比实例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102</w:t>
            </w:r>
            <w:r>
              <w:rPr>
                <w:rFonts w:ascii="Arial" w:eastAsia="华文细黑" w:hAnsi="Arial" w:cs="Arial" w:hint="eastAsia"/>
                <w:sz w:val="18"/>
                <w:szCs w:val="18"/>
              </w:rPr>
              <w:t>、</w:t>
            </w:r>
            <w:r>
              <w:rPr>
                <w:rFonts w:ascii="Arial" w:eastAsia="华文细黑" w:hAnsi="Arial" w:cs="Arial" w:hint="eastAsia"/>
                <w:sz w:val="18"/>
                <w:szCs w:val="18"/>
              </w:rPr>
              <w:t>102</w:t>
            </w:r>
            <w:r>
              <w:rPr>
                <w:rFonts w:ascii="Arial" w:eastAsia="华文细黑" w:hAnsi="Arial" w:cs="Arial" w:hint="eastAsia"/>
                <w:sz w:val="18"/>
                <w:szCs w:val="18"/>
              </w:rPr>
              <w:t>、</w:t>
            </w:r>
            <w:r>
              <w:rPr>
                <w:rFonts w:ascii="Arial" w:eastAsia="华文细黑" w:hAnsi="Arial" w:cs="Arial" w:hint="eastAsia"/>
                <w:sz w:val="18"/>
                <w:szCs w:val="18"/>
              </w:rPr>
              <w:t>102</w:t>
            </w:r>
            <w:r>
              <w:rPr>
                <w:rFonts w:ascii="Arial" w:eastAsia="华文细黑" w:hAnsi="Arial" w:cs="Arial" w:hint="eastAsia"/>
                <w:sz w:val="18"/>
                <w:szCs w:val="18"/>
              </w:rPr>
              <w:t>；</w:t>
            </w:r>
          </w:p>
        </w:tc>
      </w:tr>
      <w:tr w:rsidR="00000000" w14:paraId="0BE003F6" w14:textId="77777777">
        <w:trPr>
          <w:trHeight w:val="1793"/>
        </w:trPr>
        <w:tc>
          <w:tcPr>
            <w:tcW w:w="313" w:type="pct"/>
            <w:vMerge/>
            <w:tcBorders>
              <w:top w:val="nil"/>
              <w:left w:val="single" w:sz="4" w:space="0" w:color="auto"/>
              <w:bottom w:val="single" w:sz="4" w:space="0" w:color="auto"/>
              <w:right w:val="single" w:sz="4" w:space="0" w:color="auto"/>
            </w:tcBorders>
            <w:vAlign w:val="center"/>
          </w:tcPr>
          <w:p w14:paraId="1D972302" w14:textId="77777777" w:rsidR="00000000" w:rsidRDefault="00000000">
            <w:pPr>
              <w:widowControl/>
              <w:adjustRightInd/>
              <w:spacing w:line="240" w:lineRule="auto"/>
              <w:jc w:val="center"/>
              <w:textAlignment w:val="auto"/>
              <w:rPr>
                <w:rFonts w:ascii="Arial" w:eastAsia="华文细黑" w:hAnsi="Arial" w:cs="Arial" w:hint="eastAsia"/>
                <w:sz w:val="18"/>
                <w:szCs w:val="18"/>
              </w:rPr>
            </w:pPr>
          </w:p>
        </w:tc>
        <w:tc>
          <w:tcPr>
            <w:tcW w:w="514" w:type="pct"/>
            <w:tcBorders>
              <w:top w:val="nil"/>
              <w:left w:val="nil"/>
              <w:bottom w:val="single" w:sz="4" w:space="0" w:color="auto"/>
              <w:right w:val="single" w:sz="4" w:space="0" w:color="auto"/>
            </w:tcBorders>
            <w:vAlign w:val="center"/>
          </w:tcPr>
          <w:p w14:paraId="4A26C2AB"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户型</w:t>
            </w:r>
          </w:p>
        </w:tc>
        <w:tc>
          <w:tcPr>
            <w:tcW w:w="538" w:type="pct"/>
            <w:tcBorders>
              <w:top w:val="nil"/>
              <w:left w:val="nil"/>
              <w:bottom w:val="single" w:sz="4" w:space="0" w:color="auto"/>
              <w:right w:val="single" w:sz="4" w:space="0" w:color="auto"/>
            </w:tcBorders>
            <w:vAlign w:val="center"/>
          </w:tcPr>
          <w:p w14:paraId="4C06E3C6"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538" w:type="pct"/>
            <w:tcBorders>
              <w:top w:val="nil"/>
              <w:left w:val="nil"/>
              <w:bottom w:val="single" w:sz="4" w:space="0" w:color="auto"/>
              <w:right w:val="single" w:sz="4" w:space="0" w:color="auto"/>
            </w:tcBorders>
            <w:vAlign w:val="center"/>
          </w:tcPr>
          <w:p w14:paraId="3F5D11F9" w14:textId="77777777" w:rsidR="00000000" w:rsidRDefault="00000000">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98</w:t>
            </w:r>
          </w:p>
        </w:tc>
        <w:tc>
          <w:tcPr>
            <w:tcW w:w="538" w:type="pct"/>
            <w:tcBorders>
              <w:top w:val="nil"/>
              <w:left w:val="nil"/>
              <w:bottom w:val="single" w:sz="4" w:space="0" w:color="auto"/>
              <w:right w:val="single" w:sz="4" w:space="0" w:color="auto"/>
            </w:tcBorders>
            <w:vAlign w:val="center"/>
          </w:tcPr>
          <w:p w14:paraId="70875EA3" w14:textId="77777777" w:rsidR="00000000" w:rsidRDefault="00000000">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98</w:t>
            </w:r>
          </w:p>
        </w:tc>
        <w:tc>
          <w:tcPr>
            <w:tcW w:w="537" w:type="pct"/>
            <w:tcBorders>
              <w:top w:val="nil"/>
              <w:left w:val="nil"/>
              <w:bottom w:val="single" w:sz="4" w:space="0" w:color="auto"/>
              <w:right w:val="single" w:sz="4" w:space="0" w:color="auto"/>
            </w:tcBorders>
            <w:vAlign w:val="center"/>
          </w:tcPr>
          <w:p w14:paraId="1446839C" w14:textId="77777777" w:rsidR="00000000" w:rsidRDefault="00000000">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99</w:t>
            </w:r>
          </w:p>
        </w:tc>
        <w:tc>
          <w:tcPr>
            <w:tcW w:w="2022" w:type="pct"/>
            <w:tcBorders>
              <w:top w:val="nil"/>
              <w:left w:val="nil"/>
              <w:bottom w:val="single" w:sz="4" w:space="0" w:color="auto"/>
              <w:right w:val="single" w:sz="4" w:space="0" w:color="auto"/>
            </w:tcBorders>
            <w:vAlign w:val="center"/>
          </w:tcPr>
          <w:p w14:paraId="7033BCD4"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根据户型对其价值的影响，分开间或一居室、二居室、三居室。户型小的户型更方便出租。以估价对象该因素指数为</w:t>
            </w:r>
            <w:r>
              <w:rPr>
                <w:rFonts w:ascii="Arial" w:eastAsia="华文细黑" w:hAnsi="Arial" w:cs="Arial" w:hint="eastAsia"/>
                <w:sz w:val="18"/>
                <w:szCs w:val="18"/>
              </w:rPr>
              <w:t>100</w:t>
            </w:r>
            <w:r>
              <w:rPr>
                <w:rFonts w:ascii="Arial" w:eastAsia="华文细黑" w:hAnsi="Arial" w:cs="Arial" w:hint="eastAsia"/>
                <w:sz w:val="18"/>
                <w:szCs w:val="18"/>
              </w:rPr>
              <w:t>，各可比实例与之相比，确定可比实例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98</w:t>
            </w:r>
            <w:r>
              <w:rPr>
                <w:rFonts w:ascii="Arial" w:eastAsia="华文细黑" w:hAnsi="Arial" w:cs="Arial" w:hint="eastAsia"/>
                <w:sz w:val="18"/>
                <w:szCs w:val="18"/>
              </w:rPr>
              <w:t>、</w:t>
            </w:r>
            <w:r>
              <w:rPr>
                <w:rFonts w:ascii="Arial" w:eastAsia="华文细黑" w:hAnsi="Arial" w:cs="Arial" w:hint="eastAsia"/>
                <w:sz w:val="18"/>
                <w:szCs w:val="18"/>
              </w:rPr>
              <w:t>98</w:t>
            </w:r>
            <w:r>
              <w:rPr>
                <w:rFonts w:ascii="Arial" w:eastAsia="华文细黑" w:hAnsi="Arial" w:cs="Arial" w:hint="eastAsia"/>
                <w:sz w:val="18"/>
                <w:szCs w:val="18"/>
              </w:rPr>
              <w:t>、</w:t>
            </w:r>
            <w:r>
              <w:rPr>
                <w:rFonts w:ascii="Arial" w:eastAsia="华文细黑" w:hAnsi="Arial" w:cs="Arial" w:hint="eastAsia"/>
                <w:sz w:val="18"/>
                <w:szCs w:val="18"/>
              </w:rPr>
              <w:t>99</w:t>
            </w:r>
            <w:r>
              <w:rPr>
                <w:rFonts w:ascii="Arial" w:eastAsia="华文细黑" w:hAnsi="Arial" w:cs="Arial" w:hint="eastAsia"/>
                <w:sz w:val="18"/>
                <w:szCs w:val="18"/>
              </w:rPr>
              <w:t>；</w:t>
            </w:r>
          </w:p>
        </w:tc>
      </w:tr>
      <w:tr w:rsidR="00000000" w14:paraId="651FBA50" w14:textId="77777777">
        <w:trPr>
          <w:trHeight w:val="870"/>
        </w:trPr>
        <w:tc>
          <w:tcPr>
            <w:tcW w:w="313" w:type="pct"/>
            <w:vMerge/>
            <w:tcBorders>
              <w:top w:val="nil"/>
              <w:left w:val="single" w:sz="4" w:space="0" w:color="auto"/>
              <w:bottom w:val="single" w:sz="4" w:space="0" w:color="auto"/>
              <w:right w:val="single" w:sz="4" w:space="0" w:color="auto"/>
            </w:tcBorders>
            <w:vAlign w:val="center"/>
          </w:tcPr>
          <w:p w14:paraId="2C049A0F" w14:textId="77777777" w:rsidR="00000000" w:rsidRDefault="00000000">
            <w:pPr>
              <w:widowControl/>
              <w:adjustRightInd/>
              <w:spacing w:line="240" w:lineRule="auto"/>
              <w:jc w:val="center"/>
              <w:textAlignment w:val="auto"/>
              <w:rPr>
                <w:rFonts w:ascii="Arial" w:eastAsia="华文细黑" w:hAnsi="Arial" w:cs="Arial" w:hint="eastAsia"/>
                <w:sz w:val="18"/>
                <w:szCs w:val="18"/>
              </w:rPr>
            </w:pPr>
          </w:p>
        </w:tc>
        <w:tc>
          <w:tcPr>
            <w:tcW w:w="514" w:type="pct"/>
            <w:tcBorders>
              <w:top w:val="single" w:sz="4" w:space="0" w:color="auto"/>
              <w:left w:val="single" w:sz="4" w:space="0" w:color="auto"/>
              <w:bottom w:val="single" w:sz="4" w:space="0" w:color="auto"/>
              <w:right w:val="single" w:sz="4" w:space="0" w:color="auto"/>
            </w:tcBorders>
            <w:vAlign w:val="center"/>
          </w:tcPr>
          <w:p w14:paraId="4796F2F0"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装修</w:t>
            </w:r>
          </w:p>
        </w:tc>
        <w:tc>
          <w:tcPr>
            <w:tcW w:w="538" w:type="pct"/>
            <w:tcBorders>
              <w:top w:val="single" w:sz="4" w:space="0" w:color="auto"/>
              <w:left w:val="single" w:sz="4" w:space="0" w:color="auto"/>
              <w:bottom w:val="single" w:sz="4" w:space="0" w:color="auto"/>
              <w:right w:val="single" w:sz="4" w:space="0" w:color="auto"/>
            </w:tcBorders>
            <w:vAlign w:val="center"/>
          </w:tcPr>
          <w:p w14:paraId="04F2B197"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538" w:type="pct"/>
            <w:tcBorders>
              <w:top w:val="single" w:sz="4" w:space="0" w:color="auto"/>
              <w:left w:val="single" w:sz="4" w:space="0" w:color="auto"/>
              <w:bottom w:val="single" w:sz="4" w:space="0" w:color="auto"/>
              <w:right w:val="single" w:sz="4" w:space="0" w:color="auto"/>
            </w:tcBorders>
            <w:vAlign w:val="center"/>
          </w:tcPr>
          <w:p w14:paraId="6D939D82"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538" w:type="pct"/>
            <w:tcBorders>
              <w:top w:val="single" w:sz="4" w:space="0" w:color="auto"/>
              <w:left w:val="single" w:sz="4" w:space="0" w:color="auto"/>
              <w:bottom w:val="single" w:sz="4" w:space="0" w:color="auto"/>
              <w:right w:val="single" w:sz="4" w:space="0" w:color="auto"/>
            </w:tcBorders>
            <w:vAlign w:val="center"/>
          </w:tcPr>
          <w:p w14:paraId="530E7225"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537" w:type="pct"/>
            <w:tcBorders>
              <w:top w:val="single" w:sz="4" w:space="0" w:color="auto"/>
              <w:left w:val="single" w:sz="4" w:space="0" w:color="auto"/>
              <w:bottom w:val="single" w:sz="4" w:space="0" w:color="auto"/>
              <w:right w:val="single" w:sz="4" w:space="0" w:color="auto"/>
            </w:tcBorders>
            <w:vAlign w:val="center"/>
          </w:tcPr>
          <w:p w14:paraId="6C3DE143"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2022" w:type="pct"/>
            <w:tcBorders>
              <w:top w:val="single" w:sz="4" w:space="0" w:color="auto"/>
              <w:left w:val="single" w:sz="4" w:space="0" w:color="auto"/>
              <w:bottom w:val="single" w:sz="4" w:space="0" w:color="auto"/>
              <w:right w:val="single" w:sz="4" w:space="0" w:color="auto"/>
            </w:tcBorders>
            <w:vAlign w:val="center"/>
          </w:tcPr>
          <w:p w14:paraId="1CF7AFCB"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根据装修对其价值的影响，从好到差划分为好、较好、一般、较差、差五个等级。装修用材环保，经过精心设计，提升居住体验，好；装修用村环保、与居住功能相适用，较好；基本装修，未对居住产生不良影响，一般；基本装修或用材一般，有污染，对居住功能产生负面影响，较差；装修已经老化、装修材料较差，有污染，或刚装修不久，影响了居住，差。估价对象与各可比实例该因素一致，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p>
        </w:tc>
      </w:tr>
      <w:tr w:rsidR="00000000" w14:paraId="0BF01643" w14:textId="77777777">
        <w:trPr>
          <w:trHeight w:val="870"/>
        </w:trPr>
        <w:tc>
          <w:tcPr>
            <w:tcW w:w="313" w:type="pct"/>
            <w:vMerge/>
            <w:tcBorders>
              <w:top w:val="nil"/>
              <w:left w:val="single" w:sz="4" w:space="0" w:color="auto"/>
              <w:bottom w:val="single" w:sz="4" w:space="0" w:color="auto"/>
              <w:right w:val="single" w:sz="4" w:space="0" w:color="auto"/>
            </w:tcBorders>
            <w:vAlign w:val="center"/>
          </w:tcPr>
          <w:p w14:paraId="0D3B786A" w14:textId="77777777" w:rsidR="00000000" w:rsidRDefault="00000000">
            <w:pPr>
              <w:widowControl/>
              <w:adjustRightInd/>
              <w:spacing w:line="240" w:lineRule="auto"/>
              <w:jc w:val="center"/>
              <w:textAlignment w:val="auto"/>
              <w:rPr>
                <w:rFonts w:ascii="Arial" w:eastAsia="华文细黑" w:hAnsi="Arial" w:cs="Arial" w:hint="eastAsia"/>
                <w:sz w:val="18"/>
                <w:szCs w:val="18"/>
              </w:rPr>
            </w:pPr>
          </w:p>
        </w:tc>
        <w:tc>
          <w:tcPr>
            <w:tcW w:w="514" w:type="pct"/>
            <w:tcBorders>
              <w:top w:val="nil"/>
              <w:left w:val="nil"/>
              <w:bottom w:val="single" w:sz="4" w:space="0" w:color="auto"/>
              <w:right w:val="single" w:sz="4" w:space="0" w:color="auto"/>
            </w:tcBorders>
            <w:vAlign w:val="center"/>
          </w:tcPr>
          <w:p w14:paraId="3D873CD2"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设备</w:t>
            </w:r>
          </w:p>
        </w:tc>
        <w:tc>
          <w:tcPr>
            <w:tcW w:w="538" w:type="pct"/>
            <w:tcBorders>
              <w:top w:val="nil"/>
              <w:left w:val="nil"/>
              <w:bottom w:val="single" w:sz="4" w:space="0" w:color="auto"/>
              <w:right w:val="single" w:sz="4" w:space="0" w:color="auto"/>
            </w:tcBorders>
            <w:vAlign w:val="center"/>
          </w:tcPr>
          <w:p w14:paraId="0835149E"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538" w:type="pct"/>
            <w:tcBorders>
              <w:top w:val="nil"/>
              <w:left w:val="nil"/>
              <w:bottom w:val="single" w:sz="4" w:space="0" w:color="auto"/>
              <w:right w:val="single" w:sz="4" w:space="0" w:color="auto"/>
            </w:tcBorders>
            <w:vAlign w:val="center"/>
          </w:tcPr>
          <w:p w14:paraId="77649A15"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102</w:t>
            </w:r>
          </w:p>
        </w:tc>
        <w:tc>
          <w:tcPr>
            <w:tcW w:w="538" w:type="pct"/>
            <w:tcBorders>
              <w:top w:val="nil"/>
              <w:left w:val="nil"/>
              <w:bottom w:val="single" w:sz="4" w:space="0" w:color="auto"/>
              <w:right w:val="single" w:sz="4" w:space="0" w:color="auto"/>
            </w:tcBorders>
            <w:vAlign w:val="center"/>
          </w:tcPr>
          <w:p w14:paraId="697809AB"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102</w:t>
            </w:r>
          </w:p>
        </w:tc>
        <w:tc>
          <w:tcPr>
            <w:tcW w:w="537" w:type="pct"/>
            <w:tcBorders>
              <w:top w:val="nil"/>
              <w:left w:val="nil"/>
              <w:bottom w:val="single" w:sz="4" w:space="0" w:color="auto"/>
              <w:right w:val="single" w:sz="4" w:space="0" w:color="auto"/>
            </w:tcBorders>
            <w:vAlign w:val="center"/>
          </w:tcPr>
          <w:p w14:paraId="3D17D0A5"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102</w:t>
            </w:r>
          </w:p>
        </w:tc>
        <w:tc>
          <w:tcPr>
            <w:tcW w:w="2022" w:type="pct"/>
            <w:tcBorders>
              <w:top w:val="nil"/>
              <w:left w:val="nil"/>
              <w:bottom w:val="single" w:sz="4" w:space="0" w:color="auto"/>
              <w:right w:val="single" w:sz="4" w:space="0" w:color="auto"/>
            </w:tcBorders>
            <w:vAlign w:val="center"/>
          </w:tcPr>
          <w:p w14:paraId="55AC1684"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根据设备对其价值的影响，从好到差划分为好、较好、一般、较差、差五个等级。</w:t>
            </w:r>
          </w:p>
          <w:p w14:paraId="45E8B838"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使用新著名品牌家具、家电；功能与居住相适应；质量有可靠保证，好；使用品牌家具、家电；功能正常，质量有保证，较好；使用品牌家具、家电；虽然使用较长时间，但功能正常功能正常，质量有保证，一般；使用品牌家具、家电；虽然使用较长时间，但使用，或部分配备家具电器，较差；使用三无产品或不配备家具家电，差。以估价对象该因素指数为</w:t>
            </w:r>
            <w:r>
              <w:rPr>
                <w:rFonts w:ascii="Arial" w:eastAsia="华文细黑" w:hAnsi="Arial" w:cs="Arial" w:hint="eastAsia"/>
                <w:sz w:val="18"/>
                <w:szCs w:val="18"/>
              </w:rPr>
              <w:t>100</w:t>
            </w:r>
            <w:r>
              <w:rPr>
                <w:rFonts w:ascii="Arial" w:eastAsia="华文细黑" w:hAnsi="Arial" w:cs="Arial" w:hint="eastAsia"/>
                <w:sz w:val="18"/>
                <w:szCs w:val="18"/>
              </w:rPr>
              <w:t>，各可比实例与之相比，确定可比实例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102</w:t>
            </w:r>
            <w:r>
              <w:rPr>
                <w:rFonts w:ascii="Arial" w:eastAsia="华文细黑" w:hAnsi="Arial" w:cs="Arial" w:hint="eastAsia"/>
                <w:sz w:val="18"/>
                <w:szCs w:val="18"/>
              </w:rPr>
              <w:t>、</w:t>
            </w:r>
            <w:r>
              <w:rPr>
                <w:rFonts w:ascii="Arial" w:eastAsia="华文细黑" w:hAnsi="Arial" w:cs="Arial" w:hint="eastAsia"/>
                <w:sz w:val="18"/>
                <w:szCs w:val="18"/>
              </w:rPr>
              <w:t>102</w:t>
            </w:r>
            <w:r>
              <w:rPr>
                <w:rFonts w:ascii="Arial" w:eastAsia="华文细黑" w:hAnsi="Arial" w:cs="Arial" w:hint="eastAsia"/>
                <w:sz w:val="18"/>
                <w:szCs w:val="18"/>
              </w:rPr>
              <w:t>、</w:t>
            </w:r>
            <w:r>
              <w:rPr>
                <w:rFonts w:ascii="Arial" w:eastAsia="华文细黑" w:hAnsi="Arial" w:cs="Arial" w:hint="eastAsia"/>
                <w:sz w:val="18"/>
                <w:szCs w:val="18"/>
              </w:rPr>
              <w:t>102</w:t>
            </w:r>
            <w:r>
              <w:rPr>
                <w:rFonts w:ascii="Arial" w:eastAsia="华文细黑" w:hAnsi="Arial" w:cs="Arial" w:hint="eastAsia"/>
                <w:sz w:val="18"/>
                <w:szCs w:val="18"/>
              </w:rPr>
              <w:t>。</w:t>
            </w:r>
          </w:p>
        </w:tc>
      </w:tr>
    </w:tbl>
    <w:p w14:paraId="1492BA9F" w14:textId="77777777" w:rsidR="00000000" w:rsidRDefault="00000000">
      <w:pPr>
        <w:widowControl/>
        <w:adjustRightInd/>
        <w:spacing w:line="240" w:lineRule="auto"/>
        <w:jc w:val="center"/>
        <w:textAlignment w:val="auto"/>
        <w:rPr>
          <w:rFonts w:ascii="Arial" w:eastAsia="华文细黑" w:hAnsi="Arial" w:cs="Arial" w:hint="eastAsia"/>
          <w:sz w:val="18"/>
          <w:szCs w:val="18"/>
        </w:rPr>
      </w:pPr>
    </w:p>
    <w:p w14:paraId="5C0E14AA" w14:textId="77777777" w:rsidR="00000000" w:rsidRDefault="00000000">
      <w:pPr>
        <w:wordWrap w:val="0"/>
        <w:overflowPunct w:val="0"/>
        <w:spacing w:line="480" w:lineRule="auto"/>
        <w:ind w:firstLineChars="200" w:firstLine="420"/>
        <w:rPr>
          <w:rFonts w:ascii="Arial" w:hAnsi="Arial"/>
          <w:sz w:val="21"/>
          <w:szCs w:val="21"/>
        </w:rPr>
      </w:pPr>
      <w:r>
        <w:rPr>
          <w:rFonts w:ascii="Arial" w:hAnsi="Arial"/>
          <w:sz w:val="21"/>
          <w:szCs w:val="21"/>
        </w:rPr>
        <w:br w:type="page"/>
      </w:r>
      <w:r>
        <w:rPr>
          <w:rFonts w:ascii="Arial" w:hAnsi="Arial" w:hint="eastAsia"/>
          <w:sz w:val="21"/>
          <w:szCs w:val="21"/>
        </w:rPr>
        <w:lastRenderedPageBreak/>
        <w:t>（</w:t>
      </w:r>
      <w:r>
        <w:rPr>
          <w:rFonts w:ascii="Arial" w:hAnsi="Arial" w:hint="eastAsia"/>
          <w:sz w:val="21"/>
          <w:szCs w:val="21"/>
        </w:rPr>
        <w:t>3</w:t>
      </w:r>
      <w:r>
        <w:rPr>
          <w:rFonts w:ascii="Arial" w:hAnsi="Arial" w:hint="eastAsia"/>
          <w:sz w:val="21"/>
          <w:szCs w:val="21"/>
        </w:rPr>
        <w:t>）编制因素比较修正系数表</w:t>
      </w:r>
      <w:r>
        <w:rPr>
          <w:rFonts w:ascii="Arial" w:hAnsi="Arial"/>
          <w:sz w:val="21"/>
          <w:szCs w:val="21"/>
        </w:rPr>
        <w:t xml:space="preserve"> </w:t>
      </w:r>
    </w:p>
    <w:p w14:paraId="233BB2B9" w14:textId="77777777" w:rsidR="00000000" w:rsidRDefault="00000000">
      <w:pPr>
        <w:wordWrap w:val="0"/>
        <w:overflowPunct w:val="0"/>
        <w:spacing w:line="480" w:lineRule="auto"/>
        <w:ind w:firstLineChars="200" w:firstLine="420"/>
        <w:rPr>
          <w:rFonts w:ascii="Arial" w:hAnsi="Arial"/>
          <w:sz w:val="21"/>
          <w:szCs w:val="21"/>
        </w:rPr>
      </w:pPr>
      <w:r>
        <w:rPr>
          <w:rFonts w:ascii="Arial" w:hAnsi="Arial" w:hint="eastAsia"/>
          <w:sz w:val="21"/>
          <w:szCs w:val="21"/>
        </w:rPr>
        <w:t>根据比较因素条件指数表，编制因素各项目比较修正系数表，详见下表：</w:t>
      </w:r>
    </w:p>
    <w:p w14:paraId="44442B70" w14:textId="77777777" w:rsidR="00000000" w:rsidRDefault="00000000">
      <w:pPr>
        <w:overflowPunct w:val="0"/>
        <w:spacing w:line="480" w:lineRule="auto"/>
        <w:ind w:firstLineChars="200" w:firstLine="420"/>
        <w:jc w:val="center"/>
        <w:rPr>
          <w:rFonts w:ascii="Arial" w:hAnsi="Arial" w:hint="eastAsia"/>
          <w:sz w:val="21"/>
          <w:szCs w:val="21"/>
        </w:rPr>
      </w:pPr>
      <w:r>
        <w:rPr>
          <w:rFonts w:ascii="Arial" w:hAnsi="Arial" w:hint="eastAsia"/>
          <w:sz w:val="21"/>
          <w:szCs w:val="21"/>
        </w:rPr>
        <w:t>X13</w:t>
      </w:r>
      <w:r>
        <w:rPr>
          <w:rFonts w:ascii="Arial" w:hAnsi="Arial" w:hint="eastAsia"/>
          <w:sz w:val="21"/>
          <w:szCs w:val="21"/>
        </w:rPr>
        <w:t>海棠苑因素比较修正系数表</w:t>
      </w:r>
    </w:p>
    <w:tbl>
      <w:tblPr>
        <w:tblW w:w="5000" w:type="pct"/>
        <w:tblInd w:w="0" w:type="dxa"/>
        <w:tblLook w:val="0000" w:firstRow="0" w:lastRow="0" w:firstColumn="0" w:lastColumn="0" w:noHBand="0" w:noVBand="0"/>
      </w:tblPr>
      <w:tblGrid>
        <w:gridCol w:w="1474"/>
        <w:gridCol w:w="2817"/>
        <w:gridCol w:w="1666"/>
        <w:gridCol w:w="1666"/>
        <w:gridCol w:w="1666"/>
      </w:tblGrid>
      <w:tr w:rsidR="00000000" w14:paraId="41A5DE1A"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0643456D"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项目</w:t>
            </w:r>
          </w:p>
        </w:tc>
        <w:tc>
          <w:tcPr>
            <w:tcW w:w="897" w:type="pct"/>
            <w:tcBorders>
              <w:top w:val="single" w:sz="4" w:space="0" w:color="auto"/>
              <w:left w:val="nil"/>
              <w:bottom w:val="single" w:sz="4" w:space="0" w:color="auto"/>
              <w:right w:val="single" w:sz="4" w:space="0" w:color="auto"/>
            </w:tcBorders>
            <w:vAlign w:val="center"/>
          </w:tcPr>
          <w:p w14:paraId="5DCB22FD"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1</w:t>
            </w:r>
          </w:p>
        </w:tc>
        <w:tc>
          <w:tcPr>
            <w:tcW w:w="897" w:type="pct"/>
            <w:tcBorders>
              <w:top w:val="single" w:sz="4" w:space="0" w:color="auto"/>
              <w:left w:val="nil"/>
              <w:bottom w:val="single" w:sz="4" w:space="0" w:color="auto"/>
              <w:right w:val="single" w:sz="4" w:space="0" w:color="auto"/>
            </w:tcBorders>
            <w:vAlign w:val="center"/>
          </w:tcPr>
          <w:p w14:paraId="550A2D2F"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2</w:t>
            </w:r>
          </w:p>
        </w:tc>
        <w:tc>
          <w:tcPr>
            <w:tcW w:w="897" w:type="pct"/>
            <w:tcBorders>
              <w:top w:val="single" w:sz="4" w:space="0" w:color="auto"/>
              <w:left w:val="nil"/>
              <w:bottom w:val="single" w:sz="4" w:space="0" w:color="auto"/>
              <w:right w:val="single" w:sz="4" w:space="0" w:color="auto"/>
            </w:tcBorders>
            <w:vAlign w:val="center"/>
          </w:tcPr>
          <w:p w14:paraId="027445C9"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3</w:t>
            </w:r>
          </w:p>
        </w:tc>
      </w:tr>
      <w:tr w:rsidR="00000000" w14:paraId="6E143290"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13465A20"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小区名称</w:t>
            </w:r>
          </w:p>
        </w:tc>
        <w:tc>
          <w:tcPr>
            <w:tcW w:w="1707" w:type="dxa"/>
            <w:tcBorders>
              <w:top w:val="nil"/>
              <w:left w:val="nil"/>
              <w:bottom w:val="single" w:sz="4" w:space="0" w:color="auto"/>
              <w:right w:val="single" w:sz="4" w:space="0" w:color="auto"/>
            </w:tcBorders>
            <w:vAlign w:val="center"/>
          </w:tcPr>
          <w:p w14:paraId="0CFC3D78"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悦廷</w:t>
            </w:r>
          </w:p>
        </w:tc>
        <w:tc>
          <w:tcPr>
            <w:tcW w:w="1707" w:type="dxa"/>
            <w:tcBorders>
              <w:top w:val="nil"/>
              <w:left w:val="nil"/>
              <w:bottom w:val="single" w:sz="4" w:space="0" w:color="auto"/>
              <w:right w:val="single" w:sz="4" w:space="0" w:color="auto"/>
            </w:tcBorders>
            <w:vAlign w:val="center"/>
          </w:tcPr>
          <w:p w14:paraId="43CECEC7"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中信新城西区</w:t>
            </w:r>
          </w:p>
        </w:tc>
        <w:tc>
          <w:tcPr>
            <w:tcW w:w="1707" w:type="dxa"/>
            <w:tcBorders>
              <w:top w:val="nil"/>
              <w:left w:val="nil"/>
              <w:bottom w:val="single" w:sz="4" w:space="0" w:color="auto"/>
              <w:right w:val="single" w:sz="4" w:space="0" w:color="auto"/>
            </w:tcBorders>
            <w:vAlign w:val="center"/>
          </w:tcPr>
          <w:p w14:paraId="6FDF8C3F"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南海家园四里</w:t>
            </w:r>
          </w:p>
        </w:tc>
      </w:tr>
      <w:tr w:rsidR="00000000" w14:paraId="57EAD9FD"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17E4AAE3"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平均租金（元</w:t>
            </w:r>
            <w:r>
              <w:rPr>
                <w:rFonts w:ascii="Arial" w:eastAsia="华文细黑" w:hAnsi="Arial" w:cs="Arial" w:hint="eastAsia"/>
                <w:sz w:val="18"/>
                <w:szCs w:val="18"/>
              </w:rPr>
              <w:t>/</w:t>
            </w:r>
            <w:r>
              <w:rPr>
                <w:rFonts w:ascii="Arial" w:eastAsia="华文细黑" w:hAnsi="Arial" w:cs="Arial" w:hint="eastAsia"/>
                <w:sz w:val="18"/>
                <w:szCs w:val="18"/>
              </w:rPr>
              <w:t>平方米·月）</w:t>
            </w:r>
          </w:p>
        </w:tc>
        <w:tc>
          <w:tcPr>
            <w:tcW w:w="1707" w:type="dxa"/>
            <w:tcBorders>
              <w:top w:val="nil"/>
              <w:left w:val="nil"/>
              <w:bottom w:val="single" w:sz="4" w:space="0" w:color="auto"/>
              <w:right w:val="single" w:sz="4" w:space="0" w:color="auto"/>
            </w:tcBorders>
            <w:vAlign w:val="center"/>
          </w:tcPr>
          <w:p w14:paraId="3A7C8195"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54.69</w:t>
            </w:r>
          </w:p>
        </w:tc>
        <w:tc>
          <w:tcPr>
            <w:tcW w:w="1707" w:type="dxa"/>
            <w:tcBorders>
              <w:top w:val="nil"/>
              <w:left w:val="nil"/>
              <w:bottom w:val="single" w:sz="4" w:space="0" w:color="auto"/>
              <w:right w:val="single" w:sz="4" w:space="0" w:color="auto"/>
            </w:tcBorders>
            <w:vAlign w:val="center"/>
          </w:tcPr>
          <w:p w14:paraId="55841708"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51.91</w:t>
            </w:r>
          </w:p>
        </w:tc>
        <w:tc>
          <w:tcPr>
            <w:tcW w:w="1707" w:type="dxa"/>
            <w:tcBorders>
              <w:top w:val="nil"/>
              <w:left w:val="nil"/>
              <w:bottom w:val="single" w:sz="4" w:space="0" w:color="auto"/>
              <w:right w:val="single" w:sz="4" w:space="0" w:color="auto"/>
            </w:tcBorders>
            <w:vAlign w:val="center"/>
          </w:tcPr>
          <w:p w14:paraId="477468F2"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49.87</w:t>
            </w:r>
          </w:p>
        </w:tc>
      </w:tr>
      <w:tr w:rsidR="00000000" w14:paraId="06035C86"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67B9A316"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交易时间</w:t>
            </w:r>
          </w:p>
        </w:tc>
        <w:tc>
          <w:tcPr>
            <w:tcW w:w="897" w:type="pct"/>
            <w:tcBorders>
              <w:top w:val="nil"/>
              <w:left w:val="nil"/>
              <w:bottom w:val="single" w:sz="4" w:space="0" w:color="auto"/>
              <w:right w:val="single" w:sz="4" w:space="0" w:color="auto"/>
            </w:tcBorders>
            <w:vAlign w:val="center"/>
          </w:tcPr>
          <w:p w14:paraId="57B27D93"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75885088"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09867356"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100/100</w:t>
            </w:r>
          </w:p>
        </w:tc>
      </w:tr>
      <w:tr w:rsidR="00000000" w14:paraId="4BF8A9D8"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4A012F96"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交易情况</w:t>
            </w:r>
          </w:p>
        </w:tc>
        <w:tc>
          <w:tcPr>
            <w:tcW w:w="897" w:type="pct"/>
            <w:tcBorders>
              <w:top w:val="nil"/>
              <w:left w:val="nil"/>
              <w:bottom w:val="single" w:sz="4" w:space="0" w:color="auto"/>
              <w:right w:val="single" w:sz="4" w:space="0" w:color="auto"/>
            </w:tcBorders>
            <w:vAlign w:val="center"/>
          </w:tcPr>
          <w:p w14:paraId="2A8B5C18"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3F58CCF3"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4CBB6403"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100/100</w:t>
            </w:r>
          </w:p>
        </w:tc>
      </w:tr>
      <w:tr w:rsidR="00000000" w14:paraId="142771DF" w14:textId="77777777">
        <w:trPr>
          <w:trHeight w:val="227"/>
        </w:trPr>
        <w:tc>
          <w:tcPr>
            <w:tcW w:w="793" w:type="pct"/>
            <w:vMerge w:val="restart"/>
            <w:tcBorders>
              <w:top w:val="nil"/>
              <w:left w:val="single" w:sz="4" w:space="0" w:color="auto"/>
              <w:bottom w:val="single" w:sz="4" w:space="0" w:color="auto"/>
              <w:right w:val="single" w:sz="4" w:space="0" w:color="auto"/>
            </w:tcBorders>
            <w:vAlign w:val="center"/>
          </w:tcPr>
          <w:p w14:paraId="1D98ACBF"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区域状况</w:t>
            </w:r>
          </w:p>
        </w:tc>
        <w:tc>
          <w:tcPr>
            <w:tcW w:w="1516" w:type="pct"/>
            <w:tcBorders>
              <w:top w:val="nil"/>
              <w:left w:val="nil"/>
              <w:bottom w:val="single" w:sz="4" w:space="0" w:color="auto"/>
              <w:right w:val="single" w:sz="4" w:space="0" w:color="auto"/>
            </w:tcBorders>
            <w:vAlign w:val="center"/>
          </w:tcPr>
          <w:p w14:paraId="0527D6BC"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居住区成熟度</w:t>
            </w:r>
          </w:p>
        </w:tc>
        <w:tc>
          <w:tcPr>
            <w:tcW w:w="897" w:type="pct"/>
            <w:tcBorders>
              <w:top w:val="nil"/>
              <w:left w:val="nil"/>
              <w:bottom w:val="single" w:sz="4" w:space="0" w:color="auto"/>
              <w:right w:val="single" w:sz="4" w:space="0" w:color="auto"/>
            </w:tcBorders>
            <w:vAlign w:val="center"/>
          </w:tcPr>
          <w:p w14:paraId="64659860"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28938FEA"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4004D335"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100/100</w:t>
            </w:r>
          </w:p>
        </w:tc>
      </w:tr>
      <w:tr w:rsidR="00000000" w14:paraId="259A6C34"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484834C7" w14:textId="77777777" w:rsidR="00000000" w:rsidRDefault="00000000">
            <w:pPr>
              <w:widowControl/>
              <w:adjustRightInd/>
              <w:spacing w:line="240" w:lineRule="auto"/>
              <w:jc w:val="center"/>
              <w:textAlignment w:val="auto"/>
              <w:rPr>
                <w:rFonts w:ascii="Arial" w:eastAsia="华文细黑" w:hAnsi="Arial" w:cs="Arial" w:hint="eastAsia"/>
                <w:sz w:val="18"/>
                <w:szCs w:val="18"/>
              </w:rPr>
            </w:pPr>
          </w:p>
        </w:tc>
        <w:tc>
          <w:tcPr>
            <w:tcW w:w="1516" w:type="pct"/>
            <w:tcBorders>
              <w:top w:val="nil"/>
              <w:left w:val="nil"/>
              <w:bottom w:val="single" w:sz="4" w:space="0" w:color="auto"/>
              <w:right w:val="single" w:sz="4" w:space="0" w:color="auto"/>
            </w:tcBorders>
            <w:vAlign w:val="center"/>
          </w:tcPr>
          <w:p w14:paraId="151D9C0C"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交通条件</w:t>
            </w:r>
          </w:p>
        </w:tc>
        <w:tc>
          <w:tcPr>
            <w:tcW w:w="897" w:type="pct"/>
            <w:tcBorders>
              <w:top w:val="nil"/>
              <w:left w:val="nil"/>
              <w:bottom w:val="single" w:sz="4" w:space="0" w:color="auto"/>
              <w:right w:val="single" w:sz="4" w:space="0" w:color="auto"/>
            </w:tcBorders>
            <w:vAlign w:val="center"/>
          </w:tcPr>
          <w:p w14:paraId="2BF84576"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6E8D962F" w14:textId="77777777" w:rsidR="00000000" w:rsidRDefault="00000000">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48C76C81" w14:textId="77777777" w:rsidR="00000000" w:rsidRDefault="00000000">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100/99</w:t>
            </w:r>
          </w:p>
        </w:tc>
      </w:tr>
      <w:tr w:rsidR="00000000" w14:paraId="4BBCB6EA"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3035CA7A" w14:textId="77777777" w:rsidR="00000000" w:rsidRDefault="00000000">
            <w:pPr>
              <w:widowControl/>
              <w:adjustRightInd/>
              <w:spacing w:line="240" w:lineRule="auto"/>
              <w:jc w:val="center"/>
              <w:textAlignment w:val="auto"/>
              <w:rPr>
                <w:rFonts w:ascii="Arial" w:eastAsia="华文细黑" w:hAnsi="Arial" w:cs="Arial" w:hint="eastAsia"/>
                <w:sz w:val="18"/>
                <w:szCs w:val="18"/>
              </w:rPr>
            </w:pPr>
          </w:p>
        </w:tc>
        <w:tc>
          <w:tcPr>
            <w:tcW w:w="1516" w:type="pct"/>
            <w:tcBorders>
              <w:top w:val="nil"/>
              <w:left w:val="nil"/>
              <w:bottom w:val="single" w:sz="4" w:space="0" w:color="auto"/>
              <w:right w:val="single" w:sz="4" w:space="0" w:color="auto"/>
            </w:tcBorders>
            <w:vAlign w:val="center"/>
          </w:tcPr>
          <w:p w14:paraId="1AA57E05"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商业设施</w:t>
            </w:r>
          </w:p>
        </w:tc>
        <w:tc>
          <w:tcPr>
            <w:tcW w:w="897" w:type="pct"/>
            <w:tcBorders>
              <w:top w:val="nil"/>
              <w:left w:val="nil"/>
              <w:bottom w:val="single" w:sz="4" w:space="0" w:color="auto"/>
              <w:right w:val="single" w:sz="4" w:space="0" w:color="auto"/>
            </w:tcBorders>
            <w:vAlign w:val="center"/>
          </w:tcPr>
          <w:p w14:paraId="59E0352B"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0964AB09"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760227C5"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100/100</w:t>
            </w:r>
          </w:p>
        </w:tc>
      </w:tr>
      <w:tr w:rsidR="00000000" w14:paraId="68452B21"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21C1FCB6" w14:textId="77777777" w:rsidR="00000000" w:rsidRDefault="00000000">
            <w:pPr>
              <w:widowControl/>
              <w:adjustRightInd/>
              <w:spacing w:line="240" w:lineRule="auto"/>
              <w:jc w:val="center"/>
              <w:textAlignment w:val="auto"/>
              <w:rPr>
                <w:rFonts w:ascii="Arial" w:eastAsia="华文细黑" w:hAnsi="Arial" w:cs="Arial" w:hint="eastAsia"/>
                <w:sz w:val="18"/>
                <w:szCs w:val="18"/>
              </w:rPr>
            </w:pPr>
          </w:p>
        </w:tc>
        <w:tc>
          <w:tcPr>
            <w:tcW w:w="1516" w:type="pct"/>
            <w:tcBorders>
              <w:top w:val="nil"/>
              <w:left w:val="nil"/>
              <w:bottom w:val="single" w:sz="4" w:space="0" w:color="auto"/>
              <w:right w:val="single" w:sz="4" w:space="0" w:color="auto"/>
            </w:tcBorders>
            <w:vAlign w:val="center"/>
          </w:tcPr>
          <w:p w14:paraId="2A089375"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自然环境</w:t>
            </w:r>
          </w:p>
        </w:tc>
        <w:tc>
          <w:tcPr>
            <w:tcW w:w="897" w:type="pct"/>
            <w:tcBorders>
              <w:top w:val="nil"/>
              <w:left w:val="nil"/>
              <w:bottom w:val="single" w:sz="4" w:space="0" w:color="auto"/>
              <w:right w:val="single" w:sz="4" w:space="0" w:color="auto"/>
            </w:tcBorders>
            <w:vAlign w:val="center"/>
          </w:tcPr>
          <w:p w14:paraId="260DB1F8"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76712EFD"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100/101</w:t>
            </w:r>
          </w:p>
        </w:tc>
        <w:tc>
          <w:tcPr>
            <w:tcW w:w="897" w:type="pct"/>
            <w:tcBorders>
              <w:top w:val="nil"/>
              <w:left w:val="nil"/>
              <w:bottom w:val="single" w:sz="4" w:space="0" w:color="auto"/>
              <w:right w:val="single" w:sz="4" w:space="0" w:color="auto"/>
            </w:tcBorders>
            <w:vAlign w:val="center"/>
          </w:tcPr>
          <w:p w14:paraId="6F248D14"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100/100</w:t>
            </w:r>
          </w:p>
        </w:tc>
      </w:tr>
      <w:tr w:rsidR="00000000" w14:paraId="42C7B361"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40947C5C" w14:textId="77777777" w:rsidR="00000000" w:rsidRDefault="00000000">
            <w:pPr>
              <w:widowControl/>
              <w:adjustRightInd/>
              <w:spacing w:line="240" w:lineRule="auto"/>
              <w:jc w:val="center"/>
              <w:textAlignment w:val="auto"/>
              <w:rPr>
                <w:rFonts w:ascii="Arial" w:eastAsia="华文细黑" w:hAnsi="Arial" w:cs="Arial" w:hint="eastAsia"/>
                <w:sz w:val="18"/>
                <w:szCs w:val="18"/>
              </w:rPr>
            </w:pPr>
          </w:p>
        </w:tc>
        <w:tc>
          <w:tcPr>
            <w:tcW w:w="1516" w:type="pct"/>
            <w:tcBorders>
              <w:top w:val="nil"/>
              <w:left w:val="nil"/>
              <w:bottom w:val="single" w:sz="4" w:space="0" w:color="auto"/>
              <w:right w:val="single" w:sz="4" w:space="0" w:color="auto"/>
            </w:tcBorders>
            <w:vAlign w:val="center"/>
          </w:tcPr>
          <w:p w14:paraId="1B73BA6E"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公共配套</w:t>
            </w:r>
          </w:p>
        </w:tc>
        <w:tc>
          <w:tcPr>
            <w:tcW w:w="897" w:type="pct"/>
            <w:tcBorders>
              <w:top w:val="nil"/>
              <w:left w:val="nil"/>
              <w:bottom w:val="single" w:sz="4" w:space="0" w:color="auto"/>
              <w:right w:val="single" w:sz="4" w:space="0" w:color="auto"/>
            </w:tcBorders>
            <w:vAlign w:val="center"/>
          </w:tcPr>
          <w:p w14:paraId="41C3BBBE"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0D064131"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43FFAE1F"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100/100</w:t>
            </w:r>
          </w:p>
        </w:tc>
      </w:tr>
      <w:tr w:rsidR="00000000" w14:paraId="728E90AA" w14:textId="77777777">
        <w:trPr>
          <w:trHeight w:val="227"/>
        </w:trPr>
        <w:tc>
          <w:tcPr>
            <w:tcW w:w="793" w:type="pct"/>
            <w:vMerge w:val="restart"/>
            <w:tcBorders>
              <w:top w:val="nil"/>
              <w:left w:val="single" w:sz="4" w:space="0" w:color="auto"/>
              <w:bottom w:val="single" w:sz="4" w:space="0" w:color="auto"/>
              <w:right w:val="single" w:sz="4" w:space="0" w:color="auto"/>
            </w:tcBorders>
            <w:vAlign w:val="center"/>
          </w:tcPr>
          <w:p w14:paraId="02395B19"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实物状况</w:t>
            </w:r>
          </w:p>
        </w:tc>
        <w:tc>
          <w:tcPr>
            <w:tcW w:w="1516" w:type="pct"/>
            <w:tcBorders>
              <w:top w:val="nil"/>
              <w:left w:val="nil"/>
              <w:bottom w:val="single" w:sz="4" w:space="0" w:color="auto"/>
              <w:right w:val="single" w:sz="4" w:space="0" w:color="auto"/>
            </w:tcBorders>
            <w:vAlign w:val="center"/>
          </w:tcPr>
          <w:p w14:paraId="6D686CCD"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物业服务</w:t>
            </w:r>
          </w:p>
        </w:tc>
        <w:tc>
          <w:tcPr>
            <w:tcW w:w="1707" w:type="dxa"/>
            <w:tcBorders>
              <w:top w:val="nil"/>
              <w:left w:val="nil"/>
              <w:bottom w:val="single" w:sz="4" w:space="0" w:color="auto"/>
              <w:right w:val="single" w:sz="4" w:space="0" w:color="auto"/>
            </w:tcBorders>
            <w:vAlign w:val="center"/>
          </w:tcPr>
          <w:p w14:paraId="5A22E072"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100/100</w:t>
            </w:r>
          </w:p>
        </w:tc>
        <w:tc>
          <w:tcPr>
            <w:tcW w:w="1707" w:type="dxa"/>
            <w:tcBorders>
              <w:top w:val="nil"/>
              <w:left w:val="nil"/>
              <w:bottom w:val="single" w:sz="4" w:space="0" w:color="auto"/>
              <w:right w:val="single" w:sz="4" w:space="0" w:color="auto"/>
            </w:tcBorders>
            <w:vAlign w:val="center"/>
          </w:tcPr>
          <w:p w14:paraId="07095C72"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100/100</w:t>
            </w:r>
          </w:p>
        </w:tc>
        <w:tc>
          <w:tcPr>
            <w:tcW w:w="1707" w:type="dxa"/>
            <w:tcBorders>
              <w:top w:val="nil"/>
              <w:left w:val="nil"/>
              <w:bottom w:val="single" w:sz="4" w:space="0" w:color="auto"/>
              <w:right w:val="single" w:sz="4" w:space="0" w:color="auto"/>
            </w:tcBorders>
            <w:vAlign w:val="center"/>
          </w:tcPr>
          <w:p w14:paraId="0D2C2B87"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100/100</w:t>
            </w:r>
          </w:p>
        </w:tc>
      </w:tr>
      <w:tr w:rsidR="00000000" w14:paraId="623B70B9"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6250B38E" w14:textId="77777777" w:rsidR="00000000" w:rsidRDefault="00000000">
            <w:pPr>
              <w:widowControl/>
              <w:adjustRightInd/>
              <w:spacing w:line="240" w:lineRule="auto"/>
              <w:jc w:val="center"/>
              <w:textAlignment w:val="auto"/>
              <w:rPr>
                <w:rFonts w:ascii="Arial" w:eastAsia="华文细黑" w:hAnsi="Arial" w:cs="Arial" w:hint="eastAsia"/>
                <w:sz w:val="18"/>
                <w:szCs w:val="18"/>
              </w:rPr>
            </w:pPr>
          </w:p>
        </w:tc>
        <w:tc>
          <w:tcPr>
            <w:tcW w:w="1516" w:type="pct"/>
            <w:tcBorders>
              <w:top w:val="nil"/>
              <w:left w:val="nil"/>
              <w:bottom w:val="single" w:sz="4" w:space="0" w:color="auto"/>
              <w:right w:val="single" w:sz="4" w:space="0" w:color="auto"/>
            </w:tcBorders>
            <w:vAlign w:val="center"/>
          </w:tcPr>
          <w:p w14:paraId="4D053AB5"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小区环境</w:t>
            </w:r>
          </w:p>
        </w:tc>
        <w:tc>
          <w:tcPr>
            <w:tcW w:w="1707" w:type="dxa"/>
            <w:tcBorders>
              <w:top w:val="nil"/>
              <w:left w:val="nil"/>
              <w:bottom w:val="single" w:sz="4" w:space="0" w:color="auto"/>
              <w:right w:val="single" w:sz="4" w:space="0" w:color="auto"/>
            </w:tcBorders>
            <w:vAlign w:val="center"/>
          </w:tcPr>
          <w:p w14:paraId="5CAA0FB6"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100/100</w:t>
            </w:r>
          </w:p>
        </w:tc>
        <w:tc>
          <w:tcPr>
            <w:tcW w:w="1707" w:type="dxa"/>
            <w:tcBorders>
              <w:top w:val="nil"/>
              <w:left w:val="nil"/>
              <w:bottom w:val="single" w:sz="4" w:space="0" w:color="auto"/>
              <w:right w:val="single" w:sz="4" w:space="0" w:color="auto"/>
            </w:tcBorders>
            <w:vAlign w:val="center"/>
          </w:tcPr>
          <w:p w14:paraId="0329B0C8"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100/100</w:t>
            </w:r>
          </w:p>
        </w:tc>
        <w:tc>
          <w:tcPr>
            <w:tcW w:w="1707" w:type="dxa"/>
            <w:tcBorders>
              <w:top w:val="nil"/>
              <w:left w:val="nil"/>
              <w:bottom w:val="single" w:sz="4" w:space="0" w:color="auto"/>
              <w:right w:val="single" w:sz="4" w:space="0" w:color="auto"/>
            </w:tcBorders>
            <w:vAlign w:val="center"/>
          </w:tcPr>
          <w:p w14:paraId="716F9F34"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100/100</w:t>
            </w:r>
          </w:p>
        </w:tc>
      </w:tr>
      <w:tr w:rsidR="00000000" w14:paraId="746B6851"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1D604A17" w14:textId="77777777" w:rsidR="00000000" w:rsidRDefault="00000000">
            <w:pPr>
              <w:widowControl/>
              <w:adjustRightInd/>
              <w:spacing w:line="240" w:lineRule="auto"/>
              <w:jc w:val="center"/>
              <w:textAlignment w:val="auto"/>
              <w:rPr>
                <w:rFonts w:ascii="Arial" w:eastAsia="华文细黑" w:hAnsi="Arial" w:cs="Arial" w:hint="eastAsia"/>
                <w:sz w:val="18"/>
                <w:szCs w:val="18"/>
              </w:rPr>
            </w:pPr>
          </w:p>
        </w:tc>
        <w:tc>
          <w:tcPr>
            <w:tcW w:w="1516" w:type="pct"/>
            <w:tcBorders>
              <w:top w:val="nil"/>
              <w:left w:val="nil"/>
              <w:bottom w:val="single" w:sz="4" w:space="0" w:color="auto"/>
              <w:right w:val="single" w:sz="4" w:space="0" w:color="auto"/>
            </w:tcBorders>
            <w:vAlign w:val="center"/>
          </w:tcPr>
          <w:p w14:paraId="120728E1"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配套设施</w:t>
            </w:r>
          </w:p>
        </w:tc>
        <w:tc>
          <w:tcPr>
            <w:tcW w:w="1707" w:type="dxa"/>
            <w:tcBorders>
              <w:top w:val="nil"/>
              <w:left w:val="nil"/>
              <w:bottom w:val="single" w:sz="4" w:space="0" w:color="auto"/>
              <w:right w:val="single" w:sz="4" w:space="0" w:color="auto"/>
            </w:tcBorders>
            <w:vAlign w:val="center"/>
          </w:tcPr>
          <w:p w14:paraId="37B7EF05"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100/100</w:t>
            </w:r>
          </w:p>
        </w:tc>
        <w:tc>
          <w:tcPr>
            <w:tcW w:w="1707" w:type="dxa"/>
            <w:tcBorders>
              <w:top w:val="nil"/>
              <w:left w:val="nil"/>
              <w:bottom w:val="single" w:sz="4" w:space="0" w:color="auto"/>
              <w:right w:val="single" w:sz="4" w:space="0" w:color="auto"/>
            </w:tcBorders>
            <w:vAlign w:val="center"/>
          </w:tcPr>
          <w:p w14:paraId="26595DE5"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100/100</w:t>
            </w:r>
          </w:p>
        </w:tc>
        <w:tc>
          <w:tcPr>
            <w:tcW w:w="1707" w:type="dxa"/>
            <w:tcBorders>
              <w:top w:val="nil"/>
              <w:left w:val="nil"/>
              <w:bottom w:val="single" w:sz="4" w:space="0" w:color="auto"/>
              <w:right w:val="single" w:sz="4" w:space="0" w:color="auto"/>
            </w:tcBorders>
            <w:vAlign w:val="center"/>
          </w:tcPr>
          <w:p w14:paraId="4D73F42E"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100/100</w:t>
            </w:r>
          </w:p>
        </w:tc>
      </w:tr>
      <w:tr w:rsidR="00000000" w14:paraId="420EAF0F"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578DE2EF" w14:textId="77777777" w:rsidR="00000000" w:rsidRDefault="00000000">
            <w:pPr>
              <w:widowControl/>
              <w:adjustRightInd/>
              <w:spacing w:line="240" w:lineRule="auto"/>
              <w:jc w:val="center"/>
              <w:textAlignment w:val="auto"/>
              <w:rPr>
                <w:rFonts w:ascii="Arial" w:eastAsia="华文细黑" w:hAnsi="Arial" w:cs="Arial" w:hint="eastAsia"/>
                <w:sz w:val="18"/>
                <w:szCs w:val="18"/>
              </w:rPr>
            </w:pPr>
          </w:p>
        </w:tc>
        <w:tc>
          <w:tcPr>
            <w:tcW w:w="1516" w:type="pct"/>
            <w:tcBorders>
              <w:top w:val="nil"/>
              <w:left w:val="nil"/>
              <w:bottom w:val="single" w:sz="4" w:space="0" w:color="auto"/>
              <w:right w:val="single" w:sz="4" w:space="0" w:color="auto"/>
            </w:tcBorders>
            <w:vAlign w:val="center"/>
          </w:tcPr>
          <w:p w14:paraId="7947E03C"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居住管理</w:t>
            </w:r>
          </w:p>
        </w:tc>
        <w:tc>
          <w:tcPr>
            <w:tcW w:w="1707" w:type="dxa"/>
            <w:tcBorders>
              <w:top w:val="nil"/>
              <w:left w:val="nil"/>
              <w:bottom w:val="single" w:sz="4" w:space="0" w:color="auto"/>
              <w:right w:val="single" w:sz="4" w:space="0" w:color="auto"/>
            </w:tcBorders>
            <w:vAlign w:val="center"/>
          </w:tcPr>
          <w:p w14:paraId="55724FD6"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100/100</w:t>
            </w:r>
          </w:p>
        </w:tc>
        <w:tc>
          <w:tcPr>
            <w:tcW w:w="1707" w:type="dxa"/>
            <w:tcBorders>
              <w:top w:val="nil"/>
              <w:left w:val="nil"/>
              <w:bottom w:val="single" w:sz="4" w:space="0" w:color="auto"/>
              <w:right w:val="single" w:sz="4" w:space="0" w:color="auto"/>
            </w:tcBorders>
            <w:vAlign w:val="center"/>
          </w:tcPr>
          <w:p w14:paraId="1D6DB044"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100/100</w:t>
            </w:r>
          </w:p>
        </w:tc>
        <w:tc>
          <w:tcPr>
            <w:tcW w:w="1707" w:type="dxa"/>
            <w:tcBorders>
              <w:top w:val="nil"/>
              <w:left w:val="nil"/>
              <w:bottom w:val="single" w:sz="4" w:space="0" w:color="auto"/>
              <w:right w:val="single" w:sz="4" w:space="0" w:color="auto"/>
            </w:tcBorders>
            <w:vAlign w:val="center"/>
          </w:tcPr>
          <w:p w14:paraId="140FED48"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100/100</w:t>
            </w:r>
          </w:p>
        </w:tc>
      </w:tr>
      <w:tr w:rsidR="00000000" w14:paraId="6CC9C412"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485EAC5D" w14:textId="77777777" w:rsidR="00000000" w:rsidRDefault="00000000">
            <w:pPr>
              <w:widowControl/>
              <w:adjustRightInd/>
              <w:spacing w:line="240" w:lineRule="auto"/>
              <w:jc w:val="center"/>
              <w:textAlignment w:val="auto"/>
              <w:rPr>
                <w:rFonts w:ascii="Arial" w:eastAsia="华文细黑" w:hAnsi="Arial" w:cs="Arial" w:hint="eastAsia"/>
                <w:sz w:val="18"/>
                <w:szCs w:val="18"/>
              </w:rPr>
            </w:pPr>
          </w:p>
        </w:tc>
        <w:tc>
          <w:tcPr>
            <w:tcW w:w="1516" w:type="pct"/>
            <w:tcBorders>
              <w:top w:val="nil"/>
              <w:left w:val="nil"/>
              <w:bottom w:val="single" w:sz="4" w:space="0" w:color="auto"/>
              <w:right w:val="single" w:sz="4" w:space="0" w:color="auto"/>
            </w:tcBorders>
            <w:vAlign w:val="center"/>
          </w:tcPr>
          <w:p w14:paraId="7307446C"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朝向</w:t>
            </w:r>
          </w:p>
        </w:tc>
        <w:tc>
          <w:tcPr>
            <w:tcW w:w="1707" w:type="dxa"/>
            <w:tcBorders>
              <w:top w:val="nil"/>
              <w:left w:val="nil"/>
              <w:bottom w:val="single" w:sz="4" w:space="0" w:color="auto"/>
              <w:right w:val="single" w:sz="4" w:space="0" w:color="auto"/>
            </w:tcBorders>
            <w:vAlign w:val="center"/>
          </w:tcPr>
          <w:p w14:paraId="78D8DEDD"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100/102</w:t>
            </w:r>
          </w:p>
        </w:tc>
        <w:tc>
          <w:tcPr>
            <w:tcW w:w="1707" w:type="dxa"/>
            <w:tcBorders>
              <w:top w:val="nil"/>
              <w:left w:val="nil"/>
              <w:bottom w:val="single" w:sz="4" w:space="0" w:color="auto"/>
              <w:right w:val="single" w:sz="4" w:space="0" w:color="auto"/>
            </w:tcBorders>
            <w:vAlign w:val="center"/>
          </w:tcPr>
          <w:p w14:paraId="32EAB966"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100/102</w:t>
            </w:r>
          </w:p>
        </w:tc>
        <w:tc>
          <w:tcPr>
            <w:tcW w:w="1707" w:type="dxa"/>
            <w:tcBorders>
              <w:top w:val="nil"/>
              <w:left w:val="nil"/>
              <w:bottom w:val="single" w:sz="4" w:space="0" w:color="auto"/>
              <w:right w:val="single" w:sz="4" w:space="0" w:color="auto"/>
            </w:tcBorders>
            <w:vAlign w:val="center"/>
          </w:tcPr>
          <w:p w14:paraId="71D7544B"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100/102</w:t>
            </w:r>
          </w:p>
        </w:tc>
      </w:tr>
      <w:tr w:rsidR="00000000" w14:paraId="48B6FF10"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1373C613" w14:textId="77777777" w:rsidR="00000000" w:rsidRDefault="00000000">
            <w:pPr>
              <w:widowControl/>
              <w:adjustRightInd/>
              <w:spacing w:line="240" w:lineRule="auto"/>
              <w:jc w:val="center"/>
              <w:textAlignment w:val="auto"/>
              <w:rPr>
                <w:rFonts w:ascii="Arial" w:eastAsia="华文细黑" w:hAnsi="Arial" w:cs="Arial" w:hint="eastAsia"/>
                <w:sz w:val="18"/>
                <w:szCs w:val="18"/>
              </w:rPr>
            </w:pPr>
          </w:p>
        </w:tc>
        <w:tc>
          <w:tcPr>
            <w:tcW w:w="1516" w:type="pct"/>
            <w:tcBorders>
              <w:top w:val="nil"/>
              <w:left w:val="nil"/>
              <w:bottom w:val="single" w:sz="4" w:space="0" w:color="auto"/>
              <w:right w:val="single" w:sz="4" w:space="0" w:color="auto"/>
            </w:tcBorders>
            <w:vAlign w:val="center"/>
          </w:tcPr>
          <w:p w14:paraId="5B829128"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户型</w:t>
            </w:r>
          </w:p>
        </w:tc>
        <w:tc>
          <w:tcPr>
            <w:tcW w:w="1707" w:type="dxa"/>
            <w:tcBorders>
              <w:top w:val="nil"/>
              <w:left w:val="nil"/>
              <w:bottom w:val="single" w:sz="4" w:space="0" w:color="auto"/>
              <w:right w:val="single" w:sz="4" w:space="0" w:color="auto"/>
            </w:tcBorders>
            <w:vAlign w:val="center"/>
          </w:tcPr>
          <w:p w14:paraId="3B078598" w14:textId="77777777" w:rsidR="00000000" w:rsidRDefault="00000000">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100/98</w:t>
            </w:r>
          </w:p>
        </w:tc>
        <w:tc>
          <w:tcPr>
            <w:tcW w:w="1707" w:type="dxa"/>
            <w:tcBorders>
              <w:top w:val="nil"/>
              <w:left w:val="nil"/>
              <w:bottom w:val="single" w:sz="4" w:space="0" w:color="auto"/>
              <w:right w:val="single" w:sz="4" w:space="0" w:color="auto"/>
            </w:tcBorders>
            <w:vAlign w:val="center"/>
          </w:tcPr>
          <w:p w14:paraId="2A9CFECC" w14:textId="77777777" w:rsidR="00000000" w:rsidRDefault="00000000">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100/98</w:t>
            </w:r>
          </w:p>
        </w:tc>
        <w:tc>
          <w:tcPr>
            <w:tcW w:w="1707" w:type="dxa"/>
            <w:tcBorders>
              <w:top w:val="nil"/>
              <w:left w:val="nil"/>
              <w:bottom w:val="single" w:sz="4" w:space="0" w:color="auto"/>
              <w:right w:val="single" w:sz="4" w:space="0" w:color="auto"/>
            </w:tcBorders>
            <w:vAlign w:val="center"/>
          </w:tcPr>
          <w:p w14:paraId="63E7A522" w14:textId="77777777" w:rsidR="00000000" w:rsidRDefault="00000000">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100/99</w:t>
            </w:r>
          </w:p>
        </w:tc>
      </w:tr>
      <w:tr w:rsidR="00000000" w14:paraId="4CE6215C"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2F63F05D" w14:textId="77777777" w:rsidR="00000000" w:rsidRDefault="00000000">
            <w:pPr>
              <w:widowControl/>
              <w:adjustRightInd/>
              <w:spacing w:line="240" w:lineRule="auto"/>
              <w:jc w:val="center"/>
              <w:textAlignment w:val="auto"/>
              <w:rPr>
                <w:rFonts w:ascii="Arial" w:eastAsia="华文细黑" w:hAnsi="Arial" w:cs="Arial" w:hint="eastAsia"/>
                <w:sz w:val="18"/>
                <w:szCs w:val="18"/>
              </w:rPr>
            </w:pPr>
          </w:p>
        </w:tc>
        <w:tc>
          <w:tcPr>
            <w:tcW w:w="1516" w:type="pct"/>
            <w:tcBorders>
              <w:top w:val="nil"/>
              <w:left w:val="nil"/>
              <w:bottom w:val="single" w:sz="4" w:space="0" w:color="auto"/>
              <w:right w:val="single" w:sz="4" w:space="0" w:color="auto"/>
            </w:tcBorders>
            <w:vAlign w:val="center"/>
          </w:tcPr>
          <w:p w14:paraId="2808FAAD"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装修</w:t>
            </w:r>
          </w:p>
        </w:tc>
        <w:tc>
          <w:tcPr>
            <w:tcW w:w="1707" w:type="dxa"/>
            <w:tcBorders>
              <w:top w:val="nil"/>
              <w:left w:val="nil"/>
              <w:bottom w:val="single" w:sz="4" w:space="0" w:color="auto"/>
              <w:right w:val="single" w:sz="4" w:space="0" w:color="auto"/>
            </w:tcBorders>
            <w:vAlign w:val="center"/>
          </w:tcPr>
          <w:p w14:paraId="7B857EFC"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100/100</w:t>
            </w:r>
          </w:p>
        </w:tc>
        <w:tc>
          <w:tcPr>
            <w:tcW w:w="1707" w:type="dxa"/>
            <w:tcBorders>
              <w:top w:val="nil"/>
              <w:left w:val="nil"/>
              <w:bottom w:val="single" w:sz="4" w:space="0" w:color="auto"/>
              <w:right w:val="single" w:sz="4" w:space="0" w:color="auto"/>
            </w:tcBorders>
            <w:vAlign w:val="center"/>
          </w:tcPr>
          <w:p w14:paraId="4B6575F8"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100/100</w:t>
            </w:r>
          </w:p>
        </w:tc>
        <w:tc>
          <w:tcPr>
            <w:tcW w:w="1707" w:type="dxa"/>
            <w:tcBorders>
              <w:top w:val="nil"/>
              <w:left w:val="nil"/>
              <w:bottom w:val="single" w:sz="4" w:space="0" w:color="auto"/>
              <w:right w:val="single" w:sz="4" w:space="0" w:color="auto"/>
            </w:tcBorders>
            <w:vAlign w:val="center"/>
          </w:tcPr>
          <w:p w14:paraId="0E6B7EA4"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100/100</w:t>
            </w:r>
          </w:p>
        </w:tc>
      </w:tr>
      <w:tr w:rsidR="00000000" w14:paraId="5428D849"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339AA0B6" w14:textId="77777777" w:rsidR="00000000" w:rsidRDefault="00000000">
            <w:pPr>
              <w:widowControl/>
              <w:adjustRightInd/>
              <w:spacing w:line="240" w:lineRule="auto"/>
              <w:jc w:val="center"/>
              <w:textAlignment w:val="auto"/>
              <w:rPr>
                <w:rFonts w:ascii="Arial" w:eastAsia="华文细黑" w:hAnsi="Arial" w:cs="Arial" w:hint="eastAsia"/>
                <w:sz w:val="18"/>
                <w:szCs w:val="18"/>
              </w:rPr>
            </w:pPr>
          </w:p>
        </w:tc>
        <w:tc>
          <w:tcPr>
            <w:tcW w:w="1516" w:type="pct"/>
            <w:tcBorders>
              <w:top w:val="nil"/>
              <w:left w:val="nil"/>
              <w:bottom w:val="single" w:sz="4" w:space="0" w:color="auto"/>
              <w:right w:val="single" w:sz="4" w:space="0" w:color="auto"/>
            </w:tcBorders>
            <w:vAlign w:val="center"/>
          </w:tcPr>
          <w:p w14:paraId="4E143B3C"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设备</w:t>
            </w:r>
          </w:p>
        </w:tc>
        <w:tc>
          <w:tcPr>
            <w:tcW w:w="1707" w:type="dxa"/>
            <w:tcBorders>
              <w:top w:val="nil"/>
              <w:left w:val="nil"/>
              <w:bottom w:val="single" w:sz="4" w:space="0" w:color="auto"/>
              <w:right w:val="single" w:sz="4" w:space="0" w:color="auto"/>
            </w:tcBorders>
            <w:vAlign w:val="center"/>
          </w:tcPr>
          <w:p w14:paraId="793153D2"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100/102</w:t>
            </w:r>
          </w:p>
        </w:tc>
        <w:tc>
          <w:tcPr>
            <w:tcW w:w="1707" w:type="dxa"/>
            <w:tcBorders>
              <w:top w:val="nil"/>
              <w:left w:val="nil"/>
              <w:bottom w:val="single" w:sz="4" w:space="0" w:color="auto"/>
              <w:right w:val="single" w:sz="4" w:space="0" w:color="auto"/>
            </w:tcBorders>
            <w:vAlign w:val="center"/>
          </w:tcPr>
          <w:p w14:paraId="7469961F"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100/102</w:t>
            </w:r>
          </w:p>
        </w:tc>
        <w:tc>
          <w:tcPr>
            <w:tcW w:w="1707" w:type="dxa"/>
            <w:tcBorders>
              <w:top w:val="nil"/>
              <w:left w:val="nil"/>
              <w:bottom w:val="single" w:sz="4" w:space="0" w:color="auto"/>
              <w:right w:val="single" w:sz="4" w:space="0" w:color="auto"/>
            </w:tcBorders>
            <w:vAlign w:val="center"/>
          </w:tcPr>
          <w:p w14:paraId="11B126C4"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100/102</w:t>
            </w:r>
          </w:p>
        </w:tc>
      </w:tr>
      <w:tr w:rsidR="00000000" w14:paraId="03BA7893"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3DFE535E"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修正系数</w:t>
            </w:r>
          </w:p>
        </w:tc>
        <w:tc>
          <w:tcPr>
            <w:tcW w:w="897" w:type="pct"/>
            <w:tcBorders>
              <w:top w:val="single" w:sz="4" w:space="0" w:color="auto"/>
              <w:left w:val="nil"/>
              <w:bottom w:val="single" w:sz="4" w:space="0" w:color="auto"/>
              <w:right w:val="single" w:sz="4" w:space="0" w:color="auto"/>
            </w:tcBorders>
            <w:vAlign w:val="center"/>
          </w:tcPr>
          <w:p w14:paraId="60D117BC" w14:textId="77777777" w:rsidR="00000000" w:rsidRDefault="00000000">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0.9803</w:t>
            </w:r>
          </w:p>
        </w:tc>
        <w:tc>
          <w:tcPr>
            <w:tcW w:w="897" w:type="pct"/>
            <w:tcBorders>
              <w:top w:val="single" w:sz="4" w:space="0" w:color="auto"/>
              <w:left w:val="nil"/>
              <w:bottom w:val="single" w:sz="4" w:space="0" w:color="auto"/>
              <w:right w:val="single" w:sz="4" w:space="0" w:color="auto"/>
            </w:tcBorders>
            <w:vAlign w:val="center"/>
          </w:tcPr>
          <w:p w14:paraId="5088784A"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0.9909</w:t>
            </w:r>
          </w:p>
        </w:tc>
        <w:tc>
          <w:tcPr>
            <w:tcW w:w="897" w:type="pct"/>
            <w:tcBorders>
              <w:top w:val="single" w:sz="4" w:space="0" w:color="auto"/>
              <w:left w:val="nil"/>
              <w:bottom w:val="single" w:sz="4" w:space="0" w:color="auto"/>
              <w:right w:val="single" w:sz="4" w:space="0" w:color="auto"/>
            </w:tcBorders>
            <w:vAlign w:val="center"/>
          </w:tcPr>
          <w:p w14:paraId="1E7B856D" w14:textId="77777777" w:rsidR="00000000" w:rsidRDefault="00000000">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0.9807</w:t>
            </w:r>
          </w:p>
        </w:tc>
      </w:tr>
      <w:tr w:rsidR="00000000" w14:paraId="5185AB84"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23B047F1"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比准价格（元</w:t>
            </w:r>
            <w:r>
              <w:rPr>
                <w:rFonts w:ascii="Arial" w:eastAsia="华文细黑" w:hAnsi="Arial" w:cs="Arial" w:hint="eastAsia"/>
                <w:sz w:val="18"/>
                <w:szCs w:val="18"/>
              </w:rPr>
              <w:t>/</w:t>
            </w:r>
            <w:r>
              <w:rPr>
                <w:rFonts w:ascii="Arial" w:eastAsia="华文细黑" w:hAnsi="Arial" w:cs="Arial" w:hint="eastAsia"/>
                <w:sz w:val="18"/>
                <w:szCs w:val="18"/>
              </w:rPr>
              <w:t>平方米·月）</w:t>
            </w:r>
          </w:p>
        </w:tc>
        <w:tc>
          <w:tcPr>
            <w:tcW w:w="897" w:type="pct"/>
            <w:tcBorders>
              <w:top w:val="single" w:sz="4" w:space="0" w:color="auto"/>
              <w:left w:val="nil"/>
              <w:bottom w:val="single" w:sz="4" w:space="0" w:color="auto"/>
              <w:right w:val="single" w:sz="4" w:space="0" w:color="auto"/>
            </w:tcBorders>
            <w:vAlign w:val="center"/>
          </w:tcPr>
          <w:p w14:paraId="3CC4A64B" w14:textId="77777777" w:rsidR="00000000" w:rsidRDefault="00000000">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53.64</w:t>
            </w:r>
          </w:p>
        </w:tc>
        <w:tc>
          <w:tcPr>
            <w:tcW w:w="897" w:type="pct"/>
            <w:tcBorders>
              <w:top w:val="single" w:sz="4" w:space="0" w:color="auto"/>
              <w:left w:val="nil"/>
              <w:bottom w:val="single" w:sz="4" w:space="0" w:color="auto"/>
              <w:right w:val="single" w:sz="4" w:space="0" w:color="auto"/>
            </w:tcBorders>
            <w:vAlign w:val="center"/>
          </w:tcPr>
          <w:p w14:paraId="5F2C587F"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51.44</w:t>
            </w:r>
          </w:p>
        </w:tc>
        <w:tc>
          <w:tcPr>
            <w:tcW w:w="897" w:type="pct"/>
            <w:tcBorders>
              <w:top w:val="single" w:sz="4" w:space="0" w:color="auto"/>
              <w:left w:val="nil"/>
              <w:bottom w:val="single" w:sz="4" w:space="0" w:color="auto"/>
              <w:right w:val="single" w:sz="4" w:space="0" w:color="auto"/>
            </w:tcBorders>
            <w:vAlign w:val="center"/>
          </w:tcPr>
          <w:p w14:paraId="434BE464" w14:textId="77777777" w:rsidR="00000000" w:rsidRDefault="00000000">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48.91</w:t>
            </w:r>
          </w:p>
        </w:tc>
      </w:tr>
    </w:tbl>
    <w:p w14:paraId="1011C2F8" w14:textId="77777777" w:rsidR="00000000" w:rsidRDefault="00000000">
      <w:pPr>
        <w:wordWrap w:val="0"/>
        <w:overflowPunct w:val="0"/>
        <w:spacing w:beforeLines="100" w:before="240" w:line="480" w:lineRule="auto"/>
        <w:ind w:firstLineChars="200" w:firstLine="420"/>
        <w:rPr>
          <w:rFonts w:ascii="Arial" w:hAnsi="Arial" w:hint="eastAsia"/>
          <w:sz w:val="21"/>
          <w:szCs w:val="21"/>
        </w:rPr>
      </w:pPr>
      <w:r>
        <w:rPr>
          <w:rFonts w:ascii="Arial" w:hAnsi="Arial" w:hint="eastAsia"/>
          <w:sz w:val="21"/>
          <w:szCs w:val="21"/>
        </w:rPr>
        <w:t>注：</w:t>
      </w:r>
      <w:r>
        <w:rPr>
          <w:rFonts w:ascii="Arial" w:hAnsi="Arial"/>
          <w:sz w:val="21"/>
          <w:szCs w:val="21"/>
        </w:rPr>
        <w:t>比准价格＝比较</w:t>
      </w:r>
      <w:r>
        <w:rPr>
          <w:rFonts w:ascii="Arial" w:hAnsi="Arial" w:hint="eastAsia"/>
          <w:sz w:val="21"/>
          <w:szCs w:val="21"/>
        </w:rPr>
        <w:t>实例</w:t>
      </w:r>
      <w:r>
        <w:rPr>
          <w:rFonts w:ascii="Arial" w:hAnsi="Arial"/>
          <w:sz w:val="21"/>
          <w:szCs w:val="21"/>
        </w:rPr>
        <w:t>年平均租金</w:t>
      </w:r>
      <w:r>
        <w:rPr>
          <w:rFonts w:ascii="Arial" w:hAnsi="Arial"/>
          <w:sz w:val="21"/>
          <w:szCs w:val="21"/>
        </w:rPr>
        <w:t>×</w:t>
      </w:r>
      <w:r>
        <w:rPr>
          <w:rFonts w:ascii="Arial" w:hAnsi="Arial"/>
          <w:sz w:val="21"/>
          <w:szCs w:val="21"/>
        </w:rPr>
        <w:t>（待估房地产交易日期房地产价租赁格指数</w:t>
      </w:r>
      <w:r>
        <w:rPr>
          <w:rFonts w:ascii="Arial" w:hAnsi="Arial"/>
          <w:sz w:val="21"/>
          <w:szCs w:val="21"/>
        </w:rPr>
        <w:t>/</w:t>
      </w:r>
      <w:r>
        <w:rPr>
          <w:rFonts w:ascii="Arial" w:hAnsi="Arial"/>
          <w:sz w:val="21"/>
          <w:szCs w:val="21"/>
        </w:rPr>
        <w:t>可比实例交易日期房地产租赁价格指数）</w:t>
      </w:r>
      <w:r>
        <w:rPr>
          <w:rFonts w:ascii="Arial" w:hAnsi="Arial"/>
          <w:sz w:val="21"/>
          <w:szCs w:val="21"/>
        </w:rPr>
        <w:t>×</w:t>
      </w:r>
      <w:r>
        <w:rPr>
          <w:rFonts w:ascii="Arial" w:hAnsi="Arial"/>
          <w:sz w:val="21"/>
          <w:szCs w:val="21"/>
        </w:rPr>
        <w:t>（待估房地产交易情况指数</w:t>
      </w:r>
      <w:r>
        <w:rPr>
          <w:rFonts w:ascii="Arial" w:hAnsi="Arial"/>
          <w:sz w:val="21"/>
          <w:szCs w:val="21"/>
        </w:rPr>
        <w:t>/</w:t>
      </w:r>
      <w:r>
        <w:rPr>
          <w:rFonts w:ascii="Arial" w:hAnsi="Arial"/>
          <w:sz w:val="21"/>
          <w:szCs w:val="21"/>
        </w:rPr>
        <w:t>可比实例交易情况指数）</w:t>
      </w:r>
      <w:r>
        <w:rPr>
          <w:rFonts w:ascii="Arial" w:hAnsi="Arial"/>
          <w:sz w:val="21"/>
          <w:szCs w:val="21"/>
        </w:rPr>
        <w:t>×</w:t>
      </w:r>
      <w:r>
        <w:rPr>
          <w:rFonts w:ascii="Arial" w:hAnsi="Arial"/>
          <w:sz w:val="21"/>
          <w:szCs w:val="21"/>
        </w:rPr>
        <w:t>（待估房地产区域状况条件指数</w:t>
      </w:r>
      <w:r>
        <w:rPr>
          <w:rFonts w:ascii="Arial" w:hAnsi="Arial"/>
          <w:sz w:val="21"/>
          <w:szCs w:val="21"/>
        </w:rPr>
        <w:t>/</w:t>
      </w:r>
      <w:r>
        <w:rPr>
          <w:rFonts w:ascii="Arial" w:hAnsi="Arial"/>
          <w:sz w:val="21"/>
          <w:szCs w:val="21"/>
        </w:rPr>
        <w:t>可比实例房地产区域状况条件指数）</w:t>
      </w:r>
      <w:r>
        <w:rPr>
          <w:rFonts w:ascii="Arial" w:hAnsi="Arial"/>
          <w:sz w:val="21"/>
          <w:szCs w:val="21"/>
        </w:rPr>
        <w:t>×</w:t>
      </w:r>
      <w:r>
        <w:rPr>
          <w:rFonts w:ascii="Arial" w:hAnsi="Arial"/>
          <w:sz w:val="21"/>
          <w:szCs w:val="21"/>
        </w:rPr>
        <w:t>（待估房地产实物状况条件指数</w:t>
      </w:r>
      <w:r>
        <w:rPr>
          <w:rFonts w:ascii="Arial" w:hAnsi="Arial"/>
          <w:sz w:val="21"/>
          <w:szCs w:val="21"/>
        </w:rPr>
        <w:t>/</w:t>
      </w:r>
      <w:r>
        <w:rPr>
          <w:rFonts w:ascii="Arial" w:hAnsi="Arial"/>
          <w:sz w:val="21"/>
          <w:szCs w:val="21"/>
        </w:rPr>
        <w:t>可比实例房地产实物状况条件指数）</w:t>
      </w:r>
    </w:p>
    <w:p w14:paraId="147159AC" w14:textId="77777777" w:rsidR="00000000" w:rsidRDefault="00000000">
      <w:pPr>
        <w:wordWrap w:val="0"/>
        <w:overflowPunct w:val="0"/>
        <w:spacing w:line="480" w:lineRule="auto"/>
        <w:ind w:firstLineChars="200" w:firstLine="420"/>
        <w:rPr>
          <w:rFonts w:ascii="Arial" w:hAnsi="Arial"/>
          <w:sz w:val="21"/>
          <w:szCs w:val="21"/>
        </w:rPr>
      </w:pPr>
      <w:r>
        <w:rPr>
          <w:rFonts w:ascii="Arial" w:hAnsi="Arial" w:hint="eastAsia"/>
          <w:sz w:val="21"/>
          <w:szCs w:val="21"/>
        </w:rPr>
        <w:t>（</w:t>
      </w:r>
      <w:r>
        <w:rPr>
          <w:rFonts w:ascii="Arial" w:hAnsi="Arial" w:hint="eastAsia"/>
          <w:sz w:val="21"/>
          <w:szCs w:val="21"/>
        </w:rPr>
        <w:t>4</w:t>
      </w:r>
      <w:r>
        <w:rPr>
          <w:rFonts w:ascii="Arial" w:hAnsi="Arial" w:hint="eastAsia"/>
          <w:sz w:val="21"/>
          <w:szCs w:val="21"/>
        </w:rPr>
        <w:t>）影响因素选择实例修正后的价值计算</w:t>
      </w:r>
      <w:r>
        <w:rPr>
          <w:rFonts w:ascii="Arial" w:hAnsi="Arial"/>
          <w:sz w:val="21"/>
          <w:szCs w:val="21"/>
        </w:rPr>
        <w:t xml:space="preserve"> </w:t>
      </w:r>
    </w:p>
    <w:p w14:paraId="5B89CA17" w14:textId="77777777" w:rsidR="00000000" w:rsidRDefault="00000000">
      <w:pPr>
        <w:overflowPunct w:val="0"/>
        <w:spacing w:line="480" w:lineRule="auto"/>
        <w:ind w:firstLineChars="200" w:firstLine="420"/>
        <w:jc w:val="both"/>
        <w:rPr>
          <w:rFonts w:ascii="Arial" w:hAnsi="Arial" w:hint="eastAsia"/>
          <w:sz w:val="21"/>
          <w:szCs w:val="21"/>
        </w:rPr>
      </w:pPr>
      <w:r>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Pr>
          <w:rFonts w:ascii="Arial" w:hAnsi="Arial" w:hint="eastAsia"/>
          <w:sz w:val="21"/>
          <w:szCs w:val="21"/>
        </w:rPr>
        <w:t>3</w:t>
      </w:r>
      <w:r>
        <w:rPr>
          <w:rFonts w:ascii="Arial" w:hAnsi="Arial"/>
          <w:sz w:val="21"/>
          <w:szCs w:val="21"/>
        </w:rPr>
        <w:t>个可比案例的比准价格的简单算术平均值作为</w:t>
      </w:r>
      <w:r>
        <w:rPr>
          <w:rFonts w:ascii="Arial" w:hAnsi="Arial" w:hint="eastAsia"/>
          <w:sz w:val="21"/>
          <w:szCs w:val="21"/>
        </w:rPr>
        <w:t>X13</w:t>
      </w:r>
      <w:r>
        <w:rPr>
          <w:rFonts w:ascii="Arial" w:hAnsi="Arial" w:hint="eastAsia"/>
          <w:sz w:val="21"/>
          <w:szCs w:val="21"/>
        </w:rPr>
        <w:t>海棠苑</w:t>
      </w:r>
      <w:r>
        <w:rPr>
          <w:rFonts w:ascii="Arial" w:hAnsi="Arial"/>
          <w:sz w:val="21"/>
          <w:szCs w:val="21"/>
        </w:rPr>
        <w:t>公租房项目的评估价格</w:t>
      </w:r>
      <w:r>
        <w:rPr>
          <w:rFonts w:ascii="Arial" w:hAnsi="Arial" w:hint="eastAsia"/>
          <w:sz w:val="21"/>
          <w:szCs w:val="21"/>
        </w:rPr>
        <w:t>。</w:t>
      </w:r>
    </w:p>
    <w:p w14:paraId="501AAD72" w14:textId="77777777" w:rsidR="00000000" w:rsidRDefault="00000000">
      <w:pPr>
        <w:wordWrap w:val="0"/>
        <w:overflowPunct w:val="0"/>
        <w:spacing w:line="480" w:lineRule="auto"/>
        <w:ind w:firstLineChars="200" w:firstLine="420"/>
        <w:rPr>
          <w:rFonts w:ascii="Arial" w:hAnsi="Arial" w:hint="eastAsia"/>
          <w:sz w:val="21"/>
          <w:szCs w:val="21"/>
        </w:rPr>
      </w:pPr>
      <w:r>
        <w:rPr>
          <w:rFonts w:ascii="Arial" w:hAnsi="Arial" w:hint="eastAsia"/>
          <w:sz w:val="21"/>
          <w:szCs w:val="21"/>
        </w:rPr>
        <w:t>即：（</w:t>
      </w:r>
      <w:r>
        <w:rPr>
          <w:rFonts w:ascii="Arial" w:hAnsi="Arial" w:hint="eastAsia"/>
          <w:sz w:val="21"/>
          <w:szCs w:val="21"/>
        </w:rPr>
        <w:t>53.64</w:t>
      </w:r>
      <w:r>
        <w:rPr>
          <w:rFonts w:ascii="Arial" w:hAnsi="Arial"/>
          <w:sz w:val="21"/>
          <w:szCs w:val="21"/>
        </w:rPr>
        <w:t>+</w:t>
      </w:r>
      <w:r>
        <w:rPr>
          <w:rFonts w:ascii="Arial" w:hAnsi="Arial" w:hint="eastAsia"/>
          <w:sz w:val="21"/>
          <w:szCs w:val="21"/>
        </w:rPr>
        <w:t>51.44+4</w:t>
      </w:r>
      <w:r>
        <w:rPr>
          <w:rFonts w:ascii="Arial" w:hAnsi="Arial"/>
          <w:sz w:val="21"/>
          <w:szCs w:val="21"/>
        </w:rPr>
        <w:t>8.</w:t>
      </w:r>
      <w:r>
        <w:rPr>
          <w:rFonts w:ascii="Arial" w:hAnsi="Arial" w:hint="eastAsia"/>
          <w:sz w:val="21"/>
          <w:szCs w:val="21"/>
        </w:rPr>
        <w:t>91</w:t>
      </w:r>
      <w:r>
        <w:rPr>
          <w:rFonts w:ascii="Arial" w:hAnsi="Arial" w:hint="eastAsia"/>
          <w:sz w:val="21"/>
          <w:szCs w:val="21"/>
        </w:rPr>
        <w:t>）÷</w:t>
      </w:r>
      <w:r>
        <w:rPr>
          <w:rFonts w:ascii="Arial" w:hAnsi="Arial" w:hint="eastAsia"/>
          <w:sz w:val="21"/>
          <w:szCs w:val="21"/>
        </w:rPr>
        <w:t>3</w:t>
      </w:r>
    </w:p>
    <w:p w14:paraId="2A7CC721" w14:textId="77777777" w:rsidR="00000000" w:rsidRDefault="00000000">
      <w:pPr>
        <w:wordWrap w:val="0"/>
        <w:overflowPunct w:val="0"/>
        <w:spacing w:line="480" w:lineRule="auto"/>
        <w:ind w:firstLineChars="200" w:firstLine="420"/>
        <w:rPr>
          <w:rFonts w:ascii="Arial" w:hAnsi="Arial"/>
          <w:sz w:val="21"/>
          <w:szCs w:val="21"/>
        </w:rPr>
      </w:pPr>
      <w:r>
        <w:rPr>
          <w:rFonts w:ascii="Arial" w:hAnsi="Arial" w:hint="eastAsia"/>
          <w:sz w:val="21"/>
          <w:szCs w:val="21"/>
        </w:rPr>
        <w:t xml:space="preserve">  =51.33</w:t>
      </w:r>
      <w:r>
        <w:rPr>
          <w:rFonts w:ascii="Arial" w:hAnsi="Arial" w:hint="eastAsia"/>
          <w:sz w:val="21"/>
          <w:szCs w:val="21"/>
        </w:rPr>
        <w:t>（元</w:t>
      </w:r>
      <w:r>
        <w:rPr>
          <w:rFonts w:ascii="Arial" w:hAnsi="Arial" w:hint="eastAsia"/>
          <w:sz w:val="21"/>
          <w:szCs w:val="21"/>
        </w:rPr>
        <w:t>/</w:t>
      </w:r>
      <w:r>
        <w:rPr>
          <w:rFonts w:ascii="Arial" w:hAnsi="Arial" w:hint="eastAsia"/>
          <w:sz w:val="21"/>
          <w:szCs w:val="21"/>
        </w:rPr>
        <w:t>平方米·月）</w:t>
      </w:r>
    </w:p>
    <w:p w14:paraId="0FF0193A" w14:textId="77777777" w:rsidR="00000000" w:rsidRDefault="00000000">
      <w:pPr>
        <w:overflowPunct w:val="0"/>
        <w:spacing w:line="480" w:lineRule="auto"/>
        <w:ind w:firstLineChars="200" w:firstLine="420"/>
        <w:jc w:val="both"/>
        <w:rPr>
          <w:rFonts w:ascii="Arial" w:hAnsi="Arial"/>
          <w:sz w:val="21"/>
          <w:szCs w:val="21"/>
        </w:rPr>
      </w:pPr>
      <w:r>
        <w:rPr>
          <w:rFonts w:ascii="Arial" w:hAnsi="Arial"/>
          <w:sz w:val="21"/>
          <w:szCs w:val="21"/>
        </w:rPr>
        <w:t>比较法评估估价对象房地产于价值时点过去</w:t>
      </w:r>
      <w:r>
        <w:rPr>
          <w:rFonts w:ascii="Arial" w:hAnsi="Arial"/>
          <w:sz w:val="21"/>
          <w:szCs w:val="21"/>
        </w:rPr>
        <w:t xml:space="preserve"> 12 </w:t>
      </w:r>
      <w:r>
        <w:rPr>
          <w:rFonts w:ascii="Arial" w:hAnsi="Arial"/>
          <w:sz w:val="21"/>
          <w:szCs w:val="21"/>
        </w:rPr>
        <w:t>个月的月平均市场租金水平为</w:t>
      </w:r>
      <w:r>
        <w:rPr>
          <w:rFonts w:ascii="Arial" w:hAnsi="Arial" w:hint="eastAsia"/>
          <w:sz w:val="21"/>
          <w:szCs w:val="21"/>
        </w:rPr>
        <w:t>51.33</w:t>
      </w:r>
      <w:r>
        <w:rPr>
          <w:rFonts w:ascii="Arial" w:hAnsi="Arial" w:hint="eastAsia"/>
          <w:sz w:val="21"/>
          <w:szCs w:val="21"/>
        </w:rPr>
        <w:t>元</w:t>
      </w:r>
      <w:r>
        <w:rPr>
          <w:rFonts w:ascii="Arial" w:hAnsi="Arial" w:hint="eastAsia"/>
          <w:sz w:val="21"/>
          <w:szCs w:val="21"/>
        </w:rPr>
        <w:t>/</w:t>
      </w:r>
      <w:r>
        <w:rPr>
          <w:rFonts w:ascii="Arial" w:hAnsi="Arial" w:hint="eastAsia"/>
          <w:sz w:val="21"/>
          <w:szCs w:val="21"/>
        </w:rPr>
        <w:t>平方</w:t>
      </w:r>
      <w:r>
        <w:rPr>
          <w:rFonts w:ascii="Arial" w:hAnsi="Arial" w:hint="eastAsia"/>
          <w:sz w:val="21"/>
          <w:szCs w:val="21"/>
        </w:rPr>
        <w:lastRenderedPageBreak/>
        <w:t>米·</w:t>
      </w:r>
      <w:r>
        <w:rPr>
          <w:rFonts w:ascii="Arial" w:hAnsi="Arial"/>
          <w:sz w:val="21"/>
          <w:szCs w:val="21"/>
        </w:rPr>
        <w:t>月</w:t>
      </w:r>
      <w:r>
        <w:rPr>
          <w:rFonts w:ascii="Arial" w:hAnsi="Arial" w:hint="eastAsia"/>
          <w:sz w:val="21"/>
          <w:szCs w:val="21"/>
        </w:rPr>
        <w:t>。</w:t>
      </w:r>
      <w:r>
        <w:rPr>
          <w:rFonts w:ascii="Arial" w:hAnsi="Arial"/>
          <w:sz w:val="21"/>
          <w:szCs w:val="21"/>
        </w:rPr>
        <w:t xml:space="preserve"> </w:t>
      </w:r>
    </w:p>
    <w:p w14:paraId="0904908D" w14:textId="77777777" w:rsidR="00000000" w:rsidRDefault="00000000">
      <w:pPr>
        <w:wordWrap w:val="0"/>
        <w:overflowPunct w:val="0"/>
        <w:spacing w:line="480" w:lineRule="auto"/>
        <w:ind w:firstLineChars="200" w:firstLine="420"/>
        <w:rPr>
          <w:rFonts w:ascii="Arial" w:hAnsi="Arial"/>
          <w:sz w:val="21"/>
          <w:szCs w:val="21"/>
        </w:rPr>
      </w:pPr>
      <w:r>
        <w:rPr>
          <w:rFonts w:ascii="Arial" w:hAnsi="Arial" w:hint="eastAsia"/>
          <w:sz w:val="21"/>
          <w:szCs w:val="21"/>
        </w:rPr>
        <w:t>（</w:t>
      </w:r>
      <w:r>
        <w:rPr>
          <w:rFonts w:ascii="Arial" w:hAnsi="Arial" w:hint="eastAsia"/>
          <w:sz w:val="21"/>
          <w:szCs w:val="21"/>
        </w:rPr>
        <w:t>5</w:t>
      </w:r>
      <w:r>
        <w:rPr>
          <w:rFonts w:ascii="Arial" w:hAnsi="Arial" w:hint="eastAsia"/>
          <w:sz w:val="21"/>
          <w:szCs w:val="21"/>
        </w:rPr>
        <w:t>）根据</w:t>
      </w:r>
      <w:r>
        <w:rPr>
          <w:rFonts w:ascii="Arial" w:hAnsi="Arial" w:hint="eastAsia"/>
          <w:sz w:val="21"/>
          <w:szCs w:val="21"/>
        </w:rPr>
        <w:t>X13</w:t>
      </w:r>
      <w:r>
        <w:rPr>
          <w:rFonts w:ascii="Arial" w:hAnsi="Arial" w:hint="eastAsia"/>
          <w:sz w:val="21"/>
          <w:szCs w:val="21"/>
        </w:rPr>
        <w:t>海棠苑标准房租金修后得到</w:t>
      </w:r>
      <w:r>
        <w:rPr>
          <w:rFonts w:ascii="Arial" w:hAnsi="Arial" w:hint="eastAsia"/>
          <w:sz w:val="21"/>
          <w:szCs w:val="21"/>
        </w:rPr>
        <w:t>X</w:t>
      </w:r>
      <w:r>
        <w:rPr>
          <w:rFonts w:ascii="Arial" w:hAnsi="Arial"/>
          <w:sz w:val="21"/>
          <w:szCs w:val="21"/>
        </w:rPr>
        <w:t>38</w:t>
      </w:r>
      <w:r>
        <w:rPr>
          <w:rFonts w:ascii="Arial" w:hAnsi="Arial" w:hint="eastAsia"/>
          <w:sz w:val="21"/>
          <w:szCs w:val="21"/>
        </w:rPr>
        <w:t>鹿海园五里租金</w:t>
      </w:r>
    </w:p>
    <w:tbl>
      <w:tblPr>
        <w:tblW w:w="5000" w:type="pct"/>
        <w:jc w:val="center"/>
        <w:tblInd w:w="0" w:type="dxa"/>
        <w:tblLook w:val="0000" w:firstRow="0" w:lastRow="0" w:firstColumn="0" w:lastColumn="0" w:noHBand="0" w:noVBand="0"/>
      </w:tblPr>
      <w:tblGrid>
        <w:gridCol w:w="936"/>
        <w:gridCol w:w="1384"/>
        <w:gridCol w:w="2473"/>
        <w:gridCol w:w="986"/>
        <w:gridCol w:w="2629"/>
        <w:gridCol w:w="881"/>
      </w:tblGrid>
      <w:tr w:rsidR="00000000" w14:paraId="54452447" w14:textId="77777777">
        <w:trPr>
          <w:trHeight w:val="270"/>
          <w:jc w:val="center"/>
        </w:trPr>
        <w:tc>
          <w:tcPr>
            <w:tcW w:w="1249" w:type="pct"/>
            <w:gridSpan w:val="2"/>
            <w:tcBorders>
              <w:top w:val="single" w:sz="4" w:space="0" w:color="auto"/>
              <w:left w:val="single" w:sz="4" w:space="0" w:color="auto"/>
              <w:bottom w:val="single" w:sz="4" w:space="0" w:color="auto"/>
              <w:right w:val="single" w:sz="4" w:space="0" w:color="auto"/>
            </w:tcBorders>
            <w:vAlign w:val="center"/>
          </w:tcPr>
          <w:p w14:paraId="0F2A39D5"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小区名称</w:t>
            </w:r>
          </w:p>
        </w:tc>
        <w:tc>
          <w:tcPr>
            <w:tcW w:w="1862" w:type="pct"/>
            <w:gridSpan w:val="2"/>
            <w:tcBorders>
              <w:top w:val="single" w:sz="4" w:space="0" w:color="auto"/>
              <w:left w:val="nil"/>
              <w:bottom w:val="single" w:sz="4" w:space="0" w:color="auto"/>
              <w:right w:val="single" w:sz="4" w:space="0" w:color="000000"/>
            </w:tcBorders>
            <w:vAlign w:val="center"/>
          </w:tcPr>
          <w:p w14:paraId="61F9543A"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X13</w:t>
            </w:r>
            <w:r>
              <w:rPr>
                <w:rFonts w:ascii="Arial" w:eastAsia="华文细黑" w:hAnsi="Arial" w:cs="Arial" w:hint="eastAsia"/>
                <w:sz w:val="18"/>
                <w:szCs w:val="18"/>
              </w:rPr>
              <w:t>海棠苑</w:t>
            </w:r>
          </w:p>
        </w:tc>
        <w:tc>
          <w:tcPr>
            <w:tcW w:w="1889" w:type="pct"/>
            <w:gridSpan w:val="2"/>
            <w:tcBorders>
              <w:top w:val="single" w:sz="4" w:space="0" w:color="auto"/>
              <w:left w:val="nil"/>
              <w:bottom w:val="single" w:sz="4" w:space="0" w:color="auto"/>
              <w:right w:val="single" w:sz="4" w:space="0" w:color="000000"/>
            </w:tcBorders>
            <w:vAlign w:val="center"/>
          </w:tcPr>
          <w:p w14:paraId="35212996"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X38</w:t>
            </w:r>
            <w:r>
              <w:rPr>
                <w:rFonts w:ascii="Arial" w:eastAsia="华文细黑" w:hAnsi="Arial" w:cs="Arial" w:hint="eastAsia"/>
                <w:sz w:val="18"/>
                <w:szCs w:val="18"/>
              </w:rPr>
              <w:t>鹿海园五里</w:t>
            </w:r>
          </w:p>
        </w:tc>
      </w:tr>
      <w:tr w:rsidR="00000000" w14:paraId="4D7CE97B" w14:textId="77777777">
        <w:trPr>
          <w:trHeight w:val="303"/>
          <w:jc w:val="center"/>
        </w:trPr>
        <w:tc>
          <w:tcPr>
            <w:tcW w:w="1249" w:type="pct"/>
            <w:gridSpan w:val="2"/>
            <w:tcBorders>
              <w:top w:val="single" w:sz="4" w:space="0" w:color="auto"/>
              <w:left w:val="single" w:sz="4" w:space="0" w:color="auto"/>
              <w:bottom w:val="single" w:sz="4" w:space="0" w:color="auto"/>
              <w:right w:val="single" w:sz="4" w:space="0" w:color="auto"/>
            </w:tcBorders>
            <w:vAlign w:val="center"/>
          </w:tcPr>
          <w:p w14:paraId="7B8D87E3"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平均租金（元</w:t>
            </w:r>
            <w:r>
              <w:rPr>
                <w:rFonts w:ascii="Arial" w:eastAsia="华文细黑" w:hAnsi="Arial" w:cs="Arial" w:hint="eastAsia"/>
                <w:sz w:val="18"/>
                <w:szCs w:val="18"/>
              </w:rPr>
              <w:t>/</w:t>
            </w:r>
            <w:r>
              <w:rPr>
                <w:rFonts w:ascii="Arial" w:eastAsia="华文细黑" w:hAnsi="Arial" w:cs="Arial" w:hint="eastAsia"/>
                <w:sz w:val="18"/>
                <w:szCs w:val="18"/>
              </w:rPr>
              <w:t>平方米·月）</w:t>
            </w:r>
          </w:p>
        </w:tc>
        <w:tc>
          <w:tcPr>
            <w:tcW w:w="1862" w:type="pct"/>
            <w:gridSpan w:val="2"/>
            <w:tcBorders>
              <w:top w:val="single" w:sz="4" w:space="0" w:color="auto"/>
              <w:left w:val="nil"/>
              <w:bottom w:val="single" w:sz="4" w:space="0" w:color="auto"/>
              <w:right w:val="single" w:sz="4" w:space="0" w:color="000000"/>
            </w:tcBorders>
            <w:vAlign w:val="center"/>
          </w:tcPr>
          <w:p w14:paraId="7FA31655" w14:textId="77777777" w:rsidR="00000000" w:rsidRDefault="00000000">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51.33</w:t>
            </w:r>
          </w:p>
        </w:tc>
        <w:tc>
          <w:tcPr>
            <w:tcW w:w="1889" w:type="pct"/>
            <w:gridSpan w:val="2"/>
            <w:tcBorders>
              <w:top w:val="single" w:sz="4" w:space="0" w:color="auto"/>
              <w:left w:val="nil"/>
              <w:bottom w:val="single" w:sz="4" w:space="0" w:color="auto"/>
              <w:right w:val="single" w:sz="4" w:space="0" w:color="000000"/>
            </w:tcBorders>
            <w:vAlign w:val="center"/>
          </w:tcPr>
          <w:p w14:paraId="2E9CB949"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待估</w:t>
            </w:r>
          </w:p>
        </w:tc>
      </w:tr>
      <w:tr w:rsidR="00000000" w14:paraId="63A38B20" w14:textId="77777777">
        <w:trPr>
          <w:trHeight w:val="264"/>
          <w:jc w:val="center"/>
        </w:trPr>
        <w:tc>
          <w:tcPr>
            <w:tcW w:w="1249" w:type="pct"/>
            <w:gridSpan w:val="2"/>
            <w:tcBorders>
              <w:top w:val="single" w:sz="4" w:space="0" w:color="auto"/>
              <w:left w:val="single" w:sz="4" w:space="0" w:color="auto"/>
              <w:bottom w:val="single" w:sz="4" w:space="0" w:color="auto"/>
              <w:right w:val="single" w:sz="4" w:space="0" w:color="auto"/>
            </w:tcBorders>
            <w:vAlign w:val="center"/>
          </w:tcPr>
          <w:p w14:paraId="4C15E3DB"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交易时间</w:t>
            </w:r>
          </w:p>
        </w:tc>
        <w:tc>
          <w:tcPr>
            <w:tcW w:w="1331" w:type="pct"/>
            <w:tcBorders>
              <w:top w:val="nil"/>
              <w:left w:val="nil"/>
              <w:bottom w:val="single" w:sz="4" w:space="0" w:color="auto"/>
              <w:right w:val="single" w:sz="4" w:space="0" w:color="auto"/>
            </w:tcBorders>
            <w:vAlign w:val="center"/>
          </w:tcPr>
          <w:p w14:paraId="7ED33008"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于价值时点过去</w:t>
            </w:r>
            <w:r>
              <w:rPr>
                <w:rFonts w:ascii="Arial" w:eastAsia="华文细黑" w:hAnsi="Arial" w:cs="Arial" w:hint="eastAsia"/>
                <w:sz w:val="18"/>
                <w:szCs w:val="18"/>
              </w:rPr>
              <w:t>12</w:t>
            </w:r>
            <w:r>
              <w:rPr>
                <w:rFonts w:ascii="Arial" w:eastAsia="华文细黑" w:hAnsi="Arial" w:cs="Arial" w:hint="eastAsia"/>
                <w:sz w:val="18"/>
                <w:szCs w:val="18"/>
              </w:rPr>
              <w:t>个月</w:t>
            </w:r>
          </w:p>
        </w:tc>
        <w:tc>
          <w:tcPr>
            <w:tcW w:w="531" w:type="pct"/>
            <w:tcBorders>
              <w:top w:val="nil"/>
              <w:left w:val="nil"/>
              <w:bottom w:val="single" w:sz="4" w:space="0" w:color="auto"/>
              <w:right w:val="single" w:sz="4" w:space="0" w:color="auto"/>
            </w:tcBorders>
            <w:noWrap/>
            <w:vAlign w:val="center"/>
          </w:tcPr>
          <w:p w14:paraId="06E69D31"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1415" w:type="pct"/>
            <w:tcBorders>
              <w:top w:val="nil"/>
              <w:left w:val="nil"/>
              <w:bottom w:val="single" w:sz="4" w:space="0" w:color="auto"/>
              <w:right w:val="single" w:sz="4" w:space="0" w:color="auto"/>
            </w:tcBorders>
            <w:vAlign w:val="center"/>
          </w:tcPr>
          <w:p w14:paraId="5829250F"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于价值时点过去</w:t>
            </w:r>
            <w:r>
              <w:rPr>
                <w:rFonts w:ascii="Arial" w:eastAsia="华文细黑" w:hAnsi="Arial" w:cs="Arial" w:hint="eastAsia"/>
                <w:sz w:val="18"/>
                <w:szCs w:val="18"/>
              </w:rPr>
              <w:t>12</w:t>
            </w:r>
            <w:r>
              <w:rPr>
                <w:rFonts w:ascii="Arial" w:eastAsia="华文细黑" w:hAnsi="Arial" w:cs="Arial" w:hint="eastAsia"/>
                <w:sz w:val="18"/>
                <w:szCs w:val="18"/>
              </w:rPr>
              <w:t>个月</w:t>
            </w:r>
          </w:p>
        </w:tc>
        <w:tc>
          <w:tcPr>
            <w:tcW w:w="474" w:type="pct"/>
            <w:tcBorders>
              <w:top w:val="nil"/>
              <w:left w:val="nil"/>
              <w:bottom w:val="single" w:sz="4" w:space="0" w:color="auto"/>
              <w:right w:val="single" w:sz="4" w:space="0" w:color="auto"/>
            </w:tcBorders>
            <w:noWrap/>
            <w:vAlign w:val="center"/>
          </w:tcPr>
          <w:p w14:paraId="3D7F9C7F"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r>
      <w:tr w:rsidR="00000000" w14:paraId="7FF47FC9" w14:textId="77777777">
        <w:trPr>
          <w:trHeight w:val="270"/>
          <w:jc w:val="center"/>
        </w:trPr>
        <w:tc>
          <w:tcPr>
            <w:tcW w:w="1249" w:type="pct"/>
            <w:gridSpan w:val="2"/>
            <w:tcBorders>
              <w:top w:val="single" w:sz="4" w:space="0" w:color="auto"/>
              <w:left w:val="single" w:sz="4" w:space="0" w:color="auto"/>
              <w:bottom w:val="single" w:sz="4" w:space="0" w:color="auto"/>
              <w:right w:val="single" w:sz="4" w:space="0" w:color="auto"/>
            </w:tcBorders>
            <w:vAlign w:val="center"/>
          </w:tcPr>
          <w:p w14:paraId="141D4669"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交易情况</w:t>
            </w:r>
          </w:p>
        </w:tc>
        <w:tc>
          <w:tcPr>
            <w:tcW w:w="1331" w:type="pct"/>
            <w:tcBorders>
              <w:top w:val="nil"/>
              <w:left w:val="nil"/>
              <w:bottom w:val="single" w:sz="4" w:space="0" w:color="auto"/>
              <w:right w:val="single" w:sz="4" w:space="0" w:color="auto"/>
            </w:tcBorders>
            <w:vAlign w:val="center"/>
          </w:tcPr>
          <w:p w14:paraId="4222E051"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正常</w:t>
            </w:r>
          </w:p>
        </w:tc>
        <w:tc>
          <w:tcPr>
            <w:tcW w:w="531" w:type="pct"/>
            <w:tcBorders>
              <w:top w:val="nil"/>
              <w:left w:val="nil"/>
              <w:bottom w:val="single" w:sz="4" w:space="0" w:color="auto"/>
              <w:right w:val="single" w:sz="4" w:space="0" w:color="auto"/>
            </w:tcBorders>
            <w:vAlign w:val="center"/>
          </w:tcPr>
          <w:p w14:paraId="4F0469C7"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1415" w:type="pct"/>
            <w:tcBorders>
              <w:top w:val="nil"/>
              <w:left w:val="nil"/>
              <w:bottom w:val="single" w:sz="4" w:space="0" w:color="auto"/>
              <w:right w:val="single" w:sz="4" w:space="0" w:color="auto"/>
            </w:tcBorders>
            <w:vAlign w:val="center"/>
          </w:tcPr>
          <w:p w14:paraId="775AD5C6"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正常</w:t>
            </w:r>
          </w:p>
        </w:tc>
        <w:tc>
          <w:tcPr>
            <w:tcW w:w="474" w:type="pct"/>
            <w:tcBorders>
              <w:top w:val="nil"/>
              <w:left w:val="nil"/>
              <w:bottom w:val="single" w:sz="4" w:space="0" w:color="auto"/>
              <w:right w:val="single" w:sz="4" w:space="0" w:color="auto"/>
            </w:tcBorders>
            <w:vAlign w:val="center"/>
          </w:tcPr>
          <w:p w14:paraId="72C80F01"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r>
      <w:tr w:rsidR="00000000" w14:paraId="3C4F2AD0" w14:textId="77777777">
        <w:trPr>
          <w:trHeight w:val="1313"/>
          <w:jc w:val="center"/>
        </w:trPr>
        <w:tc>
          <w:tcPr>
            <w:tcW w:w="504" w:type="pct"/>
            <w:vMerge w:val="restart"/>
            <w:tcBorders>
              <w:top w:val="nil"/>
              <w:left w:val="single" w:sz="4" w:space="0" w:color="auto"/>
              <w:bottom w:val="single" w:sz="4" w:space="0" w:color="000000"/>
              <w:right w:val="single" w:sz="4" w:space="0" w:color="auto"/>
            </w:tcBorders>
            <w:noWrap/>
            <w:vAlign w:val="center"/>
          </w:tcPr>
          <w:p w14:paraId="61D74DE9"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区域状况</w:t>
            </w:r>
          </w:p>
        </w:tc>
        <w:tc>
          <w:tcPr>
            <w:tcW w:w="745" w:type="pct"/>
            <w:tcBorders>
              <w:top w:val="nil"/>
              <w:left w:val="nil"/>
              <w:bottom w:val="single" w:sz="4" w:space="0" w:color="auto"/>
              <w:right w:val="single" w:sz="4" w:space="0" w:color="auto"/>
            </w:tcBorders>
            <w:vAlign w:val="center"/>
          </w:tcPr>
          <w:p w14:paraId="1BD4C248"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居住区成熟度</w:t>
            </w:r>
          </w:p>
        </w:tc>
        <w:tc>
          <w:tcPr>
            <w:tcW w:w="1331" w:type="pct"/>
            <w:tcBorders>
              <w:top w:val="nil"/>
              <w:left w:val="nil"/>
              <w:bottom w:val="single" w:sz="4" w:space="0" w:color="auto"/>
              <w:right w:val="single" w:sz="4" w:space="0" w:color="auto"/>
            </w:tcBorders>
            <w:vAlign w:val="center"/>
          </w:tcPr>
          <w:p w14:paraId="4C2E0771"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周边有观海苑、泰河园小区、中芯花园、悦廷、鹿海园、南海家园、博客雅苑等居住小区，居住小区规模较大，入住率较高，综合评价居住区成熟度较好。</w:t>
            </w:r>
          </w:p>
        </w:tc>
        <w:tc>
          <w:tcPr>
            <w:tcW w:w="531" w:type="pct"/>
            <w:tcBorders>
              <w:top w:val="nil"/>
              <w:left w:val="nil"/>
              <w:bottom w:val="single" w:sz="4" w:space="0" w:color="auto"/>
              <w:right w:val="single" w:sz="4" w:space="0" w:color="auto"/>
            </w:tcBorders>
            <w:vAlign w:val="center"/>
          </w:tcPr>
          <w:p w14:paraId="1CE0583D"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1415" w:type="pct"/>
            <w:tcBorders>
              <w:top w:val="nil"/>
              <w:left w:val="nil"/>
              <w:bottom w:val="single" w:sz="4" w:space="0" w:color="auto"/>
              <w:right w:val="single" w:sz="4" w:space="0" w:color="auto"/>
            </w:tcBorders>
            <w:vAlign w:val="center"/>
          </w:tcPr>
          <w:p w14:paraId="65A5DBFF"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周边有南海家园、亦庄金茂悦、北京城建海梓府、亦城亦景家园、博客雅苑等居住小区，居住小区规模较大，入住率较高，综合评价居住区成熟度较好。</w:t>
            </w:r>
          </w:p>
        </w:tc>
        <w:tc>
          <w:tcPr>
            <w:tcW w:w="474" w:type="pct"/>
            <w:tcBorders>
              <w:top w:val="nil"/>
              <w:left w:val="nil"/>
              <w:bottom w:val="single" w:sz="4" w:space="0" w:color="auto"/>
              <w:right w:val="single" w:sz="4" w:space="0" w:color="auto"/>
            </w:tcBorders>
            <w:vAlign w:val="center"/>
          </w:tcPr>
          <w:p w14:paraId="26F5BC8D"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r>
      <w:tr w:rsidR="00000000" w14:paraId="514949B5" w14:textId="77777777">
        <w:trPr>
          <w:trHeight w:val="2134"/>
          <w:jc w:val="center"/>
        </w:trPr>
        <w:tc>
          <w:tcPr>
            <w:tcW w:w="504" w:type="pct"/>
            <w:vMerge/>
            <w:tcBorders>
              <w:top w:val="nil"/>
              <w:left w:val="single" w:sz="4" w:space="0" w:color="auto"/>
              <w:bottom w:val="single" w:sz="4" w:space="0" w:color="000000"/>
              <w:right w:val="single" w:sz="4" w:space="0" w:color="auto"/>
            </w:tcBorders>
            <w:vAlign w:val="center"/>
          </w:tcPr>
          <w:p w14:paraId="442A533E" w14:textId="77777777" w:rsidR="00000000" w:rsidRDefault="00000000">
            <w:pPr>
              <w:widowControl/>
              <w:adjustRightInd/>
              <w:spacing w:line="240" w:lineRule="auto"/>
              <w:jc w:val="center"/>
              <w:textAlignment w:val="auto"/>
              <w:rPr>
                <w:rFonts w:ascii="Arial" w:eastAsia="华文细黑" w:hAnsi="Arial" w:cs="Arial" w:hint="eastAsia"/>
                <w:sz w:val="18"/>
                <w:szCs w:val="18"/>
              </w:rPr>
            </w:pPr>
          </w:p>
        </w:tc>
        <w:tc>
          <w:tcPr>
            <w:tcW w:w="745" w:type="pct"/>
            <w:tcBorders>
              <w:top w:val="nil"/>
              <w:left w:val="nil"/>
              <w:bottom w:val="single" w:sz="4" w:space="0" w:color="auto"/>
              <w:right w:val="single" w:sz="4" w:space="0" w:color="auto"/>
            </w:tcBorders>
            <w:vAlign w:val="center"/>
          </w:tcPr>
          <w:p w14:paraId="26C837A8"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交通条件</w:t>
            </w:r>
          </w:p>
        </w:tc>
        <w:tc>
          <w:tcPr>
            <w:tcW w:w="1331" w:type="pct"/>
            <w:tcBorders>
              <w:top w:val="nil"/>
              <w:left w:val="nil"/>
              <w:bottom w:val="single" w:sz="4" w:space="0" w:color="auto"/>
              <w:right w:val="single" w:sz="4" w:space="0" w:color="auto"/>
            </w:tcBorders>
            <w:vAlign w:val="center"/>
          </w:tcPr>
          <w:p w14:paraId="6A0C0278"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紧邻城市支路——凉水河二街，距南六环路约</w:t>
            </w:r>
            <w:r>
              <w:rPr>
                <w:rFonts w:ascii="Arial" w:eastAsia="华文细黑" w:hAnsi="Arial" w:cs="Arial" w:hint="eastAsia"/>
                <w:sz w:val="18"/>
                <w:szCs w:val="18"/>
              </w:rPr>
              <w:t>3.4</w:t>
            </w:r>
            <w:r>
              <w:rPr>
                <w:rFonts w:ascii="Arial" w:eastAsia="华文细黑" w:hAnsi="Arial" w:cs="Arial" w:hint="eastAsia"/>
                <w:sz w:val="18"/>
                <w:szCs w:val="18"/>
              </w:rPr>
              <w:t>公里，路网密集度较好；周边有公交车站（鹿海园），停靠线路有</w:t>
            </w:r>
            <w:r>
              <w:rPr>
                <w:rFonts w:ascii="Arial" w:eastAsia="华文细黑" w:hAnsi="Arial" w:cs="Arial" w:hint="eastAsia"/>
                <w:sz w:val="18"/>
                <w:szCs w:val="18"/>
              </w:rPr>
              <w:t>573</w:t>
            </w:r>
            <w:r>
              <w:rPr>
                <w:rFonts w:ascii="Arial" w:eastAsia="华文细黑" w:hAnsi="Arial" w:cs="Arial" w:hint="eastAsia"/>
                <w:sz w:val="18"/>
                <w:szCs w:val="18"/>
              </w:rPr>
              <w:t>路、</w:t>
            </w:r>
            <w:r>
              <w:rPr>
                <w:rFonts w:ascii="Arial" w:eastAsia="华文细黑" w:hAnsi="Arial" w:cs="Arial" w:hint="eastAsia"/>
                <w:sz w:val="18"/>
                <w:szCs w:val="18"/>
              </w:rPr>
              <w:t>580</w:t>
            </w:r>
            <w:r>
              <w:rPr>
                <w:rFonts w:ascii="Arial" w:eastAsia="华文细黑" w:hAnsi="Arial" w:cs="Arial" w:hint="eastAsia"/>
                <w:sz w:val="18"/>
                <w:szCs w:val="18"/>
              </w:rPr>
              <w:t>路、</w:t>
            </w:r>
            <w:r>
              <w:rPr>
                <w:rFonts w:ascii="Arial" w:eastAsia="华文细黑" w:hAnsi="Arial" w:cs="Arial" w:hint="eastAsia"/>
                <w:sz w:val="18"/>
                <w:szCs w:val="18"/>
              </w:rPr>
              <w:t>599</w:t>
            </w:r>
            <w:r>
              <w:rPr>
                <w:rFonts w:ascii="Arial" w:eastAsia="华文细黑" w:hAnsi="Arial" w:cs="Arial" w:hint="eastAsia"/>
                <w:sz w:val="18"/>
                <w:szCs w:val="18"/>
              </w:rPr>
              <w:t>路、</w:t>
            </w:r>
            <w:r>
              <w:rPr>
                <w:rFonts w:ascii="Arial" w:eastAsia="华文细黑" w:hAnsi="Arial" w:cs="Arial" w:hint="eastAsia"/>
                <w:sz w:val="18"/>
                <w:szCs w:val="18"/>
              </w:rPr>
              <w:t>665</w:t>
            </w:r>
            <w:r>
              <w:rPr>
                <w:rFonts w:ascii="Arial" w:eastAsia="华文细黑" w:hAnsi="Arial" w:cs="Arial" w:hint="eastAsia"/>
                <w:sz w:val="18"/>
                <w:szCs w:val="18"/>
              </w:rPr>
              <w:t>路、兴</w:t>
            </w:r>
            <w:r>
              <w:rPr>
                <w:rFonts w:ascii="Arial" w:eastAsia="华文细黑" w:hAnsi="Arial" w:cs="Arial" w:hint="eastAsia"/>
                <w:sz w:val="18"/>
                <w:szCs w:val="18"/>
              </w:rPr>
              <w:t>78</w:t>
            </w:r>
            <w:r>
              <w:rPr>
                <w:rFonts w:ascii="Arial" w:eastAsia="华文细黑" w:hAnsi="Arial" w:cs="Arial" w:hint="eastAsia"/>
                <w:sz w:val="18"/>
                <w:szCs w:val="18"/>
              </w:rPr>
              <w:t>路等十余条公交线路，距离地铁亦庄</w:t>
            </w:r>
            <w:r>
              <w:rPr>
                <w:rFonts w:ascii="Arial" w:eastAsia="华文细黑" w:hAnsi="Arial" w:cs="Arial" w:hint="eastAsia"/>
                <w:sz w:val="18"/>
                <w:szCs w:val="18"/>
              </w:rPr>
              <w:t>T1</w:t>
            </w:r>
            <w:r>
              <w:rPr>
                <w:rFonts w:ascii="Arial" w:eastAsia="华文细黑" w:hAnsi="Arial" w:cs="Arial" w:hint="eastAsia"/>
                <w:sz w:val="18"/>
                <w:szCs w:val="18"/>
              </w:rPr>
              <w:t>线（鹿圈东站）约</w:t>
            </w:r>
            <w:r>
              <w:rPr>
                <w:rFonts w:ascii="Arial" w:eastAsia="华文细黑" w:hAnsi="Arial" w:cs="Arial" w:hint="eastAsia"/>
                <w:sz w:val="18"/>
                <w:szCs w:val="18"/>
              </w:rPr>
              <w:t>1500</w:t>
            </w:r>
            <w:r>
              <w:rPr>
                <w:rFonts w:ascii="Arial" w:eastAsia="华文细黑" w:hAnsi="Arial" w:cs="Arial" w:hint="eastAsia"/>
                <w:sz w:val="18"/>
                <w:szCs w:val="18"/>
              </w:rPr>
              <w:t>米，道路通达度较好，综合评价交通便捷度较好。</w:t>
            </w:r>
          </w:p>
        </w:tc>
        <w:tc>
          <w:tcPr>
            <w:tcW w:w="531" w:type="pct"/>
            <w:tcBorders>
              <w:top w:val="nil"/>
              <w:left w:val="nil"/>
              <w:bottom w:val="single" w:sz="4" w:space="0" w:color="auto"/>
              <w:right w:val="single" w:sz="4" w:space="0" w:color="auto"/>
            </w:tcBorders>
            <w:vAlign w:val="center"/>
          </w:tcPr>
          <w:p w14:paraId="69C798A6"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1415" w:type="pct"/>
            <w:tcBorders>
              <w:top w:val="nil"/>
              <w:left w:val="nil"/>
              <w:bottom w:val="single" w:sz="4" w:space="0" w:color="auto"/>
              <w:right w:val="single" w:sz="4" w:space="0" w:color="auto"/>
            </w:tcBorders>
            <w:vAlign w:val="center"/>
          </w:tcPr>
          <w:p w14:paraId="2937F717"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紧邻城市次干道——泰河二街，距南六环路约</w:t>
            </w:r>
            <w:r>
              <w:rPr>
                <w:rFonts w:ascii="Arial" w:eastAsia="华文细黑" w:hAnsi="Arial" w:cs="Arial" w:hint="eastAsia"/>
                <w:sz w:val="18"/>
                <w:szCs w:val="18"/>
              </w:rPr>
              <w:t>2.1</w:t>
            </w:r>
            <w:r>
              <w:rPr>
                <w:rFonts w:ascii="Arial" w:eastAsia="华文细黑" w:hAnsi="Arial" w:cs="Arial" w:hint="eastAsia"/>
                <w:sz w:val="18"/>
                <w:szCs w:val="18"/>
              </w:rPr>
              <w:t>公里，路网密集度较好；周边有公交车站（鹿海园五里东门），停靠线路有</w:t>
            </w:r>
            <w:r>
              <w:rPr>
                <w:rFonts w:ascii="Arial" w:eastAsia="华文细黑" w:hAnsi="Arial" w:cs="Arial" w:hint="eastAsia"/>
                <w:sz w:val="18"/>
                <w:szCs w:val="18"/>
              </w:rPr>
              <w:t>578</w:t>
            </w:r>
            <w:r>
              <w:rPr>
                <w:rFonts w:ascii="Arial" w:eastAsia="华文细黑" w:hAnsi="Arial" w:cs="Arial" w:hint="eastAsia"/>
                <w:sz w:val="18"/>
                <w:szCs w:val="18"/>
              </w:rPr>
              <w:t>路、</w:t>
            </w:r>
            <w:r>
              <w:rPr>
                <w:rFonts w:ascii="Arial" w:eastAsia="华文细黑" w:hAnsi="Arial" w:cs="Arial" w:hint="eastAsia"/>
                <w:sz w:val="18"/>
                <w:szCs w:val="18"/>
              </w:rPr>
              <w:t>580</w:t>
            </w:r>
            <w:r>
              <w:rPr>
                <w:rFonts w:ascii="Arial" w:eastAsia="华文细黑" w:hAnsi="Arial" w:cs="Arial" w:hint="eastAsia"/>
                <w:sz w:val="18"/>
                <w:szCs w:val="18"/>
              </w:rPr>
              <w:t>路、兴</w:t>
            </w:r>
            <w:r>
              <w:rPr>
                <w:rFonts w:ascii="Arial" w:eastAsia="华文细黑" w:hAnsi="Arial" w:cs="Arial" w:hint="eastAsia"/>
                <w:sz w:val="18"/>
                <w:szCs w:val="18"/>
              </w:rPr>
              <w:t>48</w:t>
            </w:r>
            <w:r>
              <w:rPr>
                <w:rFonts w:ascii="Arial" w:eastAsia="华文细黑" w:hAnsi="Arial" w:cs="Arial" w:hint="eastAsia"/>
                <w:sz w:val="18"/>
                <w:szCs w:val="18"/>
              </w:rPr>
              <w:t>路、兴</w:t>
            </w:r>
            <w:r>
              <w:rPr>
                <w:rFonts w:ascii="Arial" w:eastAsia="华文细黑" w:hAnsi="Arial" w:cs="Arial" w:hint="eastAsia"/>
                <w:sz w:val="18"/>
                <w:szCs w:val="18"/>
              </w:rPr>
              <w:t>49</w:t>
            </w:r>
            <w:r>
              <w:rPr>
                <w:rFonts w:ascii="Arial" w:eastAsia="华文细黑" w:hAnsi="Arial" w:cs="Arial" w:hint="eastAsia"/>
                <w:sz w:val="18"/>
                <w:szCs w:val="18"/>
              </w:rPr>
              <w:t>路、兴</w:t>
            </w:r>
            <w:r>
              <w:rPr>
                <w:rFonts w:ascii="Arial" w:eastAsia="华文细黑" w:hAnsi="Arial" w:cs="Arial" w:hint="eastAsia"/>
                <w:sz w:val="18"/>
                <w:szCs w:val="18"/>
              </w:rPr>
              <w:t>59</w:t>
            </w:r>
            <w:r>
              <w:rPr>
                <w:rFonts w:ascii="Arial" w:eastAsia="华文细黑" w:hAnsi="Arial" w:cs="Arial" w:hint="eastAsia"/>
                <w:sz w:val="18"/>
                <w:szCs w:val="18"/>
              </w:rPr>
              <w:t>路、专</w:t>
            </w:r>
            <w:r>
              <w:rPr>
                <w:rFonts w:ascii="Arial" w:eastAsia="华文细黑" w:hAnsi="Arial" w:cs="Arial" w:hint="eastAsia"/>
                <w:sz w:val="18"/>
                <w:szCs w:val="18"/>
              </w:rPr>
              <w:t>183</w:t>
            </w:r>
            <w:r>
              <w:rPr>
                <w:rFonts w:ascii="Arial" w:eastAsia="华文细黑" w:hAnsi="Arial" w:cs="Arial" w:hint="eastAsia"/>
                <w:sz w:val="18"/>
                <w:szCs w:val="18"/>
              </w:rPr>
              <w:t>路、专</w:t>
            </w:r>
            <w:r>
              <w:rPr>
                <w:rFonts w:ascii="Arial" w:eastAsia="华文细黑" w:hAnsi="Arial" w:cs="Arial" w:hint="eastAsia"/>
                <w:sz w:val="18"/>
                <w:szCs w:val="18"/>
              </w:rPr>
              <w:t>187</w:t>
            </w:r>
            <w:r>
              <w:rPr>
                <w:rFonts w:ascii="Arial" w:eastAsia="华文细黑" w:hAnsi="Arial" w:cs="Arial" w:hint="eastAsia"/>
                <w:sz w:val="18"/>
                <w:szCs w:val="18"/>
              </w:rPr>
              <w:t>路等十余条公交线路，距离地铁亦庄</w:t>
            </w:r>
            <w:r>
              <w:rPr>
                <w:rFonts w:ascii="Arial" w:eastAsia="华文细黑" w:hAnsi="Arial" w:cs="Arial" w:hint="eastAsia"/>
                <w:sz w:val="18"/>
                <w:szCs w:val="18"/>
              </w:rPr>
              <w:t>T1</w:t>
            </w:r>
            <w:r>
              <w:rPr>
                <w:rFonts w:ascii="Arial" w:eastAsia="华文细黑" w:hAnsi="Arial" w:cs="Arial" w:hint="eastAsia"/>
                <w:sz w:val="18"/>
                <w:szCs w:val="18"/>
              </w:rPr>
              <w:t>线（九号村站）约</w:t>
            </w:r>
            <w:r>
              <w:rPr>
                <w:rFonts w:ascii="Arial" w:eastAsia="华文细黑" w:hAnsi="Arial" w:cs="Arial" w:hint="eastAsia"/>
                <w:sz w:val="18"/>
                <w:szCs w:val="18"/>
              </w:rPr>
              <w:t>700</w:t>
            </w:r>
            <w:r>
              <w:rPr>
                <w:rFonts w:ascii="Arial" w:eastAsia="华文细黑" w:hAnsi="Arial" w:cs="Arial" w:hint="eastAsia"/>
                <w:sz w:val="18"/>
                <w:szCs w:val="18"/>
              </w:rPr>
              <w:t>米，道路通达度较好，综合评价交通便捷度较好。</w:t>
            </w:r>
          </w:p>
        </w:tc>
        <w:tc>
          <w:tcPr>
            <w:tcW w:w="474" w:type="pct"/>
            <w:tcBorders>
              <w:top w:val="nil"/>
              <w:left w:val="nil"/>
              <w:bottom w:val="single" w:sz="4" w:space="0" w:color="auto"/>
              <w:right w:val="single" w:sz="4" w:space="0" w:color="auto"/>
            </w:tcBorders>
            <w:vAlign w:val="center"/>
          </w:tcPr>
          <w:p w14:paraId="630EFE93"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r>
      <w:tr w:rsidR="00000000" w14:paraId="05374020" w14:textId="77777777">
        <w:trPr>
          <w:trHeight w:val="637"/>
          <w:jc w:val="center"/>
        </w:trPr>
        <w:tc>
          <w:tcPr>
            <w:tcW w:w="504" w:type="pct"/>
            <w:vMerge/>
            <w:tcBorders>
              <w:top w:val="nil"/>
              <w:left w:val="single" w:sz="4" w:space="0" w:color="auto"/>
              <w:bottom w:val="single" w:sz="4" w:space="0" w:color="000000"/>
              <w:right w:val="single" w:sz="4" w:space="0" w:color="auto"/>
            </w:tcBorders>
            <w:vAlign w:val="center"/>
          </w:tcPr>
          <w:p w14:paraId="039D8BB6" w14:textId="77777777" w:rsidR="00000000" w:rsidRDefault="00000000">
            <w:pPr>
              <w:widowControl/>
              <w:adjustRightInd/>
              <w:spacing w:line="240" w:lineRule="auto"/>
              <w:jc w:val="center"/>
              <w:textAlignment w:val="auto"/>
              <w:rPr>
                <w:rFonts w:ascii="Arial" w:eastAsia="华文细黑" w:hAnsi="Arial" w:cs="Arial" w:hint="eastAsia"/>
                <w:sz w:val="18"/>
                <w:szCs w:val="18"/>
              </w:rPr>
            </w:pPr>
          </w:p>
        </w:tc>
        <w:tc>
          <w:tcPr>
            <w:tcW w:w="745" w:type="pct"/>
            <w:tcBorders>
              <w:top w:val="nil"/>
              <w:left w:val="nil"/>
              <w:bottom w:val="single" w:sz="4" w:space="0" w:color="auto"/>
              <w:right w:val="single" w:sz="4" w:space="0" w:color="auto"/>
            </w:tcBorders>
            <w:vAlign w:val="center"/>
          </w:tcPr>
          <w:p w14:paraId="4E056842"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商业设施</w:t>
            </w:r>
          </w:p>
        </w:tc>
        <w:tc>
          <w:tcPr>
            <w:tcW w:w="1331" w:type="pct"/>
            <w:tcBorders>
              <w:top w:val="nil"/>
              <w:left w:val="nil"/>
              <w:bottom w:val="single" w:sz="4" w:space="0" w:color="auto"/>
              <w:right w:val="single" w:sz="4" w:space="0" w:color="auto"/>
            </w:tcBorders>
            <w:vAlign w:val="center"/>
          </w:tcPr>
          <w:p w14:paraId="407D8D15"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周边有临街商铺等，商业设施以小区配套为主，且数量一般，综合评价商业设施一般。</w:t>
            </w:r>
          </w:p>
        </w:tc>
        <w:tc>
          <w:tcPr>
            <w:tcW w:w="531" w:type="pct"/>
            <w:tcBorders>
              <w:top w:val="nil"/>
              <w:left w:val="nil"/>
              <w:bottom w:val="single" w:sz="4" w:space="0" w:color="auto"/>
              <w:right w:val="single" w:sz="4" w:space="0" w:color="auto"/>
            </w:tcBorders>
            <w:vAlign w:val="center"/>
          </w:tcPr>
          <w:p w14:paraId="2B9A480E"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1415" w:type="pct"/>
            <w:tcBorders>
              <w:top w:val="nil"/>
              <w:left w:val="nil"/>
              <w:bottom w:val="single" w:sz="4" w:space="0" w:color="auto"/>
              <w:right w:val="single" w:sz="4" w:space="0" w:color="auto"/>
            </w:tcBorders>
            <w:vAlign w:val="center"/>
          </w:tcPr>
          <w:p w14:paraId="58CB0A5D"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周边有临街商铺等，商业设施以小区配套为主，且数量一般，综合评价商业设施一般。</w:t>
            </w:r>
          </w:p>
        </w:tc>
        <w:tc>
          <w:tcPr>
            <w:tcW w:w="474" w:type="pct"/>
            <w:tcBorders>
              <w:top w:val="nil"/>
              <w:left w:val="nil"/>
              <w:bottom w:val="single" w:sz="4" w:space="0" w:color="auto"/>
              <w:right w:val="single" w:sz="4" w:space="0" w:color="auto"/>
            </w:tcBorders>
            <w:vAlign w:val="center"/>
          </w:tcPr>
          <w:p w14:paraId="0059845B"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r>
      <w:tr w:rsidR="00000000" w14:paraId="6A2BA15D" w14:textId="77777777">
        <w:trPr>
          <w:trHeight w:val="1200"/>
          <w:jc w:val="center"/>
        </w:trPr>
        <w:tc>
          <w:tcPr>
            <w:tcW w:w="504" w:type="pct"/>
            <w:vMerge/>
            <w:tcBorders>
              <w:top w:val="nil"/>
              <w:left w:val="single" w:sz="4" w:space="0" w:color="auto"/>
              <w:bottom w:val="single" w:sz="4" w:space="0" w:color="000000"/>
              <w:right w:val="single" w:sz="4" w:space="0" w:color="auto"/>
            </w:tcBorders>
            <w:vAlign w:val="center"/>
          </w:tcPr>
          <w:p w14:paraId="33A3AD6C" w14:textId="77777777" w:rsidR="00000000" w:rsidRDefault="00000000">
            <w:pPr>
              <w:widowControl/>
              <w:adjustRightInd/>
              <w:spacing w:line="240" w:lineRule="auto"/>
              <w:jc w:val="center"/>
              <w:textAlignment w:val="auto"/>
              <w:rPr>
                <w:rFonts w:ascii="Arial" w:eastAsia="华文细黑" w:hAnsi="Arial" w:cs="Arial" w:hint="eastAsia"/>
                <w:sz w:val="18"/>
                <w:szCs w:val="18"/>
              </w:rPr>
            </w:pPr>
          </w:p>
        </w:tc>
        <w:tc>
          <w:tcPr>
            <w:tcW w:w="745" w:type="pct"/>
            <w:tcBorders>
              <w:top w:val="nil"/>
              <w:left w:val="nil"/>
              <w:bottom w:val="single" w:sz="4" w:space="0" w:color="auto"/>
              <w:right w:val="single" w:sz="4" w:space="0" w:color="auto"/>
            </w:tcBorders>
            <w:vAlign w:val="center"/>
          </w:tcPr>
          <w:p w14:paraId="2940C703"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自然环境</w:t>
            </w:r>
          </w:p>
        </w:tc>
        <w:tc>
          <w:tcPr>
            <w:tcW w:w="1331" w:type="pct"/>
            <w:tcBorders>
              <w:top w:val="nil"/>
              <w:left w:val="nil"/>
              <w:bottom w:val="single" w:sz="4" w:space="0" w:color="auto"/>
              <w:right w:val="single" w:sz="4" w:space="0" w:color="auto"/>
            </w:tcBorders>
            <w:vAlign w:val="center"/>
          </w:tcPr>
          <w:p w14:paraId="351F8948"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周边有南海子公园、亦庄新城滨河公园、凉水河、体育公园等，周边无高等教育学校或博物馆等人文景观，综合评价环境状况一般。</w:t>
            </w:r>
          </w:p>
        </w:tc>
        <w:tc>
          <w:tcPr>
            <w:tcW w:w="531" w:type="pct"/>
            <w:tcBorders>
              <w:top w:val="nil"/>
              <w:left w:val="nil"/>
              <w:bottom w:val="single" w:sz="4" w:space="0" w:color="auto"/>
              <w:right w:val="single" w:sz="4" w:space="0" w:color="auto"/>
            </w:tcBorders>
            <w:vAlign w:val="center"/>
          </w:tcPr>
          <w:p w14:paraId="15E2606B"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1415" w:type="pct"/>
            <w:tcBorders>
              <w:top w:val="nil"/>
              <w:left w:val="nil"/>
              <w:bottom w:val="single" w:sz="4" w:space="0" w:color="auto"/>
              <w:right w:val="single" w:sz="4" w:space="0" w:color="auto"/>
            </w:tcBorders>
            <w:vAlign w:val="center"/>
          </w:tcPr>
          <w:p w14:paraId="2899AF1E"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周边有南海子公园、亦庄新城滨河公园、凉水河、体育公园等，周边无高等教育学校或博物馆等人文景观，综合评价环境状况一般。</w:t>
            </w:r>
          </w:p>
        </w:tc>
        <w:tc>
          <w:tcPr>
            <w:tcW w:w="474" w:type="pct"/>
            <w:tcBorders>
              <w:top w:val="nil"/>
              <w:left w:val="nil"/>
              <w:bottom w:val="single" w:sz="4" w:space="0" w:color="auto"/>
              <w:right w:val="single" w:sz="4" w:space="0" w:color="auto"/>
            </w:tcBorders>
            <w:vAlign w:val="center"/>
          </w:tcPr>
          <w:p w14:paraId="2ADFE39C"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r>
      <w:tr w:rsidR="00000000" w14:paraId="7C4E3AD3" w14:textId="77777777">
        <w:trPr>
          <w:trHeight w:val="550"/>
          <w:jc w:val="center"/>
        </w:trPr>
        <w:tc>
          <w:tcPr>
            <w:tcW w:w="504" w:type="pct"/>
            <w:vMerge/>
            <w:tcBorders>
              <w:top w:val="nil"/>
              <w:left w:val="single" w:sz="4" w:space="0" w:color="auto"/>
              <w:bottom w:val="single" w:sz="4" w:space="0" w:color="auto"/>
              <w:right w:val="single" w:sz="4" w:space="0" w:color="auto"/>
            </w:tcBorders>
            <w:vAlign w:val="center"/>
          </w:tcPr>
          <w:p w14:paraId="26DA4C22" w14:textId="77777777" w:rsidR="00000000" w:rsidRDefault="00000000">
            <w:pPr>
              <w:widowControl/>
              <w:adjustRightInd/>
              <w:spacing w:line="240" w:lineRule="auto"/>
              <w:jc w:val="center"/>
              <w:textAlignment w:val="auto"/>
              <w:rPr>
                <w:rFonts w:ascii="Arial" w:eastAsia="华文细黑" w:hAnsi="Arial" w:cs="Arial" w:hint="eastAsia"/>
                <w:sz w:val="18"/>
                <w:szCs w:val="18"/>
              </w:rPr>
            </w:pPr>
          </w:p>
        </w:tc>
        <w:tc>
          <w:tcPr>
            <w:tcW w:w="745" w:type="pct"/>
            <w:tcBorders>
              <w:top w:val="nil"/>
              <w:left w:val="nil"/>
              <w:bottom w:val="single" w:sz="4" w:space="0" w:color="auto"/>
              <w:right w:val="single" w:sz="4" w:space="0" w:color="auto"/>
            </w:tcBorders>
            <w:vAlign w:val="center"/>
          </w:tcPr>
          <w:p w14:paraId="1FA78055"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公共配套</w:t>
            </w:r>
          </w:p>
        </w:tc>
        <w:tc>
          <w:tcPr>
            <w:tcW w:w="1331" w:type="pct"/>
            <w:tcBorders>
              <w:top w:val="nil"/>
              <w:left w:val="nil"/>
              <w:bottom w:val="single" w:sz="4" w:space="0" w:color="auto"/>
              <w:right w:val="single" w:sz="4" w:space="0" w:color="auto"/>
            </w:tcBorders>
            <w:vAlign w:val="center"/>
          </w:tcPr>
          <w:p w14:paraId="77F2F765"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区域内银行、超市学校、餐饮、医院等公共配套设施较齐全。</w:t>
            </w:r>
          </w:p>
        </w:tc>
        <w:tc>
          <w:tcPr>
            <w:tcW w:w="531" w:type="pct"/>
            <w:tcBorders>
              <w:top w:val="nil"/>
              <w:left w:val="nil"/>
              <w:bottom w:val="single" w:sz="4" w:space="0" w:color="auto"/>
              <w:right w:val="single" w:sz="4" w:space="0" w:color="auto"/>
            </w:tcBorders>
            <w:vAlign w:val="center"/>
          </w:tcPr>
          <w:p w14:paraId="3F09D893"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1415" w:type="pct"/>
            <w:tcBorders>
              <w:top w:val="nil"/>
              <w:left w:val="nil"/>
              <w:bottom w:val="single" w:sz="4" w:space="0" w:color="auto"/>
              <w:right w:val="single" w:sz="4" w:space="0" w:color="auto"/>
            </w:tcBorders>
            <w:vAlign w:val="center"/>
          </w:tcPr>
          <w:p w14:paraId="77C6550B"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区域内银行、超市学校、餐饮、医院等公共配套设施较齐全。</w:t>
            </w:r>
          </w:p>
        </w:tc>
        <w:tc>
          <w:tcPr>
            <w:tcW w:w="474" w:type="pct"/>
            <w:tcBorders>
              <w:top w:val="nil"/>
              <w:left w:val="nil"/>
              <w:bottom w:val="single" w:sz="4" w:space="0" w:color="auto"/>
              <w:right w:val="single" w:sz="4" w:space="0" w:color="auto"/>
            </w:tcBorders>
            <w:vAlign w:val="center"/>
          </w:tcPr>
          <w:p w14:paraId="0EB97871"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r>
      <w:tr w:rsidR="00000000" w14:paraId="3E3C46E0" w14:textId="77777777">
        <w:trPr>
          <w:trHeight w:val="480"/>
          <w:jc w:val="center"/>
        </w:trPr>
        <w:tc>
          <w:tcPr>
            <w:tcW w:w="504" w:type="pct"/>
            <w:vMerge w:val="restart"/>
            <w:tcBorders>
              <w:top w:val="single" w:sz="4" w:space="0" w:color="auto"/>
              <w:left w:val="single" w:sz="4" w:space="0" w:color="auto"/>
              <w:bottom w:val="single" w:sz="4" w:space="0" w:color="auto"/>
              <w:right w:val="single" w:sz="4" w:space="0" w:color="auto"/>
            </w:tcBorders>
            <w:noWrap/>
            <w:vAlign w:val="center"/>
          </w:tcPr>
          <w:p w14:paraId="60339E32"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实物状况</w:t>
            </w:r>
          </w:p>
        </w:tc>
        <w:tc>
          <w:tcPr>
            <w:tcW w:w="745" w:type="pct"/>
            <w:tcBorders>
              <w:top w:val="single" w:sz="4" w:space="0" w:color="auto"/>
              <w:left w:val="nil"/>
              <w:bottom w:val="single" w:sz="4" w:space="0" w:color="auto"/>
              <w:right w:val="single" w:sz="4" w:space="0" w:color="auto"/>
            </w:tcBorders>
            <w:vAlign w:val="center"/>
          </w:tcPr>
          <w:p w14:paraId="3748D395"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物业服务</w:t>
            </w:r>
          </w:p>
        </w:tc>
        <w:tc>
          <w:tcPr>
            <w:tcW w:w="1331" w:type="pct"/>
            <w:tcBorders>
              <w:top w:val="nil"/>
              <w:left w:val="nil"/>
              <w:bottom w:val="single" w:sz="4" w:space="0" w:color="auto"/>
              <w:right w:val="single" w:sz="4" w:space="0" w:color="auto"/>
            </w:tcBorders>
            <w:vAlign w:val="center"/>
          </w:tcPr>
          <w:p w14:paraId="7FE9D8C9"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有专业物业公司，物业服务保障好。</w:t>
            </w:r>
          </w:p>
        </w:tc>
        <w:tc>
          <w:tcPr>
            <w:tcW w:w="531" w:type="pct"/>
            <w:tcBorders>
              <w:top w:val="nil"/>
              <w:left w:val="nil"/>
              <w:bottom w:val="single" w:sz="4" w:space="0" w:color="auto"/>
              <w:right w:val="single" w:sz="4" w:space="0" w:color="auto"/>
            </w:tcBorders>
            <w:vAlign w:val="center"/>
          </w:tcPr>
          <w:p w14:paraId="492E992B"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1415" w:type="pct"/>
            <w:tcBorders>
              <w:top w:val="nil"/>
              <w:left w:val="nil"/>
              <w:bottom w:val="single" w:sz="4" w:space="0" w:color="auto"/>
              <w:right w:val="single" w:sz="4" w:space="0" w:color="auto"/>
            </w:tcBorders>
            <w:vAlign w:val="center"/>
          </w:tcPr>
          <w:p w14:paraId="1BB6F418"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有专业物业公司，物业服务保障好。</w:t>
            </w:r>
          </w:p>
        </w:tc>
        <w:tc>
          <w:tcPr>
            <w:tcW w:w="474" w:type="pct"/>
            <w:tcBorders>
              <w:top w:val="nil"/>
              <w:left w:val="nil"/>
              <w:bottom w:val="single" w:sz="4" w:space="0" w:color="auto"/>
              <w:right w:val="single" w:sz="4" w:space="0" w:color="auto"/>
            </w:tcBorders>
            <w:vAlign w:val="center"/>
          </w:tcPr>
          <w:p w14:paraId="54BEFEA8"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r>
      <w:tr w:rsidR="00000000" w14:paraId="307BACBF" w14:textId="77777777">
        <w:trPr>
          <w:trHeight w:val="211"/>
          <w:jc w:val="center"/>
        </w:trPr>
        <w:tc>
          <w:tcPr>
            <w:tcW w:w="504" w:type="pct"/>
            <w:vMerge/>
            <w:tcBorders>
              <w:top w:val="single" w:sz="4" w:space="0" w:color="auto"/>
              <w:left w:val="single" w:sz="4" w:space="0" w:color="auto"/>
              <w:bottom w:val="single" w:sz="4" w:space="0" w:color="auto"/>
              <w:right w:val="single" w:sz="4" w:space="0" w:color="auto"/>
            </w:tcBorders>
            <w:vAlign w:val="center"/>
          </w:tcPr>
          <w:p w14:paraId="2977E308" w14:textId="77777777" w:rsidR="00000000" w:rsidRDefault="00000000">
            <w:pPr>
              <w:widowControl/>
              <w:adjustRightInd/>
              <w:spacing w:line="240" w:lineRule="auto"/>
              <w:jc w:val="center"/>
              <w:textAlignment w:val="auto"/>
              <w:rPr>
                <w:rFonts w:ascii="Arial" w:eastAsia="华文细黑" w:hAnsi="Arial" w:cs="Arial" w:hint="eastAsia"/>
                <w:sz w:val="18"/>
                <w:szCs w:val="18"/>
              </w:rPr>
            </w:pPr>
          </w:p>
        </w:tc>
        <w:tc>
          <w:tcPr>
            <w:tcW w:w="745" w:type="pct"/>
            <w:tcBorders>
              <w:top w:val="single" w:sz="4" w:space="0" w:color="auto"/>
              <w:left w:val="nil"/>
              <w:bottom w:val="single" w:sz="4" w:space="0" w:color="auto"/>
              <w:right w:val="single" w:sz="4" w:space="0" w:color="auto"/>
            </w:tcBorders>
            <w:vAlign w:val="center"/>
          </w:tcPr>
          <w:p w14:paraId="774D73B5"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小区环境</w:t>
            </w:r>
          </w:p>
        </w:tc>
        <w:tc>
          <w:tcPr>
            <w:tcW w:w="1331" w:type="pct"/>
            <w:tcBorders>
              <w:top w:val="nil"/>
              <w:left w:val="nil"/>
              <w:bottom w:val="single" w:sz="4" w:space="0" w:color="auto"/>
              <w:right w:val="single" w:sz="4" w:space="0" w:color="auto"/>
            </w:tcBorders>
            <w:vAlign w:val="center"/>
          </w:tcPr>
          <w:p w14:paraId="715CE3BB"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绿化率约为</w:t>
            </w:r>
            <w:r>
              <w:rPr>
                <w:rFonts w:ascii="Arial" w:eastAsia="华文细黑" w:hAnsi="Arial" w:cs="Arial" w:hint="eastAsia"/>
                <w:sz w:val="18"/>
                <w:szCs w:val="18"/>
              </w:rPr>
              <w:t>30%</w:t>
            </w:r>
            <w:r>
              <w:rPr>
                <w:rFonts w:ascii="Arial" w:eastAsia="华文细黑" w:hAnsi="Arial" w:cs="Arial" w:hint="eastAsia"/>
                <w:sz w:val="18"/>
                <w:szCs w:val="18"/>
              </w:rPr>
              <w:t>，较好</w:t>
            </w:r>
          </w:p>
        </w:tc>
        <w:tc>
          <w:tcPr>
            <w:tcW w:w="531" w:type="pct"/>
            <w:tcBorders>
              <w:top w:val="nil"/>
              <w:left w:val="nil"/>
              <w:bottom w:val="single" w:sz="4" w:space="0" w:color="auto"/>
              <w:right w:val="single" w:sz="4" w:space="0" w:color="auto"/>
            </w:tcBorders>
            <w:vAlign w:val="center"/>
          </w:tcPr>
          <w:p w14:paraId="13997C3D"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1415" w:type="pct"/>
            <w:tcBorders>
              <w:top w:val="nil"/>
              <w:left w:val="nil"/>
              <w:bottom w:val="single" w:sz="4" w:space="0" w:color="auto"/>
              <w:right w:val="single" w:sz="4" w:space="0" w:color="auto"/>
            </w:tcBorders>
            <w:vAlign w:val="center"/>
          </w:tcPr>
          <w:p w14:paraId="023FFB05"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绿化率约为</w:t>
            </w:r>
            <w:r>
              <w:rPr>
                <w:rFonts w:ascii="Arial" w:eastAsia="华文细黑" w:hAnsi="Arial" w:cs="Arial" w:hint="eastAsia"/>
                <w:sz w:val="18"/>
                <w:szCs w:val="18"/>
              </w:rPr>
              <w:t>30%</w:t>
            </w:r>
            <w:r>
              <w:rPr>
                <w:rFonts w:ascii="Arial" w:eastAsia="华文细黑" w:hAnsi="Arial" w:cs="Arial" w:hint="eastAsia"/>
                <w:sz w:val="18"/>
                <w:szCs w:val="18"/>
              </w:rPr>
              <w:t>，较好</w:t>
            </w:r>
          </w:p>
        </w:tc>
        <w:tc>
          <w:tcPr>
            <w:tcW w:w="474" w:type="pct"/>
            <w:tcBorders>
              <w:top w:val="nil"/>
              <w:left w:val="nil"/>
              <w:bottom w:val="single" w:sz="4" w:space="0" w:color="auto"/>
              <w:right w:val="single" w:sz="4" w:space="0" w:color="auto"/>
            </w:tcBorders>
            <w:vAlign w:val="center"/>
          </w:tcPr>
          <w:p w14:paraId="6B8D8D89"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r>
      <w:tr w:rsidR="00000000" w14:paraId="517DE703" w14:textId="77777777">
        <w:trPr>
          <w:trHeight w:val="244"/>
          <w:jc w:val="center"/>
        </w:trPr>
        <w:tc>
          <w:tcPr>
            <w:tcW w:w="504" w:type="pct"/>
            <w:vMerge/>
            <w:tcBorders>
              <w:top w:val="single" w:sz="4" w:space="0" w:color="auto"/>
              <w:left w:val="single" w:sz="4" w:space="0" w:color="auto"/>
              <w:bottom w:val="single" w:sz="4" w:space="0" w:color="auto"/>
              <w:right w:val="single" w:sz="4" w:space="0" w:color="auto"/>
            </w:tcBorders>
            <w:vAlign w:val="center"/>
          </w:tcPr>
          <w:p w14:paraId="139EDC0E" w14:textId="77777777" w:rsidR="00000000" w:rsidRDefault="00000000">
            <w:pPr>
              <w:widowControl/>
              <w:adjustRightInd/>
              <w:spacing w:line="240" w:lineRule="auto"/>
              <w:jc w:val="center"/>
              <w:textAlignment w:val="auto"/>
              <w:rPr>
                <w:rFonts w:ascii="Arial" w:eastAsia="华文细黑" w:hAnsi="Arial" w:cs="Arial" w:hint="eastAsia"/>
                <w:sz w:val="18"/>
                <w:szCs w:val="18"/>
              </w:rPr>
            </w:pPr>
          </w:p>
        </w:tc>
        <w:tc>
          <w:tcPr>
            <w:tcW w:w="745" w:type="pct"/>
            <w:tcBorders>
              <w:top w:val="single" w:sz="4" w:space="0" w:color="auto"/>
              <w:left w:val="nil"/>
              <w:bottom w:val="single" w:sz="4" w:space="0" w:color="auto"/>
              <w:right w:val="single" w:sz="4" w:space="0" w:color="auto"/>
            </w:tcBorders>
            <w:vAlign w:val="center"/>
          </w:tcPr>
          <w:p w14:paraId="506CAF32"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配套设施</w:t>
            </w:r>
          </w:p>
        </w:tc>
        <w:tc>
          <w:tcPr>
            <w:tcW w:w="1331" w:type="pct"/>
            <w:tcBorders>
              <w:top w:val="nil"/>
              <w:left w:val="nil"/>
              <w:bottom w:val="single" w:sz="4" w:space="0" w:color="auto"/>
              <w:right w:val="single" w:sz="4" w:space="0" w:color="auto"/>
            </w:tcBorders>
            <w:vAlign w:val="center"/>
          </w:tcPr>
          <w:p w14:paraId="7489EE26"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配备活动站、医疗站</w:t>
            </w:r>
          </w:p>
        </w:tc>
        <w:tc>
          <w:tcPr>
            <w:tcW w:w="531" w:type="pct"/>
            <w:tcBorders>
              <w:top w:val="nil"/>
              <w:left w:val="nil"/>
              <w:bottom w:val="single" w:sz="4" w:space="0" w:color="auto"/>
              <w:right w:val="single" w:sz="4" w:space="0" w:color="auto"/>
            </w:tcBorders>
            <w:vAlign w:val="center"/>
          </w:tcPr>
          <w:p w14:paraId="6A82119A"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1415" w:type="pct"/>
            <w:tcBorders>
              <w:top w:val="nil"/>
              <w:left w:val="nil"/>
              <w:bottom w:val="single" w:sz="4" w:space="0" w:color="auto"/>
              <w:right w:val="single" w:sz="4" w:space="0" w:color="auto"/>
            </w:tcBorders>
            <w:vAlign w:val="center"/>
          </w:tcPr>
          <w:p w14:paraId="1AEA2D12"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配备活动站、医疗站</w:t>
            </w:r>
          </w:p>
        </w:tc>
        <w:tc>
          <w:tcPr>
            <w:tcW w:w="474" w:type="pct"/>
            <w:tcBorders>
              <w:top w:val="nil"/>
              <w:left w:val="nil"/>
              <w:bottom w:val="single" w:sz="4" w:space="0" w:color="auto"/>
              <w:right w:val="single" w:sz="4" w:space="0" w:color="auto"/>
            </w:tcBorders>
            <w:vAlign w:val="center"/>
          </w:tcPr>
          <w:p w14:paraId="24CFC323"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r>
      <w:tr w:rsidR="00000000" w14:paraId="6C7D0EB5" w14:textId="77777777">
        <w:trPr>
          <w:trHeight w:val="559"/>
          <w:jc w:val="center"/>
        </w:trPr>
        <w:tc>
          <w:tcPr>
            <w:tcW w:w="504" w:type="pct"/>
            <w:vMerge/>
            <w:tcBorders>
              <w:top w:val="single" w:sz="4" w:space="0" w:color="auto"/>
              <w:left w:val="single" w:sz="4" w:space="0" w:color="auto"/>
              <w:bottom w:val="single" w:sz="4" w:space="0" w:color="auto"/>
              <w:right w:val="single" w:sz="4" w:space="0" w:color="auto"/>
            </w:tcBorders>
            <w:vAlign w:val="center"/>
          </w:tcPr>
          <w:p w14:paraId="66143B00" w14:textId="77777777" w:rsidR="00000000" w:rsidRDefault="00000000">
            <w:pPr>
              <w:widowControl/>
              <w:adjustRightInd/>
              <w:spacing w:line="240" w:lineRule="auto"/>
              <w:jc w:val="center"/>
              <w:textAlignment w:val="auto"/>
              <w:rPr>
                <w:rFonts w:ascii="Arial" w:eastAsia="华文细黑" w:hAnsi="Arial" w:cs="Arial" w:hint="eastAsia"/>
                <w:sz w:val="18"/>
                <w:szCs w:val="18"/>
              </w:rPr>
            </w:pPr>
          </w:p>
        </w:tc>
        <w:tc>
          <w:tcPr>
            <w:tcW w:w="745" w:type="pct"/>
            <w:tcBorders>
              <w:top w:val="single" w:sz="4" w:space="0" w:color="auto"/>
              <w:left w:val="nil"/>
              <w:bottom w:val="single" w:sz="4" w:space="0" w:color="auto"/>
              <w:right w:val="single" w:sz="4" w:space="0" w:color="auto"/>
            </w:tcBorders>
            <w:vAlign w:val="center"/>
          </w:tcPr>
          <w:p w14:paraId="312851D5"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居住管理</w:t>
            </w:r>
          </w:p>
        </w:tc>
        <w:tc>
          <w:tcPr>
            <w:tcW w:w="1331" w:type="pct"/>
            <w:tcBorders>
              <w:top w:val="nil"/>
              <w:left w:val="nil"/>
              <w:bottom w:val="single" w:sz="4" w:space="0" w:color="auto"/>
              <w:right w:val="single" w:sz="4" w:space="0" w:color="auto"/>
            </w:tcBorders>
            <w:vAlign w:val="center"/>
          </w:tcPr>
          <w:p w14:paraId="72D82241"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配备管理人员，数量充足，居住管理较好</w:t>
            </w:r>
          </w:p>
        </w:tc>
        <w:tc>
          <w:tcPr>
            <w:tcW w:w="531" w:type="pct"/>
            <w:tcBorders>
              <w:top w:val="nil"/>
              <w:left w:val="nil"/>
              <w:bottom w:val="single" w:sz="4" w:space="0" w:color="auto"/>
              <w:right w:val="single" w:sz="4" w:space="0" w:color="auto"/>
            </w:tcBorders>
            <w:vAlign w:val="center"/>
          </w:tcPr>
          <w:p w14:paraId="68A71B8F"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1415" w:type="pct"/>
            <w:tcBorders>
              <w:top w:val="nil"/>
              <w:left w:val="nil"/>
              <w:bottom w:val="single" w:sz="4" w:space="0" w:color="auto"/>
              <w:right w:val="single" w:sz="4" w:space="0" w:color="auto"/>
            </w:tcBorders>
            <w:vAlign w:val="center"/>
          </w:tcPr>
          <w:p w14:paraId="6DD93834"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配备管理人员，数量充足，居住管理较好</w:t>
            </w:r>
          </w:p>
        </w:tc>
        <w:tc>
          <w:tcPr>
            <w:tcW w:w="474" w:type="pct"/>
            <w:tcBorders>
              <w:top w:val="nil"/>
              <w:left w:val="nil"/>
              <w:bottom w:val="single" w:sz="4" w:space="0" w:color="auto"/>
              <w:right w:val="single" w:sz="4" w:space="0" w:color="auto"/>
            </w:tcBorders>
            <w:vAlign w:val="center"/>
          </w:tcPr>
          <w:p w14:paraId="414E1B60"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r>
      <w:tr w:rsidR="00000000" w14:paraId="4C8F2727" w14:textId="77777777">
        <w:trPr>
          <w:trHeight w:val="735"/>
          <w:jc w:val="center"/>
        </w:trPr>
        <w:tc>
          <w:tcPr>
            <w:tcW w:w="504" w:type="pct"/>
            <w:vMerge/>
            <w:tcBorders>
              <w:top w:val="single" w:sz="4" w:space="0" w:color="auto"/>
              <w:left w:val="single" w:sz="4" w:space="0" w:color="auto"/>
              <w:bottom w:val="single" w:sz="4" w:space="0" w:color="auto"/>
              <w:right w:val="single" w:sz="4" w:space="0" w:color="auto"/>
            </w:tcBorders>
            <w:vAlign w:val="center"/>
          </w:tcPr>
          <w:p w14:paraId="14AA37FB" w14:textId="77777777" w:rsidR="00000000" w:rsidRDefault="00000000">
            <w:pPr>
              <w:widowControl/>
              <w:adjustRightInd/>
              <w:spacing w:line="240" w:lineRule="auto"/>
              <w:jc w:val="center"/>
              <w:textAlignment w:val="auto"/>
              <w:rPr>
                <w:rFonts w:ascii="Arial" w:eastAsia="华文细黑" w:hAnsi="Arial" w:cs="Arial" w:hint="eastAsia"/>
                <w:sz w:val="18"/>
                <w:szCs w:val="18"/>
              </w:rPr>
            </w:pPr>
          </w:p>
        </w:tc>
        <w:tc>
          <w:tcPr>
            <w:tcW w:w="745" w:type="pct"/>
            <w:tcBorders>
              <w:top w:val="single" w:sz="4" w:space="0" w:color="auto"/>
              <w:left w:val="nil"/>
              <w:bottom w:val="single" w:sz="4" w:space="0" w:color="auto"/>
              <w:right w:val="single" w:sz="4" w:space="0" w:color="auto"/>
            </w:tcBorders>
            <w:vAlign w:val="center"/>
          </w:tcPr>
          <w:p w14:paraId="61326655"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朝向</w:t>
            </w:r>
          </w:p>
        </w:tc>
        <w:tc>
          <w:tcPr>
            <w:tcW w:w="1331" w:type="pct"/>
            <w:tcBorders>
              <w:top w:val="nil"/>
              <w:left w:val="nil"/>
              <w:bottom w:val="single" w:sz="4" w:space="0" w:color="auto"/>
              <w:right w:val="single" w:sz="4" w:space="0" w:color="auto"/>
            </w:tcBorders>
            <w:vAlign w:val="center"/>
          </w:tcPr>
          <w:p w14:paraId="658CB606"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朝向（西）一般，能保证较长时间的采光，通风较好，综合分析朝向、采光、通风状况一般</w:t>
            </w:r>
          </w:p>
        </w:tc>
        <w:tc>
          <w:tcPr>
            <w:tcW w:w="531" w:type="pct"/>
            <w:tcBorders>
              <w:top w:val="nil"/>
              <w:left w:val="nil"/>
              <w:bottom w:val="single" w:sz="4" w:space="0" w:color="auto"/>
              <w:right w:val="single" w:sz="4" w:space="0" w:color="auto"/>
            </w:tcBorders>
            <w:vAlign w:val="center"/>
          </w:tcPr>
          <w:p w14:paraId="622FFAA4"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1415" w:type="pct"/>
            <w:tcBorders>
              <w:top w:val="nil"/>
              <w:left w:val="nil"/>
              <w:bottom w:val="single" w:sz="4" w:space="0" w:color="auto"/>
              <w:right w:val="single" w:sz="4" w:space="0" w:color="auto"/>
            </w:tcBorders>
            <w:vAlign w:val="center"/>
          </w:tcPr>
          <w:p w14:paraId="65AF4615"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朝向（南北）好，能保证较长时间的采光，通风较好，综合分析朝向、采光、通风状况好</w:t>
            </w:r>
          </w:p>
        </w:tc>
        <w:tc>
          <w:tcPr>
            <w:tcW w:w="474" w:type="pct"/>
            <w:tcBorders>
              <w:top w:val="nil"/>
              <w:left w:val="nil"/>
              <w:bottom w:val="single" w:sz="4" w:space="0" w:color="auto"/>
              <w:right w:val="single" w:sz="4" w:space="0" w:color="auto"/>
            </w:tcBorders>
            <w:vAlign w:val="center"/>
          </w:tcPr>
          <w:p w14:paraId="10209209" w14:textId="77777777" w:rsidR="00000000" w:rsidRDefault="00000000">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101</w:t>
            </w:r>
          </w:p>
        </w:tc>
      </w:tr>
      <w:tr w:rsidR="00000000" w14:paraId="769DCA1A" w14:textId="77777777">
        <w:trPr>
          <w:trHeight w:val="251"/>
          <w:jc w:val="center"/>
        </w:trPr>
        <w:tc>
          <w:tcPr>
            <w:tcW w:w="504" w:type="pct"/>
            <w:vMerge/>
            <w:tcBorders>
              <w:top w:val="single" w:sz="4" w:space="0" w:color="auto"/>
              <w:left w:val="single" w:sz="4" w:space="0" w:color="auto"/>
              <w:bottom w:val="single" w:sz="4" w:space="0" w:color="auto"/>
              <w:right w:val="single" w:sz="4" w:space="0" w:color="auto"/>
            </w:tcBorders>
            <w:vAlign w:val="center"/>
          </w:tcPr>
          <w:p w14:paraId="2ADDF2BD" w14:textId="77777777" w:rsidR="00000000" w:rsidRDefault="00000000">
            <w:pPr>
              <w:widowControl/>
              <w:adjustRightInd/>
              <w:spacing w:line="240" w:lineRule="auto"/>
              <w:jc w:val="center"/>
              <w:textAlignment w:val="auto"/>
              <w:rPr>
                <w:rFonts w:ascii="Arial" w:eastAsia="华文细黑" w:hAnsi="Arial" w:cs="Arial" w:hint="eastAsia"/>
                <w:sz w:val="18"/>
                <w:szCs w:val="18"/>
              </w:rPr>
            </w:pPr>
          </w:p>
        </w:tc>
        <w:tc>
          <w:tcPr>
            <w:tcW w:w="745" w:type="pct"/>
            <w:tcBorders>
              <w:top w:val="single" w:sz="4" w:space="0" w:color="auto"/>
              <w:left w:val="nil"/>
              <w:bottom w:val="single" w:sz="4" w:space="0" w:color="auto"/>
              <w:right w:val="single" w:sz="4" w:space="0" w:color="auto"/>
            </w:tcBorders>
            <w:vAlign w:val="center"/>
          </w:tcPr>
          <w:p w14:paraId="1FB601E5"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户型</w:t>
            </w:r>
          </w:p>
        </w:tc>
        <w:tc>
          <w:tcPr>
            <w:tcW w:w="1331" w:type="pct"/>
            <w:tcBorders>
              <w:top w:val="nil"/>
              <w:left w:val="nil"/>
              <w:bottom w:val="single" w:sz="4" w:space="0" w:color="auto"/>
              <w:right w:val="single" w:sz="4" w:space="0" w:color="auto"/>
            </w:tcBorders>
            <w:vAlign w:val="center"/>
          </w:tcPr>
          <w:p w14:paraId="247381BD"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主力户型为一居室</w:t>
            </w:r>
          </w:p>
        </w:tc>
        <w:tc>
          <w:tcPr>
            <w:tcW w:w="531" w:type="pct"/>
            <w:tcBorders>
              <w:top w:val="nil"/>
              <w:left w:val="nil"/>
              <w:bottom w:val="single" w:sz="4" w:space="0" w:color="auto"/>
              <w:right w:val="single" w:sz="4" w:space="0" w:color="auto"/>
            </w:tcBorders>
            <w:vAlign w:val="center"/>
          </w:tcPr>
          <w:p w14:paraId="7E44F770"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1415" w:type="pct"/>
            <w:tcBorders>
              <w:top w:val="nil"/>
              <w:left w:val="nil"/>
              <w:bottom w:val="single" w:sz="4" w:space="0" w:color="auto"/>
              <w:right w:val="single" w:sz="4" w:space="0" w:color="auto"/>
            </w:tcBorders>
            <w:vAlign w:val="center"/>
          </w:tcPr>
          <w:p w14:paraId="36D58457"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主力户型为两居室</w:t>
            </w:r>
          </w:p>
        </w:tc>
        <w:tc>
          <w:tcPr>
            <w:tcW w:w="474" w:type="pct"/>
            <w:tcBorders>
              <w:top w:val="nil"/>
              <w:left w:val="nil"/>
              <w:bottom w:val="single" w:sz="4" w:space="0" w:color="auto"/>
              <w:right w:val="single" w:sz="4" w:space="0" w:color="auto"/>
            </w:tcBorders>
            <w:vAlign w:val="center"/>
          </w:tcPr>
          <w:p w14:paraId="3842D2CD" w14:textId="77777777" w:rsidR="00000000" w:rsidRDefault="00000000">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102</w:t>
            </w:r>
          </w:p>
        </w:tc>
      </w:tr>
      <w:tr w:rsidR="00000000" w14:paraId="4C650EA3" w14:textId="77777777">
        <w:trPr>
          <w:trHeight w:val="397"/>
          <w:jc w:val="center"/>
        </w:trPr>
        <w:tc>
          <w:tcPr>
            <w:tcW w:w="504" w:type="pct"/>
            <w:vMerge/>
            <w:tcBorders>
              <w:top w:val="single" w:sz="4" w:space="0" w:color="auto"/>
              <w:left w:val="single" w:sz="4" w:space="0" w:color="auto"/>
              <w:bottom w:val="single" w:sz="4" w:space="0" w:color="auto"/>
              <w:right w:val="single" w:sz="4" w:space="0" w:color="auto"/>
            </w:tcBorders>
            <w:vAlign w:val="center"/>
          </w:tcPr>
          <w:p w14:paraId="1E5F3A2A" w14:textId="77777777" w:rsidR="00000000" w:rsidRDefault="00000000">
            <w:pPr>
              <w:widowControl/>
              <w:adjustRightInd/>
              <w:spacing w:line="240" w:lineRule="auto"/>
              <w:jc w:val="center"/>
              <w:textAlignment w:val="auto"/>
              <w:rPr>
                <w:rFonts w:ascii="Arial" w:eastAsia="华文细黑" w:hAnsi="Arial" w:cs="Arial" w:hint="eastAsia"/>
                <w:sz w:val="18"/>
                <w:szCs w:val="18"/>
              </w:rPr>
            </w:pPr>
          </w:p>
        </w:tc>
        <w:tc>
          <w:tcPr>
            <w:tcW w:w="745" w:type="pct"/>
            <w:tcBorders>
              <w:top w:val="single" w:sz="4" w:space="0" w:color="auto"/>
              <w:left w:val="nil"/>
              <w:bottom w:val="single" w:sz="4" w:space="0" w:color="auto"/>
              <w:right w:val="single" w:sz="4" w:space="0" w:color="auto"/>
            </w:tcBorders>
            <w:vAlign w:val="center"/>
          </w:tcPr>
          <w:p w14:paraId="46471454"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装修</w:t>
            </w:r>
          </w:p>
        </w:tc>
        <w:tc>
          <w:tcPr>
            <w:tcW w:w="1331" w:type="pct"/>
            <w:tcBorders>
              <w:top w:val="nil"/>
              <w:left w:val="nil"/>
              <w:bottom w:val="single" w:sz="4" w:space="0" w:color="auto"/>
              <w:right w:val="single" w:sz="4" w:space="0" w:color="auto"/>
            </w:tcBorders>
            <w:vAlign w:val="center"/>
          </w:tcPr>
          <w:p w14:paraId="2FE3C7C3"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装修为普通装修，与居住功能相适应，较好</w:t>
            </w:r>
          </w:p>
        </w:tc>
        <w:tc>
          <w:tcPr>
            <w:tcW w:w="531" w:type="pct"/>
            <w:tcBorders>
              <w:top w:val="nil"/>
              <w:left w:val="nil"/>
              <w:bottom w:val="single" w:sz="4" w:space="0" w:color="auto"/>
              <w:right w:val="single" w:sz="4" w:space="0" w:color="auto"/>
            </w:tcBorders>
            <w:vAlign w:val="center"/>
          </w:tcPr>
          <w:p w14:paraId="5073573C"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1415" w:type="pct"/>
            <w:tcBorders>
              <w:top w:val="nil"/>
              <w:left w:val="nil"/>
              <w:bottom w:val="single" w:sz="4" w:space="0" w:color="auto"/>
              <w:right w:val="single" w:sz="4" w:space="0" w:color="auto"/>
            </w:tcBorders>
            <w:vAlign w:val="center"/>
          </w:tcPr>
          <w:p w14:paraId="73E67901"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装修为普通装修，与居住功能相适应，较好</w:t>
            </w:r>
          </w:p>
        </w:tc>
        <w:tc>
          <w:tcPr>
            <w:tcW w:w="474" w:type="pct"/>
            <w:tcBorders>
              <w:top w:val="nil"/>
              <w:left w:val="nil"/>
              <w:bottom w:val="single" w:sz="4" w:space="0" w:color="auto"/>
              <w:right w:val="single" w:sz="4" w:space="0" w:color="auto"/>
            </w:tcBorders>
            <w:vAlign w:val="center"/>
          </w:tcPr>
          <w:p w14:paraId="6BBCFDE4"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r>
      <w:tr w:rsidR="00000000" w14:paraId="7A1567C0" w14:textId="77777777">
        <w:trPr>
          <w:trHeight w:val="347"/>
          <w:jc w:val="center"/>
        </w:trPr>
        <w:tc>
          <w:tcPr>
            <w:tcW w:w="504" w:type="pct"/>
            <w:vMerge/>
            <w:tcBorders>
              <w:top w:val="single" w:sz="4" w:space="0" w:color="auto"/>
              <w:left w:val="single" w:sz="4" w:space="0" w:color="auto"/>
              <w:bottom w:val="single" w:sz="4" w:space="0" w:color="auto"/>
              <w:right w:val="single" w:sz="4" w:space="0" w:color="auto"/>
            </w:tcBorders>
            <w:vAlign w:val="center"/>
          </w:tcPr>
          <w:p w14:paraId="5BEF51F7" w14:textId="77777777" w:rsidR="00000000" w:rsidRDefault="00000000">
            <w:pPr>
              <w:widowControl/>
              <w:adjustRightInd/>
              <w:spacing w:line="240" w:lineRule="auto"/>
              <w:jc w:val="center"/>
              <w:textAlignment w:val="auto"/>
              <w:rPr>
                <w:rFonts w:ascii="Arial" w:eastAsia="华文细黑" w:hAnsi="Arial" w:cs="Arial" w:hint="eastAsia"/>
                <w:sz w:val="18"/>
                <w:szCs w:val="18"/>
              </w:rPr>
            </w:pPr>
          </w:p>
        </w:tc>
        <w:tc>
          <w:tcPr>
            <w:tcW w:w="745" w:type="pct"/>
            <w:tcBorders>
              <w:top w:val="single" w:sz="4" w:space="0" w:color="auto"/>
              <w:left w:val="nil"/>
              <w:bottom w:val="single" w:sz="4" w:space="0" w:color="auto"/>
              <w:right w:val="single" w:sz="4" w:space="0" w:color="auto"/>
            </w:tcBorders>
            <w:vAlign w:val="center"/>
          </w:tcPr>
          <w:p w14:paraId="072846E7"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设备</w:t>
            </w:r>
          </w:p>
        </w:tc>
        <w:tc>
          <w:tcPr>
            <w:tcW w:w="1331" w:type="pct"/>
            <w:tcBorders>
              <w:top w:val="nil"/>
              <w:left w:val="nil"/>
              <w:bottom w:val="single" w:sz="4" w:space="0" w:color="auto"/>
              <w:right w:val="single" w:sz="4" w:space="0" w:color="auto"/>
            </w:tcBorders>
            <w:vAlign w:val="center"/>
          </w:tcPr>
          <w:p w14:paraId="2F34BB0D"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厨房卫生间配备家具家电，程度较新；功能正常，质量有保证，一般</w:t>
            </w:r>
          </w:p>
        </w:tc>
        <w:tc>
          <w:tcPr>
            <w:tcW w:w="531" w:type="pct"/>
            <w:tcBorders>
              <w:top w:val="nil"/>
              <w:left w:val="nil"/>
              <w:bottom w:val="single" w:sz="4" w:space="0" w:color="auto"/>
              <w:right w:val="single" w:sz="4" w:space="0" w:color="auto"/>
            </w:tcBorders>
            <w:vAlign w:val="center"/>
          </w:tcPr>
          <w:p w14:paraId="14F89EDE"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c>
          <w:tcPr>
            <w:tcW w:w="1415" w:type="pct"/>
            <w:tcBorders>
              <w:top w:val="nil"/>
              <w:left w:val="nil"/>
              <w:bottom w:val="single" w:sz="4" w:space="0" w:color="auto"/>
              <w:right w:val="single" w:sz="4" w:space="0" w:color="auto"/>
            </w:tcBorders>
            <w:vAlign w:val="center"/>
          </w:tcPr>
          <w:p w14:paraId="20F36685"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厨房卫生间配备家具家电，程度较新；功能正常，质量有保证，一般</w:t>
            </w:r>
          </w:p>
        </w:tc>
        <w:tc>
          <w:tcPr>
            <w:tcW w:w="474" w:type="pct"/>
            <w:tcBorders>
              <w:top w:val="nil"/>
              <w:left w:val="nil"/>
              <w:bottom w:val="single" w:sz="4" w:space="0" w:color="auto"/>
              <w:right w:val="single" w:sz="4" w:space="0" w:color="auto"/>
            </w:tcBorders>
            <w:vAlign w:val="center"/>
          </w:tcPr>
          <w:p w14:paraId="34B0B4D0"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100</w:t>
            </w:r>
          </w:p>
        </w:tc>
      </w:tr>
      <w:tr w:rsidR="00000000" w14:paraId="5FC54AAB" w14:textId="77777777">
        <w:trPr>
          <w:trHeight w:val="408"/>
          <w:jc w:val="center"/>
        </w:trPr>
        <w:tc>
          <w:tcPr>
            <w:tcW w:w="1249" w:type="pct"/>
            <w:gridSpan w:val="2"/>
            <w:tcBorders>
              <w:top w:val="single" w:sz="4" w:space="0" w:color="auto"/>
              <w:left w:val="single" w:sz="4" w:space="0" w:color="auto"/>
              <w:bottom w:val="single" w:sz="4" w:space="0" w:color="auto"/>
              <w:right w:val="single" w:sz="4" w:space="0" w:color="auto"/>
            </w:tcBorders>
            <w:vAlign w:val="center"/>
          </w:tcPr>
          <w:p w14:paraId="223A28F0"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比较价值（元</w:t>
            </w:r>
            <w:r>
              <w:rPr>
                <w:rFonts w:ascii="Arial" w:eastAsia="华文细黑" w:hAnsi="Arial" w:cs="Arial" w:hint="eastAsia"/>
                <w:sz w:val="18"/>
                <w:szCs w:val="18"/>
              </w:rPr>
              <w:t>/</w:t>
            </w:r>
            <w:r>
              <w:rPr>
                <w:rFonts w:ascii="Arial" w:eastAsia="华文细黑" w:hAnsi="Arial" w:cs="Arial" w:hint="eastAsia"/>
                <w:sz w:val="18"/>
                <w:szCs w:val="18"/>
              </w:rPr>
              <w:t>平米）</w:t>
            </w:r>
          </w:p>
        </w:tc>
        <w:tc>
          <w:tcPr>
            <w:tcW w:w="1862" w:type="pct"/>
            <w:gridSpan w:val="2"/>
            <w:tcBorders>
              <w:top w:val="single" w:sz="4" w:space="0" w:color="auto"/>
              <w:left w:val="nil"/>
              <w:bottom w:val="single" w:sz="4" w:space="0" w:color="auto"/>
              <w:right w:val="single" w:sz="4" w:space="0" w:color="auto"/>
            </w:tcBorders>
            <w:vAlign w:val="center"/>
          </w:tcPr>
          <w:p w14:paraId="2C414027" w14:textId="77777777" w:rsidR="00000000" w:rsidRDefault="00000000">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51.33</w:t>
            </w:r>
          </w:p>
        </w:tc>
        <w:tc>
          <w:tcPr>
            <w:tcW w:w="1889" w:type="pct"/>
            <w:gridSpan w:val="2"/>
            <w:tcBorders>
              <w:top w:val="single" w:sz="4" w:space="0" w:color="auto"/>
              <w:left w:val="nil"/>
              <w:bottom w:val="single" w:sz="4" w:space="0" w:color="auto"/>
              <w:right w:val="single" w:sz="4" w:space="0" w:color="auto"/>
            </w:tcBorders>
            <w:vAlign w:val="center"/>
          </w:tcPr>
          <w:p w14:paraId="5E46DE26" w14:textId="77777777" w:rsidR="00000000" w:rsidRDefault="00000000">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52.88</w:t>
            </w:r>
          </w:p>
        </w:tc>
      </w:tr>
    </w:tbl>
    <w:p w14:paraId="2ECE6D6B" w14:textId="77777777" w:rsidR="00000000" w:rsidRDefault="00000000">
      <w:pPr>
        <w:widowControl/>
        <w:adjustRightInd/>
        <w:spacing w:line="240" w:lineRule="auto"/>
        <w:textAlignment w:val="auto"/>
        <w:rPr>
          <w:rFonts w:ascii="宋体" w:hAnsi="宋体" w:cs="Arial" w:hint="eastAsia"/>
          <w:sz w:val="18"/>
        </w:rPr>
        <w:sectPr w:rsidR="00000000">
          <w:footerReference w:type="default" r:id="rId44"/>
          <w:pgSz w:w="11907" w:h="16840"/>
          <w:pgMar w:top="1843" w:right="1134" w:bottom="1134" w:left="1134" w:header="1134" w:footer="907" w:gutter="340"/>
          <w:cols w:space="720"/>
          <w:docGrid w:linePitch="326"/>
        </w:sectPr>
      </w:pPr>
    </w:p>
    <w:p w14:paraId="40487FE8" w14:textId="77777777" w:rsidR="00000000" w:rsidRDefault="00000000">
      <w:pPr>
        <w:wordWrap w:val="0"/>
        <w:overflowPunct w:val="0"/>
        <w:spacing w:line="480" w:lineRule="auto"/>
        <w:ind w:firstLineChars="200" w:firstLine="420"/>
        <w:rPr>
          <w:rFonts w:ascii="Arial" w:hAnsi="Arial"/>
          <w:sz w:val="21"/>
          <w:szCs w:val="21"/>
        </w:rPr>
      </w:pPr>
      <w:r>
        <w:rPr>
          <w:rFonts w:ascii="Arial" w:hAnsi="Arial" w:hint="eastAsia"/>
          <w:sz w:val="21"/>
          <w:szCs w:val="21"/>
        </w:rPr>
        <w:lastRenderedPageBreak/>
        <w:t>根据估价委托人介绍，估价对象</w:t>
      </w:r>
      <w:r>
        <w:rPr>
          <w:rFonts w:ascii="Arial" w:hAnsi="Arial" w:cs="Arial" w:hint="eastAsia"/>
          <w:kern w:val="2"/>
          <w:sz w:val="21"/>
          <w:szCs w:val="21"/>
        </w:rPr>
        <w:t>X13</w:t>
      </w:r>
      <w:r>
        <w:rPr>
          <w:rFonts w:ascii="Arial" w:hAnsi="Arial" w:cs="Arial" w:hint="eastAsia"/>
          <w:kern w:val="2"/>
          <w:sz w:val="21"/>
          <w:szCs w:val="21"/>
        </w:rPr>
        <w:t>海棠苑项目</w:t>
      </w:r>
      <w:r>
        <w:rPr>
          <w:rFonts w:ascii="Arial" w:hAnsi="Arial" w:cs="Arial" w:hint="eastAsia"/>
          <w:color w:val="000000"/>
          <w:sz w:val="21"/>
          <w:szCs w:val="21"/>
        </w:rPr>
        <w:t>物业费</w:t>
      </w:r>
      <w:r>
        <w:rPr>
          <w:rFonts w:ascii="Arial" w:hAnsi="Arial" w:cs="Arial"/>
          <w:color w:val="000000"/>
          <w:sz w:val="21"/>
          <w:szCs w:val="21"/>
        </w:rPr>
        <w:t>3.2</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平方米•月，供暖费</w:t>
      </w:r>
      <w:r>
        <w:rPr>
          <w:rFonts w:ascii="Arial" w:hAnsi="Arial" w:cs="Arial" w:hint="eastAsia"/>
          <w:color w:val="000000"/>
          <w:sz w:val="21"/>
          <w:szCs w:val="21"/>
        </w:rPr>
        <w:t>2</w:t>
      </w:r>
      <w:r>
        <w:rPr>
          <w:rFonts w:ascii="Arial" w:hAnsi="Arial" w:cs="Arial"/>
          <w:color w:val="000000"/>
          <w:sz w:val="21"/>
          <w:szCs w:val="21"/>
        </w:rPr>
        <w:t>.5</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w:t>
      </w:r>
      <w:r>
        <w:rPr>
          <w:rFonts w:ascii="Arial" w:hAnsi="Arial" w:cs="Arial" w:hint="eastAsia"/>
          <w:kern w:val="2"/>
          <w:sz w:val="21"/>
          <w:szCs w:val="21"/>
        </w:rPr>
        <w:t>X38</w:t>
      </w:r>
      <w:r>
        <w:rPr>
          <w:rFonts w:ascii="Arial" w:hAnsi="Arial" w:cs="Arial" w:hint="eastAsia"/>
          <w:kern w:val="2"/>
          <w:sz w:val="21"/>
          <w:szCs w:val="21"/>
        </w:rPr>
        <w:t>鹿海园五里项目</w:t>
      </w:r>
      <w:r>
        <w:rPr>
          <w:rFonts w:ascii="Arial" w:hAnsi="Arial" w:cs="Arial" w:hint="eastAsia"/>
          <w:color w:val="000000"/>
          <w:sz w:val="21"/>
          <w:szCs w:val="21"/>
        </w:rPr>
        <w:t>物业费</w:t>
      </w:r>
      <w:r>
        <w:rPr>
          <w:rFonts w:ascii="Arial" w:hAnsi="Arial" w:cs="Arial"/>
          <w:color w:val="000000"/>
          <w:sz w:val="21"/>
          <w:szCs w:val="21"/>
        </w:rPr>
        <w:t>2.3</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平方米•月，供暖费</w:t>
      </w:r>
      <w:r>
        <w:rPr>
          <w:rFonts w:ascii="Arial" w:hAnsi="Arial" w:cs="Arial" w:hint="eastAsia"/>
          <w:color w:val="000000"/>
          <w:sz w:val="21"/>
          <w:szCs w:val="21"/>
        </w:rPr>
        <w:t>2</w:t>
      </w:r>
      <w:r>
        <w:rPr>
          <w:rFonts w:ascii="Arial" w:hAnsi="Arial" w:cs="Arial"/>
          <w:color w:val="000000"/>
          <w:sz w:val="21"/>
          <w:szCs w:val="21"/>
        </w:rPr>
        <w:t>.5</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w:t>
      </w:r>
      <w:r>
        <w:rPr>
          <w:rFonts w:ascii="Arial" w:hAnsi="Arial" w:hint="eastAsia"/>
          <w:sz w:val="21"/>
          <w:szCs w:val="21"/>
        </w:rPr>
        <w:t>，</w:t>
      </w:r>
      <w:r>
        <w:rPr>
          <w:rFonts w:ascii="Arial" w:hAnsi="Arial" w:cs="Arial" w:hint="eastAsia"/>
          <w:kern w:val="2"/>
          <w:sz w:val="21"/>
          <w:szCs w:val="21"/>
        </w:rPr>
        <w:t>故，</w:t>
      </w:r>
      <w:r>
        <w:rPr>
          <w:rFonts w:ascii="Arial" w:hAnsi="Arial" w:hint="eastAsia"/>
          <w:sz w:val="21"/>
          <w:szCs w:val="21"/>
        </w:rPr>
        <w:t>估价对象</w:t>
      </w:r>
      <w:r>
        <w:rPr>
          <w:rFonts w:ascii="Arial" w:hAnsi="Arial" w:cs="Arial" w:hint="eastAsia"/>
          <w:sz w:val="21"/>
          <w:szCs w:val="21"/>
        </w:rPr>
        <w:t>于价值时点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日前一年内（</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w:t>
      </w:r>
      <w:r>
        <w:rPr>
          <w:rFonts w:ascii="Arial" w:hAnsi="Arial"/>
          <w:sz w:val="21"/>
          <w:szCs w:val="21"/>
        </w:rPr>
        <w:t>的月平均市场租金水平</w:t>
      </w:r>
      <w:r>
        <w:rPr>
          <w:rFonts w:ascii="Arial" w:hAnsi="Arial" w:hint="eastAsia"/>
          <w:sz w:val="21"/>
          <w:szCs w:val="21"/>
        </w:rPr>
        <w:t>：</w:t>
      </w:r>
    </w:p>
    <w:p w14:paraId="385FBF8C" w14:textId="77777777" w:rsidR="00000000" w:rsidRDefault="00000000">
      <w:pPr>
        <w:wordWrap w:val="0"/>
        <w:overflowPunct w:val="0"/>
        <w:spacing w:line="480" w:lineRule="auto"/>
        <w:ind w:firstLineChars="200" w:firstLine="420"/>
        <w:rPr>
          <w:rFonts w:ascii="Arial" w:hAnsi="Arial" w:cs="Arial"/>
          <w:color w:val="000000"/>
          <w:sz w:val="21"/>
          <w:szCs w:val="21"/>
        </w:rPr>
      </w:pPr>
      <w:r>
        <w:rPr>
          <w:rFonts w:ascii="Arial" w:hAnsi="Arial" w:cs="Arial" w:hint="eastAsia"/>
          <w:kern w:val="2"/>
          <w:sz w:val="21"/>
          <w:szCs w:val="21"/>
        </w:rPr>
        <w:t>X13</w:t>
      </w:r>
      <w:r>
        <w:rPr>
          <w:rFonts w:ascii="Arial" w:hAnsi="Arial" w:cs="Arial" w:hint="eastAsia"/>
          <w:kern w:val="2"/>
          <w:sz w:val="21"/>
          <w:szCs w:val="21"/>
        </w:rPr>
        <w:t>海棠苑</w:t>
      </w:r>
      <w:r>
        <w:rPr>
          <w:rFonts w:ascii="Arial" w:hAnsi="Arial" w:cs="Arial" w:hint="eastAsia"/>
          <w:color w:val="000000"/>
          <w:sz w:val="21"/>
          <w:szCs w:val="21"/>
        </w:rPr>
        <w:t>平均租金</w:t>
      </w:r>
      <w:r>
        <w:rPr>
          <w:rFonts w:ascii="Arial" w:hAnsi="Arial" w:cs="Arial" w:hint="eastAsia"/>
          <w:color w:val="000000"/>
          <w:sz w:val="21"/>
          <w:szCs w:val="21"/>
        </w:rPr>
        <w:t>=51.33</w:t>
      </w:r>
      <w:r>
        <w:rPr>
          <w:rFonts w:ascii="Arial" w:hAnsi="Arial" w:cs="Arial"/>
          <w:color w:val="000000"/>
          <w:sz w:val="21"/>
          <w:szCs w:val="21"/>
        </w:rPr>
        <w:t>+3.2</w:t>
      </w:r>
    </w:p>
    <w:p w14:paraId="4C4436A6" w14:textId="77777777" w:rsidR="00000000" w:rsidRDefault="00000000">
      <w:pPr>
        <w:wordWrap w:val="0"/>
        <w:overflowPunct w:val="0"/>
        <w:spacing w:line="480" w:lineRule="auto"/>
        <w:ind w:firstLineChars="900" w:firstLine="1890"/>
        <w:rPr>
          <w:rFonts w:ascii="Arial" w:hAnsi="Arial" w:cs="Arial" w:hint="eastAsia"/>
          <w:kern w:val="2"/>
          <w:sz w:val="21"/>
          <w:szCs w:val="21"/>
        </w:rPr>
      </w:pPr>
      <w:r>
        <w:rPr>
          <w:rFonts w:ascii="Arial" w:hAnsi="Arial" w:cs="Arial" w:hint="eastAsia"/>
          <w:color w:val="000000"/>
          <w:sz w:val="21"/>
          <w:szCs w:val="21"/>
        </w:rPr>
        <w:t xml:space="preserve"> </w:t>
      </w:r>
      <w:r>
        <w:rPr>
          <w:rFonts w:ascii="Arial" w:hAnsi="Arial" w:hint="eastAsia"/>
          <w:sz w:val="21"/>
          <w:szCs w:val="21"/>
        </w:rPr>
        <w:t xml:space="preserve"> </w:t>
      </w:r>
      <w:r>
        <w:rPr>
          <w:rFonts w:ascii="Arial" w:hAnsi="Arial"/>
          <w:sz w:val="21"/>
          <w:szCs w:val="21"/>
        </w:rPr>
        <w:t xml:space="preserve">  </w:t>
      </w:r>
      <w:r>
        <w:rPr>
          <w:rFonts w:ascii="Arial" w:hAnsi="Arial" w:cs="Arial" w:hint="eastAsia"/>
          <w:color w:val="000000"/>
          <w:sz w:val="21"/>
          <w:szCs w:val="21"/>
        </w:rPr>
        <w:t>=54.53</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w:t>
      </w:r>
    </w:p>
    <w:p w14:paraId="6FF16182" w14:textId="77777777" w:rsidR="00000000" w:rsidRDefault="00000000">
      <w:pPr>
        <w:wordWrap w:val="0"/>
        <w:overflowPunct w:val="0"/>
        <w:spacing w:line="480" w:lineRule="auto"/>
        <w:ind w:firstLineChars="200" w:firstLine="420"/>
        <w:rPr>
          <w:rFonts w:ascii="Arial" w:hAnsi="Arial" w:cs="Arial"/>
          <w:color w:val="000000"/>
          <w:sz w:val="21"/>
          <w:szCs w:val="21"/>
        </w:rPr>
      </w:pPr>
      <w:r>
        <w:rPr>
          <w:rFonts w:ascii="Arial" w:hAnsi="Arial" w:cs="Arial" w:hint="eastAsia"/>
          <w:kern w:val="2"/>
          <w:sz w:val="21"/>
          <w:szCs w:val="21"/>
        </w:rPr>
        <w:t>X38</w:t>
      </w:r>
      <w:r>
        <w:rPr>
          <w:rFonts w:ascii="Arial" w:hAnsi="Arial" w:cs="Arial" w:hint="eastAsia"/>
          <w:kern w:val="2"/>
          <w:sz w:val="21"/>
          <w:szCs w:val="21"/>
        </w:rPr>
        <w:t>鹿海园五里</w:t>
      </w:r>
      <w:r>
        <w:rPr>
          <w:rFonts w:ascii="Arial" w:hAnsi="Arial" w:cs="Arial" w:hint="eastAsia"/>
          <w:color w:val="000000"/>
          <w:sz w:val="21"/>
          <w:szCs w:val="21"/>
        </w:rPr>
        <w:t>平均租金</w:t>
      </w:r>
      <w:r>
        <w:rPr>
          <w:rFonts w:ascii="Arial" w:hAnsi="Arial" w:cs="Arial" w:hint="eastAsia"/>
          <w:color w:val="000000"/>
          <w:sz w:val="21"/>
          <w:szCs w:val="21"/>
        </w:rPr>
        <w:t>=52.88</w:t>
      </w:r>
      <w:r>
        <w:rPr>
          <w:rFonts w:ascii="Arial" w:hAnsi="Arial" w:cs="Arial"/>
          <w:color w:val="000000"/>
          <w:sz w:val="21"/>
          <w:szCs w:val="21"/>
        </w:rPr>
        <w:t>+2.3</w:t>
      </w:r>
    </w:p>
    <w:p w14:paraId="1A36A4F3" w14:textId="77777777" w:rsidR="00000000" w:rsidRDefault="00000000">
      <w:pPr>
        <w:wordWrap w:val="0"/>
        <w:overflowPunct w:val="0"/>
        <w:spacing w:line="480" w:lineRule="auto"/>
        <w:ind w:firstLineChars="200" w:firstLine="420"/>
        <w:rPr>
          <w:rFonts w:ascii="Arial" w:hAnsi="Arial"/>
          <w:sz w:val="21"/>
        </w:rPr>
      </w:pPr>
      <w:r>
        <w:rPr>
          <w:rFonts w:ascii="Arial" w:hAnsi="Arial" w:cs="Arial" w:hint="eastAsia"/>
          <w:color w:val="000000"/>
          <w:sz w:val="21"/>
          <w:szCs w:val="21"/>
        </w:rPr>
        <w:t xml:space="preserve"> </w:t>
      </w:r>
      <w:r>
        <w:rPr>
          <w:rFonts w:ascii="Arial" w:hAnsi="Arial" w:hint="eastAsia"/>
          <w:sz w:val="21"/>
          <w:szCs w:val="21"/>
        </w:rPr>
        <w:t xml:space="preserve"> </w:t>
      </w:r>
      <w:r>
        <w:rPr>
          <w:rFonts w:ascii="Arial" w:hAnsi="Arial"/>
          <w:sz w:val="21"/>
          <w:szCs w:val="21"/>
        </w:rPr>
        <w:t xml:space="preserve">                </w:t>
      </w:r>
      <w:r>
        <w:rPr>
          <w:rFonts w:ascii="Arial" w:hAnsi="Arial" w:cs="Arial" w:hint="eastAsia"/>
          <w:color w:val="000000"/>
          <w:sz w:val="21"/>
          <w:szCs w:val="21"/>
        </w:rPr>
        <w:t>=55.18</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w:t>
      </w:r>
    </w:p>
    <w:p w14:paraId="3D62C755" w14:textId="77777777" w:rsidR="00000000" w:rsidRDefault="00000000">
      <w:pPr>
        <w:wordWrap w:val="0"/>
        <w:overflowPunct w:val="0"/>
        <w:spacing w:line="480" w:lineRule="auto"/>
        <w:ind w:firstLineChars="200" w:firstLine="422"/>
        <w:rPr>
          <w:rFonts w:ascii="Arial" w:hAnsi="Arial" w:cs="Arial"/>
          <w:b/>
          <w:sz w:val="21"/>
          <w:szCs w:val="21"/>
        </w:rPr>
      </w:pPr>
    </w:p>
    <w:p w14:paraId="1185E58B" w14:textId="77777777" w:rsidR="00000000" w:rsidRDefault="00000000">
      <w:pPr>
        <w:pStyle w:val="2"/>
        <w:numPr>
          <w:ilvl w:val="0"/>
          <w:numId w:val="0"/>
        </w:numPr>
        <w:tabs>
          <w:tab w:val="left" w:pos="360"/>
        </w:tabs>
        <w:spacing w:line="480" w:lineRule="auto"/>
        <w:ind w:left="358" w:hangingChars="170" w:hanging="358"/>
        <w:jc w:val="both"/>
        <w:rPr>
          <w:rFonts w:eastAsia="宋体"/>
          <w:kern w:val="2"/>
          <w:sz w:val="21"/>
          <w:szCs w:val="21"/>
        </w:rPr>
      </w:pPr>
      <w:r>
        <w:rPr>
          <w:rFonts w:eastAsia="宋体"/>
          <w:kern w:val="2"/>
          <w:sz w:val="21"/>
          <w:szCs w:val="21"/>
        </w:rPr>
        <w:br w:type="page"/>
      </w:r>
      <w:bookmarkStart w:id="64" w:name="_Toc27218"/>
      <w:r>
        <w:rPr>
          <w:rFonts w:eastAsia="宋体"/>
          <w:kern w:val="2"/>
          <w:sz w:val="21"/>
          <w:szCs w:val="21"/>
        </w:rPr>
        <w:lastRenderedPageBreak/>
        <w:t>六、估价结果确定</w:t>
      </w:r>
      <w:bookmarkEnd w:id="64"/>
    </w:p>
    <w:p w14:paraId="58C3BAEB" w14:textId="77777777" w:rsidR="00000000" w:rsidRDefault="00000000">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评估专业人员根据估价的目的，</w:t>
      </w:r>
      <w:r>
        <w:rPr>
          <w:rFonts w:ascii="Arial" w:hAnsi="Arial" w:cs="Arial" w:hint="eastAsia"/>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ascii="Arial" w:hAnsi="Arial" w:cs="Arial" w:hint="eastAsia"/>
          <w:sz w:val="21"/>
          <w:szCs w:val="21"/>
        </w:rPr>
        <w:t>租赁</w:t>
      </w:r>
      <w:r>
        <w:rPr>
          <w:rFonts w:ascii="Arial" w:hAnsi="Arial" w:cs="Arial"/>
          <w:sz w:val="21"/>
          <w:szCs w:val="21"/>
        </w:rPr>
        <w:t>价格的因素，</w:t>
      </w:r>
      <w:r>
        <w:rPr>
          <w:rFonts w:ascii="Arial" w:hAnsi="Arial" w:cs="Arial" w:hint="eastAsia"/>
          <w:sz w:val="21"/>
          <w:szCs w:val="21"/>
        </w:rPr>
        <w:t>最终</w:t>
      </w:r>
      <w:r>
        <w:rPr>
          <w:rFonts w:ascii="Arial" w:hAnsi="Arial" w:cs="Arial"/>
          <w:sz w:val="21"/>
          <w:szCs w:val="21"/>
        </w:rPr>
        <w:t>确定估价对象</w:t>
      </w:r>
      <w:r>
        <w:rPr>
          <w:rFonts w:ascii="Arial" w:hAnsi="Arial" w:cs="Arial" w:hint="eastAsia"/>
          <w:sz w:val="21"/>
          <w:szCs w:val="21"/>
        </w:rPr>
        <w:t>同地块、同类型普通住宅房地产于价值时点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日前一年内（</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日）平均市场租金水平为：</w:t>
      </w:r>
      <w:r>
        <w:rPr>
          <w:rFonts w:ascii="Arial" w:hAnsi="Arial" w:cs="Arial" w:hint="eastAsia"/>
          <w:sz w:val="21"/>
          <w:szCs w:val="21"/>
        </w:rPr>
        <w:t xml:space="preserve"> </w:t>
      </w:r>
    </w:p>
    <w:p w14:paraId="67E6B6C4" w14:textId="77777777" w:rsidR="00000000" w:rsidRDefault="00000000">
      <w:pPr>
        <w:overflowPunct w:val="0"/>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区域租金单价：</w:t>
      </w:r>
      <w:r>
        <w:rPr>
          <w:rFonts w:ascii="Arial" w:hAnsi="Arial" w:cs="Arial" w:hint="eastAsia"/>
          <w:b/>
          <w:bCs/>
          <w:sz w:val="21"/>
          <w:szCs w:val="21"/>
        </w:rPr>
        <w:t xml:space="preserve"> X13</w:t>
      </w:r>
      <w:r>
        <w:rPr>
          <w:rFonts w:ascii="Arial" w:hAnsi="Arial" w:cs="Arial" w:hint="eastAsia"/>
          <w:b/>
          <w:bCs/>
          <w:sz w:val="21"/>
          <w:szCs w:val="21"/>
        </w:rPr>
        <w:t>海棠苑：</w:t>
      </w:r>
      <w:r>
        <w:rPr>
          <w:rFonts w:ascii="Arial" w:hAnsi="Arial" w:cs="Arial" w:hint="eastAsia"/>
          <w:b/>
          <w:bCs/>
          <w:sz w:val="21"/>
          <w:szCs w:val="21"/>
        </w:rPr>
        <w:t>54.53</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18FE5E8A" w14:textId="77777777" w:rsidR="00000000" w:rsidRDefault="00000000">
      <w:pPr>
        <w:overflowPunct w:val="0"/>
        <w:spacing w:line="480" w:lineRule="auto"/>
        <w:ind w:firstLineChars="950" w:firstLine="2003"/>
        <w:textAlignment w:val="auto"/>
        <w:rPr>
          <w:rFonts w:ascii="Arial" w:hAnsi="Arial" w:cs="Arial" w:hint="eastAsia"/>
          <w:b/>
          <w:bCs/>
          <w:sz w:val="21"/>
          <w:szCs w:val="21"/>
        </w:rPr>
      </w:pPr>
      <w:r>
        <w:rPr>
          <w:rFonts w:ascii="Arial" w:hAnsi="Arial" w:cs="Arial" w:hint="eastAsia"/>
          <w:b/>
          <w:bCs/>
          <w:sz w:val="21"/>
          <w:szCs w:val="21"/>
        </w:rPr>
        <w:t>X</w:t>
      </w:r>
      <w:r>
        <w:rPr>
          <w:rFonts w:ascii="Arial" w:hAnsi="Arial" w:cs="Arial"/>
          <w:b/>
          <w:bCs/>
          <w:sz w:val="21"/>
          <w:szCs w:val="21"/>
        </w:rPr>
        <w:t>38</w:t>
      </w:r>
      <w:r>
        <w:rPr>
          <w:rFonts w:ascii="Arial" w:hAnsi="Arial" w:cs="Arial" w:hint="eastAsia"/>
          <w:b/>
          <w:bCs/>
          <w:sz w:val="21"/>
          <w:szCs w:val="21"/>
        </w:rPr>
        <w:t>鹿海园五里：</w:t>
      </w:r>
      <w:r>
        <w:rPr>
          <w:rFonts w:ascii="Arial" w:hAnsi="Arial" w:cs="Arial" w:hint="eastAsia"/>
          <w:b/>
          <w:bCs/>
          <w:sz w:val="21"/>
          <w:szCs w:val="21"/>
        </w:rPr>
        <w:t>55.18</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717D85BC" w14:textId="77777777" w:rsidR="00000000" w:rsidRDefault="00000000">
      <w:pPr>
        <w:overflowPunct w:val="0"/>
        <w:spacing w:line="480" w:lineRule="auto"/>
        <w:ind w:firstLineChars="200" w:firstLine="360"/>
        <w:jc w:val="both"/>
        <w:textAlignment w:val="auto"/>
        <w:rPr>
          <w:rFonts w:ascii="Arial" w:hAnsi="Arial" w:cs="Arial"/>
          <w:sz w:val="18"/>
          <w:szCs w:val="18"/>
        </w:rPr>
      </w:pPr>
      <w:r>
        <w:rPr>
          <w:rFonts w:ascii="Arial" w:hAnsi="Arial" w:cs="Arial"/>
          <w:sz w:val="18"/>
          <w:szCs w:val="18"/>
        </w:rPr>
        <w:t>注：</w:t>
      </w:r>
      <w:r>
        <w:rPr>
          <w:rFonts w:ascii="Arial" w:hAnsi="Arial" w:cs="Arial"/>
          <w:sz w:val="18"/>
          <w:szCs w:val="18"/>
        </w:rPr>
        <w:t>1</w:t>
      </w:r>
      <w:r>
        <w:rPr>
          <w:rFonts w:ascii="Arial" w:hAnsi="Arial" w:cs="Arial"/>
          <w:sz w:val="18"/>
          <w:szCs w:val="18"/>
        </w:rPr>
        <w:t>、</w:t>
      </w:r>
      <w:r>
        <w:rPr>
          <w:rFonts w:ascii="Arial" w:hAnsi="Arial" w:cs="Arial" w:hint="eastAsia"/>
          <w:sz w:val="18"/>
          <w:szCs w:val="18"/>
        </w:rPr>
        <w:t>评估的详细结果、过程及有关说明，详见《估价结果报告》、《估价技术报告》。</w:t>
      </w:r>
    </w:p>
    <w:p w14:paraId="77806093" w14:textId="77777777" w:rsidR="00000000" w:rsidRDefault="00000000">
      <w:pPr>
        <w:overflowPunct w:val="0"/>
        <w:spacing w:line="480" w:lineRule="auto"/>
        <w:ind w:leftChars="150" w:left="360"/>
        <w:jc w:val="both"/>
        <w:textAlignment w:val="auto"/>
        <w:rPr>
          <w:rFonts w:ascii="Arial" w:hAnsi="Arial" w:cs="Arial"/>
          <w:sz w:val="18"/>
          <w:szCs w:val="18"/>
        </w:rPr>
      </w:pPr>
      <w:r>
        <w:rPr>
          <w:rFonts w:ascii="Arial" w:hAnsi="Arial" w:cs="Arial"/>
          <w:sz w:val="18"/>
          <w:szCs w:val="18"/>
        </w:rPr>
        <w:t xml:space="preserve">    2</w:t>
      </w:r>
      <w:r>
        <w:rPr>
          <w:rFonts w:ascii="Arial" w:hAnsi="Arial" w:cs="Arial"/>
          <w:sz w:val="18"/>
          <w:szCs w:val="18"/>
        </w:rPr>
        <w:t>、</w:t>
      </w:r>
      <w:r>
        <w:rPr>
          <w:rFonts w:ascii="Arial" w:hAnsi="Arial" w:cs="Arial" w:hint="eastAsia"/>
          <w:sz w:val="18"/>
          <w:szCs w:val="18"/>
        </w:rPr>
        <w:t>估价结果为项目同地段、同类型普通住宅前</w:t>
      </w:r>
      <w:r>
        <w:rPr>
          <w:rFonts w:ascii="Arial" w:hAnsi="Arial" w:cs="Arial" w:hint="eastAsia"/>
          <w:sz w:val="18"/>
          <w:szCs w:val="18"/>
        </w:rPr>
        <w:t>12</w:t>
      </w:r>
      <w:r>
        <w:rPr>
          <w:rFonts w:ascii="Arial" w:hAnsi="Arial" w:cs="Arial" w:hint="eastAsia"/>
          <w:sz w:val="18"/>
          <w:szCs w:val="18"/>
        </w:rPr>
        <w:t>个月的市场平均月租金价格。</w:t>
      </w:r>
    </w:p>
    <w:p w14:paraId="1305DB2B" w14:textId="77777777" w:rsidR="00000000" w:rsidRDefault="00000000">
      <w:pPr>
        <w:overflowPunct w:val="0"/>
        <w:spacing w:line="480" w:lineRule="auto"/>
        <w:ind w:leftChars="150" w:left="720" w:hangingChars="200" w:hanging="360"/>
        <w:jc w:val="both"/>
        <w:textAlignment w:val="auto"/>
        <w:rPr>
          <w:rFonts w:ascii="Arial" w:hAnsi="Arial" w:cs="Arial"/>
          <w:sz w:val="18"/>
          <w:szCs w:val="18"/>
        </w:rPr>
      </w:pPr>
      <w:r>
        <w:rPr>
          <w:rFonts w:ascii="Arial" w:hAnsi="Arial" w:cs="Arial"/>
          <w:sz w:val="18"/>
          <w:szCs w:val="18"/>
        </w:rPr>
        <w:t xml:space="preserve">    3</w:t>
      </w:r>
      <w:r>
        <w:rPr>
          <w:rFonts w:ascii="Arial" w:hAnsi="Arial" w:cs="Arial"/>
          <w:sz w:val="18"/>
          <w:szCs w:val="18"/>
        </w:rPr>
        <w:t>、本次估价采取标准房进行评估设定，标准房是指参照被评估公共租赁住房项目的户型、面积、朝向、楼层、装修及设备等因素按照众数原则设定的房屋状况。</w:t>
      </w:r>
      <w:r>
        <w:rPr>
          <w:rFonts w:ascii="Arial" w:hAnsi="Arial" w:cs="Arial"/>
          <w:sz w:val="18"/>
          <w:szCs w:val="18"/>
        </w:rPr>
        <w:t xml:space="preserve">  </w:t>
      </w:r>
    </w:p>
    <w:p w14:paraId="62B5CC86" w14:textId="77777777" w:rsidR="00000000" w:rsidRDefault="00000000">
      <w:pPr>
        <w:overflowPunct w:val="0"/>
        <w:spacing w:line="480" w:lineRule="auto"/>
        <w:ind w:leftChars="150" w:left="720" w:hangingChars="200" w:hanging="360"/>
        <w:jc w:val="both"/>
        <w:textAlignment w:val="auto"/>
        <w:rPr>
          <w:rFonts w:ascii="Arial" w:hAnsi="Arial" w:cs="Arial" w:hint="eastAsia"/>
          <w:sz w:val="18"/>
          <w:szCs w:val="18"/>
        </w:rPr>
      </w:pPr>
      <w:r>
        <w:rPr>
          <w:rFonts w:ascii="Arial" w:hAnsi="Arial" w:cs="Arial"/>
          <w:sz w:val="18"/>
          <w:szCs w:val="18"/>
        </w:rPr>
        <w:t xml:space="preserve">    4</w:t>
      </w:r>
      <w:r>
        <w:rPr>
          <w:rFonts w:ascii="Arial" w:hAnsi="Arial" w:cs="Arial"/>
          <w:sz w:val="18"/>
          <w:szCs w:val="18"/>
        </w:rPr>
        <w:t>、估价结果</w:t>
      </w:r>
      <w:r>
        <w:rPr>
          <w:rFonts w:ascii="Arial" w:hAnsi="Arial" w:cs="Arial" w:hint="eastAsia"/>
          <w:sz w:val="18"/>
          <w:szCs w:val="18"/>
        </w:rPr>
        <w:t>包括地租、房屋折旧、设备折旧、维修费、保险费、物业费、管理费、利息、利润等；不含供暖费、水电费、天然气费、通信费、有线电视费、上网宽带费和家具、家电租赁费及租赁税费等</w:t>
      </w:r>
      <w:r>
        <w:rPr>
          <w:rFonts w:ascii="Arial" w:hAnsi="Arial" w:cs="Arial"/>
          <w:sz w:val="18"/>
          <w:szCs w:val="18"/>
        </w:rPr>
        <w:t>。</w:t>
      </w:r>
    </w:p>
    <w:p w14:paraId="73740A97" w14:textId="77777777" w:rsidR="00000000" w:rsidRDefault="00000000">
      <w:pPr>
        <w:overflowPunct w:val="0"/>
        <w:spacing w:line="480" w:lineRule="auto"/>
        <w:ind w:leftChars="150" w:left="720" w:hangingChars="200" w:hanging="360"/>
        <w:jc w:val="both"/>
        <w:textAlignment w:val="auto"/>
        <w:rPr>
          <w:rFonts w:ascii="Arial" w:hAnsi="Arial" w:cs="Arial" w:hint="eastAsia"/>
          <w:sz w:val="18"/>
          <w:szCs w:val="18"/>
        </w:rPr>
      </w:pPr>
    </w:p>
    <w:p w14:paraId="45C741DC" w14:textId="77777777" w:rsidR="00000000" w:rsidRDefault="00000000">
      <w:pPr>
        <w:spacing w:line="240" w:lineRule="auto"/>
        <w:jc w:val="center"/>
        <w:rPr>
          <w:rFonts w:ascii="Arial" w:hAnsi="Arial" w:cs="Arial" w:hint="eastAsia"/>
          <w:b/>
          <w:sz w:val="21"/>
          <w:szCs w:val="21"/>
        </w:rPr>
      </w:pPr>
    </w:p>
    <w:p w14:paraId="08366A45" w14:textId="77777777" w:rsidR="00000000" w:rsidRDefault="00000000">
      <w:pPr>
        <w:spacing w:line="240" w:lineRule="auto"/>
        <w:jc w:val="center"/>
        <w:rPr>
          <w:rFonts w:ascii="Arial" w:hAnsi="Arial" w:cs="Arial"/>
          <w:b/>
          <w:sz w:val="21"/>
          <w:szCs w:val="21"/>
        </w:rPr>
        <w:sectPr w:rsidR="00000000">
          <w:pgSz w:w="11907" w:h="16840"/>
          <w:pgMar w:top="1843" w:right="1134" w:bottom="1134" w:left="1134" w:header="1134" w:footer="907" w:gutter="340"/>
          <w:cols w:space="720"/>
          <w:docGrid w:linePitch="326"/>
        </w:sectPr>
      </w:pPr>
    </w:p>
    <w:p w14:paraId="2A978846" w14:textId="77777777" w:rsidR="00000000" w:rsidRDefault="00000000">
      <w:pPr>
        <w:pStyle w:val="1"/>
        <w:spacing w:line="480" w:lineRule="auto"/>
        <w:jc w:val="center"/>
        <w:rPr>
          <w:rFonts w:eastAsia="方正黑体简体" w:hint="eastAsia"/>
          <w:b w:val="0"/>
          <w:kern w:val="2"/>
          <w:sz w:val="32"/>
          <w:szCs w:val="32"/>
        </w:rPr>
      </w:pPr>
      <w:bookmarkStart w:id="65" w:name="_Toc1683"/>
      <w:r>
        <w:rPr>
          <w:rFonts w:eastAsia="方正黑体简体" w:hint="eastAsia"/>
          <w:b w:val="0"/>
          <w:kern w:val="2"/>
          <w:sz w:val="32"/>
          <w:szCs w:val="32"/>
        </w:rPr>
        <w:lastRenderedPageBreak/>
        <w:t>附</w:t>
      </w:r>
      <w:r>
        <w:rPr>
          <w:rFonts w:eastAsia="方正黑体简体" w:hint="eastAsia"/>
          <w:b w:val="0"/>
          <w:kern w:val="2"/>
          <w:sz w:val="32"/>
          <w:szCs w:val="32"/>
        </w:rPr>
        <w:t xml:space="preserve">   </w:t>
      </w:r>
      <w:r>
        <w:rPr>
          <w:rFonts w:eastAsia="方正黑体简体" w:hint="eastAsia"/>
          <w:b w:val="0"/>
          <w:kern w:val="2"/>
          <w:sz w:val="32"/>
          <w:szCs w:val="32"/>
        </w:rPr>
        <w:t>件</w:t>
      </w:r>
      <w:bookmarkEnd w:id="65"/>
    </w:p>
    <w:p w14:paraId="1253A98B" w14:textId="77777777" w:rsidR="00000000" w:rsidRDefault="00000000">
      <w:pPr>
        <w:numPr>
          <w:ilvl w:val="0"/>
          <w:numId w:val="11"/>
        </w:numPr>
        <w:spacing w:line="480" w:lineRule="auto"/>
        <w:jc w:val="both"/>
        <w:rPr>
          <w:rFonts w:ascii="Arial" w:hAnsi="Arial" w:cs="Arial" w:hint="eastAsia"/>
          <w:sz w:val="21"/>
          <w:szCs w:val="21"/>
        </w:rPr>
      </w:pPr>
      <w:r>
        <w:rPr>
          <w:rFonts w:ascii="Arial" w:hAnsi="Arial" w:cs="Arial" w:hint="eastAsia"/>
          <w:sz w:val="21"/>
          <w:szCs w:val="21"/>
        </w:rPr>
        <w:t>《估价委托书》复印件</w:t>
      </w:r>
    </w:p>
    <w:p w14:paraId="2E9BF13E" w14:textId="77777777" w:rsidR="00000000" w:rsidRDefault="00000000">
      <w:pPr>
        <w:numPr>
          <w:ilvl w:val="0"/>
          <w:numId w:val="11"/>
        </w:numPr>
        <w:spacing w:line="480" w:lineRule="auto"/>
        <w:jc w:val="both"/>
        <w:rPr>
          <w:rFonts w:ascii="Arial" w:hAnsi="Arial" w:cs="Arial"/>
          <w:sz w:val="21"/>
          <w:szCs w:val="21"/>
        </w:rPr>
      </w:pPr>
      <w:r>
        <w:rPr>
          <w:rFonts w:ascii="Arial" w:hAnsi="Arial" w:cs="Arial"/>
          <w:sz w:val="21"/>
          <w:szCs w:val="21"/>
        </w:rPr>
        <w:t>估价对象所在位置示意图</w:t>
      </w:r>
    </w:p>
    <w:p w14:paraId="2F82B6C2" w14:textId="77777777" w:rsidR="00000000" w:rsidRDefault="00000000">
      <w:pPr>
        <w:numPr>
          <w:ilvl w:val="0"/>
          <w:numId w:val="11"/>
        </w:numPr>
        <w:spacing w:line="480" w:lineRule="auto"/>
        <w:jc w:val="both"/>
        <w:rPr>
          <w:rFonts w:ascii="Arial" w:hAnsi="Arial" w:cs="Arial"/>
          <w:sz w:val="21"/>
          <w:szCs w:val="21"/>
        </w:rPr>
      </w:pPr>
      <w:r>
        <w:rPr>
          <w:rFonts w:ascii="Arial" w:hAnsi="Arial" w:cs="Arial"/>
          <w:sz w:val="21"/>
          <w:szCs w:val="21"/>
        </w:rPr>
        <w:t>估价对象</w:t>
      </w:r>
      <w:r>
        <w:rPr>
          <w:rFonts w:ascii="Arial" w:hAnsi="Arial" w:cs="Arial" w:hint="eastAsia"/>
          <w:sz w:val="21"/>
          <w:szCs w:val="21"/>
        </w:rPr>
        <w:t>现状</w:t>
      </w:r>
      <w:r>
        <w:rPr>
          <w:rFonts w:ascii="Arial" w:hAnsi="Arial" w:cs="Arial"/>
          <w:sz w:val="21"/>
          <w:szCs w:val="21"/>
        </w:rPr>
        <w:t>相关照片</w:t>
      </w:r>
    </w:p>
    <w:p w14:paraId="44AA0525" w14:textId="77777777" w:rsidR="00000000" w:rsidRDefault="00000000">
      <w:pPr>
        <w:numPr>
          <w:ilvl w:val="0"/>
          <w:numId w:val="11"/>
        </w:numPr>
        <w:spacing w:line="480" w:lineRule="auto"/>
        <w:jc w:val="both"/>
        <w:rPr>
          <w:rFonts w:ascii="Arial" w:hAnsi="Arial" w:cs="Arial"/>
          <w:sz w:val="21"/>
          <w:szCs w:val="21"/>
        </w:rPr>
      </w:pPr>
      <w:r>
        <w:rPr>
          <w:rFonts w:ascii="Arial" w:hAnsi="Arial" w:cs="Arial" w:hint="eastAsia"/>
          <w:sz w:val="21"/>
          <w:szCs w:val="21"/>
        </w:rPr>
        <w:t>《</w:t>
      </w:r>
      <w:r>
        <w:rPr>
          <w:rFonts w:ascii="Arial" w:hAnsi="Arial" w:cs="Arial" w:hint="eastAsia"/>
          <w:kern w:val="2"/>
          <w:sz w:val="21"/>
          <w:szCs w:val="21"/>
        </w:rPr>
        <w:t>X13</w:t>
      </w:r>
      <w:r>
        <w:rPr>
          <w:rFonts w:ascii="Arial" w:hAnsi="Arial" w:cs="Arial" w:hint="eastAsia"/>
          <w:kern w:val="2"/>
          <w:sz w:val="21"/>
          <w:szCs w:val="21"/>
        </w:rPr>
        <w:t>海棠苑房源明细表</w:t>
      </w:r>
      <w:r>
        <w:rPr>
          <w:rFonts w:ascii="Arial" w:hAnsi="Arial" w:cs="Arial" w:hint="eastAsia"/>
          <w:sz w:val="21"/>
          <w:szCs w:val="21"/>
        </w:rPr>
        <w:t>》复印件</w:t>
      </w:r>
    </w:p>
    <w:p w14:paraId="49944005" w14:textId="77777777" w:rsidR="00000000" w:rsidRDefault="00000000">
      <w:pPr>
        <w:numPr>
          <w:ilvl w:val="0"/>
          <w:numId w:val="11"/>
        </w:numPr>
        <w:spacing w:line="480" w:lineRule="auto"/>
        <w:jc w:val="both"/>
        <w:rPr>
          <w:rFonts w:ascii="Arial" w:hAnsi="Arial" w:cs="Arial" w:hint="eastAsia"/>
          <w:sz w:val="21"/>
          <w:szCs w:val="21"/>
        </w:rPr>
      </w:pPr>
      <w:r>
        <w:rPr>
          <w:rFonts w:ascii="Arial" w:hAnsi="Arial" w:cs="Arial" w:hint="eastAsia"/>
          <w:sz w:val="21"/>
          <w:szCs w:val="21"/>
        </w:rPr>
        <w:t>《</w:t>
      </w:r>
      <w:r>
        <w:rPr>
          <w:rFonts w:ascii="Arial" w:hAnsi="Arial" w:cs="Arial" w:hint="eastAsia"/>
          <w:sz w:val="21"/>
          <w:szCs w:val="21"/>
        </w:rPr>
        <w:t>X38</w:t>
      </w:r>
      <w:r>
        <w:rPr>
          <w:rFonts w:ascii="Arial" w:hAnsi="Arial" w:cs="Arial" w:hint="eastAsia"/>
          <w:sz w:val="21"/>
          <w:szCs w:val="21"/>
        </w:rPr>
        <w:t>鹿海园五里</w:t>
      </w:r>
      <w:r>
        <w:rPr>
          <w:rFonts w:ascii="Arial" w:hAnsi="Arial" w:cs="Arial" w:hint="eastAsia"/>
          <w:kern w:val="2"/>
          <w:sz w:val="21"/>
          <w:szCs w:val="21"/>
        </w:rPr>
        <w:t>房源明细表</w:t>
      </w:r>
      <w:r>
        <w:rPr>
          <w:rFonts w:ascii="Arial" w:hAnsi="Arial" w:cs="Arial" w:hint="eastAsia"/>
          <w:sz w:val="21"/>
          <w:szCs w:val="21"/>
        </w:rPr>
        <w:t>》复印件</w:t>
      </w:r>
    </w:p>
    <w:p w14:paraId="5768E904" w14:textId="77777777" w:rsidR="00000000" w:rsidRDefault="00000000">
      <w:pPr>
        <w:numPr>
          <w:ilvl w:val="0"/>
          <w:numId w:val="11"/>
        </w:numPr>
        <w:spacing w:line="480" w:lineRule="auto"/>
        <w:jc w:val="both"/>
        <w:rPr>
          <w:rFonts w:ascii="Arial" w:hAnsi="Arial" w:cs="Arial" w:hint="eastAsia"/>
          <w:sz w:val="21"/>
          <w:szCs w:val="21"/>
        </w:rPr>
      </w:pPr>
      <w:r>
        <w:rPr>
          <w:rFonts w:ascii="Arial" w:hAnsi="Arial" w:cs="Arial" w:hint="eastAsia"/>
          <w:sz w:val="21"/>
          <w:szCs w:val="21"/>
        </w:rPr>
        <w:t>《房屋收购协议》</w:t>
      </w:r>
      <w:r>
        <w:rPr>
          <w:rFonts w:ascii="Arial" w:hAnsi="Arial" w:cs="Arial" w:hint="eastAsia"/>
          <w:sz w:val="21"/>
          <w:szCs w:val="21"/>
        </w:rPr>
        <w:t>[</w:t>
      </w:r>
      <w:r>
        <w:rPr>
          <w:rFonts w:ascii="Arial" w:hAnsi="Arial" w:cs="Arial" w:hint="eastAsia"/>
          <w:sz w:val="21"/>
          <w:szCs w:val="21"/>
        </w:rPr>
        <w:t>编号：</w:t>
      </w:r>
      <w:r>
        <w:rPr>
          <w:rFonts w:ascii="Arial" w:hAnsi="Arial" w:cs="Arial" w:hint="eastAsia"/>
          <w:sz w:val="21"/>
          <w:szCs w:val="21"/>
        </w:rPr>
        <w:t>2020-</w:t>
      </w:r>
      <w:r>
        <w:rPr>
          <w:rFonts w:ascii="Arial" w:hAnsi="Arial" w:cs="Arial" w:hint="eastAsia"/>
          <w:sz w:val="21"/>
          <w:szCs w:val="21"/>
        </w:rPr>
        <w:t>新元</w:t>
      </w:r>
      <w:r>
        <w:rPr>
          <w:rFonts w:ascii="Arial" w:hAnsi="Arial" w:cs="Arial" w:hint="eastAsia"/>
          <w:sz w:val="21"/>
          <w:szCs w:val="21"/>
        </w:rPr>
        <w:t>-</w:t>
      </w:r>
      <w:r>
        <w:rPr>
          <w:rFonts w:ascii="Arial" w:hAnsi="Arial" w:cs="Arial" w:hint="eastAsia"/>
          <w:sz w:val="21"/>
          <w:szCs w:val="21"/>
        </w:rPr>
        <w:t>综合</w:t>
      </w:r>
      <w:r>
        <w:rPr>
          <w:rFonts w:ascii="Arial" w:hAnsi="Arial" w:cs="Arial" w:hint="eastAsia"/>
          <w:sz w:val="21"/>
          <w:szCs w:val="21"/>
        </w:rPr>
        <w:t>-17]</w:t>
      </w:r>
      <w:r>
        <w:rPr>
          <w:rFonts w:ascii="Arial" w:hAnsi="Arial" w:cs="Arial" w:hint="eastAsia"/>
          <w:sz w:val="21"/>
          <w:szCs w:val="21"/>
        </w:rPr>
        <w:t>复印件</w:t>
      </w:r>
    </w:p>
    <w:p w14:paraId="6EC01930" w14:textId="77777777" w:rsidR="00000000" w:rsidRDefault="00000000">
      <w:pPr>
        <w:numPr>
          <w:ilvl w:val="0"/>
          <w:numId w:val="11"/>
        </w:numPr>
        <w:spacing w:line="480" w:lineRule="auto"/>
        <w:jc w:val="both"/>
        <w:rPr>
          <w:rFonts w:ascii="Arial" w:hAnsi="Arial" w:cs="Arial" w:hint="eastAsia"/>
          <w:sz w:val="21"/>
          <w:szCs w:val="21"/>
        </w:rPr>
      </w:pPr>
      <w:r>
        <w:rPr>
          <w:rFonts w:ascii="Arial" w:hAnsi="Arial" w:cs="Arial" w:hint="eastAsia"/>
          <w:kern w:val="2"/>
          <w:sz w:val="21"/>
          <w:szCs w:val="21"/>
        </w:rPr>
        <w:t>《房屋交接书》</w:t>
      </w:r>
      <w:r>
        <w:rPr>
          <w:rFonts w:ascii="Arial" w:hAnsi="Arial" w:cs="Arial"/>
          <w:sz w:val="21"/>
          <w:szCs w:val="21"/>
        </w:rPr>
        <w:t>复印件</w:t>
      </w:r>
    </w:p>
    <w:p w14:paraId="5A93455D" w14:textId="77777777" w:rsidR="00000000" w:rsidRDefault="00000000">
      <w:pPr>
        <w:numPr>
          <w:ilvl w:val="0"/>
          <w:numId w:val="11"/>
        </w:numPr>
        <w:spacing w:line="480" w:lineRule="auto"/>
        <w:jc w:val="both"/>
        <w:rPr>
          <w:rFonts w:ascii="Arial" w:hAnsi="Arial" w:cs="Arial" w:hint="eastAsia"/>
          <w:sz w:val="21"/>
          <w:szCs w:val="21"/>
        </w:rPr>
      </w:pPr>
      <w:r>
        <w:rPr>
          <w:rFonts w:ascii="Arial" w:hAnsi="Arial" w:cs="Arial" w:hint="eastAsia"/>
          <w:sz w:val="21"/>
          <w:szCs w:val="21"/>
        </w:rPr>
        <w:t>估价委托人《营业执照（副本）》复印件</w:t>
      </w:r>
    </w:p>
    <w:p w14:paraId="5ED8F599" w14:textId="77777777" w:rsidR="00000000" w:rsidRDefault="00000000">
      <w:pPr>
        <w:numPr>
          <w:ilvl w:val="0"/>
          <w:numId w:val="11"/>
        </w:numPr>
        <w:spacing w:line="480" w:lineRule="auto"/>
        <w:jc w:val="both"/>
        <w:rPr>
          <w:rFonts w:ascii="Arial" w:hAnsi="Arial" w:cs="Arial"/>
          <w:sz w:val="21"/>
          <w:szCs w:val="21"/>
        </w:rPr>
      </w:pPr>
      <w:r>
        <w:rPr>
          <w:rFonts w:ascii="Arial" w:hAnsi="Arial" w:cs="Arial"/>
          <w:sz w:val="21"/>
          <w:szCs w:val="21"/>
        </w:rPr>
        <w:t>房地产估价机构《营业执照（副本）》复印件</w:t>
      </w:r>
    </w:p>
    <w:p w14:paraId="4452CF3D" w14:textId="77777777" w:rsidR="00000000" w:rsidRDefault="00000000">
      <w:pPr>
        <w:numPr>
          <w:ilvl w:val="0"/>
          <w:numId w:val="11"/>
        </w:numPr>
        <w:spacing w:line="480" w:lineRule="auto"/>
        <w:jc w:val="both"/>
        <w:rPr>
          <w:rFonts w:ascii="Arial" w:hAnsi="Arial" w:cs="Arial"/>
          <w:sz w:val="21"/>
          <w:szCs w:val="21"/>
        </w:rPr>
      </w:pPr>
      <w:r>
        <w:rPr>
          <w:rFonts w:ascii="Arial" w:hAnsi="Arial" w:cs="Arial"/>
          <w:sz w:val="21"/>
          <w:szCs w:val="21"/>
        </w:rPr>
        <w:t>估价机构资质证书复印件</w:t>
      </w:r>
    </w:p>
    <w:p w14:paraId="37E53D23" w14:textId="77777777" w:rsidR="000855DD" w:rsidRDefault="00000000">
      <w:pPr>
        <w:numPr>
          <w:ilvl w:val="0"/>
          <w:numId w:val="11"/>
        </w:numPr>
        <w:spacing w:line="480" w:lineRule="auto"/>
        <w:jc w:val="both"/>
        <w:rPr>
          <w:rFonts w:ascii="Arial" w:hAnsi="Arial" w:cs="Arial"/>
          <w:sz w:val="21"/>
          <w:szCs w:val="21"/>
        </w:rPr>
      </w:pPr>
      <w:r>
        <w:rPr>
          <w:rFonts w:ascii="Arial" w:hAnsi="Arial" w:cs="Arial"/>
          <w:sz w:val="21"/>
          <w:szCs w:val="21"/>
        </w:rPr>
        <w:t>评估专业人员执业证书复印件</w:t>
      </w:r>
    </w:p>
    <w:sectPr w:rsidR="000855DD">
      <w:headerReference w:type="default" r:id="rId45"/>
      <w:pgSz w:w="11907" w:h="16840"/>
      <w:pgMar w:top="1843" w:right="1134" w:bottom="1134" w:left="1134" w:header="1134" w:footer="907" w:gutter="34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皓源 许" w:date="2025-10-30T11:28:00Z" w:initials="皓许">
    <w:p w14:paraId="706749B8" w14:textId="77777777" w:rsidR="002B5917" w:rsidRDefault="002B5917" w:rsidP="002B5917">
      <w:pPr>
        <w:pStyle w:val="a7"/>
      </w:pPr>
      <w:r>
        <w:rPr>
          <w:rStyle w:val="afa"/>
        </w:rPr>
        <w:annotationRef/>
      </w:r>
      <w:r>
        <w:t>.</w:t>
      </w:r>
    </w:p>
  </w:comment>
  <w:comment w:id="58" w:author="皓源 许" w:date="2025-10-30T11:52:00Z" w:initials="皓许">
    <w:p w14:paraId="45840829" w14:textId="77777777" w:rsidR="00BF6717" w:rsidRDefault="00BF6717" w:rsidP="00BF6717">
      <w:pPr>
        <w:pStyle w:val="a7"/>
      </w:pPr>
      <w:r>
        <w:rPr>
          <w:rStyle w:val="afa"/>
        </w:rPr>
        <w:annotationRef/>
      </w:r>
      <w:r>
        <w:rPr>
          <w:rFonts w:hint="eastAsia"/>
        </w:rPr>
        <w:t>样本，即案例是含家具家电的</w:t>
      </w:r>
    </w:p>
  </w:comment>
  <w:comment w:id="59" w:author="皓源 许" w:date="2025-10-30T11:52:00Z" w:initials="皓许">
    <w:p w14:paraId="7539F185" w14:textId="77777777" w:rsidR="00BE0CF3" w:rsidRDefault="00BE0CF3" w:rsidP="00BE0CF3">
      <w:pPr>
        <w:pStyle w:val="a7"/>
      </w:pPr>
      <w:r>
        <w:rPr>
          <w:rStyle w:val="afa"/>
        </w:rPr>
        <w:annotationRef/>
      </w:r>
      <w:r>
        <w:t>.</w:t>
      </w:r>
    </w:p>
  </w:comment>
  <w:comment w:id="60" w:author="皓源 许" w:date="2025-10-30T11:52:00Z" w:initials="皓许">
    <w:p w14:paraId="4AF37958" w14:textId="77777777" w:rsidR="00BE0CF3" w:rsidRDefault="00BE0CF3" w:rsidP="00BE0CF3">
      <w:pPr>
        <w:pStyle w:val="a7"/>
      </w:pPr>
      <w:r>
        <w:rPr>
          <w:rStyle w:val="afa"/>
        </w:rPr>
        <w:annotationRef/>
      </w:r>
      <w:r>
        <w:t>.</w:t>
      </w:r>
    </w:p>
  </w:comment>
  <w:comment w:id="61" w:author="皓源 许" w:date="2025-10-30T11:53:00Z" w:initials="皓许">
    <w:p w14:paraId="798312E3" w14:textId="77777777" w:rsidR="00BE0CF3" w:rsidRDefault="00BE0CF3" w:rsidP="00BE0CF3">
      <w:pPr>
        <w:pStyle w:val="a7"/>
      </w:pPr>
      <w:r>
        <w:rPr>
          <w:rStyle w:val="afa"/>
        </w:rPr>
        <w:annotationRef/>
      </w:r>
      <w:r>
        <w:rPr>
          <w:rFonts w:hint="eastAsia"/>
        </w:rPr>
        <w:t>中信新城</w:t>
      </w:r>
    </w:p>
  </w:comment>
  <w:comment w:id="62" w:author="皓源 许" w:date="2025-10-30T11:53:00Z" w:initials="皓许">
    <w:p w14:paraId="34787A36" w14:textId="77777777" w:rsidR="00BE0CF3" w:rsidRDefault="00BE0CF3" w:rsidP="00BE0CF3">
      <w:pPr>
        <w:pStyle w:val="a7"/>
      </w:pPr>
      <w:r>
        <w:rPr>
          <w:rStyle w:val="afa"/>
        </w:rPr>
        <w:annotationRef/>
      </w:r>
      <w:r>
        <w:rPr>
          <w:rFonts w:hint="eastAsia"/>
        </w:rPr>
        <w:t>四里？</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06749B8" w15:done="0"/>
  <w15:commentEx w15:paraId="45840829" w15:done="0"/>
  <w15:commentEx w15:paraId="7539F185" w15:done="0"/>
  <w15:commentEx w15:paraId="4AF37958" w15:done="0"/>
  <w15:commentEx w15:paraId="798312E3" w15:done="0"/>
  <w15:commentEx w15:paraId="34787A3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06749B8" w16cid:durableId="6DC5A6FA"/>
  <w16cid:commentId w16cid:paraId="45840829" w16cid:durableId="22A0ACF1"/>
  <w16cid:commentId w16cid:paraId="7539F185" w16cid:durableId="1EC83D51"/>
  <w16cid:commentId w16cid:paraId="4AF37958" w16cid:durableId="78CE9F20"/>
  <w16cid:commentId w16cid:paraId="798312E3" w16cid:durableId="08C15E77"/>
  <w16cid:commentId w16cid:paraId="34787A36" w16cid:durableId="42879E6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0CD88E" w14:textId="77777777" w:rsidR="00651D09" w:rsidRDefault="00651D09">
      <w:pPr>
        <w:spacing w:line="240" w:lineRule="auto"/>
      </w:pPr>
      <w:r>
        <w:separator/>
      </w:r>
    </w:p>
  </w:endnote>
  <w:endnote w:type="continuationSeparator" w:id="0">
    <w:p w14:paraId="084CCCE2" w14:textId="77777777" w:rsidR="00651D09" w:rsidRDefault="00651D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1" w:usb1="080E0000" w:usb2="00000010" w:usb3="00000000" w:csb0="00040000" w:csb1="00000000"/>
  </w:font>
  <w:font w:name="楷体_GB2312">
    <w:altName w:val="楷体"/>
    <w:charset w:val="86"/>
    <w:family w:val="modern"/>
    <w:pitch w:val="default"/>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宋体;SimSun">
    <w:altName w:val="宋体"/>
    <w:charset w:val="86"/>
    <w:family w:val="roman"/>
    <w:pitch w:val="default"/>
    <w:sig w:usb0="00000000" w:usb1="00000000" w:usb2="00000000" w:usb3="00000000" w:csb0="00040001" w:csb1="00000000"/>
  </w:font>
  <w:font w:name="方正黑体简体">
    <w:altName w:val="微软雅黑"/>
    <w:charset w:val="86"/>
    <w:family w:val="auto"/>
    <w:pitch w:val="default"/>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D74C3" w14:textId="77777777" w:rsidR="00000000" w:rsidRDefault="00000000">
    <w:pPr>
      <w:pStyle w:val="ae"/>
      <w:framePr w:wrap="around" w:vAnchor="text" w:hAnchor="margin" w:xAlign="center" w:y="1"/>
      <w:rPr>
        <w:rStyle w:val="af7"/>
      </w:rPr>
    </w:pPr>
    <w:r>
      <w:fldChar w:fldCharType="begin"/>
    </w:r>
    <w:r>
      <w:rPr>
        <w:rStyle w:val="af7"/>
      </w:rPr>
      <w:instrText xml:space="preserve">PAGE  </w:instrText>
    </w:r>
    <w:r>
      <w:fldChar w:fldCharType="end"/>
    </w:r>
  </w:p>
  <w:p w14:paraId="4BE54E5B" w14:textId="77777777" w:rsidR="00000000" w:rsidRDefault="00000000">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7A6F0" w14:textId="77777777" w:rsidR="00000000" w:rsidRDefault="00000000">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Pr>
        <w:rFonts w:ascii="Arial" w:hAnsi="Arial" w:cs="Arial"/>
        <w:lang w:val="zh-CN" w:eastAsia="zh-CN"/>
      </w:rPr>
      <w:t>1</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5F032" w14:textId="77777777" w:rsidR="00000000" w:rsidRDefault="00000000">
    <w:pPr>
      <w:pStyle w:val="a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93653" w14:textId="77777777" w:rsidR="00000000" w:rsidRDefault="00000000">
    <w:pPr>
      <w:pStyle w:val="ae"/>
      <w:jc w:val="center"/>
    </w:pPr>
    <w:r>
      <w:fldChar w:fldCharType="begin"/>
    </w:r>
    <w:r>
      <w:instrText>PAGE   \* MERGEFORMAT</w:instrText>
    </w:r>
    <w:r>
      <w:fldChar w:fldCharType="separate"/>
    </w:r>
    <w:r>
      <w:rPr>
        <w:rFonts w:ascii="Arial" w:hAnsi="Arial"/>
        <w:lang w:val="zh-CN"/>
      </w:rPr>
      <w:t>12</w:t>
    </w:r>
    <w:r>
      <w:fldChar w:fldCharType="end"/>
    </w:r>
  </w:p>
  <w:p w14:paraId="1FF60DD5" w14:textId="77777777" w:rsidR="00000000" w:rsidRDefault="00000000">
    <w:pPr>
      <w:pStyle w:val="a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6C069" w14:textId="77777777" w:rsidR="00000000" w:rsidRDefault="00000000">
    <w:pPr>
      <w:pStyle w:val="ae"/>
      <w:framePr w:wrap="around" w:vAnchor="text" w:hAnchor="margin" w:xAlign="center" w:y="1"/>
      <w:rPr>
        <w:rStyle w:val="af7"/>
      </w:rPr>
    </w:pPr>
    <w:r>
      <w:fldChar w:fldCharType="begin"/>
    </w:r>
    <w:r>
      <w:rPr>
        <w:rStyle w:val="af7"/>
      </w:rPr>
      <w:instrText xml:space="preserve">PAGE  </w:instrText>
    </w:r>
    <w:r>
      <w:fldChar w:fldCharType="end"/>
    </w:r>
  </w:p>
  <w:p w14:paraId="08C03EE9" w14:textId="77777777" w:rsidR="00000000" w:rsidRDefault="00000000">
    <w:pPr>
      <w:pStyle w:val="a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FB569" w14:textId="77777777" w:rsidR="00000000" w:rsidRDefault="00000000">
    <w:pPr>
      <w:pStyle w:val="ae"/>
      <w:pBdr>
        <w:top w:val="single" w:sz="4" w:space="1" w:color="404040"/>
      </w:pBdr>
      <w:tabs>
        <w:tab w:val="clear" w:pos="4153"/>
        <w:tab w:val="clear" w:pos="8306"/>
        <w:tab w:val="right" w:pos="9027"/>
      </w:tabs>
      <w:jc w:val="center"/>
      <w:rPr>
        <w:rFonts w:hint="eastAsia"/>
      </w:rPr>
    </w:pPr>
    <w:r>
      <w:rPr>
        <w:rFonts w:ascii="Calibri" w:hAnsi="Calibri"/>
      </w:rPr>
      <w:fldChar w:fldCharType="begin"/>
    </w:r>
    <w:r>
      <w:instrText>PAGE   \* MERGEFORMAT</w:instrText>
    </w:r>
    <w:r>
      <w:rPr>
        <w:rFonts w:ascii="Calibri" w:hAnsi="Calibri"/>
      </w:rPr>
      <w:fldChar w:fldCharType="separate"/>
    </w:r>
    <w:r>
      <w:rPr>
        <w:rFonts w:ascii="Arial" w:hAnsi="Arial"/>
        <w:lang w:val="zh-CN" w:eastAsia="zh-CN"/>
      </w:rPr>
      <w:t>23</w:t>
    </w:r>
    <w:r>
      <w:rPr>
        <w:rFonts w:ascii="Cambria" w:hAnsi="Cambri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FC7C9" w14:textId="77777777" w:rsidR="00000000" w:rsidRDefault="00000000">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Pr>
        <w:rFonts w:ascii="Arial" w:hAnsi="Arial"/>
        <w:lang w:val="zh-CN" w:eastAsia="zh-CN"/>
      </w:rPr>
      <w:t>63</w:t>
    </w:r>
    <w:r>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2D853E" w14:textId="77777777" w:rsidR="00651D09" w:rsidRDefault="00651D09">
      <w:pPr>
        <w:spacing w:line="240" w:lineRule="auto"/>
      </w:pPr>
      <w:r>
        <w:separator/>
      </w:r>
    </w:p>
  </w:footnote>
  <w:footnote w:type="continuationSeparator" w:id="0">
    <w:p w14:paraId="756FA4DB" w14:textId="77777777" w:rsidR="00651D09" w:rsidRDefault="00651D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91803" w14:textId="77777777" w:rsidR="00000000" w:rsidRDefault="00000000">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222D5" w14:textId="3D7875EC" w:rsidR="00000000" w:rsidRDefault="008F534B">
    <w:pPr>
      <w:pStyle w:val="af0"/>
      <w:pBdr>
        <w:bottom w:val="none" w:sz="0" w:space="0" w:color="auto"/>
      </w:pBdr>
    </w:pPr>
    <w:r>
      <w:rPr>
        <w:noProof/>
        <w:lang w:val="en-US" w:eastAsia="zh-CN"/>
      </w:rPr>
      <w:drawing>
        <wp:inline distT="0" distB="0" distL="0" distR="0" wp14:anchorId="76D58581" wp14:editId="11EC9E10">
          <wp:extent cx="5911850" cy="285750"/>
          <wp:effectExtent l="0" t="0" r="0" b="0"/>
          <wp:docPr id="2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57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FCD5A" w14:textId="77777777" w:rsidR="00000000" w:rsidRDefault="00000000">
    <w:pPr>
      <w:pStyle w:val="af0"/>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B73C1" w14:textId="2775B020" w:rsidR="00000000" w:rsidRDefault="008F534B">
    <w:pPr>
      <w:pStyle w:val="af0"/>
      <w:pBdr>
        <w:bottom w:val="none" w:sz="0" w:space="0" w:color="auto"/>
      </w:pBdr>
      <w:jc w:val="both"/>
      <w:rPr>
        <w:rFonts w:ascii="楷体_GB2312" w:eastAsia="楷体_GB2312" w:hint="eastAsia"/>
        <w:color w:val="FF0000"/>
        <w:spacing w:val="-20"/>
        <w:sz w:val="21"/>
      </w:rPr>
    </w:pPr>
    <w:r>
      <w:rPr>
        <w:noProof/>
        <w:lang w:val="en-US" w:eastAsia="zh-CN"/>
      </w:rPr>
      <w:drawing>
        <wp:inline distT="0" distB="0" distL="0" distR="0" wp14:anchorId="5418C5AA" wp14:editId="40DADDA4">
          <wp:extent cx="5911850" cy="285750"/>
          <wp:effectExtent l="0" t="0" r="0" b="0"/>
          <wp:docPr id="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575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16EE2" w14:textId="22D2DDCB" w:rsidR="00000000" w:rsidRDefault="008F534B">
    <w:pPr>
      <w:pStyle w:val="af0"/>
      <w:pBdr>
        <w:bottom w:val="none" w:sz="0" w:space="0" w:color="auto"/>
      </w:pBdr>
      <w:rPr>
        <w:lang w:val="en-US" w:eastAsia="zh-CN"/>
      </w:rPr>
    </w:pPr>
    <w:r>
      <w:rPr>
        <w:noProof/>
        <w:lang w:val="en-US" w:eastAsia="zh-CN"/>
      </w:rPr>
      <w:drawing>
        <wp:inline distT="0" distB="0" distL="0" distR="0" wp14:anchorId="70D11B0E" wp14:editId="01227AEF">
          <wp:extent cx="5911850" cy="285750"/>
          <wp:effectExtent l="0" t="0" r="0" b="0"/>
          <wp:docPr id="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575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76E0C" w14:textId="35D2ED87" w:rsidR="00000000" w:rsidRDefault="008F534B">
    <w:pPr>
      <w:pStyle w:val="af0"/>
      <w:pBdr>
        <w:bottom w:val="none" w:sz="0" w:space="0" w:color="auto"/>
      </w:pBdr>
      <w:jc w:val="both"/>
      <w:rPr>
        <w:rFonts w:ascii="楷体_GB2312" w:eastAsia="楷体_GB2312" w:hint="eastAsia"/>
        <w:color w:val="FF0000"/>
        <w:spacing w:val="-20"/>
        <w:sz w:val="21"/>
      </w:rPr>
    </w:pPr>
    <w:r>
      <w:rPr>
        <w:noProof/>
        <w:lang w:val="en-US" w:eastAsia="zh-CN"/>
      </w:rPr>
      <w:drawing>
        <wp:inline distT="0" distB="0" distL="0" distR="0" wp14:anchorId="2107CA05" wp14:editId="1195AB22">
          <wp:extent cx="5911850" cy="285750"/>
          <wp:effectExtent l="0" t="0" r="0" b="0"/>
          <wp:docPr id="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575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0D02E" w14:textId="09FB6D9A" w:rsidR="00000000" w:rsidRDefault="008F534B">
    <w:pPr>
      <w:pStyle w:val="af0"/>
    </w:pPr>
    <w:r>
      <w:rPr>
        <w:noProof/>
        <w:lang w:val="en-US" w:eastAsia="zh-CN"/>
      </w:rPr>
      <w:drawing>
        <wp:inline distT="0" distB="0" distL="0" distR="0" wp14:anchorId="786F9881" wp14:editId="7DC85896">
          <wp:extent cx="5505450" cy="285750"/>
          <wp:effectExtent l="0" t="0" r="0" b="0"/>
          <wp:docPr id="2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5450" cy="28575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71C17" w14:textId="32BE4AB2" w:rsidR="00000000" w:rsidRDefault="008F534B">
    <w:pPr>
      <w:pStyle w:val="af0"/>
      <w:pBdr>
        <w:bottom w:val="none" w:sz="0" w:space="0" w:color="auto"/>
      </w:pBdr>
      <w:jc w:val="both"/>
      <w:rPr>
        <w:rFonts w:ascii="楷体_GB2312" w:eastAsia="楷体_GB2312" w:hint="eastAsia"/>
        <w:color w:val="FF0000"/>
        <w:spacing w:val="-20"/>
        <w:sz w:val="21"/>
      </w:rPr>
    </w:pPr>
    <w:r>
      <w:rPr>
        <w:noProof/>
        <w:lang w:val="en-US" w:eastAsia="zh-CN"/>
      </w:rPr>
      <w:drawing>
        <wp:inline distT="0" distB="0" distL="0" distR="0" wp14:anchorId="42DDE4E1" wp14:editId="42542FE5">
          <wp:extent cx="5911850" cy="285750"/>
          <wp:effectExtent l="0" t="0" r="0" b="0"/>
          <wp:docPr id="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5750"/>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FDE27" w14:textId="578437B4" w:rsidR="00000000" w:rsidRDefault="008F534B">
    <w:pPr>
      <w:pStyle w:val="af0"/>
      <w:pBdr>
        <w:bottom w:val="none" w:sz="0" w:space="0" w:color="auto"/>
      </w:pBdr>
      <w:rPr>
        <w:rFonts w:hint="eastAsia"/>
      </w:rPr>
    </w:pPr>
    <w:r>
      <w:rPr>
        <w:noProof/>
        <w:lang w:val="en-US" w:eastAsia="zh-CN"/>
      </w:rPr>
      <w:drawing>
        <wp:inline distT="0" distB="0" distL="0" distR="0" wp14:anchorId="3505F893" wp14:editId="603B2195">
          <wp:extent cx="5911850" cy="28575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57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31F8F"/>
    <w:multiLevelType w:val="multilevel"/>
    <w:tmpl w:val="04431F8F"/>
    <w:lvl w:ilvl="0">
      <w:start w:val="4"/>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2" w15:restartNumberingAfterBreak="0">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331E371A"/>
    <w:multiLevelType w:val="multilevel"/>
    <w:tmpl w:val="331E37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15:restartNumberingAfterBreak="0">
    <w:nsid w:val="45DB1E09"/>
    <w:multiLevelType w:val="multilevel"/>
    <w:tmpl w:val="45DB1E09"/>
    <w:lvl w:ilvl="0">
      <w:start w:val="2"/>
      <w:numFmt w:val="japaneseCounting"/>
      <w:lvlText w:val="（%1）"/>
      <w:lvlJc w:val="left"/>
      <w:pPr>
        <w:ind w:left="720" w:hanging="72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4A3C2487"/>
    <w:multiLevelType w:val="multilevel"/>
    <w:tmpl w:val="4A3C248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5F6A3DC4"/>
    <w:multiLevelType w:val="multilevel"/>
    <w:tmpl w:val="5F6A3DC4"/>
    <w:lvl w:ilvl="0">
      <w:start w:val="1"/>
      <w:numFmt w:val="upperRoman"/>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9" w15:restartNumberingAfterBreak="0">
    <w:nsid w:val="64776A02"/>
    <w:multiLevelType w:val="multilevel"/>
    <w:tmpl w:val="64776A02"/>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75A04673"/>
    <w:multiLevelType w:val="multilevel"/>
    <w:tmpl w:val="75A04673"/>
    <w:lvl w:ilvl="0">
      <w:start w:val="1"/>
      <w:numFmt w:val="upperLetter"/>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1582714516">
    <w:abstractNumId w:val="10"/>
  </w:num>
  <w:num w:numId="2" w16cid:durableId="1242375480">
    <w:abstractNumId w:val="1"/>
  </w:num>
  <w:num w:numId="3" w16cid:durableId="151414110">
    <w:abstractNumId w:val="8"/>
  </w:num>
  <w:num w:numId="4" w16cid:durableId="344017310">
    <w:abstractNumId w:val="7"/>
  </w:num>
  <w:num w:numId="5" w16cid:durableId="129247368">
    <w:abstractNumId w:val="6"/>
  </w:num>
  <w:num w:numId="6" w16cid:durableId="355162026">
    <w:abstractNumId w:val="4"/>
  </w:num>
  <w:num w:numId="7" w16cid:durableId="1873884205">
    <w:abstractNumId w:val="5"/>
  </w:num>
  <w:num w:numId="8" w16cid:durableId="1875579081">
    <w:abstractNumId w:val="2"/>
  </w:num>
  <w:num w:numId="9" w16cid:durableId="859659088">
    <w:abstractNumId w:val="0"/>
  </w:num>
  <w:num w:numId="10" w16cid:durableId="1234587318">
    <w:abstractNumId w:val="3"/>
  </w:num>
  <w:num w:numId="11" w16cid:durableId="1959750761">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皓源 许">
    <w15:presenceInfo w15:providerId="Windows Live" w15:userId="c143925448cc7d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C5B"/>
    <w:rsid w:val="00000D1B"/>
    <w:rsid w:val="00001B36"/>
    <w:rsid w:val="00002687"/>
    <w:rsid w:val="00004CA5"/>
    <w:rsid w:val="00004D42"/>
    <w:rsid w:val="00006360"/>
    <w:rsid w:val="00006FCA"/>
    <w:rsid w:val="0001031A"/>
    <w:rsid w:val="00011244"/>
    <w:rsid w:val="0001206A"/>
    <w:rsid w:val="0001237C"/>
    <w:rsid w:val="0001354F"/>
    <w:rsid w:val="000138C0"/>
    <w:rsid w:val="00014AAB"/>
    <w:rsid w:val="00014F2D"/>
    <w:rsid w:val="00014FF0"/>
    <w:rsid w:val="000159CB"/>
    <w:rsid w:val="000164F9"/>
    <w:rsid w:val="0001651B"/>
    <w:rsid w:val="0001714F"/>
    <w:rsid w:val="00017AA7"/>
    <w:rsid w:val="00022039"/>
    <w:rsid w:val="00022827"/>
    <w:rsid w:val="00024420"/>
    <w:rsid w:val="000257D8"/>
    <w:rsid w:val="00027D53"/>
    <w:rsid w:val="00030603"/>
    <w:rsid w:val="00031A0B"/>
    <w:rsid w:val="00031FE9"/>
    <w:rsid w:val="0003253E"/>
    <w:rsid w:val="00033CD9"/>
    <w:rsid w:val="00035392"/>
    <w:rsid w:val="00036485"/>
    <w:rsid w:val="000370E8"/>
    <w:rsid w:val="000375D0"/>
    <w:rsid w:val="00037642"/>
    <w:rsid w:val="0003783C"/>
    <w:rsid w:val="00041390"/>
    <w:rsid w:val="000421EB"/>
    <w:rsid w:val="0004288D"/>
    <w:rsid w:val="00042DC2"/>
    <w:rsid w:val="00044D43"/>
    <w:rsid w:val="0004627B"/>
    <w:rsid w:val="00046421"/>
    <w:rsid w:val="00047337"/>
    <w:rsid w:val="00047735"/>
    <w:rsid w:val="00050104"/>
    <w:rsid w:val="00050CC5"/>
    <w:rsid w:val="00052184"/>
    <w:rsid w:val="00052348"/>
    <w:rsid w:val="000527EE"/>
    <w:rsid w:val="00053031"/>
    <w:rsid w:val="00053B17"/>
    <w:rsid w:val="00053DFF"/>
    <w:rsid w:val="00054E24"/>
    <w:rsid w:val="000552B7"/>
    <w:rsid w:val="0005586F"/>
    <w:rsid w:val="00057D66"/>
    <w:rsid w:val="00060499"/>
    <w:rsid w:val="0006270D"/>
    <w:rsid w:val="000639A8"/>
    <w:rsid w:val="000647E7"/>
    <w:rsid w:val="0006530A"/>
    <w:rsid w:val="00065379"/>
    <w:rsid w:val="00065A67"/>
    <w:rsid w:val="000677C9"/>
    <w:rsid w:val="000728BE"/>
    <w:rsid w:val="00072BA6"/>
    <w:rsid w:val="00076979"/>
    <w:rsid w:val="00077803"/>
    <w:rsid w:val="00077930"/>
    <w:rsid w:val="000802B7"/>
    <w:rsid w:val="00080845"/>
    <w:rsid w:val="00080ED6"/>
    <w:rsid w:val="00081E5C"/>
    <w:rsid w:val="00081E6A"/>
    <w:rsid w:val="00081F03"/>
    <w:rsid w:val="00082C75"/>
    <w:rsid w:val="000831DD"/>
    <w:rsid w:val="00084265"/>
    <w:rsid w:val="00085075"/>
    <w:rsid w:val="000855DD"/>
    <w:rsid w:val="00085690"/>
    <w:rsid w:val="00086DF3"/>
    <w:rsid w:val="00086FC1"/>
    <w:rsid w:val="00090ADF"/>
    <w:rsid w:val="00090B68"/>
    <w:rsid w:val="00091111"/>
    <w:rsid w:val="00091746"/>
    <w:rsid w:val="00092F3C"/>
    <w:rsid w:val="00093D2A"/>
    <w:rsid w:val="00093EA9"/>
    <w:rsid w:val="0009464C"/>
    <w:rsid w:val="00095EB9"/>
    <w:rsid w:val="0009738A"/>
    <w:rsid w:val="000A1B10"/>
    <w:rsid w:val="000A1EC0"/>
    <w:rsid w:val="000A1F17"/>
    <w:rsid w:val="000A28DB"/>
    <w:rsid w:val="000A4345"/>
    <w:rsid w:val="000A4D84"/>
    <w:rsid w:val="000A6867"/>
    <w:rsid w:val="000B020C"/>
    <w:rsid w:val="000B0322"/>
    <w:rsid w:val="000B060E"/>
    <w:rsid w:val="000B22DA"/>
    <w:rsid w:val="000B486A"/>
    <w:rsid w:val="000B6E74"/>
    <w:rsid w:val="000B7C3D"/>
    <w:rsid w:val="000B7E14"/>
    <w:rsid w:val="000C1970"/>
    <w:rsid w:val="000C383C"/>
    <w:rsid w:val="000C3F3F"/>
    <w:rsid w:val="000C4415"/>
    <w:rsid w:val="000C4CDA"/>
    <w:rsid w:val="000C5223"/>
    <w:rsid w:val="000C5B64"/>
    <w:rsid w:val="000C5BB3"/>
    <w:rsid w:val="000C73E8"/>
    <w:rsid w:val="000D069C"/>
    <w:rsid w:val="000D0ACC"/>
    <w:rsid w:val="000D0D1D"/>
    <w:rsid w:val="000D12B2"/>
    <w:rsid w:val="000D2845"/>
    <w:rsid w:val="000D337B"/>
    <w:rsid w:val="000D3459"/>
    <w:rsid w:val="000D362A"/>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A"/>
    <w:rsid w:val="000E4497"/>
    <w:rsid w:val="000E4856"/>
    <w:rsid w:val="000E5067"/>
    <w:rsid w:val="000F06A6"/>
    <w:rsid w:val="000F27AA"/>
    <w:rsid w:val="000F5732"/>
    <w:rsid w:val="000F5B72"/>
    <w:rsid w:val="000F746A"/>
    <w:rsid w:val="00102861"/>
    <w:rsid w:val="00103AC3"/>
    <w:rsid w:val="00104428"/>
    <w:rsid w:val="00106495"/>
    <w:rsid w:val="001070F4"/>
    <w:rsid w:val="00110932"/>
    <w:rsid w:val="00112C6B"/>
    <w:rsid w:val="00113F1B"/>
    <w:rsid w:val="001160DA"/>
    <w:rsid w:val="0011651C"/>
    <w:rsid w:val="00116B93"/>
    <w:rsid w:val="00120067"/>
    <w:rsid w:val="001201A8"/>
    <w:rsid w:val="00121EB7"/>
    <w:rsid w:val="00121F4B"/>
    <w:rsid w:val="00122103"/>
    <w:rsid w:val="00124891"/>
    <w:rsid w:val="00124DAE"/>
    <w:rsid w:val="0012550C"/>
    <w:rsid w:val="00126742"/>
    <w:rsid w:val="001267C9"/>
    <w:rsid w:val="00126809"/>
    <w:rsid w:val="00126B02"/>
    <w:rsid w:val="00127BB9"/>
    <w:rsid w:val="00130800"/>
    <w:rsid w:val="0013092A"/>
    <w:rsid w:val="001309C4"/>
    <w:rsid w:val="001310D8"/>
    <w:rsid w:val="00131CC1"/>
    <w:rsid w:val="001322D6"/>
    <w:rsid w:val="00132545"/>
    <w:rsid w:val="00134710"/>
    <w:rsid w:val="00135492"/>
    <w:rsid w:val="00137B2B"/>
    <w:rsid w:val="00140B3F"/>
    <w:rsid w:val="001433AC"/>
    <w:rsid w:val="00143742"/>
    <w:rsid w:val="0014445A"/>
    <w:rsid w:val="00145AE6"/>
    <w:rsid w:val="00145C45"/>
    <w:rsid w:val="00145D19"/>
    <w:rsid w:val="0014625A"/>
    <w:rsid w:val="00146B62"/>
    <w:rsid w:val="00146E2E"/>
    <w:rsid w:val="00150A2F"/>
    <w:rsid w:val="0015101C"/>
    <w:rsid w:val="00152C21"/>
    <w:rsid w:val="001533A1"/>
    <w:rsid w:val="00153C9E"/>
    <w:rsid w:val="00153D34"/>
    <w:rsid w:val="001542AF"/>
    <w:rsid w:val="00156113"/>
    <w:rsid w:val="0015637F"/>
    <w:rsid w:val="00157438"/>
    <w:rsid w:val="00160DA5"/>
    <w:rsid w:val="00161A9D"/>
    <w:rsid w:val="0016253C"/>
    <w:rsid w:val="00162718"/>
    <w:rsid w:val="001630FE"/>
    <w:rsid w:val="0016376A"/>
    <w:rsid w:val="00163CEB"/>
    <w:rsid w:val="00164335"/>
    <w:rsid w:val="0016485E"/>
    <w:rsid w:val="00170B7A"/>
    <w:rsid w:val="00170F16"/>
    <w:rsid w:val="00170FF7"/>
    <w:rsid w:val="00171ECC"/>
    <w:rsid w:val="00171F28"/>
    <w:rsid w:val="00172B2A"/>
    <w:rsid w:val="0017359A"/>
    <w:rsid w:val="00174B5A"/>
    <w:rsid w:val="00174FED"/>
    <w:rsid w:val="001752EA"/>
    <w:rsid w:val="00176AB9"/>
    <w:rsid w:val="00177D64"/>
    <w:rsid w:val="00180CEB"/>
    <w:rsid w:val="001811E8"/>
    <w:rsid w:val="00181A56"/>
    <w:rsid w:val="00181B68"/>
    <w:rsid w:val="0018215B"/>
    <w:rsid w:val="00182645"/>
    <w:rsid w:val="00182F41"/>
    <w:rsid w:val="00183787"/>
    <w:rsid w:val="0018410F"/>
    <w:rsid w:val="00185D76"/>
    <w:rsid w:val="00186416"/>
    <w:rsid w:val="00186584"/>
    <w:rsid w:val="0018796B"/>
    <w:rsid w:val="001932E2"/>
    <w:rsid w:val="0019484B"/>
    <w:rsid w:val="00197502"/>
    <w:rsid w:val="00197C7C"/>
    <w:rsid w:val="00197D26"/>
    <w:rsid w:val="001A13ED"/>
    <w:rsid w:val="001A1B24"/>
    <w:rsid w:val="001A4749"/>
    <w:rsid w:val="001A47D1"/>
    <w:rsid w:val="001A59C1"/>
    <w:rsid w:val="001A6F1B"/>
    <w:rsid w:val="001A75B9"/>
    <w:rsid w:val="001A7B50"/>
    <w:rsid w:val="001A7FA2"/>
    <w:rsid w:val="001B1B96"/>
    <w:rsid w:val="001B427F"/>
    <w:rsid w:val="001B64A0"/>
    <w:rsid w:val="001B72D0"/>
    <w:rsid w:val="001B730A"/>
    <w:rsid w:val="001C01FF"/>
    <w:rsid w:val="001C2A5E"/>
    <w:rsid w:val="001C2A98"/>
    <w:rsid w:val="001C2C79"/>
    <w:rsid w:val="001C2DF8"/>
    <w:rsid w:val="001C410F"/>
    <w:rsid w:val="001C4470"/>
    <w:rsid w:val="001C44F5"/>
    <w:rsid w:val="001C4AFD"/>
    <w:rsid w:val="001C577A"/>
    <w:rsid w:val="001C6428"/>
    <w:rsid w:val="001C668F"/>
    <w:rsid w:val="001C6964"/>
    <w:rsid w:val="001C6AF2"/>
    <w:rsid w:val="001C7458"/>
    <w:rsid w:val="001C74CB"/>
    <w:rsid w:val="001C788E"/>
    <w:rsid w:val="001C7AAD"/>
    <w:rsid w:val="001D001F"/>
    <w:rsid w:val="001D0962"/>
    <w:rsid w:val="001D1D64"/>
    <w:rsid w:val="001D4FBC"/>
    <w:rsid w:val="001D650B"/>
    <w:rsid w:val="001D7D7A"/>
    <w:rsid w:val="001E0925"/>
    <w:rsid w:val="001E1D54"/>
    <w:rsid w:val="001E51C5"/>
    <w:rsid w:val="001E52B9"/>
    <w:rsid w:val="001E53E3"/>
    <w:rsid w:val="001E5E1C"/>
    <w:rsid w:val="001E6C9B"/>
    <w:rsid w:val="001E717C"/>
    <w:rsid w:val="001F0458"/>
    <w:rsid w:val="001F0852"/>
    <w:rsid w:val="001F0888"/>
    <w:rsid w:val="001F0DE8"/>
    <w:rsid w:val="001F1553"/>
    <w:rsid w:val="001F1B82"/>
    <w:rsid w:val="001F42DC"/>
    <w:rsid w:val="001F6090"/>
    <w:rsid w:val="002002BD"/>
    <w:rsid w:val="00200E28"/>
    <w:rsid w:val="00200E7C"/>
    <w:rsid w:val="00201A37"/>
    <w:rsid w:val="00202895"/>
    <w:rsid w:val="00202B23"/>
    <w:rsid w:val="00206854"/>
    <w:rsid w:val="00207F17"/>
    <w:rsid w:val="0021285B"/>
    <w:rsid w:val="00212AAF"/>
    <w:rsid w:val="00212AEE"/>
    <w:rsid w:val="002136CD"/>
    <w:rsid w:val="00214348"/>
    <w:rsid w:val="002157AC"/>
    <w:rsid w:val="002162F4"/>
    <w:rsid w:val="00216A0B"/>
    <w:rsid w:val="002170BD"/>
    <w:rsid w:val="002174FD"/>
    <w:rsid w:val="00221C8C"/>
    <w:rsid w:val="00222265"/>
    <w:rsid w:val="00222296"/>
    <w:rsid w:val="0022545A"/>
    <w:rsid w:val="00225481"/>
    <w:rsid w:val="00225BC3"/>
    <w:rsid w:val="00225DC8"/>
    <w:rsid w:val="0022622F"/>
    <w:rsid w:val="0022734D"/>
    <w:rsid w:val="002278A9"/>
    <w:rsid w:val="00227EE8"/>
    <w:rsid w:val="00231E77"/>
    <w:rsid w:val="00232E64"/>
    <w:rsid w:val="00235EFE"/>
    <w:rsid w:val="002361E9"/>
    <w:rsid w:val="0023703F"/>
    <w:rsid w:val="00237F00"/>
    <w:rsid w:val="002422F5"/>
    <w:rsid w:val="002424F2"/>
    <w:rsid w:val="0024323F"/>
    <w:rsid w:val="00243D67"/>
    <w:rsid w:val="0024429E"/>
    <w:rsid w:val="00244311"/>
    <w:rsid w:val="00244F91"/>
    <w:rsid w:val="002455C6"/>
    <w:rsid w:val="00245CB6"/>
    <w:rsid w:val="00247052"/>
    <w:rsid w:val="00247458"/>
    <w:rsid w:val="00250828"/>
    <w:rsid w:val="00252130"/>
    <w:rsid w:val="00252E12"/>
    <w:rsid w:val="0025336E"/>
    <w:rsid w:val="0025385C"/>
    <w:rsid w:val="002539C2"/>
    <w:rsid w:val="002547BD"/>
    <w:rsid w:val="00256142"/>
    <w:rsid w:val="00256148"/>
    <w:rsid w:val="002574E1"/>
    <w:rsid w:val="00264259"/>
    <w:rsid w:val="00264B8C"/>
    <w:rsid w:val="00267E50"/>
    <w:rsid w:val="00270C1D"/>
    <w:rsid w:val="00272B80"/>
    <w:rsid w:val="00273FA5"/>
    <w:rsid w:val="0027408F"/>
    <w:rsid w:val="00274A55"/>
    <w:rsid w:val="00277CA3"/>
    <w:rsid w:val="002809E4"/>
    <w:rsid w:val="00281CE3"/>
    <w:rsid w:val="00282E11"/>
    <w:rsid w:val="00282EC8"/>
    <w:rsid w:val="0028395D"/>
    <w:rsid w:val="002856FC"/>
    <w:rsid w:val="0028677E"/>
    <w:rsid w:val="00287EBC"/>
    <w:rsid w:val="00290218"/>
    <w:rsid w:val="00291D87"/>
    <w:rsid w:val="002944D0"/>
    <w:rsid w:val="002960DC"/>
    <w:rsid w:val="00296579"/>
    <w:rsid w:val="00296898"/>
    <w:rsid w:val="002975A8"/>
    <w:rsid w:val="00297B55"/>
    <w:rsid w:val="00297B72"/>
    <w:rsid w:val="002A136E"/>
    <w:rsid w:val="002A2026"/>
    <w:rsid w:val="002A24B2"/>
    <w:rsid w:val="002A3855"/>
    <w:rsid w:val="002A4036"/>
    <w:rsid w:val="002A4C30"/>
    <w:rsid w:val="002A53A9"/>
    <w:rsid w:val="002A59ED"/>
    <w:rsid w:val="002A7C85"/>
    <w:rsid w:val="002B0C42"/>
    <w:rsid w:val="002B139E"/>
    <w:rsid w:val="002B1603"/>
    <w:rsid w:val="002B35F7"/>
    <w:rsid w:val="002B384D"/>
    <w:rsid w:val="002B590C"/>
    <w:rsid w:val="002B5917"/>
    <w:rsid w:val="002B6929"/>
    <w:rsid w:val="002B6E52"/>
    <w:rsid w:val="002B6F94"/>
    <w:rsid w:val="002C167B"/>
    <w:rsid w:val="002C21FC"/>
    <w:rsid w:val="002C2223"/>
    <w:rsid w:val="002C2ACD"/>
    <w:rsid w:val="002C2CF7"/>
    <w:rsid w:val="002C3EAB"/>
    <w:rsid w:val="002C4410"/>
    <w:rsid w:val="002C6A9B"/>
    <w:rsid w:val="002C6FFF"/>
    <w:rsid w:val="002C789A"/>
    <w:rsid w:val="002D0E7C"/>
    <w:rsid w:val="002D1398"/>
    <w:rsid w:val="002D18CF"/>
    <w:rsid w:val="002D19AE"/>
    <w:rsid w:val="002D19C8"/>
    <w:rsid w:val="002D1C12"/>
    <w:rsid w:val="002D1C88"/>
    <w:rsid w:val="002D3A09"/>
    <w:rsid w:val="002D3A8F"/>
    <w:rsid w:val="002D3BA9"/>
    <w:rsid w:val="002D3F52"/>
    <w:rsid w:val="002D400F"/>
    <w:rsid w:val="002D50CC"/>
    <w:rsid w:val="002D7F7D"/>
    <w:rsid w:val="002D7FD1"/>
    <w:rsid w:val="002E058C"/>
    <w:rsid w:val="002E1286"/>
    <w:rsid w:val="002E1742"/>
    <w:rsid w:val="002E261C"/>
    <w:rsid w:val="002E58B3"/>
    <w:rsid w:val="002E684D"/>
    <w:rsid w:val="002E6BD0"/>
    <w:rsid w:val="002E7F97"/>
    <w:rsid w:val="002F03A2"/>
    <w:rsid w:val="002F1C81"/>
    <w:rsid w:val="002F3FB9"/>
    <w:rsid w:val="002F41E0"/>
    <w:rsid w:val="002F6A0D"/>
    <w:rsid w:val="002F7D10"/>
    <w:rsid w:val="00300910"/>
    <w:rsid w:val="00301946"/>
    <w:rsid w:val="00301FE4"/>
    <w:rsid w:val="003024D6"/>
    <w:rsid w:val="00303006"/>
    <w:rsid w:val="00304418"/>
    <w:rsid w:val="00306AEA"/>
    <w:rsid w:val="0030795F"/>
    <w:rsid w:val="00310321"/>
    <w:rsid w:val="003104AF"/>
    <w:rsid w:val="003109E4"/>
    <w:rsid w:val="00312D21"/>
    <w:rsid w:val="00312D2B"/>
    <w:rsid w:val="003139C6"/>
    <w:rsid w:val="00313F9A"/>
    <w:rsid w:val="00315B9E"/>
    <w:rsid w:val="00315E58"/>
    <w:rsid w:val="00316467"/>
    <w:rsid w:val="00316F80"/>
    <w:rsid w:val="003170F5"/>
    <w:rsid w:val="0031776F"/>
    <w:rsid w:val="003211B6"/>
    <w:rsid w:val="00322A5B"/>
    <w:rsid w:val="00323163"/>
    <w:rsid w:val="00323C56"/>
    <w:rsid w:val="00326F2C"/>
    <w:rsid w:val="00327768"/>
    <w:rsid w:val="003279BD"/>
    <w:rsid w:val="00330243"/>
    <w:rsid w:val="00332156"/>
    <w:rsid w:val="003323EF"/>
    <w:rsid w:val="00333B9D"/>
    <w:rsid w:val="00333BD4"/>
    <w:rsid w:val="0033446A"/>
    <w:rsid w:val="003351D9"/>
    <w:rsid w:val="00336523"/>
    <w:rsid w:val="003405BD"/>
    <w:rsid w:val="00341C1B"/>
    <w:rsid w:val="0034238E"/>
    <w:rsid w:val="00342BFA"/>
    <w:rsid w:val="00342D27"/>
    <w:rsid w:val="0034343D"/>
    <w:rsid w:val="00344C26"/>
    <w:rsid w:val="00346855"/>
    <w:rsid w:val="00346A47"/>
    <w:rsid w:val="00350420"/>
    <w:rsid w:val="0035067C"/>
    <w:rsid w:val="00351314"/>
    <w:rsid w:val="00351B58"/>
    <w:rsid w:val="00351CBA"/>
    <w:rsid w:val="00352066"/>
    <w:rsid w:val="00353960"/>
    <w:rsid w:val="00353A29"/>
    <w:rsid w:val="00353B3D"/>
    <w:rsid w:val="00355D98"/>
    <w:rsid w:val="00357B62"/>
    <w:rsid w:val="00357E4D"/>
    <w:rsid w:val="00357EEC"/>
    <w:rsid w:val="00360836"/>
    <w:rsid w:val="00360B0C"/>
    <w:rsid w:val="00360CFA"/>
    <w:rsid w:val="003636C1"/>
    <w:rsid w:val="0036385B"/>
    <w:rsid w:val="00363F17"/>
    <w:rsid w:val="00364041"/>
    <w:rsid w:val="00364C77"/>
    <w:rsid w:val="00364D0E"/>
    <w:rsid w:val="00364ED6"/>
    <w:rsid w:val="00370065"/>
    <w:rsid w:val="00371942"/>
    <w:rsid w:val="00371C0C"/>
    <w:rsid w:val="00372444"/>
    <w:rsid w:val="003739F8"/>
    <w:rsid w:val="00374F1B"/>
    <w:rsid w:val="00375183"/>
    <w:rsid w:val="00376596"/>
    <w:rsid w:val="0037667F"/>
    <w:rsid w:val="00376CF1"/>
    <w:rsid w:val="00381636"/>
    <w:rsid w:val="00383F33"/>
    <w:rsid w:val="003843D8"/>
    <w:rsid w:val="00385340"/>
    <w:rsid w:val="00385ED8"/>
    <w:rsid w:val="00387FC5"/>
    <w:rsid w:val="00390B30"/>
    <w:rsid w:val="00390D6F"/>
    <w:rsid w:val="00391276"/>
    <w:rsid w:val="00391B34"/>
    <w:rsid w:val="003922BA"/>
    <w:rsid w:val="00392631"/>
    <w:rsid w:val="00393017"/>
    <w:rsid w:val="00393F63"/>
    <w:rsid w:val="003944CB"/>
    <w:rsid w:val="003958DE"/>
    <w:rsid w:val="00396B36"/>
    <w:rsid w:val="003A0BD1"/>
    <w:rsid w:val="003A15DC"/>
    <w:rsid w:val="003A17FA"/>
    <w:rsid w:val="003A38A4"/>
    <w:rsid w:val="003A44A4"/>
    <w:rsid w:val="003A4D8E"/>
    <w:rsid w:val="003A5801"/>
    <w:rsid w:val="003A6366"/>
    <w:rsid w:val="003A63A1"/>
    <w:rsid w:val="003B0E4C"/>
    <w:rsid w:val="003B1BD5"/>
    <w:rsid w:val="003B30CE"/>
    <w:rsid w:val="003B4C18"/>
    <w:rsid w:val="003B4CA7"/>
    <w:rsid w:val="003B6853"/>
    <w:rsid w:val="003C0D51"/>
    <w:rsid w:val="003C235C"/>
    <w:rsid w:val="003C2A74"/>
    <w:rsid w:val="003C3914"/>
    <w:rsid w:val="003C413A"/>
    <w:rsid w:val="003C497C"/>
    <w:rsid w:val="003C74D9"/>
    <w:rsid w:val="003C7F32"/>
    <w:rsid w:val="003D0658"/>
    <w:rsid w:val="003D0C1B"/>
    <w:rsid w:val="003D1557"/>
    <w:rsid w:val="003D1D2F"/>
    <w:rsid w:val="003D1F5C"/>
    <w:rsid w:val="003D27EF"/>
    <w:rsid w:val="003D33D6"/>
    <w:rsid w:val="003D3E7C"/>
    <w:rsid w:val="003D42B4"/>
    <w:rsid w:val="003D4A89"/>
    <w:rsid w:val="003D4FA8"/>
    <w:rsid w:val="003D5113"/>
    <w:rsid w:val="003D51AB"/>
    <w:rsid w:val="003D53D3"/>
    <w:rsid w:val="003D59E9"/>
    <w:rsid w:val="003E0BD3"/>
    <w:rsid w:val="003E1C6F"/>
    <w:rsid w:val="003E2EA0"/>
    <w:rsid w:val="003E490A"/>
    <w:rsid w:val="003E4F7C"/>
    <w:rsid w:val="003E611B"/>
    <w:rsid w:val="003E64BD"/>
    <w:rsid w:val="003E74C1"/>
    <w:rsid w:val="003E7B12"/>
    <w:rsid w:val="003F05F6"/>
    <w:rsid w:val="003F0970"/>
    <w:rsid w:val="003F1603"/>
    <w:rsid w:val="003F17E9"/>
    <w:rsid w:val="003F40DD"/>
    <w:rsid w:val="003F4219"/>
    <w:rsid w:val="003F4811"/>
    <w:rsid w:val="003F576F"/>
    <w:rsid w:val="003F793E"/>
    <w:rsid w:val="003F7F99"/>
    <w:rsid w:val="004004FE"/>
    <w:rsid w:val="004028D8"/>
    <w:rsid w:val="00403BC4"/>
    <w:rsid w:val="00404396"/>
    <w:rsid w:val="004043DF"/>
    <w:rsid w:val="00405892"/>
    <w:rsid w:val="00406D2E"/>
    <w:rsid w:val="0041075B"/>
    <w:rsid w:val="004109A6"/>
    <w:rsid w:val="0041133E"/>
    <w:rsid w:val="00413A98"/>
    <w:rsid w:val="00413E85"/>
    <w:rsid w:val="004150E4"/>
    <w:rsid w:val="0041611B"/>
    <w:rsid w:val="00420453"/>
    <w:rsid w:val="00420A8F"/>
    <w:rsid w:val="00420AA6"/>
    <w:rsid w:val="004213EA"/>
    <w:rsid w:val="0042160E"/>
    <w:rsid w:val="00423270"/>
    <w:rsid w:val="00425FBF"/>
    <w:rsid w:val="00426C53"/>
    <w:rsid w:val="00427FBD"/>
    <w:rsid w:val="004313FE"/>
    <w:rsid w:val="00432405"/>
    <w:rsid w:val="00433765"/>
    <w:rsid w:val="004345E1"/>
    <w:rsid w:val="00434F74"/>
    <w:rsid w:val="00434FA6"/>
    <w:rsid w:val="00435385"/>
    <w:rsid w:val="00435959"/>
    <w:rsid w:val="00435EE8"/>
    <w:rsid w:val="00436D80"/>
    <w:rsid w:val="00440A23"/>
    <w:rsid w:val="00440FE2"/>
    <w:rsid w:val="00441C29"/>
    <w:rsid w:val="004422C8"/>
    <w:rsid w:val="00442477"/>
    <w:rsid w:val="00442D93"/>
    <w:rsid w:val="00444961"/>
    <w:rsid w:val="00446B8E"/>
    <w:rsid w:val="0044738B"/>
    <w:rsid w:val="00447BEC"/>
    <w:rsid w:val="00447F02"/>
    <w:rsid w:val="00450DCF"/>
    <w:rsid w:val="00452290"/>
    <w:rsid w:val="00452F36"/>
    <w:rsid w:val="0045383F"/>
    <w:rsid w:val="00453C24"/>
    <w:rsid w:val="00460E97"/>
    <w:rsid w:val="0046126D"/>
    <w:rsid w:val="00461B1F"/>
    <w:rsid w:val="00463B6D"/>
    <w:rsid w:val="0046485D"/>
    <w:rsid w:val="00464B8C"/>
    <w:rsid w:val="00466C77"/>
    <w:rsid w:val="00466DD6"/>
    <w:rsid w:val="00466E72"/>
    <w:rsid w:val="0046790B"/>
    <w:rsid w:val="00470B28"/>
    <w:rsid w:val="0047152C"/>
    <w:rsid w:val="00471C68"/>
    <w:rsid w:val="00472B83"/>
    <w:rsid w:val="00472F17"/>
    <w:rsid w:val="00473217"/>
    <w:rsid w:val="00474A41"/>
    <w:rsid w:val="004755C1"/>
    <w:rsid w:val="00476958"/>
    <w:rsid w:val="00477592"/>
    <w:rsid w:val="00477DD3"/>
    <w:rsid w:val="004808A1"/>
    <w:rsid w:val="004810F5"/>
    <w:rsid w:val="00481308"/>
    <w:rsid w:val="00481CDF"/>
    <w:rsid w:val="00483265"/>
    <w:rsid w:val="00483A66"/>
    <w:rsid w:val="00483F19"/>
    <w:rsid w:val="00484762"/>
    <w:rsid w:val="004855EC"/>
    <w:rsid w:val="004863CD"/>
    <w:rsid w:val="004869C0"/>
    <w:rsid w:val="004901A2"/>
    <w:rsid w:val="00490480"/>
    <w:rsid w:val="00490757"/>
    <w:rsid w:val="00491DF0"/>
    <w:rsid w:val="004921D8"/>
    <w:rsid w:val="0049307E"/>
    <w:rsid w:val="00496EDE"/>
    <w:rsid w:val="004973AE"/>
    <w:rsid w:val="004A42DB"/>
    <w:rsid w:val="004A4595"/>
    <w:rsid w:val="004A541C"/>
    <w:rsid w:val="004A548D"/>
    <w:rsid w:val="004A5D6C"/>
    <w:rsid w:val="004A61D8"/>
    <w:rsid w:val="004A6893"/>
    <w:rsid w:val="004B0F24"/>
    <w:rsid w:val="004B0FC7"/>
    <w:rsid w:val="004B1477"/>
    <w:rsid w:val="004B1854"/>
    <w:rsid w:val="004B2641"/>
    <w:rsid w:val="004B27A1"/>
    <w:rsid w:val="004B312F"/>
    <w:rsid w:val="004B3992"/>
    <w:rsid w:val="004B4639"/>
    <w:rsid w:val="004B60D1"/>
    <w:rsid w:val="004B689C"/>
    <w:rsid w:val="004B7385"/>
    <w:rsid w:val="004B7ED8"/>
    <w:rsid w:val="004C0043"/>
    <w:rsid w:val="004C0DDE"/>
    <w:rsid w:val="004C112B"/>
    <w:rsid w:val="004C294D"/>
    <w:rsid w:val="004C39D1"/>
    <w:rsid w:val="004C3B6F"/>
    <w:rsid w:val="004C49F1"/>
    <w:rsid w:val="004C4FC0"/>
    <w:rsid w:val="004C5E24"/>
    <w:rsid w:val="004C691F"/>
    <w:rsid w:val="004C73E8"/>
    <w:rsid w:val="004C7D88"/>
    <w:rsid w:val="004D0EE4"/>
    <w:rsid w:val="004D4D55"/>
    <w:rsid w:val="004D62BB"/>
    <w:rsid w:val="004D6769"/>
    <w:rsid w:val="004D701F"/>
    <w:rsid w:val="004D7EE3"/>
    <w:rsid w:val="004E1293"/>
    <w:rsid w:val="004E16A1"/>
    <w:rsid w:val="004E17A3"/>
    <w:rsid w:val="004E21FE"/>
    <w:rsid w:val="004E27B6"/>
    <w:rsid w:val="004E30A8"/>
    <w:rsid w:val="004E3F45"/>
    <w:rsid w:val="004E6474"/>
    <w:rsid w:val="004E6EBA"/>
    <w:rsid w:val="004E73CF"/>
    <w:rsid w:val="004F0C1D"/>
    <w:rsid w:val="004F14D2"/>
    <w:rsid w:val="004F18A8"/>
    <w:rsid w:val="004F1EE0"/>
    <w:rsid w:val="004F29A2"/>
    <w:rsid w:val="004F2BE9"/>
    <w:rsid w:val="004F3C6B"/>
    <w:rsid w:val="004F3DA1"/>
    <w:rsid w:val="004F413B"/>
    <w:rsid w:val="004F5293"/>
    <w:rsid w:val="004F735E"/>
    <w:rsid w:val="004F73B9"/>
    <w:rsid w:val="004F7676"/>
    <w:rsid w:val="00500A07"/>
    <w:rsid w:val="005029AC"/>
    <w:rsid w:val="00502E51"/>
    <w:rsid w:val="005033AC"/>
    <w:rsid w:val="005034F3"/>
    <w:rsid w:val="0050380E"/>
    <w:rsid w:val="00503EB6"/>
    <w:rsid w:val="00505563"/>
    <w:rsid w:val="005055FA"/>
    <w:rsid w:val="00505F77"/>
    <w:rsid w:val="00506486"/>
    <w:rsid w:val="0050693E"/>
    <w:rsid w:val="00506F70"/>
    <w:rsid w:val="005072D7"/>
    <w:rsid w:val="00507454"/>
    <w:rsid w:val="00510A2C"/>
    <w:rsid w:val="005111D5"/>
    <w:rsid w:val="00511B5F"/>
    <w:rsid w:val="00513FD1"/>
    <w:rsid w:val="005143DA"/>
    <w:rsid w:val="005151D1"/>
    <w:rsid w:val="00515880"/>
    <w:rsid w:val="00515EC0"/>
    <w:rsid w:val="005167F1"/>
    <w:rsid w:val="005168D3"/>
    <w:rsid w:val="00516B79"/>
    <w:rsid w:val="00521F05"/>
    <w:rsid w:val="00523F10"/>
    <w:rsid w:val="00524C18"/>
    <w:rsid w:val="0052509F"/>
    <w:rsid w:val="005251C8"/>
    <w:rsid w:val="00525E8B"/>
    <w:rsid w:val="00526456"/>
    <w:rsid w:val="00526554"/>
    <w:rsid w:val="00526D4F"/>
    <w:rsid w:val="00530C8E"/>
    <w:rsid w:val="00530D9D"/>
    <w:rsid w:val="00532FFF"/>
    <w:rsid w:val="005334EA"/>
    <w:rsid w:val="00533DAE"/>
    <w:rsid w:val="00534CFB"/>
    <w:rsid w:val="00535553"/>
    <w:rsid w:val="005367E2"/>
    <w:rsid w:val="00536DFB"/>
    <w:rsid w:val="00543844"/>
    <w:rsid w:val="0054384E"/>
    <w:rsid w:val="0054495D"/>
    <w:rsid w:val="00544C45"/>
    <w:rsid w:val="00544CF0"/>
    <w:rsid w:val="0054546A"/>
    <w:rsid w:val="00545BF4"/>
    <w:rsid w:val="00547B57"/>
    <w:rsid w:val="00551676"/>
    <w:rsid w:val="005517C6"/>
    <w:rsid w:val="00551F2F"/>
    <w:rsid w:val="005523C3"/>
    <w:rsid w:val="00552741"/>
    <w:rsid w:val="005540F2"/>
    <w:rsid w:val="00555254"/>
    <w:rsid w:val="005569B6"/>
    <w:rsid w:val="00556F5A"/>
    <w:rsid w:val="005601FF"/>
    <w:rsid w:val="0056048F"/>
    <w:rsid w:val="00560BCE"/>
    <w:rsid w:val="005610B7"/>
    <w:rsid w:val="0056169A"/>
    <w:rsid w:val="00561C9E"/>
    <w:rsid w:val="00564A6F"/>
    <w:rsid w:val="005656BF"/>
    <w:rsid w:val="00565CBC"/>
    <w:rsid w:val="00566084"/>
    <w:rsid w:val="0056658C"/>
    <w:rsid w:val="005672B4"/>
    <w:rsid w:val="00571E27"/>
    <w:rsid w:val="00573359"/>
    <w:rsid w:val="005734E9"/>
    <w:rsid w:val="0057391B"/>
    <w:rsid w:val="00575B58"/>
    <w:rsid w:val="0057687E"/>
    <w:rsid w:val="005770A9"/>
    <w:rsid w:val="005774F5"/>
    <w:rsid w:val="005779CE"/>
    <w:rsid w:val="00577B2B"/>
    <w:rsid w:val="00577EE1"/>
    <w:rsid w:val="005801E9"/>
    <w:rsid w:val="00581326"/>
    <w:rsid w:val="0058526A"/>
    <w:rsid w:val="00585457"/>
    <w:rsid w:val="00587593"/>
    <w:rsid w:val="00591488"/>
    <w:rsid w:val="005925BC"/>
    <w:rsid w:val="00592D96"/>
    <w:rsid w:val="005934D2"/>
    <w:rsid w:val="005946F9"/>
    <w:rsid w:val="005964B4"/>
    <w:rsid w:val="00597BD4"/>
    <w:rsid w:val="005A0A01"/>
    <w:rsid w:val="005A2C8D"/>
    <w:rsid w:val="005A321F"/>
    <w:rsid w:val="005A33D9"/>
    <w:rsid w:val="005A3A59"/>
    <w:rsid w:val="005A42EA"/>
    <w:rsid w:val="005A446D"/>
    <w:rsid w:val="005A4848"/>
    <w:rsid w:val="005A74FD"/>
    <w:rsid w:val="005A7F00"/>
    <w:rsid w:val="005B0290"/>
    <w:rsid w:val="005B08C9"/>
    <w:rsid w:val="005B1B4D"/>
    <w:rsid w:val="005B2217"/>
    <w:rsid w:val="005B2A52"/>
    <w:rsid w:val="005B30DC"/>
    <w:rsid w:val="005B3974"/>
    <w:rsid w:val="005B4FAB"/>
    <w:rsid w:val="005B505D"/>
    <w:rsid w:val="005B5360"/>
    <w:rsid w:val="005B5C01"/>
    <w:rsid w:val="005B6F3B"/>
    <w:rsid w:val="005B741B"/>
    <w:rsid w:val="005C2098"/>
    <w:rsid w:val="005C22B7"/>
    <w:rsid w:val="005C47AD"/>
    <w:rsid w:val="005C59A8"/>
    <w:rsid w:val="005C664B"/>
    <w:rsid w:val="005C7CD3"/>
    <w:rsid w:val="005D0AF9"/>
    <w:rsid w:val="005D1758"/>
    <w:rsid w:val="005D1E92"/>
    <w:rsid w:val="005D22B6"/>
    <w:rsid w:val="005D262F"/>
    <w:rsid w:val="005D273A"/>
    <w:rsid w:val="005D4241"/>
    <w:rsid w:val="005D4276"/>
    <w:rsid w:val="005D4B6E"/>
    <w:rsid w:val="005D5C55"/>
    <w:rsid w:val="005D6DEB"/>
    <w:rsid w:val="005D7924"/>
    <w:rsid w:val="005D7FC7"/>
    <w:rsid w:val="005E17D1"/>
    <w:rsid w:val="005E2376"/>
    <w:rsid w:val="005E24A4"/>
    <w:rsid w:val="005E2619"/>
    <w:rsid w:val="005E48E4"/>
    <w:rsid w:val="005E4D73"/>
    <w:rsid w:val="005E5EE6"/>
    <w:rsid w:val="005E6E39"/>
    <w:rsid w:val="005E6F86"/>
    <w:rsid w:val="005E708A"/>
    <w:rsid w:val="005F00BB"/>
    <w:rsid w:val="005F29B8"/>
    <w:rsid w:val="005F29C8"/>
    <w:rsid w:val="005F3A08"/>
    <w:rsid w:val="005F4469"/>
    <w:rsid w:val="005F5108"/>
    <w:rsid w:val="005F533E"/>
    <w:rsid w:val="005F6078"/>
    <w:rsid w:val="005F6358"/>
    <w:rsid w:val="00601F72"/>
    <w:rsid w:val="00601FE7"/>
    <w:rsid w:val="00602105"/>
    <w:rsid w:val="006023C6"/>
    <w:rsid w:val="0060299E"/>
    <w:rsid w:val="006033C4"/>
    <w:rsid w:val="0060386C"/>
    <w:rsid w:val="00603F3E"/>
    <w:rsid w:val="00605600"/>
    <w:rsid w:val="00605EB6"/>
    <w:rsid w:val="00606A14"/>
    <w:rsid w:val="00607FFD"/>
    <w:rsid w:val="00610806"/>
    <w:rsid w:val="006108DF"/>
    <w:rsid w:val="0061090D"/>
    <w:rsid w:val="006111CF"/>
    <w:rsid w:val="00611F0A"/>
    <w:rsid w:val="0061366D"/>
    <w:rsid w:val="0061505C"/>
    <w:rsid w:val="00615396"/>
    <w:rsid w:val="006206EC"/>
    <w:rsid w:val="00621CB2"/>
    <w:rsid w:val="0062248F"/>
    <w:rsid w:val="006231D4"/>
    <w:rsid w:val="00623662"/>
    <w:rsid w:val="00623E52"/>
    <w:rsid w:val="00624A07"/>
    <w:rsid w:val="00627146"/>
    <w:rsid w:val="00627778"/>
    <w:rsid w:val="00627C4D"/>
    <w:rsid w:val="006305A1"/>
    <w:rsid w:val="0063086A"/>
    <w:rsid w:val="006315B9"/>
    <w:rsid w:val="006338D4"/>
    <w:rsid w:val="006340BC"/>
    <w:rsid w:val="0064022D"/>
    <w:rsid w:val="00640F31"/>
    <w:rsid w:val="00640F5E"/>
    <w:rsid w:val="00641F89"/>
    <w:rsid w:val="00642421"/>
    <w:rsid w:val="0064271B"/>
    <w:rsid w:val="00642A60"/>
    <w:rsid w:val="006446FB"/>
    <w:rsid w:val="006448ED"/>
    <w:rsid w:val="00645C80"/>
    <w:rsid w:val="006463FC"/>
    <w:rsid w:val="006470B4"/>
    <w:rsid w:val="006475DA"/>
    <w:rsid w:val="00647F0E"/>
    <w:rsid w:val="00651A29"/>
    <w:rsid w:val="00651D09"/>
    <w:rsid w:val="00651D21"/>
    <w:rsid w:val="0065275C"/>
    <w:rsid w:val="00652DD1"/>
    <w:rsid w:val="006531F5"/>
    <w:rsid w:val="00653664"/>
    <w:rsid w:val="00653EBF"/>
    <w:rsid w:val="00654BA2"/>
    <w:rsid w:val="00655331"/>
    <w:rsid w:val="0065674B"/>
    <w:rsid w:val="00656A9C"/>
    <w:rsid w:val="0065781A"/>
    <w:rsid w:val="00657B05"/>
    <w:rsid w:val="00657F3A"/>
    <w:rsid w:val="0066156E"/>
    <w:rsid w:val="006621C6"/>
    <w:rsid w:val="006630E0"/>
    <w:rsid w:val="00663CEC"/>
    <w:rsid w:val="00664273"/>
    <w:rsid w:val="00670B9F"/>
    <w:rsid w:val="006715BF"/>
    <w:rsid w:val="006717DA"/>
    <w:rsid w:val="0067220C"/>
    <w:rsid w:val="00673D83"/>
    <w:rsid w:val="00674FB9"/>
    <w:rsid w:val="00676850"/>
    <w:rsid w:val="00676E29"/>
    <w:rsid w:val="00680B97"/>
    <w:rsid w:val="006811EE"/>
    <w:rsid w:val="006827BC"/>
    <w:rsid w:val="00683DFE"/>
    <w:rsid w:val="006863BC"/>
    <w:rsid w:val="006867B0"/>
    <w:rsid w:val="00686AFE"/>
    <w:rsid w:val="00687629"/>
    <w:rsid w:val="00690133"/>
    <w:rsid w:val="00691768"/>
    <w:rsid w:val="00691BD3"/>
    <w:rsid w:val="00694FEB"/>
    <w:rsid w:val="006950DF"/>
    <w:rsid w:val="00695EB7"/>
    <w:rsid w:val="00695ED8"/>
    <w:rsid w:val="006969CE"/>
    <w:rsid w:val="00697AB5"/>
    <w:rsid w:val="006A0A03"/>
    <w:rsid w:val="006A2907"/>
    <w:rsid w:val="006A4A4B"/>
    <w:rsid w:val="006A582D"/>
    <w:rsid w:val="006A5EF1"/>
    <w:rsid w:val="006A738A"/>
    <w:rsid w:val="006B11C1"/>
    <w:rsid w:val="006B1F3B"/>
    <w:rsid w:val="006B4490"/>
    <w:rsid w:val="006B4A2F"/>
    <w:rsid w:val="006C10F7"/>
    <w:rsid w:val="006C188F"/>
    <w:rsid w:val="006C547E"/>
    <w:rsid w:val="006C64E7"/>
    <w:rsid w:val="006C6921"/>
    <w:rsid w:val="006D0606"/>
    <w:rsid w:val="006D0D42"/>
    <w:rsid w:val="006D0D82"/>
    <w:rsid w:val="006D22E0"/>
    <w:rsid w:val="006D256C"/>
    <w:rsid w:val="006D280A"/>
    <w:rsid w:val="006D2C3C"/>
    <w:rsid w:val="006D32F7"/>
    <w:rsid w:val="006D4A41"/>
    <w:rsid w:val="006D510F"/>
    <w:rsid w:val="006D51AE"/>
    <w:rsid w:val="006D56D6"/>
    <w:rsid w:val="006D5BE4"/>
    <w:rsid w:val="006D5E65"/>
    <w:rsid w:val="006D6108"/>
    <w:rsid w:val="006D71F3"/>
    <w:rsid w:val="006E12FB"/>
    <w:rsid w:val="006E329C"/>
    <w:rsid w:val="006E4156"/>
    <w:rsid w:val="006E66ED"/>
    <w:rsid w:val="006E7B93"/>
    <w:rsid w:val="006F04B9"/>
    <w:rsid w:val="006F0DB5"/>
    <w:rsid w:val="006F0E4B"/>
    <w:rsid w:val="006F2864"/>
    <w:rsid w:val="006F3C72"/>
    <w:rsid w:val="006F3D38"/>
    <w:rsid w:val="006F4477"/>
    <w:rsid w:val="006F4CB0"/>
    <w:rsid w:val="006F524A"/>
    <w:rsid w:val="006F5FC1"/>
    <w:rsid w:val="006F73D4"/>
    <w:rsid w:val="006F7F22"/>
    <w:rsid w:val="0070013C"/>
    <w:rsid w:val="0070221C"/>
    <w:rsid w:val="007028C9"/>
    <w:rsid w:val="00702C3F"/>
    <w:rsid w:val="00702D22"/>
    <w:rsid w:val="007035EA"/>
    <w:rsid w:val="00703602"/>
    <w:rsid w:val="00703BEB"/>
    <w:rsid w:val="00703BF4"/>
    <w:rsid w:val="00704230"/>
    <w:rsid w:val="00705F91"/>
    <w:rsid w:val="00707492"/>
    <w:rsid w:val="00707500"/>
    <w:rsid w:val="007078E5"/>
    <w:rsid w:val="00707B40"/>
    <w:rsid w:val="007101A4"/>
    <w:rsid w:val="007111E0"/>
    <w:rsid w:val="007112EF"/>
    <w:rsid w:val="00711456"/>
    <w:rsid w:val="00711779"/>
    <w:rsid w:val="00711CD1"/>
    <w:rsid w:val="00712164"/>
    <w:rsid w:val="00712B8B"/>
    <w:rsid w:val="00712BD4"/>
    <w:rsid w:val="00713746"/>
    <w:rsid w:val="0071465E"/>
    <w:rsid w:val="00715E2D"/>
    <w:rsid w:val="0071645F"/>
    <w:rsid w:val="007164B6"/>
    <w:rsid w:val="0072139B"/>
    <w:rsid w:val="00721447"/>
    <w:rsid w:val="0072195E"/>
    <w:rsid w:val="00722F52"/>
    <w:rsid w:val="00724FC4"/>
    <w:rsid w:val="00724FFE"/>
    <w:rsid w:val="00725529"/>
    <w:rsid w:val="007258E5"/>
    <w:rsid w:val="00727B93"/>
    <w:rsid w:val="00727C26"/>
    <w:rsid w:val="00733A9F"/>
    <w:rsid w:val="00734DA2"/>
    <w:rsid w:val="007353FF"/>
    <w:rsid w:val="00735D0F"/>
    <w:rsid w:val="0073750D"/>
    <w:rsid w:val="0073763F"/>
    <w:rsid w:val="00737C26"/>
    <w:rsid w:val="00737EFD"/>
    <w:rsid w:val="007402D2"/>
    <w:rsid w:val="00740BA3"/>
    <w:rsid w:val="00740F8B"/>
    <w:rsid w:val="00741FEB"/>
    <w:rsid w:val="00742AB7"/>
    <w:rsid w:val="00743362"/>
    <w:rsid w:val="00743953"/>
    <w:rsid w:val="00744CC2"/>
    <w:rsid w:val="0074525F"/>
    <w:rsid w:val="00745506"/>
    <w:rsid w:val="00745802"/>
    <w:rsid w:val="00746FD7"/>
    <w:rsid w:val="00750298"/>
    <w:rsid w:val="00750A6A"/>
    <w:rsid w:val="00750C76"/>
    <w:rsid w:val="0075123F"/>
    <w:rsid w:val="0075192C"/>
    <w:rsid w:val="00754393"/>
    <w:rsid w:val="00754AA2"/>
    <w:rsid w:val="00754E0D"/>
    <w:rsid w:val="00755B6B"/>
    <w:rsid w:val="00760D70"/>
    <w:rsid w:val="00761866"/>
    <w:rsid w:val="007619DF"/>
    <w:rsid w:val="00762219"/>
    <w:rsid w:val="00762810"/>
    <w:rsid w:val="00763696"/>
    <w:rsid w:val="00766657"/>
    <w:rsid w:val="0076716E"/>
    <w:rsid w:val="007671BB"/>
    <w:rsid w:val="007676CC"/>
    <w:rsid w:val="00770A8D"/>
    <w:rsid w:val="00771556"/>
    <w:rsid w:val="007720BD"/>
    <w:rsid w:val="007746ED"/>
    <w:rsid w:val="00774F09"/>
    <w:rsid w:val="00776059"/>
    <w:rsid w:val="007775FF"/>
    <w:rsid w:val="007778D5"/>
    <w:rsid w:val="00780E2B"/>
    <w:rsid w:val="0078149A"/>
    <w:rsid w:val="00782CFC"/>
    <w:rsid w:val="00783067"/>
    <w:rsid w:val="0078330B"/>
    <w:rsid w:val="00783AA9"/>
    <w:rsid w:val="007851A7"/>
    <w:rsid w:val="0078750D"/>
    <w:rsid w:val="00790847"/>
    <w:rsid w:val="00790C4E"/>
    <w:rsid w:val="00791540"/>
    <w:rsid w:val="007917D9"/>
    <w:rsid w:val="007926F2"/>
    <w:rsid w:val="00792A75"/>
    <w:rsid w:val="00792E8C"/>
    <w:rsid w:val="007933BC"/>
    <w:rsid w:val="0079351F"/>
    <w:rsid w:val="00794586"/>
    <w:rsid w:val="007947A2"/>
    <w:rsid w:val="00795623"/>
    <w:rsid w:val="007A0BAE"/>
    <w:rsid w:val="007A15BA"/>
    <w:rsid w:val="007A1A98"/>
    <w:rsid w:val="007A1C34"/>
    <w:rsid w:val="007A4132"/>
    <w:rsid w:val="007A4C79"/>
    <w:rsid w:val="007A539D"/>
    <w:rsid w:val="007A6766"/>
    <w:rsid w:val="007A732C"/>
    <w:rsid w:val="007A78BB"/>
    <w:rsid w:val="007B00E2"/>
    <w:rsid w:val="007B00F3"/>
    <w:rsid w:val="007B07C8"/>
    <w:rsid w:val="007B0CAB"/>
    <w:rsid w:val="007B2169"/>
    <w:rsid w:val="007B25CA"/>
    <w:rsid w:val="007B2D59"/>
    <w:rsid w:val="007B2FBA"/>
    <w:rsid w:val="007B35AC"/>
    <w:rsid w:val="007B3698"/>
    <w:rsid w:val="007B4D72"/>
    <w:rsid w:val="007B64C9"/>
    <w:rsid w:val="007B6C55"/>
    <w:rsid w:val="007C0572"/>
    <w:rsid w:val="007C0B92"/>
    <w:rsid w:val="007C0C72"/>
    <w:rsid w:val="007C0F42"/>
    <w:rsid w:val="007C72BC"/>
    <w:rsid w:val="007D0FED"/>
    <w:rsid w:val="007D28AD"/>
    <w:rsid w:val="007D28F2"/>
    <w:rsid w:val="007D3A2F"/>
    <w:rsid w:val="007D43B1"/>
    <w:rsid w:val="007D46D9"/>
    <w:rsid w:val="007D4826"/>
    <w:rsid w:val="007D4A0B"/>
    <w:rsid w:val="007D51C9"/>
    <w:rsid w:val="007D5884"/>
    <w:rsid w:val="007D78E0"/>
    <w:rsid w:val="007E0B52"/>
    <w:rsid w:val="007E0C41"/>
    <w:rsid w:val="007E1F4C"/>
    <w:rsid w:val="007E2B40"/>
    <w:rsid w:val="007E485A"/>
    <w:rsid w:val="007E490C"/>
    <w:rsid w:val="007E590D"/>
    <w:rsid w:val="007E5F8C"/>
    <w:rsid w:val="007E6104"/>
    <w:rsid w:val="007F1537"/>
    <w:rsid w:val="007F301E"/>
    <w:rsid w:val="007F3107"/>
    <w:rsid w:val="007F4EC2"/>
    <w:rsid w:val="007F6DE3"/>
    <w:rsid w:val="007F7779"/>
    <w:rsid w:val="007F77CA"/>
    <w:rsid w:val="007F7F5B"/>
    <w:rsid w:val="0080018D"/>
    <w:rsid w:val="008006EB"/>
    <w:rsid w:val="00800AC2"/>
    <w:rsid w:val="008016EA"/>
    <w:rsid w:val="008026CF"/>
    <w:rsid w:val="00802CBB"/>
    <w:rsid w:val="00803847"/>
    <w:rsid w:val="00803D8E"/>
    <w:rsid w:val="00803E4D"/>
    <w:rsid w:val="00805571"/>
    <w:rsid w:val="00805D2A"/>
    <w:rsid w:val="00810DAD"/>
    <w:rsid w:val="00812F7C"/>
    <w:rsid w:val="00813970"/>
    <w:rsid w:val="00815372"/>
    <w:rsid w:val="00816771"/>
    <w:rsid w:val="0081686B"/>
    <w:rsid w:val="00817AF9"/>
    <w:rsid w:val="00820C78"/>
    <w:rsid w:val="00821EED"/>
    <w:rsid w:val="00823C53"/>
    <w:rsid w:val="00823E5E"/>
    <w:rsid w:val="00826729"/>
    <w:rsid w:val="00826BDE"/>
    <w:rsid w:val="00830E5D"/>
    <w:rsid w:val="00831441"/>
    <w:rsid w:val="00831E03"/>
    <w:rsid w:val="00834451"/>
    <w:rsid w:val="008348C4"/>
    <w:rsid w:val="0083653D"/>
    <w:rsid w:val="0083669B"/>
    <w:rsid w:val="008424C4"/>
    <w:rsid w:val="0084556C"/>
    <w:rsid w:val="008459C0"/>
    <w:rsid w:val="008464F8"/>
    <w:rsid w:val="00846D58"/>
    <w:rsid w:val="00850B9E"/>
    <w:rsid w:val="00850F89"/>
    <w:rsid w:val="00851859"/>
    <w:rsid w:val="00852306"/>
    <w:rsid w:val="00855634"/>
    <w:rsid w:val="00855B88"/>
    <w:rsid w:val="00855C34"/>
    <w:rsid w:val="00856102"/>
    <w:rsid w:val="008562C6"/>
    <w:rsid w:val="00856390"/>
    <w:rsid w:val="00856BFB"/>
    <w:rsid w:val="008605F1"/>
    <w:rsid w:val="00860C9A"/>
    <w:rsid w:val="0086126B"/>
    <w:rsid w:val="00862045"/>
    <w:rsid w:val="00864428"/>
    <w:rsid w:val="008648EE"/>
    <w:rsid w:val="00864E6C"/>
    <w:rsid w:val="00867524"/>
    <w:rsid w:val="00867534"/>
    <w:rsid w:val="0086766C"/>
    <w:rsid w:val="008708AC"/>
    <w:rsid w:val="00870D16"/>
    <w:rsid w:val="00871697"/>
    <w:rsid w:val="00873ED8"/>
    <w:rsid w:val="008741A3"/>
    <w:rsid w:val="008745A9"/>
    <w:rsid w:val="00876CE7"/>
    <w:rsid w:val="008803D1"/>
    <w:rsid w:val="00880920"/>
    <w:rsid w:val="00880B46"/>
    <w:rsid w:val="008874BC"/>
    <w:rsid w:val="00892817"/>
    <w:rsid w:val="0089390A"/>
    <w:rsid w:val="00893D27"/>
    <w:rsid w:val="00894BE1"/>
    <w:rsid w:val="00895C80"/>
    <w:rsid w:val="00895D18"/>
    <w:rsid w:val="00896CFB"/>
    <w:rsid w:val="00897169"/>
    <w:rsid w:val="008A0245"/>
    <w:rsid w:val="008A19BA"/>
    <w:rsid w:val="008A1AB9"/>
    <w:rsid w:val="008A1D19"/>
    <w:rsid w:val="008A4342"/>
    <w:rsid w:val="008A4A5F"/>
    <w:rsid w:val="008A65BE"/>
    <w:rsid w:val="008A6EC3"/>
    <w:rsid w:val="008B0001"/>
    <w:rsid w:val="008B2FD7"/>
    <w:rsid w:val="008B5C14"/>
    <w:rsid w:val="008B62F5"/>
    <w:rsid w:val="008B72D0"/>
    <w:rsid w:val="008B7307"/>
    <w:rsid w:val="008C02C5"/>
    <w:rsid w:val="008C19D4"/>
    <w:rsid w:val="008C250E"/>
    <w:rsid w:val="008C25A1"/>
    <w:rsid w:val="008C31D9"/>
    <w:rsid w:val="008C32C5"/>
    <w:rsid w:val="008C37EC"/>
    <w:rsid w:val="008C58DC"/>
    <w:rsid w:val="008C6DA7"/>
    <w:rsid w:val="008D1932"/>
    <w:rsid w:val="008D1FC8"/>
    <w:rsid w:val="008D2A32"/>
    <w:rsid w:val="008D408F"/>
    <w:rsid w:val="008D4697"/>
    <w:rsid w:val="008D5FEE"/>
    <w:rsid w:val="008E1B0B"/>
    <w:rsid w:val="008E25A8"/>
    <w:rsid w:val="008E326C"/>
    <w:rsid w:val="008E47C6"/>
    <w:rsid w:val="008E5AC6"/>
    <w:rsid w:val="008E5FC8"/>
    <w:rsid w:val="008E796E"/>
    <w:rsid w:val="008F0FB1"/>
    <w:rsid w:val="008F1096"/>
    <w:rsid w:val="008F160E"/>
    <w:rsid w:val="008F1645"/>
    <w:rsid w:val="008F1BD6"/>
    <w:rsid w:val="008F2822"/>
    <w:rsid w:val="008F31EF"/>
    <w:rsid w:val="008F4110"/>
    <w:rsid w:val="008F4E7C"/>
    <w:rsid w:val="008F534B"/>
    <w:rsid w:val="008F5C53"/>
    <w:rsid w:val="008F6039"/>
    <w:rsid w:val="008F61D6"/>
    <w:rsid w:val="008F6758"/>
    <w:rsid w:val="008F7846"/>
    <w:rsid w:val="008F7CDA"/>
    <w:rsid w:val="008F7E6E"/>
    <w:rsid w:val="00900A81"/>
    <w:rsid w:val="00900AE2"/>
    <w:rsid w:val="0090112D"/>
    <w:rsid w:val="00903AED"/>
    <w:rsid w:val="00903CF4"/>
    <w:rsid w:val="00904057"/>
    <w:rsid w:val="00904345"/>
    <w:rsid w:val="0090550C"/>
    <w:rsid w:val="00905D6A"/>
    <w:rsid w:val="00907CFC"/>
    <w:rsid w:val="00910067"/>
    <w:rsid w:val="00911103"/>
    <w:rsid w:val="00911D58"/>
    <w:rsid w:val="00913645"/>
    <w:rsid w:val="00914F00"/>
    <w:rsid w:val="0091524F"/>
    <w:rsid w:val="00915486"/>
    <w:rsid w:val="00915B32"/>
    <w:rsid w:val="009160E4"/>
    <w:rsid w:val="009173A0"/>
    <w:rsid w:val="00920CF1"/>
    <w:rsid w:val="00921B46"/>
    <w:rsid w:val="00921FB4"/>
    <w:rsid w:val="00922E01"/>
    <w:rsid w:val="00923B3D"/>
    <w:rsid w:val="009245AD"/>
    <w:rsid w:val="009255B9"/>
    <w:rsid w:val="00926DE3"/>
    <w:rsid w:val="0093248F"/>
    <w:rsid w:val="00932702"/>
    <w:rsid w:val="00934D75"/>
    <w:rsid w:val="009359E2"/>
    <w:rsid w:val="009407ED"/>
    <w:rsid w:val="009410E0"/>
    <w:rsid w:val="00941AE2"/>
    <w:rsid w:val="00942BAA"/>
    <w:rsid w:val="009437C5"/>
    <w:rsid w:val="00946B3D"/>
    <w:rsid w:val="00947511"/>
    <w:rsid w:val="00947A59"/>
    <w:rsid w:val="00947F64"/>
    <w:rsid w:val="00950BB5"/>
    <w:rsid w:val="00952592"/>
    <w:rsid w:val="00952C49"/>
    <w:rsid w:val="0095353C"/>
    <w:rsid w:val="00955F94"/>
    <w:rsid w:val="00956025"/>
    <w:rsid w:val="009562C4"/>
    <w:rsid w:val="00956659"/>
    <w:rsid w:val="009566A0"/>
    <w:rsid w:val="00956C6C"/>
    <w:rsid w:val="009574AF"/>
    <w:rsid w:val="009606E9"/>
    <w:rsid w:val="00960D77"/>
    <w:rsid w:val="009615C3"/>
    <w:rsid w:val="00962326"/>
    <w:rsid w:val="0096490C"/>
    <w:rsid w:val="00965FC5"/>
    <w:rsid w:val="00966E4C"/>
    <w:rsid w:val="00966EEF"/>
    <w:rsid w:val="0096763C"/>
    <w:rsid w:val="00967AE9"/>
    <w:rsid w:val="00971549"/>
    <w:rsid w:val="00971743"/>
    <w:rsid w:val="009720EA"/>
    <w:rsid w:val="00972581"/>
    <w:rsid w:val="0097266B"/>
    <w:rsid w:val="009730D9"/>
    <w:rsid w:val="009734E0"/>
    <w:rsid w:val="009748BE"/>
    <w:rsid w:val="00974E89"/>
    <w:rsid w:val="00975ADD"/>
    <w:rsid w:val="00975F23"/>
    <w:rsid w:val="00980EEE"/>
    <w:rsid w:val="009812E4"/>
    <w:rsid w:val="009819A5"/>
    <w:rsid w:val="00981C08"/>
    <w:rsid w:val="00981C3C"/>
    <w:rsid w:val="009823D8"/>
    <w:rsid w:val="00983758"/>
    <w:rsid w:val="00984015"/>
    <w:rsid w:val="00984586"/>
    <w:rsid w:val="0098588F"/>
    <w:rsid w:val="00987ED5"/>
    <w:rsid w:val="00990006"/>
    <w:rsid w:val="00991536"/>
    <w:rsid w:val="0099271E"/>
    <w:rsid w:val="00992729"/>
    <w:rsid w:val="00993339"/>
    <w:rsid w:val="00994671"/>
    <w:rsid w:val="009948B6"/>
    <w:rsid w:val="00996549"/>
    <w:rsid w:val="009975F9"/>
    <w:rsid w:val="009A032A"/>
    <w:rsid w:val="009A0662"/>
    <w:rsid w:val="009A229D"/>
    <w:rsid w:val="009A2A1F"/>
    <w:rsid w:val="009A4628"/>
    <w:rsid w:val="009A59BF"/>
    <w:rsid w:val="009A60A0"/>
    <w:rsid w:val="009A681C"/>
    <w:rsid w:val="009A6921"/>
    <w:rsid w:val="009A7283"/>
    <w:rsid w:val="009A7490"/>
    <w:rsid w:val="009B09D9"/>
    <w:rsid w:val="009B0AF5"/>
    <w:rsid w:val="009B2E60"/>
    <w:rsid w:val="009B3FF1"/>
    <w:rsid w:val="009B4048"/>
    <w:rsid w:val="009B5FD8"/>
    <w:rsid w:val="009B6FE9"/>
    <w:rsid w:val="009C358A"/>
    <w:rsid w:val="009C4451"/>
    <w:rsid w:val="009C49D6"/>
    <w:rsid w:val="009C4E1C"/>
    <w:rsid w:val="009C5027"/>
    <w:rsid w:val="009C5287"/>
    <w:rsid w:val="009C530D"/>
    <w:rsid w:val="009C58F3"/>
    <w:rsid w:val="009C6A20"/>
    <w:rsid w:val="009C7F4F"/>
    <w:rsid w:val="009D00C8"/>
    <w:rsid w:val="009D19A8"/>
    <w:rsid w:val="009D30C4"/>
    <w:rsid w:val="009D3557"/>
    <w:rsid w:val="009D3578"/>
    <w:rsid w:val="009D5E9D"/>
    <w:rsid w:val="009D5F28"/>
    <w:rsid w:val="009E14F5"/>
    <w:rsid w:val="009E1A87"/>
    <w:rsid w:val="009E1F72"/>
    <w:rsid w:val="009E3312"/>
    <w:rsid w:val="009E35CF"/>
    <w:rsid w:val="009E3C3F"/>
    <w:rsid w:val="009E424F"/>
    <w:rsid w:val="009E464E"/>
    <w:rsid w:val="009E5B4C"/>
    <w:rsid w:val="009E669B"/>
    <w:rsid w:val="009E6A66"/>
    <w:rsid w:val="009E6CE2"/>
    <w:rsid w:val="009E7AF8"/>
    <w:rsid w:val="009F2270"/>
    <w:rsid w:val="009F453B"/>
    <w:rsid w:val="009F75A4"/>
    <w:rsid w:val="009F76AD"/>
    <w:rsid w:val="00A0033C"/>
    <w:rsid w:val="00A01C89"/>
    <w:rsid w:val="00A01D65"/>
    <w:rsid w:val="00A02724"/>
    <w:rsid w:val="00A03E05"/>
    <w:rsid w:val="00A03F45"/>
    <w:rsid w:val="00A052EF"/>
    <w:rsid w:val="00A06A7D"/>
    <w:rsid w:val="00A07AB6"/>
    <w:rsid w:val="00A10059"/>
    <w:rsid w:val="00A10380"/>
    <w:rsid w:val="00A103E8"/>
    <w:rsid w:val="00A10962"/>
    <w:rsid w:val="00A11C12"/>
    <w:rsid w:val="00A12165"/>
    <w:rsid w:val="00A14D52"/>
    <w:rsid w:val="00A1572B"/>
    <w:rsid w:val="00A1639E"/>
    <w:rsid w:val="00A168CB"/>
    <w:rsid w:val="00A16ABE"/>
    <w:rsid w:val="00A2091B"/>
    <w:rsid w:val="00A2125C"/>
    <w:rsid w:val="00A21DE3"/>
    <w:rsid w:val="00A22F31"/>
    <w:rsid w:val="00A2404E"/>
    <w:rsid w:val="00A24DDE"/>
    <w:rsid w:val="00A24F4F"/>
    <w:rsid w:val="00A257A9"/>
    <w:rsid w:val="00A258CE"/>
    <w:rsid w:val="00A30CD9"/>
    <w:rsid w:val="00A314B8"/>
    <w:rsid w:val="00A319B7"/>
    <w:rsid w:val="00A32BBC"/>
    <w:rsid w:val="00A32C16"/>
    <w:rsid w:val="00A32F82"/>
    <w:rsid w:val="00A33674"/>
    <w:rsid w:val="00A34C42"/>
    <w:rsid w:val="00A35479"/>
    <w:rsid w:val="00A35A82"/>
    <w:rsid w:val="00A35BA5"/>
    <w:rsid w:val="00A36326"/>
    <w:rsid w:val="00A37F22"/>
    <w:rsid w:val="00A40067"/>
    <w:rsid w:val="00A41288"/>
    <w:rsid w:val="00A41463"/>
    <w:rsid w:val="00A415C5"/>
    <w:rsid w:val="00A426DB"/>
    <w:rsid w:val="00A4306E"/>
    <w:rsid w:val="00A4388D"/>
    <w:rsid w:val="00A44C9A"/>
    <w:rsid w:val="00A44E3E"/>
    <w:rsid w:val="00A44EE2"/>
    <w:rsid w:val="00A45981"/>
    <w:rsid w:val="00A4676D"/>
    <w:rsid w:val="00A46CFC"/>
    <w:rsid w:val="00A5047A"/>
    <w:rsid w:val="00A51FF1"/>
    <w:rsid w:val="00A539B2"/>
    <w:rsid w:val="00A53ACF"/>
    <w:rsid w:val="00A54773"/>
    <w:rsid w:val="00A55E17"/>
    <w:rsid w:val="00A56CC7"/>
    <w:rsid w:val="00A60821"/>
    <w:rsid w:val="00A61D37"/>
    <w:rsid w:val="00A67848"/>
    <w:rsid w:val="00A707D6"/>
    <w:rsid w:val="00A7380D"/>
    <w:rsid w:val="00A74AA9"/>
    <w:rsid w:val="00A750FE"/>
    <w:rsid w:val="00A75D5D"/>
    <w:rsid w:val="00A7680D"/>
    <w:rsid w:val="00A76912"/>
    <w:rsid w:val="00A76FFB"/>
    <w:rsid w:val="00A77273"/>
    <w:rsid w:val="00A80C76"/>
    <w:rsid w:val="00A81926"/>
    <w:rsid w:val="00A825F4"/>
    <w:rsid w:val="00A83630"/>
    <w:rsid w:val="00A83869"/>
    <w:rsid w:val="00A847F7"/>
    <w:rsid w:val="00A84908"/>
    <w:rsid w:val="00A9026C"/>
    <w:rsid w:val="00A90CE1"/>
    <w:rsid w:val="00A91682"/>
    <w:rsid w:val="00A91B3F"/>
    <w:rsid w:val="00A922FC"/>
    <w:rsid w:val="00A924F1"/>
    <w:rsid w:val="00A931C3"/>
    <w:rsid w:val="00A935CF"/>
    <w:rsid w:val="00A937DC"/>
    <w:rsid w:val="00A952A7"/>
    <w:rsid w:val="00A960FD"/>
    <w:rsid w:val="00AA0718"/>
    <w:rsid w:val="00AA1156"/>
    <w:rsid w:val="00AA1715"/>
    <w:rsid w:val="00AA1C8C"/>
    <w:rsid w:val="00AA29C5"/>
    <w:rsid w:val="00AA3276"/>
    <w:rsid w:val="00AA3FD3"/>
    <w:rsid w:val="00AA47C0"/>
    <w:rsid w:val="00AA4AD1"/>
    <w:rsid w:val="00AA50DA"/>
    <w:rsid w:val="00AA738B"/>
    <w:rsid w:val="00AA73CA"/>
    <w:rsid w:val="00AB1FE8"/>
    <w:rsid w:val="00AB22BE"/>
    <w:rsid w:val="00AB2FB9"/>
    <w:rsid w:val="00AB486F"/>
    <w:rsid w:val="00AB6047"/>
    <w:rsid w:val="00AC01AD"/>
    <w:rsid w:val="00AC09D8"/>
    <w:rsid w:val="00AC0EF7"/>
    <w:rsid w:val="00AC1219"/>
    <w:rsid w:val="00AC14FE"/>
    <w:rsid w:val="00AC1AE6"/>
    <w:rsid w:val="00AC2D1C"/>
    <w:rsid w:val="00AC3884"/>
    <w:rsid w:val="00AC41A2"/>
    <w:rsid w:val="00AC4564"/>
    <w:rsid w:val="00AC4845"/>
    <w:rsid w:val="00AC4C71"/>
    <w:rsid w:val="00AC4DED"/>
    <w:rsid w:val="00AC53DE"/>
    <w:rsid w:val="00AC6D26"/>
    <w:rsid w:val="00AC7372"/>
    <w:rsid w:val="00AD1B9B"/>
    <w:rsid w:val="00AD22E6"/>
    <w:rsid w:val="00AD29C4"/>
    <w:rsid w:val="00AD2F3E"/>
    <w:rsid w:val="00AD31D5"/>
    <w:rsid w:val="00AD3AB8"/>
    <w:rsid w:val="00AD403B"/>
    <w:rsid w:val="00AD418C"/>
    <w:rsid w:val="00AD4F12"/>
    <w:rsid w:val="00AD629E"/>
    <w:rsid w:val="00AD79CE"/>
    <w:rsid w:val="00AE0B7F"/>
    <w:rsid w:val="00AE0FCC"/>
    <w:rsid w:val="00AE2B5C"/>
    <w:rsid w:val="00AE47DA"/>
    <w:rsid w:val="00AE4E53"/>
    <w:rsid w:val="00AE5769"/>
    <w:rsid w:val="00AE6EA9"/>
    <w:rsid w:val="00AE7DC8"/>
    <w:rsid w:val="00AF027B"/>
    <w:rsid w:val="00AF0DFD"/>
    <w:rsid w:val="00AF1350"/>
    <w:rsid w:val="00AF1935"/>
    <w:rsid w:val="00AF3FA6"/>
    <w:rsid w:val="00AF4C5B"/>
    <w:rsid w:val="00AF4CA4"/>
    <w:rsid w:val="00AF4D68"/>
    <w:rsid w:val="00AF54F7"/>
    <w:rsid w:val="00AF577B"/>
    <w:rsid w:val="00AF681D"/>
    <w:rsid w:val="00AF7058"/>
    <w:rsid w:val="00AF79A7"/>
    <w:rsid w:val="00AF7AB5"/>
    <w:rsid w:val="00B0054C"/>
    <w:rsid w:val="00B005F1"/>
    <w:rsid w:val="00B0155C"/>
    <w:rsid w:val="00B01739"/>
    <w:rsid w:val="00B01AE9"/>
    <w:rsid w:val="00B0369F"/>
    <w:rsid w:val="00B03EF5"/>
    <w:rsid w:val="00B04D69"/>
    <w:rsid w:val="00B060B1"/>
    <w:rsid w:val="00B07EB9"/>
    <w:rsid w:val="00B07F9E"/>
    <w:rsid w:val="00B10026"/>
    <w:rsid w:val="00B10E28"/>
    <w:rsid w:val="00B10FDE"/>
    <w:rsid w:val="00B13564"/>
    <w:rsid w:val="00B136F0"/>
    <w:rsid w:val="00B13772"/>
    <w:rsid w:val="00B13D8E"/>
    <w:rsid w:val="00B15AE4"/>
    <w:rsid w:val="00B15C08"/>
    <w:rsid w:val="00B15D7C"/>
    <w:rsid w:val="00B17705"/>
    <w:rsid w:val="00B17749"/>
    <w:rsid w:val="00B1797E"/>
    <w:rsid w:val="00B20F1A"/>
    <w:rsid w:val="00B23B76"/>
    <w:rsid w:val="00B24040"/>
    <w:rsid w:val="00B2417B"/>
    <w:rsid w:val="00B2540D"/>
    <w:rsid w:val="00B272DB"/>
    <w:rsid w:val="00B3075B"/>
    <w:rsid w:val="00B322CC"/>
    <w:rsid w:val="00B32540"/>
    <w:rsid w:val="00B346C7"/>
    <w:rsid w:val="00B35721"/>
    <w:rsid w:val="00B35AC5"/>
    <w:rsid w:val="00B3685F"/>
    <w:rsid w:val="00B37019"/>
    <w:rsid w:val="00B374FF"/>
    <w:rsid w:val="00B415BD"/>
    <w:rsid w:val="00B422D7"/>
    <w:rsid w:val="00B430F1"/>
    <w:rsid w:val="00B447D8"/>
    <w:rsid w:val="00B44D94"/>
    <w:rsid w:val="00B472E8"/>
    <w:rsid w:val="00B500E3"/>
    <w:rsid w:val="00B50B0E"/>
    <w:rsid w:val="00B50FF2"/>
    <w:rsid w:val="00B519E6"/>
    <w:rsid w:val="00B52A74"/>
    <w:rsid w:val="00B531A1"/>
    <w:rsid w:val="00B53939"/>
    <w:rsid w:val="00B5396E"/>
    <w:rsid w:val="00B53D64"/>
    <w:rsid w:val="00B54EFA"/>
    <w:rsid w:val="00B5691D"/>
    <w:rsid w:val="00B6015C"/>
    <w:rsid w:val="00B6090E"/>
    <w:rsid w:val="00B62188"/>
    <w:rsid w:val="00B63BF4"/>
    <w:rsid w:val="00B648DA"/>
    <w:rsid w:val="00B64AFE"/>
    <w:rsid w:val="00B65014"/>
    <w:rsid w:val="00B658F8"/>
    <w:rsid w:val="00B661D8"/>
    <w:rsid w:val="00B6656F"/>
    <w:rsid w:val="00B67B44"/>
    <w:rsid w:val="00B714C0"/>
    <w:rsid w:val="00B725D0"/>
    <w:rsid w:val="00B72EB7"/>
    <w:rsid w:val="00B735D5"/>
    <w:rsid w:val="00B7414B"/>
    <w:rsid w:val="00B74A6C"/>
    <w:rsid w:val="00B74EBD"/>
    <w:rsid w:val="00B76FE0"/>
    <w:rsid w:val="00B7718B"/>
    <w:rsid w:val="00B8025A"/>
    <w:rsid w:val="00B805B7"/>
    <w:rsid w:val="00B8089D"/>
    <w:rsid w:val="00B80AE9"/>
    <w:rsid w:val="00B81851"/>
    <w:rsid w:val="00B818E9"/>
    <w:rsid w:val="00B82926"/>
    <w:rsid w:val="00B82FDC"/>
    <w:rsid w:val="00B836A7"/>
    <w:rsid w:val="00B84651"/>
    <w:rsid w:val="00B85B86"/>
    <w:rsid w:val="00B8624D"/>
    <w:rsid w:val="00B8684C"/>
    <w:rsid w:val="00B86B5B"/>
    <w:rsid w:val="00B9119D"/>
    <w:rsid w:val="00B93AD9"/>
    <w:rsid w:val="00B93DC8"/>
    <w:rsid w:val="00B94617"/>
    <w:rsid w:val="00B95457"/>
    <w:rsid w:val="00B96588"/>
    <w:rsid w:val="00B96733"/>
    <w:rsid w:val="00BA0031"/>
    <w:rsid w:val="00BA15B5"/>
    <w:rsid w:val="00BA1F0D"/>
    <w:rsid w:val="00BA2849"/>
    <w:rsid w:val="00BA2FCA"/>
    <w:rsid w:val="00BA40AB"/>
    <w:rsid w:val="00BA5F3B"/>
    <w:rsid w:val="00BA695A"/>
    <w:rsid w:val="00BA6E5E"/>
    <w:rsid w:val="00BA7681"/>
    <w:rsid w:val="00BB54EF"/>
    <w:rsid w:val="00BB58E2"/>
    <w:rsid w:val="00BB63A6"/>
    <w:rsid w:val="00BB6A5D"/>
    <w:rsid w:val="00BB6CFF"/>
    <w:rsid w:val="00BC1D87"/>
    <w:rsid w:val="00BC2D66"/>
    <w:rsid w:val="00BC4B27"/>
    <w:rsid w:val="00BC638F"/>
    <w:rsid w:val="00BC63E9"/>
    <w:rsid w:val="00BC6E4A"/>
    <w:rsid w:val="00BC7976"/>
    <w:rsid w:val="00BC7B93"/>
    <w:rsid w:val="00BD003C"/>
    <w:rsid w:val="00BD05E4"/>
    <w:rsid w:val="00BD0ED6"/>
    <w:rsid w:val="00BD141B"/>
    <w:rsid w:val="00BD2674"/>
    <w:rsid w:val="00BD2E97"/>
    <w:rsid w:val="00BD41A5"/>
    <w:rsid w:val="00BD4DB9"/>
    <w:rsid w:val="00BD501C"/>
    <w:rsid w:val="00BD666F"/>
    <w:rsid w:val="00BD6898"/>
    <w:rsid w:val="00BD6AA0"/>
    <w:rsid w:val="00BD7367"/>
    <w:rsid w:val="00BD774B"/>
    <w:rsid w:val="00BD7D94"/>
    <w:rsid w:val="00BD7E28"/>
    <w:rsid w:val="00BE0CF3"/>
    <w:rsid w:val="00BE1600"/>
    <w:rsid w:val="00BE2C26"/>
    <w:rsid w:val="00BE3E71"/>
    <w:rsid w:val="00BE4971"/>
    <w:rsid w:val="00BF03C0"/>
    <w:rsid w:val="00BF167A"/>
    <w:rsid w:val="00BF1ECF"/>
    <w:rsid w:val="00BF2072"/>
    <w:rsid w:val="00BF217B"/>
    <w:rsid w:val="00BF3133"/>
    <w:rsid w:val="00BF356E"/>
    <w:rsid w:val="00BF46F5"/>
    <w:rsid w:val="00BF4F89"/>
    <w:rsid w:val="00BF5A42"/>
    <w:rsid w:val="00BF5CEB"/>
    <w:rsid w:val="00BF5DAC"/>
    <w:rsid w:val="00BF6717"/>
    <w:rsid w:val="00C006F9"/>
    <w:rsid w:val="00C00DFB"/>
    <w:rsid w:val="00C00FAB"/>
    <w:rsid w:val="00C010D6"/>
    <w:rsid w:val="00C02744"/>
    <w:rsid w:val="00C0378B"/>
    <w:rsid w:val="00C03D85"/>
    <w:rsid w:val="00C04A78"/>
    <w:rsid w:val="00C055CF"/>
    <w:rsid w:val="00C05A58"/>
    <w:rsid w:val="00C06E4A"/>
    <w:rsid w:val="00C076BF"/>
    <w:rsid w:val="00C10573"/>
    <w:rsid w:val="00C10EC0"/>
    <w:rsid w:val="00C118B1"/>
    <w:rsid w:val="00C1360F"/>
    <w:rsid w:val="00C13FD1"/>
    <w:rsid w:val="00C15066"/>
    <w:rsid w:val="00C154AA"/>
    <w:rsid w:val="00C159F8"/>
    <w:rsid w:val="00C17843"/>
    <w:rsid w:val="00C20527"/>
    <w:rsid w:val="00C20818"/>
    <w:rsid w:val="00C24073"/>
    <w:rsid w:val="00C24428"/>
    <w:rsid w:val="00C2689B"/>
    <w:rsid w:val="00C27E85"/>
    <w:rsid w:val="00C302D4"/>
    <w:rsid w:val="00C30BD1"/>
    <w:rsid w:val="00C3106D"/>
    <w:rsid w:val="00C313CB"/>
    <w:rsid w:val="00C31A7F"/>
    <w:rsid w:val="00C323C0"/>
    <w:rsid w:val="00C33EE9"/>
    <w:rsid w:val="00C345A6"/>
    <w:rsid w:val="00C347C7"/>
    <w:rsid w:val="00C348A7"/>
    <w:rsid w:val="00C358D7"/>
    <w:rsid w:val="00C361D9"/>
    <w:rsid w:val="00C37E1F"/>
    <w:rsid w:val="00C406A7"/>
    <w:rsid w:val="00C40CDD"/>
    <w:rsid w:val="00C40FA9"/>
    <w:rsid w:val="00C42081"/>
    <w:rsid w:val="00C42D37"/>
    <w:rsid w:val="00C4302D"/>
    <w:rsid w:val="00C43B42"/>
    <w:rsid w:val="00C44DD6"/>
    <w:rsid w:val="00C45108"/>
    <w:rsid w:val="00C46703"/>
    <w:rsid w:val="00C471D0"/>
    <w:rsid w:val="00C477E0"/>
    <w:rsid w:val="00C50BF5"/>
    <w:rsid w:val="00C51600"/>
    <w:rsid w:val="00C550F5"/>
    <w:rsid w:val="00C556BA"/>
    <w:rsid w:val="00C5667F"/>
    <w:rsid w:val="00C56AE9"/>
    <w:rsid w:val="00C57913"/>
    <w:rsid w:val="00C57B7C"/>
    <w:rsid w:val="00C604F8"/>
    <w:rsid w:val="00C60D83"/>
    <w:rsid w:val="00C62487"/>
    <w:rsid w:val="00C63667"/>
    <w:rsid w:val="00C63FEB"/>
    <w:rsid w:val="00C645C3"/>
    <w:rsid w:val="00C64B39"/>
    <w:rsid w:val="00C650C6"/>
    <w:rsid w:val="00C6577C"/>
    <w:rsid w:val="00C65A22"/>
    <w:rsid w:val="00C65DBE"/>
    <w:rsid w:val="00C6687A"/>
    <w:rsid w:val="00C66D20"/>
    <w:rsid w:val="00C67332"/>
    <w:rsid w:val="00C675F3"/>
    <w:rsid w:val="00C70242"/>
    <w:rsid w:val="00C705A0"/>
    <w:rsid w:val="00C708D4"/>
    <w:rsid w:val="00C70B47"/>
    <w:rsid w:val="00C71060"/>
    <w:rsid w:val="00C7119C"/>
    <w:rsid w:val="00C720FC"/>
    <w:rsid w:val="00C72F4B"/>
    <w:rsid w:val="00C750DB"/>
    <w:rsid w:val="00C77E71"/>
    <w:rsid w:val="00C80823"/>
    <w:rsid w:val="00C8196C"/>
    <w:rsid w:val="00C81C23"/>
    <w:rsid w:val="00C8580E"/>
    <w:rsid w:val="00C862C2"/>
    <w:rsid w:val="00C86F6F"/>
    <w:rsid w:val="00C87576"/>
    <w:rsid w:val="00C92F5F"/>
    <w:rsid w:val="00C93EF0"/>
    <w:rsid w:val="00C9608C"/>
    <w:rsid w:val="00C973E4"/>
    <w:rsid w:val="00CA0FB4"/>
    <w:rsid w:val="00CA1F86"/>
    <w:rsid w:val="00CA2952"/>
    <w:rsid w:val="00CA3285"/>
    <w:rsid w:val="00CA3639"/>
    <w:rsid w:val="00CA399B"/>
    <w:rsid w:val="00CA46A2"/>
    <w:rsid w:val="00CA52EC"/>
    <w:rsid w:val="00CA53BD"/>
    <w:rsid w:val="00CB14F5"/>
    <w:rsid w:val="00CB17D0"/>
    <w:rsid w:val="00CB25CB"/>
    <w:rsid w:val="00CB39E3"/>
    <w:rsid w:val="00CB510A"/>
    <w:rsid w:val="00CB6937"/>
    <w:rsid w:val="00CB7DCC"/>
    <w:rsid w:val="00CC28D4"/>
    <w:rsid w:val="00CC30FE"/>
    <w:rsid w:val="00CC356D"/>
    <w:rsid w:val="00CC4ABE"/>
    <w:rsid w:val="00CC5226"/>
    <w:rsid w:val="00CC5AC7"/>
    <w:rsid w:val="00CC65A4"/>
    <w:rsid w:val="00CC6FDE"/>
    <w:rsid w:val="00CC72EC"/>
    <w:rsid w:val="00CC7449"/>
    <w:rsid w:val="00CD0B99"/>
    <w:rsid w:val="00CD1323"/>
    <w:rsid w:val="00CD1407"/>
    <w:rsid w:val="00CD2309"/>
    <w:rsid w:val="00CD3413"/>
    <w:rsid w:val="00CD412F"/>
    <w:rsid w:val="00CD7AAE"/>
    <w:rsid w:val="00CE0A5D"/>
    <w:rsid w:val="00CE3361"/>
    <w:rsid w:val="00CE401A"/>
    <w:rsid w:val="00CE445F"/>
    <w:rsid w:val="00CE60D0"/>
    <w:rsid w:val="00CE629B"/>
    <w:rsid w:val="00CE6327"/>
    <w:rsid w:val="00CE6921"/>
    <w:rsid w:val="00CF06A7"/>
    <w:rsid w:val="00CF1C25"/>
    <w:rsid w:val="00CF3A3D"/>
    <w:rsid w:val="00CF3D0E"/>
    <w:rsid w:val="00CF3EAB"/>
    <w:rsid w:val="00CF41D5"/>
    <w:rsid w:val="00CF51C3"/>
    <w:rsid w:val="00CF7CCA"/>
    <w:rsid w:val="00D03761"/>
    <w:rsid w:val="00D03AA5"/>
    <w:rsid w:val="00D04259"/>
    <w:rsid w:val="00D07124"/>
    <w:rsid w:val="00D0717F"/>
    <w:rsid w:val="00D10D8C"/>
    <w:rsid w:val="00D10DD7"/>
    <w:rsid w:val="00D11F7F"/>
    <w:rsid w:val="00D13D6D"/>
    <w:rsid w:val="00D1465F"/>
    <w:rsid w:val="00D149BF"/>
    <w:rsid w:val="00D21EFF"/>
    <w:rsid w:val="00D227BB"/>
    <w:rsid w:val="00D25AFB"/>
    <w:rsid w:val="00D25C26"/>
    <w:rsid w:val="00D266EC"/>
    <w:rsid w:val="00D26E66"/>
    <w:rsid w:val="00D26F1A"/>
    <w:rsid w:val="00D32103"/>
    <w:rsid w:val="00D323D4"/>
    <w:rsid w:val="00D3588D"/>
    <w:rsid w:val="00D3604C"/>
    <w:rsid w:val="00D3626D"/>
    <w:rsid w:val="00D368D1"/>
    <w:rsid w:val="00D375C6"/>
    <w:rsid w:val="00D3770A"/>
    <w:rsid w:val="00D40BF5"/>
    <w:rsid w:val="00D40D0A"/>
    <w:rsid w:val="00D45510"/>
    <w:rsid w:val="00D45D76"/>
    <w:rsid w:val="00D461B9"/>
    <w:rsid w:val="00D4652D"/>
    <w:rsid w:val="00D50577"/>
    <w:rsid w:val="00D51EAD"/>
    <w:rsid w:val="00D52C10"/>
    <w:rsid w:val="00D54A0D"/>
    <w:rsid w:val="00D565E2"/>
    <w:rsid w:val="00D56B23"/>
    <w:rsid w:val="00D57950"/>
    <w:rsid w:val="00D60040"/>
    <w:rsid w:val="00D60655"/>
    <w:rsid w:val="00D60D4D"/>
    <w:rsid w:val="00D60D54"/>
    <w:rsid w:val="00D61272"/>
    <w:rsid w:val="00D61B1F"/>
    <w:rsid w:val="00D62E4E"/>
    <w:rsid w:val="00D64014"/>
    <w:rsid w:val="00D64469"/>
    <w:rsid w:val="00D65D6A"/>
    <w:rsid w:val="00D706AC"/>
    <w:rsid w:val="00D725DB"/>
    <w:rsid w:val="00D7362F"/>
    <w:rsid w:val="00D74365"/>
    <w:rsid w:val="00D74494"/>
    <w:rsid w:val="00D75A02"/>
    <w:rsid w:val="00D76699"/>
    <w:rsid w:val="00D80AD0"/>
    <w:rsid w:val="00D80E2E"/>
    <w:rsid w:val="00D80FB4"/>
    <w:rsid w:val="00D81438"/>
    <w:rsid w:val="00D82581"/>
    <w:rsid w:val="00D842CD"/>
    <w:rsid w:val="00D85A3F"/>
    <w:rsid w:val="00D87DDB"/>
    <w:rsid w:val="00D916A1"/>
    <w:rsid w:val="00D91791"/>
    <w:rsid w:val="00D921AE"/>
    <w:rsid w:val="00D93BC8"/>
    <w:rsid w:val="00D93E44"/>
    <w:rsid w:val="00D957E9"/>
    <w:rsid w:val="00D95AD0"/>
    <w:rsid w:val="00D95EF7"/>
    <w:rsid w:val="00D9640C"/>
    <w:rsid w:val="00D96EA8"/>
    <w:rsid w:val="00D97943"/>
    <w:rsid w:val="00DA05ED"/>
    <w:rsid w:val="00DA1BD3"/>
    <w:rsid w:val="00DA5110"/>
    <w:rsid w:val="00DA7E21"/>
    <w:rsid w:val="00DB016D"/>
    <w:rsid w:val="00DB1123"/>
    <w:rsid w:val="00DB1913"/>
    <w:rsid w:val="00DB1BE1"/>
    <w:rsid w:val="00DB42AD"/>
    <w:rsid w:val="00DB5462"/>
    <w:rsid w:val="00DB59B9"/>
    <w:rsid w:val="00DB6B45"/>
    <w:rsid w:val="00DC0AA4"/>
    <w:rsid w:val="00DC0CA4"/>
    <w:rsid w:val="00DC0F49"/>
    <w:rsid w:val="00DC12A2"/>
    <w:rsid w:val="00DC19B1"/>
    <w:rsid w:val="00DC1B47"/>
    <w:rsid w:val="00DC20EB"/>
    <w:rsid w:val="00DC2354"/>
    <w:rsid w:val="00DC43AC"/>
    <w:rsid w:val="00DC45C4"/>
    <w:rsid w:val="00DC4844"/>
    <w:rsid w:val="00DC4AAA"/>
    <w:rsid w:val="00DC4AF2"/>
    <w:rsid w:val="00DC560F"/>
    <w:rsid w:val="00DC5704"/>
    <w:rsid w:val="00DC5F32"/>
    <w:rsid w:val="00DC611F"/>
    <w:rsid w:val="00DC646A"/>
    <w:rsid w:val="00DD0BEA"/>
    <w:rsid w:val="00DD282B"/>
    <w:rsid w:val="00DD2EE0"/>
    <w:rsid w:val="00DD36CF"/>
    <w:rsid w:val="00DD3E33"/>
    <w:rsid w:val="00DD4F11"/>
    <w:rsid w:val="00DE0BD6"/>
    <w:rsid w:val="00DE11DC"/>
    <w:rsid w:val="00DE318D"/>
    <w:rsid w:val="00DE331F"/>
    <w:rsid w:val="00DE3A5F"/>
    <w:rsid w:val="00DE3ADC"/>
    <w:rsid w:val="00DE4166"/>
    <w:rsid w:val="00DE4977"/>
    <w:rsid w:val="00DE4EC8"/>
    <w:rsid w:val="00DE50A4"/>
    <w:rsid w:val="00DE5E61"/>
    <w:rsid w:val="00DE5F42"/>
    <w:rsid w:val="00DE614D"/>
    <w:rsid w:val="00DE618B"/>
    <w:rsid w:val="00DE63A5"/>
    <w:rsid w:val="00DF05D8"/>
    <w:rsid w:val="00DF2127"/>
    <w:rsid w:val="00DF324D"/>
    <w:rsid w:val="00DF35A9"/>
    <w:rsid w:val="00DF3B24"/>
    <w:rsid w:val="00DF3E33"/>
    <w:rsid w:val="00DF5244"/>
    <w:rsid w:val="00DF56CA"/>
    <w:rsid w:val="00DF5A92"/>
    <w:rsid w:val="00DF5D59"/>
    <w:rsid w:val="00DF687C"/>
    <w:rsid w:val="00DF6BD9"/>
    <w:rsid w:val="00DF73F3"/>
    <w:rsid w:val="00E00E36"/>
    <w:rsid w:val="00E020B2"/>
    <w:rsid w:val="00E0273F"/>
    <w:rsid w:val="00E05D09"/>
    <w:rsid w:val="00E0650F"/>
    <w:rsid w:val="00E06AEA"/>
    <w:rsid w:val="00E06C08"/>
    <w:rsid w:val="00E10FBF"/>
    <w:rsid w:val="00E13DEB"/>
    <w:rsid w:val="00E13EEC"/>
    <w:rsid w:val="00E145AC"/>
    <w:rsid w:val="00E14C6B"/>
    <w:rsid w:val="00E14E05"/>
    <w:rsid w:val="00E16125"/>
    <w:rsid w:val="00E200A2"/>
    <w:rsid w:val="00E213B4"/>
    <w:rsid w:val="00E222D9"/>
    <w:rsid w:val="00E23AE8"/>
    <w:rsid w:val="00E242A1"/>
    <w:rsid w:val="00E243D7"/>
    <w:rsid w:val="00E24481"/>
    <w:rsid w:val="00E257B4"/>
    <w:rsid w:val="00E273EF"/>
    <w:rsid w:val="00E30567"/>
    <w:rsid w:val="00E3068E"/>
    <w:rsid w:val="00E309E9"/>
    <w:rsid w:val="00E30CDB"/>
    <w:rsid w:val="00E30DB4"/>
    <w:rsid w:val="00E30EF9"/>
    <w:rsid w:val="00E3163E"/>
    <w:rsid w:val="00E31865"/>
    <w:rsid w:val="00E33671"/>
    <w:rsid w:val="00E34634"/>
    <w:rsid w:val="00E34822"/>
    <w:rsid w:val="00E405C7"/>
    <w:rsid w:val="00E40DA2"/>
    <w:rsid w:val="00E418A5"/>
    <w:rsid w:val="00E44761"/>
    <w:rsid w:val="00E45772"/>
    <w:rsid w:val="00E45B12"/>
    <w:rsid w:val="00E47101"/>
    <w:rsid w:val="00E47336"/>
    <w:rsid w:val="00E47CEB"/>
    <w:rsid w:val="00E50E1F"/>
    <w:rsid w:val="00E52976"/>
    <w:rsid w:val="00E53A5B"/>
    <w:rsid w:val="00E54034"/>
    <w:rsid w:val="00E6043C"/>
    <w:rsid w:val="00E60B40"/>
    <w:rsid w:val="00E620A0"/>
    <w:rsid w:val="00E63AB3"/>
    <w:rsid w:val="00E64448"/>
    <w:rsid w:val="00E64696"/>
    <w:rsid w:val="00E64D23"/>
    <w:rsid w:val="00E65928"/>
    <w:rsid w:val="00E65DB2"/>
    <w:rsid w:val="00E67CD8"/>
    <w:rsid w:val="00E67EA2"/>
    <w:rsid w:val="00E70B02"/>
    <w:rsid w:val="00E717A2"/>
    <w:rsid w:val="00E71B45"/>
    <w:rsid w:val="00E72455"/>
    <w:rsid w:val="00E72DCD"/>
    <w:rsid w:val="00E73892"/>
    <w:rsid w:val="00E75B4C"/>
    <w:rsid w:val="00E767E8"/>
    <w:rsid w:val="00E77F85"/>
    <w:rsid w:val="00E801F0"/>
    <w:rsid w:val="00E80F99"/>
    <w:rsid w:val="00E81A17"/>
    <w:rsid w:val="00E81D39"/>
    <w:rsid w:val="00E82EBD"/>
    <w:rsid w:val="00E82EC7"/>
    <w:rsid w:val="00E858D6"/>
    <w:rsid w:val="00E8633C"/>
    <w:rsid w:val="00E86D04"/>
    <w:rsid w:val="00E911FF"/>
    <w:rsid w:val="00E924E8"/>
    <w:rsid w:val="00E9313A"/>
    <w:rsid w:val="00E93162"/>
    <w:rsid w:val="00E93AD8"/>
    <w:rsid w:val="00E93ADB"/>
    <w:rsid w:val="00E96700"/>
    <w:rsid w:val="00EA02DC"/>
    <w:rsid w:val="00EA1693"/>
    <w:rsid w:val="00EA24C9"/>
    <w:rsid w:val="00EA3202"/>
    <w:rsid w:val="00EA3469"/>
    <w:rsid w:val="00EA53E6"/>
    <w:rsid w:val="00EB0021"/>
    <w:rsid w:val="00EB0E19"/>
    <w:rsid w:val="00EB1105"/>
    <w:rsid w:val="00EB197F"/>
    <w:rsid w:val="00EB4E14"/>
    <w:rsid w:val="00EB5012"/>
    <w:rsid w:val="00EB5CB3"/>
    <w:rsid w:val="00EB6094"/>
    <w:rsid w:val="00EB624F"/>
    <w:rsid w:val="00EC09A8"/>
    <w:rsid w:val="00EC27E7"/>
    <w:rsid w:val="00EC3891"/>
    <w:rsid w:val="00EC46AC"/>
    <w:rsid w:val="00EC5844"/>
    <w:rsid w:val="00EC6283"/>
    <w:rsid w:val="00ED1DEE"/>
    <w:rsid w:val="00ED2978"/>
    <w:rsid w:val="00ED4FEB"/>
    <w:rsid w:val="00ED55E1"/>
    <w:rsid w:val="00ED59B6"/>
    <w:rsid w:val="00ED60A5"/>
    <w:rsid w:val="00ED619A"/>
    <w:rsid w:val="00ED657F"/>
    <w:rsid w:val="00ED749D"/>
    <w:rsid w:val="00EE05EE"/>
    <w:rsid w:val="00EE14D1"/>
    <w:rsid w:val="00EE375E"/>
    <w:rsid w:val="00EE7A40"/>
    <w:rsid w:val="00EF065D"/>
    <w:rsid w:val="00EF22EB"/>
    <w:rsid w:val="00EF30D4"/>
    <w:rsid w:val="00EF32F5"/>
    <w:rsid w:val="00EF3570"/>
    <w:rsid w:val="00EF3B9C"/>
    <w:rsid w:val="00EF4826"/>
    <w:rsid w:val="00EF5151"/>
    <w:rsid w:val="00EF52D7"/>
    <w:rsid w:val="00EF6A3B"/>
    <w:rsid w:val="00EF7140"/>
    <w:rsid w:val="00EF7863"/>
    <w:rsid w:val="00EF7F43"/>
    <w:rsid w:val="00F0030A"/>
    <w:rsid w:val="00F024F6"/>
    <w:rsid w:val="00F032BE"/>
    <w:rsid w:val="00F05030"/>
    <w:rsid w:val="00F0549A"/>
    <w:rsid w:val="00F05A92"/>
    <w:rsid w:val="00F0770D"/>
    <w:rsid w:val="00F11845"/>
    <w:rsid w:val="00F11EF5"/>
    <w:rsid w:val="00F130A9"/>
    <w:rsid w:val="00F13231"/>
    <w:rsid w:val="00F14772"/>
    <w:rsid w:val="00F148C0"/>
    <w:rsid w:val="00F14F73"/>
    <w:rsid w:val="00F156A8"/>
    <w:rsid w:val="00F15CD1"/>
    <w:rsid w:val="00F16C42"/>
    <w:rsid w:val="00F17B9A"/>
    <w:rsid w:val="00F206A2"/>
    <w:rsid w:val="00F20A59"/>
    <w:rsid w:val="00F20DBC"/>
    <w:rsid w:val="00F22B81"/>
    <w:rsid w:val="00F23A1F"/>
    <w:rsid w:val="00F23FBC"/>
    <w:rsid w:val="00F2417F"/>
    <w:rsid w:val="00F243D3"/>
    <w:rsid w:val="00F24B82"/>
    <w:rsid w:val="00F271B5"/>
    <w:rsid w:val="00F2738C"/>
    <w:rsid w:val="00F27BE6"/>
    <w:rsid w:val="00F329E1"/>
    <w:rsid w:val="00F33530"/>
    <w:rsid w:val="00F336CA"/>
    <w:rsid w:val="00F337E9"/>
    <w:rsid w:val="00F34098"/>
    <w:rsid w:val="00F3622B"/>
    <w:rsid w:val="00F371A6"/>
    <w:rsid w:val="00F37870"/>
    <w:rsid w:val="00F43247"/>
    <w:rsid w:val="00F4328F"/>
    <w:rsid w:val="00F43570"/>
    <w:rsid w:val="00F46671"/>
    <w:rsid w:val="00F47637"/>
    <w:rsid w:val="00F50390"/>
    <w:rsid w:val="00F52213"/>
    <w:rsid w:val="00F557E0"/>
    <w:rsid w:val="00F5603D"/>
    <w:rsid w:val="00F56928"/>
    <w:rsid w:val="00F56D94"/>
    <w:rsid w:val="00F572F8"/>
    <w:rsid w:val="00F605D8"/>
    <w:rsid w:val="00F61B76"/>
    <w:rsid w:val="00F65F20"/>
    <w:rsid w:val="00F66151"/>
    <w:rsid w:val="00F662CD"/>
    <w:rsid w:val="00F6651A"/>
    <w:rsid w:val="00F701F0"/>
    <w:rsid w:val="00F71D41"/>
    <w:rsid w:val="00F72139"/>
    <w:rsid w:val="00F72A5C"/>
    <w:rsid w:val="00F73005"/>
    <w:rsid w:val="00F7376C"/>
    <w:rsid w:val="00F73D46"/>
    <w:rsid w:val="00F74C33"/>
    <w:rsid w:val="00F74FB5"/>
    <w:rsid w:val="00F756BC"/>
    <w:rsid w:val="00F76408"/>
    <w:rsid w:val="00F776C8"/>
    <w:rsid w:val="00F80796"/>
    <w:rsid w:val="00F83280"/>
    <w:rsid w:val="00F83F46"/>
    <w:rsid w:val="00F846A5"/>
    <w:rsid w:val="00F84A08"/>
    <w:rsid w:val="00F854BE"/>
    <w:rsid w:val="00F85D27"/>
    <w:rsid w:val="00F86A25"/>
    <w:rsid w:val="00F86A94"/>
    <w:rsid w:val="00F86ADA"/>
    <w:rsid w:val="00F91AAC"/>
    <w:rsid w:val="00F92CCE"/>
    <w:rsid w:val="00F93AA1"/>
    <w:rsid w:val="00F93C7F"/>
    <w:rsid w:val="00F94FCC"/>
    <w:rsid w:val="00FA2FF8"/>
    <w:rsid w:val="00FA479F"/>
    <w:rsid w:val="00FA555D"/>
    <w:rsid w:val="00FA58E9"/>
    <w:rsid w:val="00FA68E9"/>
    <w:rsid w:val="00FA6C03"/>
    <w:rsid w:val="00FA6FA4"/>
    <w:rsid w:val="00FA6FAD"/>
    <w:rsid w:val="00FA72CB"/>
    <w:rsid w:val="00FB0C72"/>
    <w:rsid w:val="00FB0F73"/>
    <w:rsid w:val="00FB2169"/>
    <w:rsid w:val="00FB22A8"/>
    <w:rsid w:val="00FB22AA"/>
    <w:rsid w:val="00FB2787"/>
    <w:rsid w:val="00FB2A4A"/>
    <w:rsid w:val="00FB309B"/>
    <w:rsid w:val="00FB389A"/>
    <w:rsid w:val="00FB3F55"/>
    <w:rsid w:val="00FB4100"/>
    <w:rsid w:val="00FB4C68"/>
    <w:rsid w:val="00FB5C67"/>
    <w:rsid w:val="00FB6696"/>
    <w:rsid w:val="00FB7ECD"/>
    <w:rsid w:val="00FC1D97"/>
    <w:rsid w:val="00FC297E"/>
    <w:rsid w:val="00FC2E46"/>
    <w:rsid w:val="00FC4345"/>
    <w:rsid w:val="00FC49BD"/>
    <w:rsid w:val="00FC53ED"/>
    <w:rsid w:val="00FC7C14"/>
    <w:rsid w:val="00FD1E7A"/>
    <w:rsid w:val="00FD2047"/>
    <w:rsid w:val="00FD2511"/>
    <w:rsid w:val="00FD3622"/>
    <w:rsid w:val="00FD4B28"/>
    <w:rsid w:val="00FD5726"/>
    <w:rsid w:val="00FD62AC"/>
    <w:rsid w:val="00FD6804"/>
    <w:rsid w:val="00FD72A9"/>
    <w:rsid w:val="00FD78E6"/>
    <w:rsid w:val="00FE0B94"/>
    <w:rsid w:val="00FE1935"/>
    <w:rsid w:val="00FE2710"/>
    <w:rsid w:val="00FE4618"/>
    <w:rsid w:val="00FE51FE"/>
    <w:rsid w:val="00FE542D"/>
    <w:rsid w:val="00FE5921"/>
    <w:rsid w:val="00FE60A8"/>
    <w:rsid w:val="00FE625F"/>
    <w:rsid w:val="00FE6669"/>
    <w:rsid w:val="00FE669E"/>
    <w:rsid w:val="00FE6744"/>
    <w:rsid w:val="00FE68B2"/>
    <w:rsid w:val="00FE7E03"/>
    <w:rsid w:val="00FF0284"/>
    <w:rsid w:val="00FF32E2"/>
    <w:rsid w:val="00FF3527"/>
    <w:rsid w:val="00FF37DB"/>
    <w:rsid w:val="00FF3DD4"/>
    <w:rsid w:val="00FF3F9C"/>
    <w:rsid w:val="00FF4845"/>
    <w:rsid w:val="00FF6085"/>
    <w:rsid w:val="00FF706B"/>
    <w:rsid w:val="00FF7393"/>
    <w:rsid w:val="036839EA"/>
    <w:rsid w:val="0A522CFE"/>
    <w:rsid w:val="0B470389"/>
    <w:rsid w:val="0B9C6976"/>
    <w:rsid w:val="0BC814CA"/>
    <w:rsid w:val="0C1B3CF0"/>
    <w:rsid w:val="0CAA0BCF"/>
    <w:rsid w:val="0F1720A3"/>
    <w:rsid w:val="18463EA2"/>
    <w:rsid w:val="18FA59A9"/>
    <w:rsid w:val="1BC25F36"/>
    <w:rsid w:val="1C066B60"/>
    <w:rsid w:val="204F3B10"/>
    <w:rsid w:val="20F85F56"/>
    <w:rsid w:val="259D74CD"/>
    <w:rsid w:val="283A6E54"/>
    <w:rsid w:val="28B9421C"/>
    <w:rsid w:val="2B0D4CF3"/>
    <w:rsid w:val="2C4402A1"/>
    <w:rsid w:val="2F37233F"/>
    <w:rsid w:val="31692558"/>
    <w:rsid w:val="31D73965"/>
    <w:rsid w:val="3361798A"/>
    <w:rsid w:val="339361B9"/>
    <w:rsid w:val="36C00E6C"/>
    <w:rsid w:val="371231E8"/>
    <w:rsid w:val="38315F0F"/>
    <w:rsid w:val="39062584"/>
    <w:rsid w:val="3AB719C6"/>
    <w:rsid w:val="3B0D21A6"/>
    <w:rsid w:val="3D4867BE"/>
    <w:rsid w:val="3E5A4277"/>
    <w:rsid w:val="3EBC22DB"/>
    <w:rsid w:val="3EE768AB"/>
    <w:rsid w:val="43BE5DEC"/>
    <w:rsid w:val="43CF26EE"/>
    <w:rsid w:val="49B26D3A"/>
    <w:rsid w:val="4C26761E"/>
    <w:rsid w:val="4D935E0E"/>
    <w:rsid w:val="4DD93577"/>
    <w:rsid w:val="506F0781"/>
    <w:rsid w:val="543F566E"/>
    <w:rsid w:val="5563538C"/>
    <w:rsid w:val="5875165E"/>
    <w:rsid w:val="59C503C4"/>
    <w:rsid w:val="5A7F0572"/>
    <w:rsid w:val="5F3F6522"/>
    <w:rsid w:val="654A79CF"/>
    <w:rsid w:val="69CC49CA"/>
    <w:rsid w:val="6CA351A2"/>
    <w:rsid w:val="72CA00C1"/>
    <w:rsid w:val="75BB4C9A"/>
    <w:rsid w:val="75BC4246"/>
    <w:rsid w:val="7718792D"/>
    <w:rsid w:val="78B70070"/>
    <w:rsid w:val="7C5F1B5A"/>
    <w:rsid w:val="7DDBCC09"/>
    <w:rsid w:val="7E7E7CFE"/>
    <w:rsid w:val="7FEFFB7B"/>
    <w:rsid w:val="DFFFBE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031F35"/>
  <w15:chartTrackingRefBased/>
  <w15:docId w15:val="{DBD0BD30-3F90-4254-AFF3-5B5D86435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lsdException w:name="footnote text" w:semiHidden="1" w:unhideWhenUsed="1"/>
    <w:lsdException w:name="annotation text" w:uiPriority="0"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semiHidden="1" w:unhideWhenUsed="1"/>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22" w:qFormat="1"/>
    <w:lsdException w:name="Emphasis" w:uiPriority="20" w:qFormat="1"/>
    <w:lsdException w:name="Document Map" w:semiHidden="1" w:uiPriority="0"/>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semiHidden/>
  </w:style>
  <w:style w:type="table" w:default="1" w:styleId="a1">
    <w:name w:val="Normal Table"/>
    <w:uiPriority w:val="99"/>
    <w:unhideWhenUsed/>
    <w:tblPr>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a6"/>
    <w:semiHidden/>
    <w:pPr>
      <w:shd w:val="clear" w:color="auto" w:fill="000080"/>
    </w:pPr>
  </w:style>
  <w:style w:type="character" w:customStyle="1" w:styleId="a6">
    <w:name w:val="文档结构图 字符"/>
    <w:link w:val="a5"/>
    <w:semiHidden/>
    <w:rPr>
      <w:sz w:val="24"/>
      <w:shd w:val="clear" w:color="auto" w:fill="000080"/>
    </w:rPr>
  </w:style>
  <w:style w:type="paragraph" w:styleId="a7">
    <w:name w:val="annotation text"/>
    <w:basedOn w:val="a"/>
    <w:link w:val="a8"/>
    <w:qFormat/>
  </w:style>
  <w:style w:type="character" w:customStyle="1" w:styleId="a8">
    <w:name w:val="批注文字 字符"/>
    <w:link w:val="a7"/>
    <w:qFormat/>
    <w:rPr>
      <w:sz w:val="24"/>
    </w:rPr>
  </w:style>
  <w:style w:type="paragraph" w:styleId="a9">
    <w:name w:val="Body Text"/>
    <w:basedOn w:val="a"/>
    <w:semiHidden/>
    <w:rPr>
      <w:rFonts w:eastAsia="隶书"/>
      <w:sz w:val="52"/>
    </w:rPr>
  </w:style>
  <w:style w:type="paragraph" w:styleId="aa">
    <w:name w:val="Body Text Indent"/>
    <w:basedOn w:val="a"/>
    <w:semiHidden/>
    <w:pPr>
      <w:spacing w:before="120" w:line="360" w:lineRule="auto"/>
      <w:ind w:left="1145"/>
    </w:pPr>
    <w:rPr>
      <w:rFonts w:ascii="楷体_GB2312" w:eastAsia="楷体_GB2312"/>
      <w:kern w:val="2"/>
      <w:sz w:val="28"/>
    </w:rPr>
  </w:style>
  <w:style w:type="paragraph" w:styleId="TOC5">
    <w:name w:val="toc 5"/>
    <w:basedOn w:val="a"/>
    <w:next w:val="a"/>
    <w:semiHidden/>
    <w:pPr>
      <w:ind w:leftChars="800" w:left="1680"/>
    </w:pPr>
  </w:style>
  <w:style w:type="paragraph" w:styleId="TOC3">
    <w:name w:val="toc 3"/>
    <w:basedOn w:val="a"/>
    <w:next w:val="a"/>
    <w:semiHidden/>
    <w:pPr>
      <w:ind w:leftChars="400" w:left="840"/>
    </w:pPr>
  </w:style>
  <w:style w:type="paragraph" w:styleId="ab">
    <w:name w:val="Plain Text"/>
    <w:basedOn w:val="a"/>
    <w:semiHidden/>
    <w:pPr>
      <w:adjustRightInd/>
      <w:spacing w:line="240" w:lineRule="auto"/>
      <w:jc w:val="both"/>
      <w:textAlignment w:val="auto"/>
    </w:pPr>
    <w:rPr>
      <w:rFonts w:ascii="宋体" w:hAnsi="Courier New"/>
      <w:kern w:val="2"/>
      <w:sz w:val="21"/>
    </w:rPr>
  </w:style>
  <w:style w:type="paragraph" w:styleId="TOC8">
    <w:name w:val="toc 8"/>
    <w:basedOn w:val="a"/>
    <w:next w:val="a"/>
    <w:semiHidden/>
    <w:pPr>
      <w:ind w:leftChars="1400" w:left="2940"/>
    </w:pPr>
  </w:style>
  <w:style w:type="paragraph" w:styleId="ac">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d">
    <w:name w:val="Balloon Text"/>
    <w:basedOn w:val="a"/>
    <w:semiHidden/>
    <w:rPr>
      <w:sz w:val="18"/>
      <w:szCs w:val="18"/>
    </w:rPr>
  </w:style>
  <w:style w:type="paragraph" w:styleId="ae">
    <w:name w:val="footer"/>
    <w:basedOn w:val="a"/>
    <w:link w:val="af"/>
    <w:uiPriority w:val="99"/>
    <w:pPr>
      <w:tabs>
        <w:tab w:val="center" w:pos="4153"/>
        <w:tab w:val="right" w:pos="8306"/>
      </w:tabs>
      <w:spacing w:line="240" w:lineRule="atLeast"/>
    </w:pPr>
    <w:rPr>
      <w:sz w:val="18"/>
    </w:rPr>
  </w:style>
  <w:style w:type="character" w:customStyle="1" w:styleId="af">
    <w:name w:val="页脚 字符"/>
    <w:link w:val="ae"/>
    <w:uiPriority w:val="99"/>
    <w:rPr>
      <w:sz w:val="18"/>
    </w:rPr>
  </w:style>
  <w:style w:type="paragraph" w:styleId="af0">
    <w:name w:val="header"/>
    <w:basedOn w:val="a"/>
    <w:link w:val="af1"/>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1">
    <w:name w:val="页眉 字符"/>
    <w:link w:val="af0"/>
    <w:uiPriority w:val="99"/>
    <w:rPr>
      <w:sz w:val="18"/>
    </w:rPr>
  </w:style>
  <w:style w:type="paragraph" w:styleId="TOC1">
    <w:name w:val="toc 1"/>
    <w:basedOn w:val="a"/>
    <w:next w:val="a"/>
    <w:uiPriority w:val="39"/>
    <w:pPr>
      <w:tabs>
        <w:tab w:val="right" w:leader="dot" w:pos="9072"/>
      </w:tabs>
      <w:spacing w:line="360" w:lineRule="auto"/>
    </w:pPr>
    <w:rPr>
      <w:rFonts w:ascii="楷体_GB2312" w:eastAsia="楷体_GB2312"/>
      <w:b/>
      <w:bCs/>
      <w:sz w:val="30"/>
      <w:szCs w:val="30"/>
      <w:lang w:val="en-US" w:eastAsia="zh-CN"/>
    </w:rPr>
  </w:style>
  <w:style w:type="paragraph" w:styleId="TOC4">
    <w:name w:val="toc 4"/>
    <w:basedOn w:val="a"/>
    <w:next w:val="a"/>
    <w:semiHidden/>
    <w:pPr>
      <w:ind w:leftChars="600" w:left="1260"/>
    </w:pPr>
  </w:style>
  <w:style w:type="paragraph" w:styleId="TOC6">
    <w:name w:val="toc 6"/>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TOC2">
    <w:name w:val="toc 2"/>
    <w:basedOn w:val="a"/>
    <w:next w:val="a"/>
    <w:uiPriority w:val="39"/>
    <w:pPr>
      <w:tabs>
        <w:tab w:val="right" w:leader="dot" w:pos="9072"/>
      </w:tabs>
      <w:spacing w:line="360" w:lineRule="auto"/>
      <w:ind w:leftChars="200" w:left="480"/>
    </w:pPr>
    <w:rPr>
      <w:rFonts w:eastAsia="楷体_GB2312"/>
      <w:lang w:val="en-US" w:eastAsia="zh-CN"/>
    </w:rPr>
  </w:style>
  <w:style w:type="paragraph" w:styleId="TOC9">
    <w:name w:val="toc 9"/>
    <w:basedOn w:val="a"/>
    <w:next w:val="a"/>
    <w:semiHidden/>
    <w:pPr>
      <w:ind w:leftChars="1600" w:left="3360"/>
    </w:pPr>
  </w:style>
  <w:style w:type="paragraph" w:styleId="21">
    <w:name w:val="Body Text 2"/>
    <w:basedOn w:val="a"/>
    <w:semiHidden/>
    <w:pPr>
      <w:spacing w:line="360" w:lineRule="auto"/>
      <w:ind w:right="2"/>
    </w:pPr>
    <w:rPr>
      <w:rFonts w:eastAsia="仿宋_GB2312"/>
      <w:sz w:val="28"/>
    </w:rPr>
  </w:style>
  <w:style w:type="paragraph" w:styleId="af2">
    <w:name w:val="Normal (Web)"/>
    <w:basedOn w:val="a"/>
    <w:uiPriority w:val="99"/>
    <w:qFormat/>
    <w:pPr>
      <w:widowControl/>
      <w:adjustRightInd/>
      <w:spacing w:line="360" w:lineRule="auto"/>
      <w:textAlignment w:val="auto"/>
    </w:pPr>
    <w:rPr>
      <w:rFonts w:ascii="宋体" w:hAnsi="宋体"/>
      <w:sz w:val="18"/>
      <w:szCs w:val="18"/>
    </w:rPr>
  </w:style>
  <w:style w:type="paragraph" w:styleId="af3">
    <w:name w:val="annotation subject"/>
    <w:basedOn w:val="a7"/>
    <w:next w:val="a7"/>
    <w:semiHidden/>
    <w:rPr>
      <w:b/>
      <w:bCs/>
    </w:rPr>
  </w:style>
  <w:style w:type="paragraph" w:styleId="af4">
    <w:name w:val="Body Text First Indent"/>
    <w:basedOn w:val="a9"/>
    <w:semiHidden/>
    <w:pPr>
      <w:adjustRightInd/>
      <w:spacing w:after="120" w:line="240" w:lineRule="auto"/>
      <w:ind w:firstLine="420"/>
      <w:jc w:val="both"/>
      <w:textAlignment w:val="auto"/>
    </w:pPr>
    <w:rPr>
      <w:rFonts w:eastAsia="宋体"/>
      <w:kern w:val="2"/>
      <w:sz w:val="21"/>
    </w:rPr>
  </w:style>
  <w:style w:type="table" w:styleId="af5">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6">
    <w:name w:val="Strong"/>
    <w:uiPriority w:val="22"/>
    <w:qFormat/>
    <w:rPr>
      <w:b/>
      <w:bCs/>
    </w:rPr>
  </w:style>
  <w:style w:type="character" w:styleId="af7">
    <w:name w:val="page number"/>
  </w:style>
  <w:style w:type="character" w:styleId="af8">
    <w:name w:val="FollowedHyperlink"/>
    <w:semiHidden/>
    <w:rPr>
      <w:color w:val="800080"/>
      <w:u w:val="single"/>
    </w:rPr>
  </w:style>
  <w:style w:type="character" w:styleId="af9">
    <w:name w:val="Hyperlink"/>
    <w:uiPriority w:val="99"/>
    <w:rPr>
      <w:color w:val="0000FF"/>
      <w:u w:val="single"/>
    </w:rPr>
  </w:style>
  <w:style w:type="character" w:styleId="afa">
    <w:name w:val="annotation reference"/>
    <w:uiPriority w:val="99"/>
    <w:semiHidden/>
    <w:rPr>
      <w:sz w:val="21"/>
      <w:szCs w:val="21"/>
    </w:rPr>
  </w:style>
  <w:style w:type="character" w:customStyle="1" w:styleId="afb">
    <w:name w:val="无间隔 字符"/>
    <w:link w:val="afc"/>
    <w:uiPriority w:val="1"/>
    <w:rPr>
      <w:rFonts w:ascii="Calibri" w:hAnsi="Calibri"/>
      <w:sz w:val="22"/>
      <w:szCs w:val="22"/>
      <w:lang w:bidi="ar-SA"/>
    </w:rPr>
  </w:style>
  <w:style w:type="paragraph" w:styleId="afc">
    <w:name w:val="No Spacing"/>
    <w:link w:val="afb"/>
    <w:uiPriority w:val="1"/>
    <w:qFormat/>
    <w:rPr>
      <w:rFonts w:ascii="Calibri" w:hAnsi="Calibri"/>
      <w:sz w:val="22"/>
      <w:szCs w:val="22"/>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text1">
    <w:name w:val="text1"/>
    <w:rPr>
      <w:spacing w:val="10"/>
      <w:sz w:val="28"/>
      <w:szCs w:val="28"/>
    </w:rPr>
  </w:style>
  <w:style w:type="character" w:customStyle="1" w:styleId="nr1">
    <w:name w:val="nr1"/>
    <w:rPr>
      <w:rFonts w:ascii="楷体_GB2312" w:eastAsia="楷体_GB2312" w:hint="eastAsia"/>
      <w:color w:val="000000"/>
      <w:sz w:val="24"/>
      <w:szCs w:val="24"/>
    </w:rPr>
  </w:style>
  <w:style w:type="character" w:customStyle="1" w:styleId="t12h291">
    <w:name w:val="t12h291"/>
    <w:rPr>
      <w:color w:val="000000"/>
      <w:sz w:val="24"/>
      <w:szCs w:val="24"/>
    </w:rPr>
  </w:style>
  <w:style w:type="character" w:customStyle="1" w:styleId="5Char">
    <w:name w:val="标题 5 Char"/>
    <w:rPr>
      <w:rFonts w:ascii="楷体_GB2312" w:eastAsia="楷体_GB2312"/>
      <w:color w:val="000000"/>
      <w:sz w:val="28"/>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0">
    <w:name w:val="无间隔1"/>
    <w:qFormat/>
    <w:pPr>
      <w:widowControl w:val="0"/>
      <w:jc w:val="both"/>
    </w:pPr>
    <w:rPr>
      <w:rFonts w:ascii="Calibri" w:hAnsi="Calibri"/>
      <w:kern w:val="2"/>
      <w:sz w:val="24"/>
      <w:szCs w:val="22"/>
    </w:rPr>
  </w:style>
  <w:style w:type="paragraph" w:styleId="afd">
    <w:name w:val="List Paragraph"/>
    <w:basedOn w:val="a"/>
    <w:uiPriority w:val="1"/>
    <w:qFormat/>
    <w:pPr>
      <w:ind w:firstLineChars="200" w:firstLine="420"/>
    </w:p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Normal">
    <w:name w:val="Normal"/>
    <w:pPr>
      <w:widowControl w:val="0"/>
      <w:adjustRightInd w:val="0"/>
      <w:spacing w:line="360" w:lineRule="atLeast"/>
      <w:textAlignment w:val="baseline"/>
    </w:pPr>
    <w:rPr>
      <w:rFonts w:ascii="宋体"/>
      <w:sz w:val="34"/>
    </w:rPr>
  </w:style>
  <w:style w:type="paragraph" w:customStyle="1" w:styleId="11">
    <w:name w:val="正文1"/>
    <w:pPr>
      <w:widowControl w:val="0"/>
      <w:adjustRightInd w:val="0"/>
      <w:spacing w:line="360" w:lineRule="atLeast"/>
      <w:jc w:val="center"/>
      <w:textAlignment w:val="baseline"/>
    </w:pPr>
    <w:rPr>
      <w:rFonts w:ascii="宋体"/>
      <w:sz w:val="3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customStyle="1" w:styleId="LO-Normal">
    <w:name w:val="LO-Normal"/>
    <w:qFormat/>
    <w:pPr>
      <w:widowControl w:val="0"/>
      <w:spacing w:line="360" w:lineRule="atLeast"/>
      <w:textAlignment w:val="baseline"/>
    </w:pPr>
    <w:rPr>
      <w:rFonts w:ascii="宋体;SimSun" w:eastAsia="宋体;SimSun" w:hAnsi="宋体;SimSun"/>
      <w:sz w:val="34"/>
    </w:rPr>
  </w:style>
  <w:style w:type="paragraph" w:customStyle="1" w:styleId="22">
    <w:name w:val="正文2"/>
    <w:pPr>
      <w:widowControl w:val="0"/>
      <w:adjustRightInd w:val="0"/>
      <w:spacing w:line="360" w:lineRule="atLeast"/>
      <w:textAlignment w:val="baseline"/>
    </w:pPr>
    <w:rPr>
      <w:rFonts w:ascii="宋体"/>
      <w:sz w:val="34"/>
    </w:rPr>
  </w:style>
  <w:style w:type="paragraph" w:customStyle="1" w:styleId="31">
    <w:name w:val="正文3"/>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x-cp20936"/>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image" Target="media/image2.png"/><Relationship Id="rId34" Type="http://schemas.openxmlformats.org/officeDocument/2006/relationships/image" Target="media/image11.png"/><Relationship Id="rId42" Type="http://schemas.openxmlformats.org/officeDocument/2006/relationships/image" Target="media/image19.png"/><Relationship Id="rId47" Type="http://schemas.microsoft.com/office/2011/relationships/people" Target="peop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header" Target="header7.xml"/><Relationship Id="rId31" Type="http://schemas.openxmlformats.org/officeDocument/2006/relationships/image" Target="media/image8.png"/><Relationship Id="rId44" Type="http://schemas.openxmlformats.org/officeDocument/2006/relationships/footer" Target="footer7.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jpeg"/><Relationship Id="rId48" Type="http://schemas.openxmlformats.org/officeDocument/2006/relationships/theme" Target="theme/theme1.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chart" Target="charts/chart1.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l\cl\&#38108;&#29275;&#38598;&#22242;&#22320;.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crossAx val="380588416"/>
        <c:crosses val="autoZero"/>
        <c:crossBetween val="between"/>
        <c:majorUnit val="500"/>
      </c:valAx>
      <c:valAx>
        <c:axId val="380591488"/>
        <c:scaling>
          <c:orientation val="minMax"/>
          <c:max val="5.000000000000001E-2"/>
          <c:min val="-1.0000000000000002E-2"/>
        </c:scaling>
        <c:delete val="0"/>
        <c:axPos val="r"/>
        <c:numFmt formatCode="0.00%" sourceLinked="1"/>
        <c:majorTickMark val="out"/>
        <c:minorTickMark val="none"/>
        <c:tickLblPos val="nextTo"/>
        <c:crossAx val="380617856"/>
        <c:crosses val="max"/>
        <c:crossBetween val="between"/>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铜牛集团地.dot</Template>
  <TotalTime>1</TotalTime>
  <Pages>69</Pages>
  <Words>7432</Words>
  <Characters>42366</Characters>
  <Application>Microsoft Office Word</Application>
  <DocSecurity>0</DocSecurity>
  <Lines>353</Lines>
  <Paragraphs>99</Paragraphs>
  <ScaleCrop>false</ScaleCrop>
  <Company>Microsoft</Company>
  <LinksUpToDate>false</LinksUpToDate>
  <CharactersWithSpaces>49699</CharactersWithSpaces>
  <SharedDoc>false</SharedDoc>
  <HLinks>
    <vt:vector size="174" baseType="variant">
      <vt:variant>
        <vt:i4>1179705</vt:i4>
      </vt:variant>
      <vt:variant>
        <vt:i4>170</vt:i4>
      </vt:variant>
      <vt:variant>
        <vt:i4>0</vt:i4>
      </vt:variant>
      <vt:variant>
        <vt:i4>5</vt:i4>
      </vt:variant>
      <vt:variant>
        <vt:lpwstr/>
      </vt:variant>
      <vt:variant>
        <vt:lpwstr>_Toc1683</vt:lpwstr>
      </vt:variant>
      <vt:variant>
        <vt:i4>1114160</vt:i4>
      </vt:variant>
      <vt:variant>
        <vt:i4>164</vt:i4>
      </vt:variant>
      <vt:variant>
        <vt:i4>0</vt:i4>
      </vt:variant>
      <vt:variant>
        <vt:i4>5</vt:i4>
      </vt:variant>
      <vt:variant>
        <vt:lpwstr/>
      </vt:variant>
      <vt:variant>
        <vt:lpwstr>_Toc27218</vt:lpwstr>
      </vt:variant>
      <vt:variant>
        <vt:i4>1179696</vt:i4>
      </vt:variant>
      <vt:variant>
        <vt:i4>158</vt:i4>
      </vt:variant>
      <vt:variant>
        <vt:i4>0</vt:i4>
      </vt:variant>
      <vt:variant>
        <vt:i4>5</vt:i4>
      </vt:variant>
      <vt:variant>
        <vt:lpwstr/>
      </vt:variant>
      <vt:variant>
        <vt:lpwstr>_Toc14116</vt:lpwstr>
      </vt:variant>
      <vt:variant>
        <vt:i4>1441850</vt:i4>
      </vt:variant>
      <vt:variant>
        <vt:i4>152</vt:i4>
      </vt:variant>
      <vt:variant>
        <vt:i4>0</vt:i4>
      </vt:variant>
      <vt:variant>
        <vt:i4>5</vt:i4>
      </vt:variant>
      <vt:variant>
        <vt:lpwstr/>
      </vt:variant>
      <vt:variant>
        <vt:lpwstr>_Toc26871</vt:lpwstr>
      </vt:variant>
      <vt:variant>
        <vt:i4>1048631</vt:i4>
      </vt:variant>
      <vt:variant>
        <vt:i4>146</vt:i4>
      </vt:variant>
      <vt:variant>
        <vt:i4>0</vt:i4>
      </vt:variant>
      <vt:variant>
        <vt:i4>5</vt:i4>
      </vt:variant>
      <vt:variant>
        <vt:lpwstr/>
      </vt:variant>
      <vt:variant>
        <vt:lpwstr>_Toc20572</vt:lpwstr>
      </vt:variant>
      <vt:variant>
        <vt:i4>1245237</vt:i4>
      </vt:variant>
      <vt:variant>
        <vt:i4>140</vt:i4>
      </vt:variant>
      <vt:variant>
        <vt:i4>0</vt:i4>
      </vt:variant>
      <vt:variant>
        <vt:i4>5</vt:i4>
      </vt:variant>
      <vt:variant>
        <vt:lpwstr/>
      </vt:variant>
      <vt:variant>
        <vt:lpwstr>_Toc16429</vt:lpwstr>
      </vt:variant>
      <vt:variant>
        <vt:i4>1179698</vt:i4>
      </vt:variant>
      <vt:variant>
        <vt:i4>134</vt:i4>
      </vt:variant>
      <vt:variant>
        <vt:i4>0</vt:i4>
      </vt:variant>
      <vt:variant>
        <vt:i4>5</vt:i4>
      </vt:variant>
      <vt:variant>
        <vt:lpwstr/>
      </vt:variant>
      <vt:variant>
        <vt:lpwstr>_Toc14311</vt:lpwstr>
      </vt:variant>
      <vt:variant>
        <vt:i4>1245237</vt:i4>
      </vt:variant>
      <vt:variant>
        <vt:i4>128</vt:i4>
      </vt:variant>
      <vt:variant>
        <vt:i4>0</vt:i4>
      </vt:variant>
      <vt:variant>
        <vt:i4>5</vt:i4>
      </vt:variant>
      <vt:variant>
        <vt:lpwstr/>
      </vt:variant>
      <vt:variant>
        <vt:lpwstr>_Toc17437</vt:lpwstr>
      </vt:variant>
      <vt:variant>
        <vt:i4>2031664</vt:i4>
      </vt:variant>
      <vt:variant>
        <vt:i4>122</vt:i4>
      </vt:variant>
      <vt:variant>
        <vt:i4>0</vt:i4>
      </vt:variant>
      <vt:variant>
        <vt:i4>5</vt:i4>
      </vt:variant>
      <vt:variant>
        <vt:lpwstr/>
      </vt:variant>
      <vt:variant>
        <vt:lpwstr>_Toc6068</vt:lpwstr>
      </vt:variant>
      <vt:variant>
        <vt:i4>1507377</vt:i4>
      </vt:variant>
      <vt:variant>
        <vt:i4>116</vt:i4>
      </vt:variant>
      <vt:variant>
        <vt:i4>0</vt:i4>
      </vt:variant>
      <vt:variant>
        <vt:i4>5</vt:i4>
      </vt:variant>
      <vt:variant>
        <vt:lpwstr/>
      </vt:variant>
      <vt:variant>
        <vt:lpwstr>_Toc11012</vt:lpwstr>
      </vt:variant>
      <vt:variant>
        <vt:i4>1572917</vt:i4>
      </vt:variant>
      <vt:variant>
        <vt:i4>110</vt:i4>
      </vt:variant>
      <vt:variant>
        <vt:i4>0</vt:i4>
      </vt:variant>
      <vt:variant>
        <vt:i4>5</vt:i4>
      </vt:variant>
      <vt:variant>
        <vt:lpwstr/>
      </vt:variant>
      <vt:variant>
        <vt:lpwstr>_Toc29767</vt:lpwstr>
      </vt:variant>
      <vt:variant>
        <vt:i4>1376310</vt:i4>
      </vt:variant>
      <vt:variant>
        <vt:i4>104</vt:i4>
      </vt:variant>
      <vt:variant>
        <vt:i4>0</vt:i4>
      </vt:variant>
      <vt:variant>
        <vt:i4>5</vt:i4>
      </vt:variant>
      <vt:variant>
        <vt:lpwstr/>
      </vt:variant>
      <vt:variant>
        <vt:lpwstr>_Toc5537</vt:lpwstr>
      </vt:variant>
      <vt:variant>
        <vt:i4>1310774</vt:i4>
      </vt:variant>
      <vt:variant>
        <vt:i4>98</vt:i4>
      </vt:variant>
      <vt:variant>
        <vt:i4>0</vt:i4>
      </vt:variant>
      <vt:variant>
        <vt:i4>5</vt:i4>
      </vt:variant>
      <vt:variant>
        <vt:lpwstr/>
      </vt:variant>
      <vt:variant>
        <vt:lpwstr>_Toc5734</vt:lpwstr>
      </vt:variant>
      <vt:variant>
        <vt:i4>1769522</vt:i4>
      </vt:variant>
      <vt:variant>
        <vt:i4>92</vt:i4>
      </vt:variant>
      <vt:variant>
        <vt:i4>0</vt:i4>
      </vt:variant>
      <vt:variant>
        <vt:i4>5</vt:i4>
      </vt:variant>
      <vt:variant>
        <vt:lpwstr/>
      </vt:variant>
      <vt:variant>
        <vt:lpwstr>_Toc7458</vt:lpwstr>
      </vt:variant>
      <vt:variant>
        <vt:i4>1245233</vt:i4>
      </vt:variant>
      <vt:variant>
        <vt:i4>86</vt:i4>
      </vt:variant>
      <vt:variant>
        <vt:i4>0</vt:i4>
      </vt:variant>
      <vt:variant>
        <vt:i4>5</vt:i4>
      </vt:variant>
      <vt:variant>
        <vt:lpwstr/>
      </vt:variant>
      <vt:variant>
        <vt:lpwstr>_Toc1105</vt:lpwstr>
      </vt:variant>
      <vt:variant>
        <vt:i4>1835057</vt:i4>
      </vt:variant>
      <vt:variant>
        <vt:i4>80</vt:i4>
      </vt:variant>
      <vt:variant>
        <vt:i4>0</vt:i4>
      </vt:variant>
      <vt:variant>
        <vt:i4>5</vt:i4>
      </vt:variant>
      <vt:variant>
        <vt:lpwstr/>
      </vt:variant>
      <vt:variant>
        <vt:lpwstr>_Toc29328</vt:lpwstr>
      </vt:variant>
      <vt:variant>
        <vt:i4>1114165</vt:i4>
      </vt:variant>
      <vt:variant>
        <vt:i4>74</vt:i4>
      </vt:variant>
      <vt:variant>
        <vt:i4>0</vt:i4>
      </vt:variant>
      <vt:variant>
        <vt:i4>5</vt:i4>
      </vt:variant>
      <vt:variant>
        <vt:lpwstr/>
      </vt:variant>
      <vt:variant>
        <vt:lpwstr>_Toc31679</vt:lpwstr>
      </vt:variant>
      <vt:variant>
        <vt:i4>1703991</vt:i4>
      </vt:variant>
      <vt:variant>
        <vt:i4>68</vt:i4>
      </vt:variant>
      <vt:variant>
        <vt:i4>0</vt:i4>
      </vt:variant>
      <vt:variant>
        <vt:i4>5</vt:i4>
      </vt:variant>
      <vt:variant>
        <vt:lpwstr/>
      </vt:variant>
      <vt:variant>
        <vt:lpwstr>_Toc2558</vt:lpwstr>
      </vt:variant>
      <vt:variant>
        <vt:i4>1769527</vt:i4>
      </vt:variant>
      <vt:variant>
        <vt:i4>62</vt:i4>
      </vt:variant>
      <vt:variant>
        <vt:i4>0</vt:i4>
      </vt:variant>
      <vt:variant>
        <vt:i4>5</vt:i4>
      </vt:variant>
      <vt:variant>
        <vt:lpwstr/>
      </vt:variant>
      <vt:variant>
        <vt:lpwstr>_Toc14680</vt:lpwstr>
      </vt:variant>
      <vt:variant>
        <vt:i4>1835062</vt:i4>
      </vt:variant>
      <vt:variant>
        <vt:i4>56</vt:i4>
      </vt:variant>
      <vt:variant>
        <vt:i4>0</vt:i4>
      </vt:variant>
      <vt:variant>
        <vt:i4>5</vt:i4>
      </vt:variant>
      <vt:variant>
        <vt:lpwstr/>
      </vt:variant>
      <vt:variant>
        <vt:lpwstr>_Toc22494</vt:lpwstr>
      </vt:variant>
      <vt:variant>
        <vt:i4>1507376</vt:i4>
      </vt:variant>
      <vt:variant>
        <vt:i4>50</vt:i4>
      </vt:variant>
      <vt:variant>
        <vt:i4>0</vt:i4>
      </vt:variant>
      <vt:variant>
        <vt:i4>5</vt:i4>
      </vt:variant>
      <vt:variant>
        <vt:lpwstr/>
      </vt:variant>
      <vt:variant>
        <vt:lpwstr>_Toc11111</vt:lpwstr>
      </vt:variant>
      <vt:variant>
        <vt:i4>1245243</vt:i4>
      </vt:variant>
      <vt:variant>
        <vt:i4>44</vt:i4>
      </vt:variant>
      <vt:variant>
        <vt:i4>0</vt:i4>
      </vt:variant>
      <vt:variant>
        <vt:i4>5</vt:i4>
      </vt:variant>
      <vt:variant>
        <vt:lpwstr/>
      </vt:variant>
      <vt:variant>
        <vt:lpwstr>_Toc24901</vt:lpwstr>
      </vt:variant>
      <vt:variant>
        <vt:i4>1376311</vt:i4>
      </vt:variant>
      <vt:variant>
        <vt:i4>38</vt:i4>
      </vt:variant>
      <vt:variant>
        <vt:i4>0</vt:i4>
      </vt:variant>
      <vt:variant>
        <vt:i4>5</vt:i4>
      </vt:variant>
      <vt:variant>
        <vt:lpwstr/>
      </vt:variant>
      <vt:variant>
        <vt:lpwstr>_Toc17650</vt:lpwstr>
      </vt:variant>
      <vt:variant>
        <vt:i4>1114167</vt:i4>
      </vt:variant>
      <vt:variant>
        <vt:i4>32</vt:i4>
      </vt:variant>
      <vt:variant>
        <vt:i4>0</vt:i4>
      </vt:variant>
      <vt:variant>
        <vt:i4>5</vt:i4>
      </vt:variant>
      <vt:variant>
        <vt:lpwstr/>
      </vt:variant>
      <vt:variant>
        <vt:lpwstr>_Toc22547</vt:lpwstr>
      </vt:variant>
      <vt:variant>
        <vt:i4>1114161</vt:i4>
      </vt:variant>
      <vt:variant>
        <vt:i4>26</vt:i4>
      </vt:variant>
      <vt:variant>
        <vt:i4>0</vt:i4>
      </vt:variant>
      <vt:variant>
        <vt:i4>5</vt:i4>
      </vt:variant>
      <vt:variant>
        <vt:lpwstr/>
      </vt:variant>
      <vt:variant>
        <vt:lpwstr>_Toc21377</vt:lpwstr>
      </vt:variant>
      <vt:variant>
        <vt:i4>1179704</vt:i4>
      </vt:variant>
      <vt:variant>
        <vt:i4>20</vt:i4>
      </vt:variant>
      <vt:variant>
        <vt:i4>0</vt:i4>
      </vt:variant>
      <vt:variant>
        <vt:i4>5</vt:i4>
      </vt:variant>
      <vt:variant>
        <vt:lpwstr/>
      </vt:variant>
      <vt:variant>
        <vt:lpwstr>_Toc16935</vt:lpwstr>
      </vt:variant>
      <vt:variant>
        <vt:i4>1572918</vt:i4>
      </vt:variant>
      <vt:variant>
        <vt:i4>14</vt:i4>
      </vt:variant>
      <vt:variant>
        <vt:i4>0</vt:i4>
      </vt:variant>
      <vt:variant>
        <vt:i4>5</vt:i4>
      </vt:variant>
      <vt:variant>
        <vt:lpwstr/>
      </vt:variant>
      <vt:variant>
        <vt:lpwstr>_Toc19765</vt:lpwstr>
      </vt:variant>
      <vt:variant>
        <vt:i4>1048624</vt:i4>
      </vt:variant>
      <vt:variant>
        <vt:i4>8</vt:i4>
      </vt:variant>
      <vt:variant>
        <vt:i4>0</vt:i4>
      </vt:variant>
      <vt:variant>
        <vt:i4>5</vt:i4>
      </vt:variant>
      <vt:variant>
        <vt:lpwstr/>
      </vt:variant>
      <vt:variant>
        <vt:lpwstr>_Toc20279</vt:lpwstr>
      </vt:variant>
      <vt:variant>
        <vt:i4>1507378</vt:i4>
      </vt:variant>
      <vt:variant>
        <vt:i4>2</vt:i4>
      </vt:variant>
      <vt:variant>
        <vt:i4>0</vt:i4>
      </vt:variant>
      <vt:variant>
        <vt:i4>5</vt:i4>
      </vt:variant>
      <vt:variant>
        <vt:lpwstr/>
      </vt:variant>
      <vt:variant>
        <vt:lpwstr>_Toc22020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皓源 许</cp:lastModifiedBy>
  <cp:revision>2</cp:revision>
  <cp:lastPrinted>2022-08-02T08:20:00Z</cp:lastPrinted>
  <dcterms:created xsi:type="dcterms:W3CDTF">2025-10-30T03:58:00Z</dcterms:created>
  <dcterms:modified xsi:type="dcterms:W3CDTF">2025-10-30T03:58:00Z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KSOTemplateDocerSaveRecord">
    <vt:lpwstr>eyJoZGlkIjoiOTcwMTMwZTgwZjBhOWY5ZDIzMzA3YjZmYWI3ZGQ5NjUiLCJ1c2VySWQiOiIyMDkxMDc5NzUifQ==</vt:lpwstr>
  </property>
  <property fmtid="{D5CDD505-2E9C-101B-9397-08002B2CF9AE}" pid="4" name="ICV">
    <vt:lpwstr>04DBECAC60D540CBAE8827FD68DF2BA5_12</vt:lpwstr>
  </property>
</Properties>
</file>