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0"/>
          <w:szCs w:val="30"/>
        </w:rPr>
      </w:pPr>
      <w:r>
        <w:rPr>
          <w:rFonts w:hint="eastAsia"/>
          <w:b/>
          <w:sz w:val="30"/>
          <w:szCs w:val="30"/>
        </w:rPr>
        <w:t>监管项目收费申请书</w:t>
      </w:r>
    </w:p>
    <w:p/>
    <w:p>
      <w:pPr>
        <w:spacing w:line="300" w:lineRule="auto"/>
        <w:rPr>
          <w:rFonts w:asciiTheme="minorEastAsia" w:hAnsiTheme="minorEastAsia"/>
          <w:b/>
          <w:sz w:val="24"/>
          <w:szCs w:val="24"/>
        </w:rPr>
      </w:pPr>
      <w:r>
        <w:rPr>
          <w:rFonts w:hint="eastAsia" w:asciiTheme="minorEastAsia" w:hAnsiTheme="minorEastAsia"/>
          <w:b/>
          <w:sz w:val="24"/>
          <w:szCs w:val="24"/>
          <w:lang w:val="en-US" w:eastAsia="zh-CN"/>
        </w:rPr>
        <w:t>光大兴陇信托有限责任公司</w:t>
      </w:r>
      <w:r>
        <w:rPr>
          <w:rFonts w:hint="eastAsia" w:asciiTheme="minorEastAsia" w:hAnsiTheme="minorEastAsia"/>
          <w:b/>
          <w:sz w:val="24"/>
          <w:szCs w:val="24"/>
        </w:rPr>
        <w:t>：</w:t>
      </w:r>
    </w:p>
    <w:p>
      <w:pPr>
        <w:spacing w:line="480" w:lineRule="auto"/>
        <w:ind w:firstLine="540" w:firstLineChars="225"/>
        <w:rPr>
          <w:rFonts w:cs="Arial" w:asciiTheme="minorEastAsia" w:hAnsiTheme="minorEastAsia"/>
          <w:sz w:val="24"/>
          <w:szCs w:val="24"/>
        </w:rPr>
      </w:pPr>
      <w:r>
        <w:rPr>
          <w:rFonts w:cs="Arial" w:asciiTheme="minorEastAsia" w:hAnsiTheme="minorEastAsia"/>
          <w:sz w:val="24"/>
          <w:szCs w:val="24"/>
        </w:rPr>
        <w:t>我司于20</w:t>
      </w:r>
      <w:r>
        <w:rPr>
          <w:rFonts w:hint="eastAsia" w:cs="Arial" w:asciiTheme="minorEastAsia" w:hAnsiTheme="minorEastAsia"/>
          <w:sz w:val="24"/>
          <w:szCs w:val="24"/>
          <w:lang w:val="en-US" w:eastAsia="zh-CN"/>
        </w:rPr>
        <w:t>20</w:t>
      </w:r>
      <w:r>
        <w:rPr>
          <w:rFonts w:cs="Arial" w:asciiTheme="minorEastAsia" w:hAnsiTheme="minorEastAsia"/>
          <w:sz w:val="24"/>
          <w:szCs w:val="24"/>
        </w:rPr>
        <w:t>年</w:t>
      </w:r>
      <w:r>
        <w:rPr>
          <w:rFonts w:hint="eastAsia" w:cs="Arial" w:asciiTheme="minorEastAsia" w:hAnsiTheme="minorEastAsia"/>
          <w:sz w:val="24"/>
          <w:szCs w:val="24"/>
        </w:rPr>
        <w:t>与贵公司签订了</w:t>
      </w:r>
      <w:r>
        <w:rPr>
          <w:rFonts w:hint="eastAsia" w:cs="Arial" w:asciiTheme="minorEastAsia" w:hAnsiTheme="minorEastAsia"/>
          <w:sz w:val="24"/>
          <w:szCs w:val="24"/>
          <w:lang w:eastAsia="zh-CN"/>
        </w:rPr>
        <w:t>《</w:t>
      </w:r>
      <w:r>
        <w:rPr>
          <w:rFonts w:hint="eastAsia" w:cs="Arial" w:asciiTheme="minorEastAsia" w:hAnsiTheme="minorEastAsia"/>
          <w:sz w:val="24"/>
          <w:szCs w:val="24"/>
        </w:rPr>
        <w:t>光信·光坤·新安21号集合资金信托计划</w:t>
      </w:r>
      <w:r>
        <w:rPr>
          <w:rFonts w:hint="eastAsia" w:cs="Arial" w:asciiTheme="minorEastAsia" w:hAnsiTheme="minorEastAsia"/>
          <w:sz w:val="24"/>
          <w:szCs w:val="24"/>
          <w:lang w:val="en-US" w:eastAsia="zh-CN"/>
        </w:rPr>
        <w:t>之项目监管协议》、</w:t>
      </w:r>
      <w:r>
        <w:rPr>
          <w:rFonts w:hint="eastAsia" w:cs="Arial" w:asciiTheme="minorEastAsia" w:hAnsiTheme="minorEastAsia"/>
          <w:sz w:val="24"/>
          <w:szCs w:val="24"/>
          <w:lang w:eastAsia="zh-CN"/>
        </w:rPr>
        <w:t>《</w:t>
      </w:r>
      <w:r>
        <w:rPr>
          <w:rFonts w:hint="eastAsia" w:cs="Arial" w:asciiTheme="minorEastAsia" w:hAnsiTheme="minorEastAsia"/>
          <w:sz w:val="24"/>
          <w:szCs w:val="24"/>
          <w:lang w:val="en-US" w:eastAsia="zh-CN"/>
        </w:rPr>
        <w:t>光信·光乾·新安34号集合资金项目监管服务协议》</w:t>
      </w:r>
      <w:r>
        <w:rPr>
          <w:rFonts w:hint="eastAsia" w:cs="Arial" w:asciiTheme="minorEastAsia" w:hAnsiTheme="minorEastAsia"/>
          <w:sz w:val="24"/>
          <w:szCs w:val="24"/>
        </w:rPr>
        <w:t>。根据贵公司需求,我公司于20</w:t>
      </w:r>
      <w:r>
        <w:rPr>
          <w:rFonts w:hint="eastAsia" w:cs="Arial" w:asciiTheme="minorEastAsia" w:hAnsiTheme="minorEastAsia"/>
          <w:sz w:val="24"/>
          <w:szCs w:val="24"/>
          <w:lang w:val="en-US" w:eastAsia="zh-CN"/>
        </w:rPr>
        <w:t>20</w:t>
      </w:r>
      <w:r>
        <w:rPr>
          <w:rFonts w:hint="eastAsia" w:cs="Arial" w:asciiTheme="minorEastAsia" w:hAnsiTheme="minorEastAsia"/>
          <w:sz w:val="24"/>
          <w:szCs w:val="24"/>
        </w:rPr>
        <w:t>年</w:t>
      </w:r>
      <w:r>
        <w:rPr>
          <w:rFonts w:hint="eastAsia" w:cs="Arial" w:asciiTheme="minorEastAsia" w:hAnsiTheme="minorEastAsia"/>
          <w:sz w:val="24"/>
          <w:szCs w:val="24"/>
          <w:lang w:val="en-US" w:eastAsia="zh-CN"/>
        </w:rPr>
        <w:t>10</w:t>
      </w:r>
      <w:r>
        <w:rPr>
          <w:rFonts w:hint="eastAsia" w:cs="Arial" w:asciiTheme="minorEastAsia" w:hAnsiTheme="minorEastAsia"/>
          <w:sz w:val="24"/>
          <w:szCs w:val="24"/>
        </w:rPr>
        <w:t>月</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日对“</w:t>
      </w:r>
      <w:r>
        <w:rPr>
          <w:rFonts w:hint="eastAsia" w:cs="Arial" w:asciiTheme="minorEastAsia" w:hAnsiTheme="minorEastAsia"/>
          <w:sz w:val="24"/>
          <w:szCs w:val="24"/>
          <w:lang w:val="en-US" w:eastAsia="zh-CN"/>
        </w:rPr>
        <w:t>重庆恒大锦城”</w:t>
      </w:r>
      <w:r>
        <w:rPr>
          <w:rFonts w:hint="eastAsia" w:cs="Arial" w:asciiTheme="minorEastAsia" w:hAnsiTheme="minorEastAsia"/>
          <w:sz w:val="24"/>
          <w:szCs w:val="24"/>
        </w:rPr>
        <w:t>项目</w:t>
      </w:r>
      <w:r>
        <w:rPr>
          <w:rFonts w:hint="eastAsia" w:cs="Arial" w:asciiTheme="minorEastAsia" w:hAnsiTheme="minorEastAsia"/>
          <w:sz w:val="24"/>
          <w:szCs w:val="24"/>
          <w:lang w:eastAsia="zh-CN"/>
        </w:rPr>
        <w:t>、</w:t>
      </w:r>
      <w:r>
        <w:rPr>
          <w:rFonts w:hint="eastAsia" w:cs="Arial" w:asciiTheme="minorEastAsia" w:hAnsiTheme="minorEastAsia"/>
          <w:sz w:val="24"/>
          <w:szCs w:val="24"/>
          <w:lang w:val="en-US" w:eastAsia="zh-CN"/>
        </w:rPr>
        <w:t>2021年3月17日对“重庆璧山项目”各</w:t>
      </w:r>
      <w:r>
        <w:rPr>
          <w:rFonts w:hint="eastAsia" w:cs="Arial" w:asciiTheme="minorEastAsia" w:hAnsiTheme="minorEastAsia"/>
          <w:sz w:val="24"/>
          <w:szCs w:val="24"/>
        </w:rPr>
        <w:t>提供1名驻派人员进驻现场开始工作。</w:t>
      </w:r>
    </w:p>
    <w:p>
      <w:pPr>
        <w:spacing w:line="480" w:lineRule="auto"/>
        <w:ind w:firstLine="540" w:firstLineChars="225"/>
        <w:rPr>
          <w:rFonts w:cs="Arial" w:asciiTheme="minorEastAsia" w:hAnsiTheme="minorEastAsia"/>
          <w:sz w:val="24"/>
          <w:szCs w:val="24"/>
        </w:rPr>
      </w:pPr>
      <w:r>
        <w:rPr>
          <w:rFonts w:hint="eastAsia" w:cs="Arial" w:asciiTheme="minorEastAsia" w:hAnsiTheme="minorEastAsia"/>
          <w:sz w:val="24"/>
          <w:szCs w:val="24"/>
        </w:rPr>
        <w:t>应贵司要求</w:t>
      </w:r>
      <w:r>
        <w:rPr>
          <w:rFonts w:hint="eastAsia" w:cs="Arial" w:asciiTheme="minorEastAsia" w:hAnsiTheme="minorEastAsia"/>
          <w:sz w:val="24"/>
          <w:szCs w:val="24"/>
          <w:lang w:eastAsia="zh-CN"/>
        </w:rPr>
        <w:t>“</w:t>
      </w:r>
      <w:r>
        <w:rPr>
          <w:rFonts w:hint="eastAsia" w:cs="Arial" w:asciiTheme="minorEastAsia" w:hAnsiTheme="minorEastAsia"/>
          <w:sz w:val="24"/>
          <w:szCs w:val="24"/>
        </w:rPr>
        <w:t>新安21号</w:t>
      </w:r>
      <w:r>
        <w:rPr>
          <w:rFonts w:hint="eastAsia" w:cs="Arial" w:asciiTheme="minorEastAsia" w:hAnsiTheme="minorEastAsia"/>
          <w:sz w:val="24"/>
          <w:szCs w:val="24"/>
          <w:lang w:eastAsia="zh-CN"/>
        </w:rPr>
        <w:t>项目”</w:t>
      </w:r>
      <w:r>
        <w:rPr>
          <w:rFonts w:hint="eastAsia" w:cs="Arial" w:asciiTheme="minorEastAsia" w:hAnsiTheme="minorEastAsia"/>
          <w:sz w:val="24"/>
          <w:szCs w:val="24"/>
        </w:rPr>
        <w:t>我司于202</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年</w:t>
      </w:r>
      <w:r>
        <w:rPr>
          <w:rFonts w:hint="eastAsia" w:cs="Arial" w:asciiTheme="minorEastAsia" w:hAnsiTheme="minorEastAsia"/>
          <w:sz w:val="24"/>
          <w:szCs w:val="24"/>
          <w:lang w:val="en-US" w:eastAsia="zh-CN"/>
        </w:rPr>
        <w:t>5</w:t>
      </w:r>
      <w:r>
        <w:rPr>
          <w:rFonts w:hint="eastAsia" w:cs="Arial" w:asciiTheme="minorEastAsia" w:hAnsiTheme="minorEastAsia"/>
          <w:sz w:val="24"/>
          <w:szCs w:val="24"/>
        </w:rPr>
        <w:t>月2</w:t>
      </w:r>
      <w:r>
        <w:rPr>
          <w:rFonts w:hint="eastAsia" w:cs="Arial" w:asciiTheme="minorEastAsia" w:hAnsiTheme="minorEastAsia"/>
          <w:sz w:val="24"/>
          <w:szCs w:val="24"/>
          <w:lang w:val="en-US" w:eastAsia="zh-CN"/>
        </w:rPr>
        <w:t>4</w:t>
      </w:r>
      <w:r>
        <w:rPr>
          <w:rFonts w:hint="eastAsia" w:cs="Arial" w:asciiTheme="minorEastAsia" w:hAnsiTheme="minorEastAsia"/>
          <w:sz w:val="24"/>
          <w:szCs w:val="24"/>
        </w:rPr>
        <w:t>日完成共管物品移交并撤场工作，本次结费期限为202</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年</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月</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日至202</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年</w:t>
      </w:r>
      <w:r>
        <w:rPr>
          <w:rFonts w:hint="eastAsia" w:cs="Arial" w:asciiTheme="minorEastAsia" w:hAnsiTheme="minorEastAsia"/>
          <w:sz w:val="24"/>
          <w:szCs w:val="24"/>
          <w:lang w:val="en-US" w:eastAsia="zh-CN"/>
        </w:rPr>
        <w:t>6</w:t>
      </w:r>
      <w:r>
        <w:rPr>
          <w:rFonts w:hint="eastAsia" w:cs="Arial" w:asciiTheme="minorEastAsia" w:hAnsiTheme="minorEastAsia"/>
          <w:sz w:val="24"/>
          <w:szCs w:val="24"/>
        </w:rPr>
        <w:t>月</w:t>
      </w:r>
      <w:r>
        <w:rPr>
          <w:rFonts w:hint="eastAsia" w:cs="Arial" w:asciiTheme="minorEastAsia" w:hAnsiTheme="minorEastAsia"/>
          <w:sz w:val="24"/>
          <w:szCs w:val="24"/>
          <w:lang w:val="en-US" w:eastAsia="zh-CN"/>
        </w:rPr>
        <w:t>30</w:t>
      </w:r>
      <w:r>
        <w:rPr>
          <w:rFonts w:hint="eastAsia" w:cs="Arial" w:asciiTheme="minorEastAsia" w:hAnsiTheme="minorEastAsia"/>
          <w:sz w:val="24"/>
          <w:szCs w:val="24"/>
        </w:rPr>
        <w:t>日，为贵公司该项目服务期为</w:t>
      </w:r>
      <w:r>
        <w:rPr>
          <w:rFonts w:hint="eastAsia" w:cs="Arial" w:asciiTheme="minorEastAsia" w:hAnsiTheme="minorEastAsia"/>
          <w:sz w:val="24"/>
          <w:szCs w:val="24"/>
          <w:lang w:val="en-US" w:eastAsia="zh-CN"/>
        </w:rPr>
        <w:t>6个月</w:t>
      </w:r>
      <w:r>
        <w:rPr>
          <w:rFonts w:hint="eastAsia" w:cs="Arial" w:asciiTheme="minorEastAsia" w:hAnsiTheme="minorEastAsia"/>
          <w:sz w:val="24"/>
          <w:szCs w:val="24"/>
        </w:rPr>
        <w:t>。根据我公司与贵公司监管合同中监管服务协议约定阶段监管服务费计算如下：</w:t>
      </w:r>
    </w:p>
    <w:p>
      <w:pPr>
        <w:spacing w:line="480" w:lineRule="auto"/>
        <w:rPr>
          <w:rFonts w:cs="Arial" w:asciiTheme="minorEastAsia" w:hAnsiTheme="minorEastAsia"/>
          <w:sz w:val="24"/>
          <w:szCs w:val="24"/>
        </w:rPr>
      </w:pPr>
      <w:r>
        <w:rPr>
          <w:rFonts w:hint="eastAsia" w:cs="Arial" w:asciiTheme="minorEastAsia" w:hAnsiTheme="minorEastAsia"/>
          <w:sz w:val="24"/>
          <w:szCs w:val="24"/>
        </w:rPr>
        <w:t>合同中约定一名驻场人员:</w:t>
      </w:r>
      <w:r>
        <w:rPr>
          <w:rFonts w:hint="eastAsia" w:cs="Arial" w:asciiTheme="minorEastAsia" w:hAnsiTheme="minorEastAsia"/>
          <w:sz w:val="24"/>
          <w:szCs w:val="24"/>
          <w:lang w:val="en-US" w:eastAsia="zh-CN"/>
        </w:rPr>
        <w:t>60</w:t>
      </w:r>
      <w:r>
        <w:rPr>
          <w:rFonts w:hint="eastAsia" w:cs="Arial" w:asciiTheme="minorEastAsia" w:hAnsiTheme="minorEastAsia"/>
          <w:sz w:val="24"/>
          <w:szCs w:val="24"/>
        </w:rPr>
        <w:t>万/年 ；</w:t>
      </w:r>
      <w:r>
        <w:rPr>
          <w:rFonts w:hint="eastAsia" w:cs="Arial" w:asciiTheme="minorEastAsia" w:hAnsiTheme="minorEastAsia"/>
          <w:sz w:val="24"/>
          <w:szCs w:val="24"/>
          <w:lang w:val="en-US" w:eastAsia="zh-CN"/>
        </w:rPr>
        <w:t>5万</w:t>
      </w:r>
      <w:r>
        <w:rPr>
          <w:rFonts w:hint="eastAsia" w:cs="Arial" w:asciiTheme="minorEastAsia" w:hAnsiTheme="minorEastAsia"/>
          <w:sz w:val="24"/>
          <w:szCs w:val="24"/>
        </w:rPr>
        <w:t>元/</w:t>
      </w:r>
      <w:r>
        <w:rPr>
          <w:rFonts w:hint="eastAsia" w:cs="Arial" w:asciiTheme="minorEastAsia" w:hAnsiTheme="minorEastAsia"/>
          <w:sz w:val="24"/>
          <w:szCs w:val="24"/>
          <w:lang w:val="en-US" w:eastAsia="zh-CN"/>
        </w:rPr>
        <w:t>月</w:t>
      </w:r>
      <w:r>
        <w:rPr>
          <w:rFonts w:hint="eastAsia" w:cs="Arial" w:asciiTheme="minorEastAsia" w:hAnsiTheme="minorEastAsia"/>
          <w:sz w:val="24"/>
          <w:szCs w:val="24"/>
        </w:rPr>
        <w:t>。</w:t>
      </w:r>
    </w:p>
    <w:p>
      <w:pPr>
        <w:spacing w:line="480" w:lineRule="auto"/>
        <w:ind w:firstLine="480" w:firstLineChars="200"/>
        <w:rPr>
          <w:rFonts w:cs="Arial" w:asciiTheme="minorEastAsia" w:hAnsiTheme="minorEastAsia"/>
          <w:sz w:val="24"/>
          <w:szCs w:val="24"/>
        </w:rPr>
      </w:pPr>
      <w:r>
        <w:rPr>
          <w:rFonts w:hint="eastAsia" w:cs="Arial" w:asciiTheme="minorEastAsia" w:hAnsiTheme="minorEastAsia"/>
          <w:sz w:val="24"/>
          <w:szCs w:val="24"/>
        </w:rPr>
        <w:t>截至202</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年</w:t>
      </w:r>
      <w:r>
        <w:rPr>
          <w:rFonts w:hint="eastAsia" w:cs="Arial" w:asciiTheme="minorEastAsia" w:hAnsiTheme="minorEastAsia"/>
          <w:sz w:val="24"/>
          <w:szCs w:val="24"/>
          <w:lang w:val="en-US" w:eastAsia="zh-CN"/>
        </w:rPr>
        <w:t>6</w:t>
      </w:r>
      <w:r>
        <w:rPr>
          <w:rFonts w:hint="eastAsia" w:cs="Arial" w:asciiTheme="minorEastAsia" w:hAnsiTheme="minorEastAsia"/>
          <w:sz w:val="24"/>
          <w:szCs w:val="24"/>
        </w:rPr>
        <w:t>月</w:t>
      </w:r>
      <w:r>
        <w:rPr>
          <w:rFonts w:hint="eastAsia" w:cs="Arial" w:asciiTheme="minorEastAsia" w:hAnsiTheme="minorEastAsia"/>
          <w:sz w:val="24"/>
          <w:szCs w:val="24"/>
          <w:lang w:val="en-US" w:eastAsia="zh-CN"/>
        </w:rPr>
        <w:t>30</w:t>
      </w:r>
      <w:r>
        <w:rPr>
          <w:rFonts w:hint="eastAsia" w:cs="Arial" w:asciiTheme="minorEastAsia" w:hAnsiTheme="minorEastAsia"/>
          <w:sz w:val="24"/>
          <w:szCs w:val="24"/>
        </w:rPr>
        <w:t xml:space="preserve">日应结算的服务费用为: </w:t>
      </w:r>
    </w:p>
    <w:p>
      <w:pPr>
        <w:spacing w:line="480" w:lineRule="auto"/>
        <w:ind w:firstLine="420" w:firstLineChars="175"/>
        <w:rPr>
          <w:rFonts w:cs="Arial" w:asciiTheme="minorEastAsia" w:hAnsiTheme="minorEastAsia"/>
          <w:sz w:val="24"/>
          <w:szCs w:val="24"/>
        </w:rPr>
      </w:pPr>
      <w:r>
        <w:rPr>
          <w:rFonts w:hint="eastAsia" w:cs="Arial" w:asciiTheme="minorEastAsia" w:hAnsiTheme="minorEastAsia"/>
          <w:sz w:val="24"/>
          <w:szCs w:val="24"/>
          <w:lang w:val="en-US" w:eastAsia="zh-CN"/>
        </w:rPr>
        <w:t>5万</w:t>
      </w:r>
      <w:r>
        <w:rPr>
          <w:rFonts w:hint="eastAsia" w:cs="Arial" w:asciiTheme="minorEastAsia" w:hAnsiTheme="minorEastAsia"/>
          <w:sz w:val="24"/>
          <w:szCs w:val="24"/>
        </w:rPr>
        <w:t>元/</w:t>
      </w:r>
      <w:r>
        <w:rPr>
          <w:rFonts w:hint="eastAsia" w:cs="Arial" w:asciiTheme="minorEastAsia" w:hAnsiTheme="minorEastAsia"/>
          <w:sz w:val="24"/>
          <w:szCs w:val="24"/>
          <w:lang w:val="en-US" w:eastAsia="zh-CN"/>
        </w:rPr>
        <w:t>月</w:t>
      </w:r>
      <w:r>
        <w:rPr>
          <w:rFonts w:hint="eastAsia" w:cs="Arial" w:asciiTheme="minorEastAsia" w:hAnsiTheme="minorEastAsia"/>
          <w:sz w:val="24"/>
          <w:szCs w:val="24"/>
        </w:rPr>
        <w:t>*</w:t>
      </w:r>
      <w:r>
        <w:rPr>
          <w:rFonts w:hint="eastAsia" w:cs="Arial" w:asciiTheme="minorEastAsia" w:hAnsiTheme="minorEastAsia"/>
          <w:sz w:val="24"/>
          <w:szCs w:val="24"/>
          <w:lang w:val="en-US" w:eastAsia="zh-CN"/>
        </w:rPr>
        <w:t>6个月</w:t>
      </w:r>
      <w:r>
        <w:rPr>
          <w:rFonts w:hint="eastAsia" w:cs="Arial" w:asciiTheme="minorEastAsia" w:hAnsiTheme="minorEastAsia"/>
          <w:sz w:val="24"/>
          <w:szCs w:val="24"/>
        </w:rPr>
        <w:t>=</w:t>
      </w:r>
      <w:r>
        <w:rPr>
          <w:rFonts w:hint="eastAsia" w:cs="Arial" w:asciiTheme="minorEastAsia" w:hAnsiTheme="minorEastAsia"/>
          <w:sz w:val="24"/>
          <w:szCs w:val="24"/>
          <w:lang w:val="en-US" w:eastAsia="zh-CN"/>
        </w:rPr>
        <w:t>30万</w:t>
      </w:r>
      <w:r>
        <w:rPr>
          <w:rFonts w:hint="eastAsia" w:cs="Arial" w:asciiTheme="minorEastAsia" w:hAnsiTheme="minorEastAsia"/>
          <w:sz w:val="24"/>
          <w:szCs w:val="24"/>
        </w:rPr>
        <w:t>元</w:t>
      </w:r>
    </w:p>
    <w:p>
      <w:pPr>
        <w:spacing w:line="480" w:lineRule="auto"/>
        <w:ind w:firstLine="420"/>
        <w:rPr>
          <w:rFonts w:cs="Arial" w:asciiTheme="minorEastAsia" w:hAnsiTheme="minorEastAsia"/>
          <w:sz w:val="24"/>
          <w:szCs w:val="24"/>
        </w:rPr>
      </w:pPr>
      <w:r>
        <w:rPr>
          <w:rFonts w:hint="eastAsia" w:cs="Arial" w:asciiTheme="minorEastAsia" w:hAnsiTheme="minorEastAsia"/>
          <w:sz w:val="24"/>
          <w:szCs w:val="24"/>
        </w:rPr>
        <w:t>贵公司</w:t>
      </w:r>
      <w:r>
        <w:rPr>
          <w:rFonts w:hint="eastAsia" w:cs="Arial" w:asciiTheme="minorEastAsia" w:hAnsiTheme="minorEastAsia"/>
          <w:sz w:val="24"/>
          <w:szCs w:val="24"/>
          <w:lang w:val="en-US" w:eastAsia="zh-CN"/>
        </w:rPr>
        <w:t>2021年6</w:t>
      </w:r>
      <w:r>
        <w:rPr>
          <w:rFonts w:hint="eastAsia" w:cs="Arial" w:asciiTheme="minorEastAsia" w:hAnsiTheme="minorEastAsia"/>
          <w:sz w:val="24"/>
          <w:szCs w:val="24"/>
        </w:rPr>
        <w:t>月</w:t>
      </w:r>
      <w:r>
        <w:rPr>
          <w:rFonts w:hint="eastAsia" w:cs="Arial" w:asciiTheme="minorEastAsia" w:hAnsiTheme="minorEastAsia"/>
          <w:sz w:val="24"/>
          <w:szCs w:val="24"/>
          <w:lang w:val="en-US" w:eastAsia="zh-CN"/>
        </w:rPr>
        <w:t>30</w:t>
      </w:r>
      <w:r>
        <w:rPr>
          <w:rFonts w:hint="eastAsia" w:cs="Arial" w:asciiTheme="minorEastAsia" w:hAnsiTheme="minorEastAsia"/>
          <w:sz w:val="24"/>
          <w:szCs w:val="24"/>
        </w:rPr>
        <w:t>日合计应支付监管服务费用为:人民币</w:t>
      </w:r>
      <w:r>
        <w:rPr>
          <w:rFonts w:hint="eastAsia" w:cs="Arial" w:asciiTheme="minorEastAsia" w:hAnsiTheme="minorEastAsia"/>
          <w:sz w:val="24"/>
          <w:szCs w:val="24"/>
          <w:lang w:val="en-US" w:eastAsia="zh-CN"/>
        </w:rPr>
        <w:t>30万</w:t>
      </w:r>
      <w:r>
        <w:rPr>
          <w:rFonts w:hint="eastAsia" w:cs="Arial" w:asciiTheme="minorEastAsia" w:hAnsiTheme="minorEastAsia"/>
          <w:sz w:val="24"/>
          <w:szCs w:val="24"/>
        </w:rPr>
        <w:t>元。</w:t>
      </w:r>
    </w:p>
    <w:p>
      <w:pPr>
        <w:spacing w:line="480" w:lineRule="auto"/>
        <w:rPr>
          <w:rFonts w:cs="Arial" w:asciiTheme="minorEastAsia" w:hAnsiTheme="minorEastAsia"/>
          <w:sz w:val="24"/>
          <w:szCs w:val="24"/>
        </w:rPr>
      </w:pPr>
      <w:r>
        <w:rPr>
          <w:rFonts w:hint="eastAsia" w:cs="Arial" w:asciiTheme="minorEastAsia" w:hAnsiTheme="minorEastAsia"/>
          <w:sz w:val="24"/>
          <w:szCs w:val="24"/>
        </w:rPr>
        <w:t>特此申请。</w:t>
      </w:r>
      <w:bookmarkStart w:id="0" w:name="_GoBack"/>
      <w:bookmarkEnd w:id="0"/>
    </w:p>
    <w:p>
      <w:pPr>
        <w:spacing w:line="480" w:lineRule="auto"/>
        <w:ind w:firstLine="4500" w:firstLineChars="1875"/>
        <w:rPr>
          <w:rFonts w:cs="Arial" w:asciiTheme="minorEastAsia" w:hAnsiTheme="minorEastAsia"/>
          <w:sz w:val="24"/>
          <w:szCs w:val="24"/>
        </w:rPr>
      </w:pPr>
      <w:r>
        <w:rPr>
          <w:rFonts w:cs="Arial" w:asciiTheme="minorEastAsia" w:hAnsiTheme="minorEastAsia"/>
          <w:sz w:val="24"/>
          <w:szCs w:val="24"/>
        </w:rPr>
        <w:t>北京康信君安资产管理有限公司</w:t>
      </w:r>
    </w:p>
    <w:p>
      <w:pPr>
        <w:spacing w:line="480" w:lineRule="auto"/>
        <w:rPr>
          <w:rFonts w:hint="default" w:cs="Arial" w:asciiTheme="minorEastAsia" w:hAnsiTheme="minorEastAsia" w:eastAsiaTheme="minorEastAsia"/>
          <w:sz w:val="24"/>
          <w:szCs w:val="24"/>
          <w:lang w:val="en-US" w:eastAsia="zh-CN"/>
        </w:rPr>
      </w:pPr>
      <w:r>
        <w:rPr>
          <w:rFonts w:hint="eastAsia" w:cs="Arial" w:asciiTheme="minorEastAsia" w:hAnsiTheme="minorEastAsia"/>
          <w:sz w:val="24"/>
          <w:szCs w:val="24"/>
        </w:rPr>
        <w:t xml:space="preserve">                                                     202</w:t>
      </w:r>
      <w:r>
        <w:rPr>
          <w:rFonts w:hint="eastAsia" w:cs="Arial" w:asciiTheme="minorEastAsia" w:hAnsiTheme="minorEastAsia"/>
          <w:sz w:val="24"/>
          <w:szCs w:val="24"/>
          <w:lang w:val="en-US" w:eastAsia="zh-CN"/>
        </w:rPr>
        <w:t>1</w:t>
      </w:r>
      <w:r>
        <w:rPr>
          <w:rFonts w:hint="eastAsia" w:cs="Arial" w:asciiTheme="minorEastAsia" w:hAnsiTheme="minorEastAsia"/>
          <w:sz w:val="24"/>
          <w:szCs w:val="24"/>
        </w:rPr>
        <w:t>-</w:t>
      </w:r>
      <w:r>
        <w:rPr>
          <w:rFonts w:hint="eastAsia" w:cs="Arial" w:asciiTheme="minorEastAsia" w:hAnsiTheme="minorEastAsia"/>
          <w:sz w:val="24"/>
          <w:szCs w:val="24"/>
          <w:lang w:val="en-US" w:eastAsia="zh-CN"/>
        </w:rPr>
        <w:t>6</w:t>
      </w:r>
      <w:r>
        <w:rPr>
          <w:rFonts w:hint="eastAsia" w:cs="Arial" w:asciiTheme="minorEastAsia" w:hAnsiTheme="minorEastAsia"/>
          <w:sz w:val="24"/>
          <w:szCs w:val="24"/>
        </w:rPr>
        <w:t>-</w:t>
      </w:r>
      <w:r>
        <w:rPr>
          <w:rFonts w:hint="eastAsia" w:cs="Arial" w:asciiTheme="minorEastAsia" w:hAnsiTheme="minorEastAsia"/>
          <w:sz w:val="24"/>
          <w:szCs w:val="24"/>
          <w:lang w:val="en-US" w:eastAsia="zh-CN"/>
        </w:rPr>
        <w:t>21</w:t>
      </w:r>
    </w:p>
    <w:p>
      <w:pPr>
        <w:rPr>
          <w:rFonts w:ascii="Arial" w:hAnsi="Arial" w:cs="Arial"/>
          <w:sz w:val="24"/>
          <w:szCs w:val="28"/>
        </w:rPr>
      </w:pPr>
      <w:r>
        <w:rPr>
          <w:rFonts w:hint="eastAsia" w:ascii="Arial" w:hAnsi="Arial" w:cs="Arial"/>
          <w:sz w:val="24"/>
          <w:szCs w:val="28"/>
        </w:rPr>
        <w:t>附件1：  支付信息</w:t>
      </w:r>
    </w:p>
    <w:p>
      <w:pPr>
        <w:widowControl/>
        <w:spacing w:line="360" w:lineRule="auto"/>
        <w:jc w:val="left"/>
        <w:rPr>
          <w:rFonts w:ascii="Arial" w:hAnsi="Arial" w:cs="Arial"/>
          <w:sz w:val="24"/>
          <w:szCs w:val="28"/>
        </w:rPr>
      </w:pPr>
      <w:r>
        <w:rPr>
          <w:rFonts w:ascii="Arial" w:hAnsi="Arial" w:cs="Arial"/>
          <w:sz w:val="24"/>
          <w:szCs w:val="28"/>
        </w:rPr>
        <w:t>户名：北京康信君安资产管理有限公司</w:t>
      </w:r>
    </w:p>
    <w:p>
      <w:pPr>
        <w:widowControl/>
        <w:spacing w:line="360" w:lineRule="auto"/>
        <w:jc w:val="left"/>
        <w:rPr>
          <w:rFonts w:ascii="Arial" w:hAnsi="Arial" w:cs="Arial"/>
          <w:sz w:val="24"/>
          <w:szCs w:val="28"/>
        </w:rPr>
      </w:pPr>
      <w:r>
        <w:rPr>
          <w:rFonts w:ascii="Arial" w:hAnsi="Arial" w:cs="Arial"/>
          <w:sz w:val="24"/>
          <w:szCs w:val="28"/>
        </w:rPr>
        <w:t>纳税人识别号：91110108318246596L</w:t>
      </w:r>
    </w:p>
    <w:p>
      <w:pPr>
        <w:widowControl/>
        <w:spacing w:line="360" w:lineRule="auto"/>
        <w:jc w:val="left"/>
        <w:rPr>
          <w:rFonts w:ascii="Arial" w:hAnsi="Arial" w:cs="Arial"/>
          <w:sz w:val="24"/>
          <w:szCs w:val="28"/>
        </w:rPr>
      </w:pPr>
      <w:r>
        <w:rPr>
          <w:rFonts w:ascii="Arial" w:hAnsi="Arial" w:cs="Arial"/>
          <w:sz w:val="24"/>
          <w:szCs w:val="28"/>
        </w:rPr>
        <w:t>开户行：中国工商银行股份有限公司北京地安门支行</w:t>
      </w:r>
    </w:p>
    <w:p>
      <w:pPr>
        <w:widowControl/>
        <w:spacing w:line="360" w:lineRule="auto"/>
        <w:jc w:val="left"/>
        <w:rPr>
          <w:rFonts w:ascii="Arial" w:hAnsi="Arial" w:cs="Arial"/>
          <w:sz w:val="24"/>
          <w:szCs w:val="28"/>
        </w:rPr>
      </w:pPr>
      <w:r>
        <w:rPr>
          <w:rFonts w:ascii="Arial" w:hAnsi="Arial" w:cs="Arial"/>
          <w:sz w:val="24"/>
          <w:szCs w:val="28"/>
        </w:rPr>
        <w:t>开户账号：0200337619100015708</w:t>
      </w:r>
    </w:p>
    <w:p>
      <w:pPr>
        <w:widowControl/>
        <w:spacing w:line="360" w:lineRule="auto"/>
        <w:jc w:val="left"/>
        <w:rPr>
          <w:rFonts w:ascii="Arial" w:hAnsi="Arial" w:cs="Arial"/>
          <w:sz w:val="24"/>
          <w:szCs w:val="28"/>
        </w:rPr>
      </w:pPr>
      <w:r>
        <w:rPr>
          <w:rFonts w:ascii="Arial" w:hAnsi="Arial" w:cs="Arial"/>
          <w:sz w:val="24"/>
          <w:szCs w:val="28"/>
        </w:rPr>
        <w:t>地址：北京市朝阳区裕民路12号1号楼10层B1001</w:t>
      </w:r>
    </w:p>
    <w:p>
      <w:pPr>
        <w:widowControl/>
        <w:spacing w:line="360" w:lineRule="auto"/>
        <w:jc w:val="left"/>
        <w:rPr>
          <w:rFonts w:ascii="Arial" w:hAnsi="Arial" w:cs="Arial"/>
          <w:sz w:val="24"/>
          <w:szCs w:val="28"/>
        </w:rPr>
      </w:pPr>
    </w:p>
    <w:p>
      <w:pPr>
        <w:rPr>
          <w:rFonts w:ascii="Arial" w:hAnsi="Arial" w:cs="Arial"/>
          <w:sz w:val="30"/>
          <w:szCs w:val="30"/>
        </w:rPr>
      </w:pPr>
      <w:r>
        <w:rPr>
          <w:rFonts w:hint="eastAsia" w:ascii="Arial" w:hAnsi="Arial" w:cs="Arial"/>
          <w:sz w:val="30"/>
          <w:szCs w:val="30"/>
        </w:rPr>
        <w:t>附件：撤场共管物品移交清单</w:t>
      </w:r>
    </w:p>
    <w:p>
      <w:pPr>
        <w:jc w:val="both"/>
        <w:rPr>
          <w:rFonts w:ascii="Arial" w:hAnsi="Arial" w:cs="Arial"/>
        </w:rPr>
      </w:pPr>
      <w:r>
        <w:drawing>
          <wp:inline distT="0" distB="0" distL="0" distR="0">
            <wp:extent cx="5850255" cy="4069715"/>
            <wp:effectExtent l="0" t="0" r="17145"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5850255" cy="4069715"/>
                    </a:xfrm>
                    <a:prstGeom prst="rect">
                      <a:avLst/>
                    </a:prstGeom>
                  </pic:spPr>
                </pic:pic>
              </a:graphicData>
            </a:graphic>
          </wp:inline>
        </w:drawing>
      </w:r>
    </w:p>
    <w:p>
      <w:pPr>
        <w:rPr>
          <w:rFonts w:ascii="Arial" w:hAnsi="Arial" w:cs="Arial"/>
        </w:rPr>
      </w:pPr>
      <w:r>
        <w:drawing>
          <wp:inline distT="0" distB="0" distL="0" distR="0">
            <wp:extent cx="5862955" cy="4111625"/>
            <wp:effectExtent l="0" t="0" r="4445"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tretch>
                      <a:fillRect/>
                    </a:stretch>
                  </pic:blipFill>
                  <pic:spPr>
                    <a:xfrm>
                      <a:off x="0" y="0"/>
                      <a:ext cx="5862955" cy="4111625"/>
                    </a:xfrm>
                    <a:prstGeom prst="rect">
                      <a:avLst/>
                    </a:prstGeom>
                  </pic:spPr>
                </pic:pic>
              </a:graphicData>
            </a:graphic>
          </wp:inline>
        </w:drawing>
      </w:r>
    </w:p>
    <w:p>
      <w:pPr>
        <w:rPr>
          <w:rFonts w:ascii="Arial" w:hAnsi="Arial" w:cs="Arial"/>
        </w:rPr>
      </w:pPr>
      <w:r>
        <w:drawing>
          <wp:inline distT="0" distB="0" distL="0" distR="0">
            <wp:extent cx="5835650" cy="4048760"/>
            <wp:effectExtent l="0" t="0" r="1270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5835650" cy="4048760"/>
                    </a:xfrm>
                    <a:prstGeom prst="rect">
                      <a:avLst/>
                    </a:prstGeom>
                  </pic:spPr>
                </pic:pic>
              </a:graphicData>
            </a:graphic>
          </wp:inline>
        </w:drawing>
      </w:r>
    </w:p>
    <w:p>
      <w:pPr>
        <w:rPr>
          <w:rFonts w:ascii="Arial" w:hAnsi="Arial" w:cs="Arial"/>
        </w:rPr>
      </w:pPr>
      <w:r>
        <w:drawing>
          <wp:inline distT="0" distB="0" distL="0" distR="0">
            <wp:extent cx="5871210" cy="4069715"/>
            <wp:effectExtent l="0" t="0" r="152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stretch>
                      <a:fillRect/>
                    </a:stretch>
                  </pic:blipFill>
                  <pic:spPr>
                    <a:xfrm>
                      <a:off x="0" y="0"/>
                      <a:ext cx="5871210" cy="4069715"/>
                    </a:xfrm>
                    <a:prstGeom prst="rect">
                      <a:avLst/>
                    </a:prstGeom>
                  </pic:spPr>
                </pic:pic>
              </a:graphicData>
            </a:graphic>
          </wp:inline>
        </w:drawing>
      </w:r>
    </w:p>
    <w:p>
      <w:pPr>
        <w:rPr>
          <w:rFonts w:ascii="Arial" w:hAnsi="Arial" w:cs="Arial"/>
        </w:rPr>
      </w:pPr>
      <w:r>
        <w:drawing>
          <wp:inline distT="0" distB="0" distL="0" distR="0">
            <wp:extent cx="5899785" cy="3923030"/>
            <wp:effectExtent l="0" t="0" r="5715"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stretch>
                      <a:fillRect/>
                    </a:stretch>
                  </pic:blipFill>
                  <pic:spPr>
                    <a:xfrm>
                      <a:off x="0" y="0"/>
                      <a:ext cx="5899785" cy="3923030"/>
                    </a:xfrm>
                    <a:prstGeom prst="rect">
                      <a:avLst/>
                    </a:prstGeom>
                  </pic:spPr>
                </pic:pic>
              </a:graphicData>
            </a:graphic>
          </wp:inline>
        </w:drawing>
      </w:r>
    </w:p>
    <w:p>
      <w:pPr>
        <w:rPr>
          <w:rFonts w:ascii="Arial" w:hAnsi="Arial" w:cs="Arial"/>
        </w:rPr>
      </w:pPr>
      <w:r>
        <w:drawing>
          <wp:inline distT="0" distB="0" distL="0" distR="0">
            <wp:extent cx="5901055" cy="3312160"/>
            <wp:effectExtent l="0" t="0" r="444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5901055" cy="3312160"/>
                    </a:xfrm>
                    <a:prstGeom prst="rect">
                      <a:avLst/>
                    </a:prstGeom>
                  </pic:spPr>
                </pic:pic>
              </a:graphicData>
            </a:graphic>
          </wp:inline>
        </w:drawing>
      </w:r>
    </w:p>
    <w:p>
      <w:pPr>
        <w:widowControl/>
        <w:spacing w:line="360" w:lineRule="auto"/>
        <w:jc w:val="left"/>
        <w:rPr>
          <w:rFonts w:ascii="Arial" w:hAnsi="Arial" w:cs="Arial"/>
          <w:sz w:val="24"/>
          <w:szCs w:val="2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r>
      <w:drawing>
        <wp:inline distT="0" distB="0" distL="0" distR="0">
          <wp:extent cx="5274310" cy="3644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274310" cy="3644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B59"/>
    <w:rsid w:val="000B67C7"/>
    <w:rsid w:val="000E29A8"/>
    <w:rsid w:val="000F1811"/>
    <w:rsid w:val="0013776C"/>
    <w:rsid w:val="00246AFA"/>
    <w:rsid w:val="00355B59"/>
    <w:rsid w:val="00393FA3"/>
    <w:rsid w:val="003A0AA9"/>
    <w:rsid w:val="004057EF"/>
    <w:rsid w:val="005F2F77"/>
    <w:rsid w:val="00704EC2"/>
    <w:rsid w:val="007A366B"/>
    <w:rsid w:val="007D23C2"/>
    <w:rsid w:val="00A24374"/>
    <w:rsid w:val="00A91257"/>
    <w:rsid w:val="00B318CE"/>
    <w:rsid w:val="00CD287C"/>
    <w:rsid w:val="00D500B0"/>
    <w:rsid w:val="00DA56F1"/>
    <w:rsid w:val="00DA6DAB"/>
    <w:rsid w:val="00E704CD"/>
    <w:rsid w:val="0D814082"/>
    <w:rsid w:val="226F3B0D"/>
    <w:rsid w:val="2A8A5C6A"/>
    <w:rsid w:val="321B61B0"/>
    <w:rsid w:val="35B83248"/>
    <w:rsid w:val="3CDC78D5"/>
    <w:rsid w:val="41ED1961"/>
    <w:rsid w:val="48144554"/>
    <w:rsid w:val="4939643E"/>
    <w:rsid w:val="4A201463"/>
    <w:rsid w:val="58EA4C59"/>
    <w:rsid w:val="5F7C2E90"/>
    <w:rsid w:val="6ECC502A"/>
    <w:rsid w:val="78120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85</Words>
  <Characters>487</Characters>
  <Lines>4</Lines>
  <Paragraphs>1</Paragraphs>
  <TotalTime>3</TotalTime>
  <ScaleCrop>false</ScaleCrop>
  <LinksUpToDate>false</LinksUpToDate>
  <CharactersWithSpaces>571</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2019-10-25T08:20:00Z</dcterms:created>
  <dc:creator>USER</dc:creator>
  <cp:lastModifiedBy>郭胜霖</cp:lastModifiedBy>
  <dcterms:modified xsi:type="dcterms:W3CDTF">2021-06-21T02:51:41Z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BE9D81B691E949DDB6777BA9FA851BBC</vt:lpwstr>
  </property>
</Properties>
</file>