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rPr>
                <w:rFonts w:ascii="Arial" w:hAnsi="Arial" w:hint="eastAsia"/>
                <w:sz w:val="21"/>
                <w:szCs w:val="28"/>
              </w:rPr>
              <w:t>北京国美商都建设开发有限公司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85386F">
            <w:pPr>
              <w:pStyle w:val="Other1"/>
              <w:spacing w:after="0" w:line="240" w:lineRule="auto"/>
              <w:ind w:firstLine="0"/>
              <w:jc w:val="center"/>
              <w:rPr>
                <w:rFonts w:hint="eastAsia"/>
                <w:lang w:eastAsia="zh-CN"/>
              </w:rPr>
            </w:pPr>
            <w:r>
              <w:t>现房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1250763</w:t>
            </w:r>
            <w:r>
              <w:rPr>
                <w:rFonts w:ascii="Arial" w:eastAsia="华文细黑" w:hAnsi="Arial" w:hint="eastAsia"/>
                <w:sz w:val="18"/>
                <w:szCs w:val="18"/>
              </w:rPr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  <w:bookmarkStart w:id="0" w:name="_GoBack"/>
            <w:bookmarkEnd w:id="0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60000元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8F" w:rsidRDefault="00166B8F" w:rsidP="00290B80">
      <w:r>
        <w:separator/>
      </w:r>
    </w:p>
  </w:endnote>
  <w:endnote w:type="continuationSeparator" w:id="0">
    <w:p w:rsidR="00166B8F" w:rsidRDefault="00166B8F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8F" w:rsidRDefault="00166B8F" w:rsidP="00290B80">
      <w:r>
        <w:separator/>
      </w:r>
    </w:p>
  </w:footnote>
  <w:footnote w:type="continuationSeparator" w:id="0">
    <w:p w:rsidR="00166B8F" w:rsidRDefault="00166B8F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166B8F"/>
    <w:rsid w:val="00290B80"/>
    <w:rsid w:val="004814BD"/>
    <w:rsid w:val="004E697E"/>
    <w:rsid w:val="00635DF0"/>
    <w:rsid w:val="006B7CE2"/>
    <w:rsid w:val="0072723D"/>
    <w:rsid w:val="007B486A"/>
    <w:rsid w:val="0085386F"/>
    <w:rsid w:val="00CE0C5B"/>
    <w:rsid w:val="00E74F9D"/>
    <w:rsid w:val="00EF660E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300</Characters>
  <Application>Microsoft Office Word</Application>
  <DocSecurity>0</DocSecurity>
  <Lines>2</Lines>
  <Paragraphs>1</Paragraphs>
  <ScaleCrop>false</ScaleCrop>
  <Company>P R C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3</cp:revision>
  <dcterms:created xsi:type="dcterms:W3CDTF">2023-11-02T08:11:00Z</dcterms:created>
  <dcterms:modified xsi:type="dcterms:W3CDTF">2024-01-11T03:29:00Z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