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宋体" w:cs="Arial"/>
          <w:b/>
          <w:bCs/>
          <w:sz w:val="30"/>
          <w:szCs w:val="30"/>
        </w:rPr>
      </w:pPr>
      <w:r>
        <w:rPr>
          <w:rFonts w:hint="eastAsia" w:ascii="Arial" w:hAnsi="Arial" w:eastAsia="宋体" w:cs="Arial"/>
          <w:b/>
          <w:bCs/>
          <w:sz w:val="30"/>
          <w:szCs w:val="30"/>
          <w:lang w:val="en-US" w:eastAsia="zh-CN"/>
        </w:rPr>
        <w:t>中诚信托重庆时代中心</w:t>
      </w:r>
      <w:r>
        <w:rPr>
          <w:rFonts w:ascii="Arial" w:hAnsi="Arial" w:eastAsia="宋体" w:cs="Arial"/>
          <w:b/>
          <w:bCs/>
          <w:sz w:val="30"/>
          <w:szCs w:val="30"/>
        </w:rPr>
        <w:t>项目</w:t>
      </w:r>
    </w:p>
    <w:p>
      <w:pPr>
        <w:pStyle w:val="2"/>
      </w:pPr>
    </w:p>
    <w:p>
      <w:pPr>
        <w:spacing w:line="480" w:lineRule="auto"/>
        <w:ind w:firstLine="420" w:firstLineChars="200"/>
        <w:jc w:val="left"/>
        <w:rPr>
          <w:rFonts w:ascii="Arial" w:hAnsi="Arial" w:eastAsia="宋体" w:cs="Arial"/>
          <w:szCs w:val="21"/>
        </w:rPr>
      </w:pPr>
      <w:r>
        <w:rPr>
          <w:rFonts w:hint="eastAsia" w:ascii="Arial" w:hAnsi="Arial" w:eastAsia="宋体" w:cs="Arial"/>
          <w:szCs w:val="21"/>
        </w:rPr>
        <w:t>一</w:t>
      </w:r>
      <w:r>
        <w:rPr>
          <w:rFonts w:ascii="Arial" w:hAnsi="Arial" w:eastAsia="宋体" w:cs="Arial"/>
          <w:szCs w:val="21"/>
        </w:rPr>
        <w:t>、项目基本情况：</w:t>
      </w:r>
    </w:p>
    <w:p>
      <w:pPr>
        <w:pStyle w:val="2"/>
        <w:spacing w:line="480" w:lineRule="auto"/>
        <w:rPr>
          <w:rFonts w:ascii="Arial" w:hAnsi="Arial" w:eastAsia="宋体" w:cs="Arial"/>
          <w:szCs w:val="21"/>
        </w:rPr>
      </w:pPr>
      <w:r>
        <w:rPr>
          <w:rFonts w:hint="eastAsia" w:ascii="Arial" w:hAnsi="Arial" w:eastAsia="宋体" w:cs="Arial"/>
          <w:szCs w:val="21"/>
        </w:rPr>
        <w:t>1、</w:t>
      </w:r>
      <w:r>
        <w:rPr>
          <w:rFonts w:ascii="Arial" w:hAnsi="Arial" w:eastAsia="宋体" w:cs="Arial"/>
          <w:szCs w:val="21"/>
        </w:rPr>
        <w:t>项目对外推广名称为“</w:t>
      </w:r>
      <w:r>
        <w:rPr>
          <w:rFonts w:hint="eastAsia" w:ascii="Arial" w:hAnsi="Arial" w:eastAsia="宋体" w:cs="Arial"/>
          <w:szCs w:val="21"/>
          <w:lang w:val="en-US" w:eastAsia="zh-CN"/>
        </w:rPr>
        <w:t>重庆时代中心</w:t>
      </w:r>
      <w:r>
        <w:rPr>
          <w:rFonts w:ascii="Arial" w:hAnsi="Arial" w:eastAsia="宋体" w:cs="Arial"/>
          <w:szCs w:val="21"/>
        </w:rPr>
        <w:t>”，</w:t>
      </w:r>
      <w:r>
        <w:rPr>
          <w:rFonts w:hint="eastAsia" w:ascii="Arial" w:hAnsi="Arial" w:eastAsia="宋体" w:cs="Arial"/>
          <w:color w:val="auto"/>
          <w:szCs w:val="21"/>
        </w:rPr>
        <w:t>位于重庆市核心商圈之一江北区的观音桥核心地段</w:t>
      </w:r>
      <w:r>
        <w:rPr>
          <w:rFonts w:ascii="Arial" w:hAnsi="Arial" w:eastAsia="宋体" w:cs="Arial"/>
          <w:szCs w:val="21"/>
        </w:rPr>
        <w:t>。</w:t>
      </w:r>
    </w:p>
    <w:p>
      <w:pPr>
        <w:spacing w:line="480" w:lineRule="auto"/>
        <w:ind w:firstLine="420" w:firstLineChars="200"/>
        <w:outlineLvl w:val="0"/>
        <w:rPr>
          <w:rFonts w:ascii="Arial" w:hAnsi="Arial" w:eastAsia="宋体" w:cs="Arial"/>
          <w:szCs w:val="21"/>
        </w:rPr>
      </w:pPr>
      <w:r>
        <w:rPr>
          <w:rFonts w:hint="eastAsia" w:ascii="Arial" w:hAnsi="Arial" w:eastAsia="宋体" w:cs="Arial"/>
          <w:szCs w:val="21"/>
        </w:rPr>
        <w:t>2、</w:t>
      </w:r>
      <w:r>
        <w:rPr>
          <w:rFonts w:ascii="Arial" w:hAnsi="Arial" w:eastAsia="宋体" w:cs="Arial"/>
          <w:szCs w:val="21"/>
        </w:rPr>
        <w:t>标的项目</w:t>
      </w:r>
      <w:r>
        <w:rPr>
          <w:rFonts w:hint="eastAsia" w:ascii="Arial" w:hAnsi="Arial" w:eastAsia="宋体" w:cs="Arial"/>
          <w:color w:val="auto"/>
          <w:szCs w:val="21"/>
        </w:rPr>
        <w:t>由三栋超高层和商业裙楼构成</w:t>
      </w:r>
      <w:r>
        <w:rPr>
          <w:rFonts w:hint="eastAsia" w:ascii="Arial" w:hAnsi="Arial" w:eastAsia="宋体" w:cs="Arial"/>
          <w:color w:val="auto"/>
          <w:szCs w:val="21"/>
          <w:lang w:eastAsia="zh-CN"/>
        </w:rPr>
        <w:t>，</w:t>
      </w:r>
      <w:r>
        <w:rPr>
          <w:rFonts w:hint="eastAsia" w:ascii="Arial" w:hAnsi="Arial" w:eastAsia="宋体" w:cs="Arial"/>
          <w:color w:val="auto"/>
          <w:szCs w:val="21"/>
          <w:lang w:val="en-US" w:eastAsia="zh-CN"/>
        </w:rPr>
        <w:t>占</w:t>
      </w:r>
      <w:r>
        <w:rPr>
          <w:rFonts w:hint="eastAsia" w:ascii="Arial" w:hAnsi="Arial" w:eastAsia="宋体" w:cs="Arial"/>
          <w:color w:val="auto"/>
          <w:szCs w:val="21"/>
        </w:rPr>
        <w:t>地面积25136平方米，规划建筑面积38</w:t>
      </w:r>
      <w:r>
        <w:rPr>
          <w:rFonts w:hint="eastAsia" w:ascii="Arial" w:hAnsi="Arial" w:eastAsia="宋体" w:cs="Arial"/>
          <w:color w:val="auto"/>
          <w:szCs w:val="21"/>
          <w:lang w:val="en-US" w:eastAsia="zh-CN"/>
        </w:rPr>
        <w:t>2787.02</w:t>
      </w:r>
      <w:r>
        <w:rPr>
          <w:rFonts w:hint="eastAsia" w:ascii="Arial" w:hAnsi="Arial" w:eastAsia="宋体" w:cs="Arial"/>
          <w:color w:val="auto"/>
          <w:szCs w:val="21"/>
        </w:rPr>
        <w:t>平方米</w:t>
      </w:r>
      <w:r>
        <w:rPr>
          <w:rFonts w:ascii="Arial" w:hAnsi="Arial" w:eastAsia="宋体" w:cs="Arial"/>
          <w:szCs w:val="21"/>
        </w:rPr>
        <w:t>，</w:t>
      </w:r>
      <w:r>
        <w:rPr>
          <w:rFonts w:hint="eastAsia" w:ascii="Arial" w:hAnsi="Arial" w:eastAsia="宋体" w:cs="Arial"/>
          <w:color w:val="auto"/>
          <w:szCs w:val="21"/>
        </w:rPr>
        <w:t>由重庆华诚投资有限公司开发建设</w:t>
      </w:r>
      <w:r>
        <w:rPr>
          <w:rFonts w:ascii="Arial" w:hAnsi="Arial" w:eastAsia="宋体" w:cs="Arial"/>
          <w:szCs w:val="21"/>
        </w:rPr>
        <w:t>，</w:t>
      </w:r>
      <w:r>
        <w:rPr>
          <w:rFonts w:hint="eastAsia" w:ascii="Arial" w:hAnsi="Arial" w:eastAsia="宋体" w:cs="Arial"/>
          <w:szCs w:val="21"/>
          <w:lang w:val="en-US" w:eastAsia="zh-CN"/>
        </w:rPr>
        <w:t>整个项目均为</w:t>
      </w:r>
      <w:r>
        <w:rPr>
          <w:rFonts w:ascii="Arial" w:hAnsi="Arial" w:eastAsia="宋体" w:cs="Arial"/>
          <w:szCs w:val="21"/>
        </w:rPr>
        <w:t>我司</w:t>
      </w:r>
      <w:r>
        <w:rPr>
          <w:rFonts w:hint="eastAsia" w:ascii="Arial" w:hAnsi="Arial" w:eastAsia="宋体" w:cs="Arial"/>
          <w:color w:val="auto"/>
          <w:szCs w:val="21"/>
          <w:lang w:val="en-US" w:eastAsia="zh-CN"/>
        </w:rPr>
        <w:t>监管范围</w:t>
      </w:r>
      <w:r>
        <w:rPr>
          <w:rFonts w:ascii="Arial" w:hAnsi="Arial" w:eastAsia="宋体" w:cs="Arial"/>
          <w:szCs w:val="21"/>
        </w:rPr>
        <w:t>。</w:t>
      </w:r>
    </w:p>
    <w:p>
      <w:pPr>
        <w:pStyle w:val="2"/>
        <w:spacing w:line="480" w:lineRule="auto"/>
        <w:rPr>
          <w:rFonts w:ascii="Arial" w:hAnsi="Arial" w:eastAsia="宋体" w:cs="Arial"/>
          <w:szCs w:val="21"/>
        </w:rPr>
      </w:pPr>
      <w:r>
        <w:rPr>
          <w:rFonts w:ascii="Arial" w:hAnsi="Arial" w:eastAsia="宋体" w:cs="Arial"/>
          <w:szCs w:val="21"/>
        </w:rPr>
        <w:t>3</w:t>
      </w:r>
      <w:r>
        <w:rPr>
          <w:rFonts w:hint="eastAsia" w:ascii="Arial" w:hAnsi="Arial" w:eastAsia="宋体" w:cs="Arial"/>
          <w:szCs w:val="21"/>
        </w:rPr>
        <w:t>、</w:t>
      </w:r>
      <w:r>
        <w:rPr>
          <w:rFonts w:hint="eastAsia" w:ascii="Arial" w:hAnsi="Arial" w:eastAsia="宋体" w:cs="Arial"/>
          <w:color w:val="auto"/>
          <w:szCs w:val="21"/>
        </w:rPr>
        <w:t>用地性质由原商业金融业用地修改为商业、</w:t>
      </w:r>
      <w:r>
        <w:rPr>
          <w:rFonts w:hint="eastAsia" w:ascii="Arial" w:hAnsi="Arial" w:eastAsia="宋体" w:cs="Arial"/>
          <w:color w:val="auto"/>
          <w:szCs w:val="21"/>
          <w:lang w:val="en-US" w:eastAsia="zh-CN"/>
        </w:rPr>
        <w:t>商务和居住综合用地，原总体方案布局3栋超高层建筑</w:t>
      </w:r>
      <w:r>
        <w:rPr>
          <w:rFonts w:ascii="Arial" w:hAnsi="Arial" w:eastAsia="宋体" w:cs="Arial"/>
          <w:szCs w:val="21"/>
        </w:rPr>
        <w:t>，所属楼栋开发成本、销售回款均不进入我司监管项目公司账户范围，除委托方特殊同意外。</w:t>
      </w:r>
    </w:p>
    <w:p>
      <w:pPr>
        <w:spacing w:before="312" w:beforeLines="100"/>
        <w:ind w:firstLine="482" w:firstLineChars="200"/>
        <w:jc w:val="center"/>
        <w:rPr>
          <w:rFonts w:ascii="Arial" w:hAnsi="Arial" w:eastAsia="宋体" w:cs="Arial"/>
          <w:b/>
          <w:sz w:val="24"/>
        </w:rPr>
      </w:pPr>
      <w:r>
        <w:rPr>
          <w:rFonts w:ascii="Arial" w:hAnsi="Arial" w:eastAsia="宋体" w:cs="Arial"/>
          <w:b/>
          <w:sz w:val="24"/>
        </w:rPr>
        <w:t>项目各项经济指标</w:t>
      </w:r>
    </w:p>
    <w:tbl>
      <w:tblPr>
        <w:tblStyle w:val="7"/>
        <w:tblW w:w="83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5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3085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建设单位</w:t>
            </w:r>
          </w:p>
        </w:tc>
        <w:tc>
          <w:tcPr>
            <w:tcW w:w="5244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重庆华诚投资有限公司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85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建设项目名称</w:t>
            </w:r>
          </w:p>
        </w:tc>
        <w:tc>
          <w:tcPr>
            <w:tcW w:w="5244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cs="Arial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重庆时代中心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3085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建设地址</w:t>
            </w:r>
          </w:p>
        </w:tc>
        <w:tc>
          <w:tcPr>
            <w:tcW w:w="5244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江北区观音桥组团I29-3-1/02号地块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3085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建设规模</w:t>
            </w:r>
          </w:p>
        </w:tc>
        <w:tc>
          <w:tcPr>
            <w:tcW w:w="5244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38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2787.02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85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栋号</w:t>
            </w:r>
          </w:p>
        </w:tc>
        <w:tc>
          <w:tcPr>
            <w:tcW w:w="5244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塔楼1、塔楼2、塔楼3、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bidi="ar"/>
              </w:rPr>
              <w:t>裙楼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及地下建筑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3085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总建筑面积</w:t>
            </w:r>
          </w:p>
        </w:tc>
        <w:tc>
          <w:tcPr>
            <w:tcW w:w="5244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38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2787.02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3085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地上/地下建筑面积</w:t>
            </w:r>
          </w:p>
        </w:tc>
        <w:tc>
          <w:tcPr>
            <w:tcW w:w="5244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226406.76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/15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6380.26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3085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公建面积</w:t>
            </w:r>
          </w:p>
        </w:tc>
        <w:tc>
          <w:tcPr>
            <w:tcW w:w="5244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bidi="ar"/>
              </w:rPr>
              <w:t>1478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07.03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vMerge w:val="restart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配套设施</w:t>
            </w:r>
          </w:p>
        </w:tc>
        <w:tc>
          <w:tcPr>
            <w:tcW w:w="5244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①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物管用房：1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bidi="ar"/>
              </w:rPr>
              <w:t>280.2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vMerge w:val="continue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②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公厕：110平方米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vMerge w:val="continue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③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垃圾站：211平方米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vMerge w:val="continue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④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派出所：308平方米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3085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车库设备用房建筑面积</w:t>
            </w:r>
          </w:p>
        </w:tc>
        <w:tc>
          <w:tcPr>
            <w:tcW w:w="5244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137006.66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3085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停车位</w:t>
            </w:r>
          </w:p>
        </w:tc>
        <w:tc>
          <w:tcPr>
            <w:tcW w:w="5244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bidi="ar"/>
              </w:rPr>
              <w:t>52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3个（室内2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6个，室外17个）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总计容建筑面积</w:t>
            </w:r>
          </w:p>
        </w:tc>
        <w:tc>
          <w:tcPr>
            <w:tcW w:w="5244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225648.39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居住面积</w:t>
            </w:r>
          </w:p>
        </w:tc>
        <w:tc>
          <w:tcPr>
            <w:tcW w:w="5244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91424.23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dotted" w:color="auto" w:sz="0" w:space="0"/>
              <w:left w:val="dotted" w:color="auto" w:sz="0" w:space="0"/>
              <w:bottom w:val="single" w:color="000000" w:sz="8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其他（架空层、转换层等）建筑面积</w:t>
            </w:r>
          </w:p>
        </w:tc>
        <w:tc>
          <w:tcPr>
            <w:tcW w:w="5244" w:type="dxa"/>
            <w:tcBorders>
              <w:top w:val="dotted" w:color="auto" w:sz="0" w:space="0"/>
              <w:left w:val="dotted" w:color="auto" w:sz="0" w:space="0"/>
              <w:bottom w:val="single" w:color="000000" w:sz="8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bidi="ar"/>
              </w:rPr>
              <w:t>4348.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44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平方米</w:t>
            </w:r>
          </w:p>
        </w:tc>
      </w:tr>
    </w:tbl>
    <w:p>
      <w:pPr>
        <w:pStyle w:val="2"/>
      </w:pPr>
    </w:p>
    <w:p>
      <w:pPr>
        <w:pStyle w:val="2"/>
        <w:rPr>
          <w:rFonts w:ascii="Arial" w:hAnsi="Arial" w:eastAsia="宋体" w:cs="Arial"/>
        </w:rPr>
      </w:pPr>
    </w:p>
    <w:p>
      <w:pPr>
        <w:pStyle w:val="2"/>
        <w:ind w:left="-2" w:leftChars="-1" w:firstLine="0" w:firstLineChars="0"/>
        <w:jc w:val="center"/>
        <w:rPr>
          <w:rFonts w:ascii="Arial" w:hAnsi="Arial" w:eastAsia="宋体" w:cs="Arial"/>
        </w:rPr>
      </w:pPr>
    </w:p>
    <w:p>
      <w:pPr>
        <w:pStyle w:val="2"/>
        <w:ind w:left="0" w:leftChars="0" w:firstLine="0" w:firstLineChars="0"/>
        <w:jc w:val="center"/>
        <w:rPr>
          <w:rFonts w:ascii="Arial" w:hAnsi="Arial" w:cs="Arial"/>
          <w:color w:val="auto"/>
          <w:szCs w:val="21"/>
        </w:rPr>
      </w:pPr>
      <w:r>
        <w:rPr>
          <w:rFonts w:ascii="Arial" w:hAnsi="Arial" w:cs="Arial"/>
          <w:color w:val="auto"/>
          <w:szCs w:val="21"/>
        </w:rPr>
        <w:drawing>
          <wp:inline distT="0" distB="0" distL="114300" distR="114300">
            <wp:extent cx="3828415" cy="2551430"/>
            <wp:effectExtent l="0" t="0" r="12065" b="8890"/>
            <wp:docPr id="1" name="图片 1" descr="1577195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771954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28415" cy="255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  <w:jc w:val="center"/>
        <w:rPr>
          <w:rFonts w:ascii="Arial" w:hAnsi="Arial" w:cs="Arial"/>
          <w:color w:val="auto"/>
          <w:szCs w:val="21"/>
        </w:rPr>
      </w:pPr>
    </w:p>
    <w:p>
      <w:pPr>
        <w:pStyle w:val="2"/>
        <w:rPr>
          <w:rFonts w:ascii="Arial" w:hAnsi="Arial" w:eastAsia="宋体" w:cs="Arial"/>
        </w:rPr>
      </w:pPr>
      <w:r>
        <w:rPr>
          <w:rFonts w:hint="eastAsia" w:ascii="Arial" w:hAnsi="Arial" w:cs="Arial"/>
          <w:color w:val="auto"/>
          <w:sz w:val="24"/>
          <w:szCs w:val="24"/>
          <w:lang w:val="en-US" w:eastAsia="zh-CN"/>
        </w:rPr>
        <w:t xml:space="preserve">      </w:t>
      </w:r>
      <w:r>
        <w:rPr>
          <w:rFonts w:ascii="Arial" w:hAnsi="Arial" w:cs="Arial"/>
          <w:color w:val="auto"/>
          <w:sz w:val="24"/>
          <w:szCs w:val="24"/>
        </w:rPr>
        <w:drawing>
          <wp:inline distT="0" distB="0" distL="114300" distR="114300">
            <wp:extent cx="3824605" cy="4134485"/>
            <wp:effectExtent l="0" t="0" r="635" b="10795"/>
            <wp:docPr id="2" name="图片 2" descr="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4605" cy="413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ascii="Arial" w:hAnsi="Arial" w:eastAsia="宋体" w:cs="Arial"/>
        </w:rPr>
      </w:pPr>
    </w:p>
    <w:p>
      <w:pPr>
        <w:pStyle w:val="2"/>
        <w:ind w:left="0" w:leftChars="0" w:firstLine="0" w:firstLineChars="0"/>
        <w:rPr>
          <w:rFonts w:ascii="Arial" w:hAnsi="Arial" w:eastAsia="宋体" w:cs="Arial"/>
        </w:rPr>
      </w:pPr>
    </w:p>
    <w:p>
      <w:pPr>
        <w:spacing w:line="480" w:lineRule="auto"/>
        <w:ind w:firstLine="420" w:firstLineChars="200"/>
        <w:rPr>
          <w:rFonts w:ascii="Arial" w:hAnsi="Arial" w:eastAsia="宋体" w:cs="Arial"/>
          <w:szCs w:val="21"/>
        </w:rPr>
      </w:pPr>
      <w:r>
        <w:rPr>
          <w:rFonts w:hint="eastAsia" w:ascii="Arial" w:hAnsi="Arial" w:eastAsia="宋体" w:cs="Arial"/>
          <w:szCs w:val="21"/>
        </w:rPr>
        <w:t>二</w:t>
      </w:r>
      <w:r>
        <w:rPr>
          <w:rFonts w:ascii="Arial" w:hAnsi="Arial" w:eastAsia="宋体" w:cs="Arial"/>
          <w:szCs w:val="21"/>
        </w:rPr>
        <w:t>、股权或法人变更等</w:t>
      </w:r>
    </w:p>
    <w:p>
      <w:pPr>
        <w:spacing w:line="480" w:lineRule="auto"/>
        <w:ind w:firstLine="424" w:firstLineChars="202"/>
        <w:rPr>
          <w:rFonts w:ascii="Arial" w:hAnsi="Arial" w:eastAsia="宋体" w:cs="Arial"/>
          <w:szCs w:val="21"/>
        </w:rPr>
      </w:pPr>
      <w:r>
        <w:rPr>
          <w:rFonts w:hint="eastAsia" w:ascii="Arial" w:hAnsi="Arial" w:eastAsia="宋体" w:cs="Arial"/>
          <w:szCs w:val="21"/>
          <w:lang w:val="en-US" w:eastAsia="zh-CN"/>
        </w:rPr>
        <w:t>中诚</w:t>
      </w:r>
      <w:r>
        <w:rPr>
          <w:rFonts w:ascii="Arial" w:hAnsi="Arial" w:eastAsia="宋体" w:cs="Arial"/>
          <w:szCs w:val="21"/>
        </w:rPr>
        <w:t>信托进场后股权情况：</w:t>
      </w:r>
      <w:r>
        <w:rPr>
          <w:rFonts w:hint="eastAsia" w:ascii="Arial" w:hAnsi="Arial" w:eastAsia="宋体" w:cs="Arial"/>
          <w:color w:val="auto"/>
          <w:kern w:val="2"/>
          <w:sz w:val="21"/>
          <w:szCs w:val="21"/>
          <w:lang w:val="en-US" w:eastAsia="zh-CN" w:bidi="ar-SA"/>
        </w:rPr>
        <w:t>中诚信托有限责任公司</w:t>
      </w:r>
      <w:r>
        <w:rPr>
          <w:rFonts w:ascii="Arial" w:hAnsi="Arial" w:eastAsia="宋体" w:cs="Arial"/>
          <w:szCs w:val="21"/>
        </w:rPr>
        <w:t>持股</w:t>
      </w:r>
      <w:r>
        <w:rPr>
          <w:rFonts w:hint="eastAsia" w:ascii="Arial" w:hAnsi="Arial" w:eastAsia="宋体" w:cs="Arial"/>
          <w:szCs w:val="21"/>
          <w:lang w:val="en-US" w:eastAsia="zh-CN"/>
        </w:rPr>
        <w:t>99</w:t>
      </w:r>
      <w:r>
        <w:rPr>
          <w:rFonts w:ascii="Arial" w:hAnsi="Arial" w:eastAsia="宋体" w:cs="Arial"/>
          <w:szCs w:val="21"/>
        </w:rPr>
        <w:t>%、</w:t>
      </w:r>
      <w:r>
        <w:rPr>
          <w:rFonts w:hint="eastAsia" w:ascii="Arial" w:hAnsi="Arial" w:eastAsia="宋体" w:cs="Arial"/>
          <w:color w:val="auto"/>
          <w:kern w:val="2"/>
          <w:sz w:val="21"/>
          <w:szCs w:val="21"/>
          <w:lang w:val="en-US" w:eastAsia="zh-CN" w:bidi="ar-SA"/>
        </w:rPr>
        <w:t>重庆华诚投资有限公司持股1%，</w:t>
      </w:r>
      <w:r>
        <w:rPr>
          <w:rFonts w:ascii="Arial" w:hAnsi="Arial" w:eastAsia="宋体" w:cs="Arial"/>
          <w:szCs w:val="21"/>
        </w:rPr>
        <w:t>无法人变更</w:t>
      </w:r>
      <w:r>
        <w:rPr>
          <w:rFonts w:hint="eastAsia" w:ascii="Arial" w:hAnsi="Arial" w:eastAsia="宋体" w:cs="Arial"/>
          <w:szCs w:val="21"/>
        </w:rPr>
        <w:t>。</w:t>
      </w:r>
    </w:p>
    <w:p>
      <w:pPr>
        <w:spacing w:line="480" w:lineRule="auto"/>
        <w:ind w:firstLine="424" w:firstLineChars="202"/>
        <w:rPr>
          <w:rFonts w:hint="eastAsia" w:ascii="Arial" w:hAnsi="Arial" w:eastAsia="宋体" w:cs="Arial"/>
          <w:szCs w:val="21"/>
        </w:rPr>
      </w:pPr>
    </w:p>
    <w:p>
      <w:pPr>
        <w:spacing w:line="480" w:lineRule="auto"/>
        <w:ind w:firstLine="424" w:firstLineChars="202"/>
        <w:rPr>
          <w:rFonts w:ascii="Arial" w:hAnsi="Arial" w:eastAsia="宋体" w:cs="Arial"/>
          <w:szCs w:val="21"/>
        </w:rPr>
      </w:pPr>
      <w:r>
        <w:rPr>
          <w:rFonts w:hint="eastAsia" w:ascii="Arial" w:hAnsi="Arial" w:eastAsia="宋体" w:cs="Arial"/>
          <w:szCs w:val="21"/>
        </w:rPr>
        <w:t>三</w:t>
      </w:r>
      <w:r>
        <w:rPr>
          <w:rFonts w:ascii="Arial" w:hAnsi="Arial" w:eastAsia="宋体" w:cs="Arial"/>
          <w:szCs w:val="21"/>
        </w:rPr>
        <w:t>、进度描述：</w:t>
      </w:r>
    </w:p>
    <w:tbl>
      <w:tblPr>
        <w:tblStyle w:val="7"/>
        <w:tblW w:w="9376" w:type="dxa"/>
        <w:jc w:val="center"/>
        <w:tblBorders>
          <w:top w:val="thinThickSmallGap" w:color="000000" w:sz="12" w:space="0"/>
          <w:left w:val="none" w:color="auto" w:sz="0" w:space="0"/>
          <w:bottom w:val="thickThinSmallGap" w:color="000000" w:sz="12" w:space="0"/>
          <w:right w:val="none" w:color="auto" w:sz="0" w:space="0"/>
          <w:insideH w:val="dotted" w:color="000000" w:sz="4" w:space="0"/>
          <w:insideV w:val="dotted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7"/>
        <w:gridCol w:w="804"/>
        <w:gridCol w:w="804"/>
        <w:gridCol w:w="965"/>
        <w:gridCol w:w="1781"/>
        <w:gridCol w:w="1030"/>
        <w:gridCol w:w="920"/>
        <w:gridCol w:w="803"/>
        <w:gridCol w:w="804"/>
        <w:gridCol w:w="818"/>
      </w:tblGrid>
      <w:tr>
        <w:tblPrEx>
          <w:tblBorders>
            <w:top w:val="thinThickSmallGap" w:color="000000" w:sz="12" w:space="0"/>
            <w:left w:val="none" w:color="auto" w:sz="0" w:space="0"/>
            <w:bottom w:val="thickThinSmallGap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6" w:hRule="atLeast"/>
          <w:tblHeader/>
          <w:jc w:val="center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68355"/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b/>
                <w:bCs/>
                <w:color w:val="FFFFFF" w:themeColor="background1"/>
                <w:sz w:val="24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FFFFFF" w:themeColor="background1"/>
                <w:sz w:val="24"/>
                <w:lang w:bidi="ar"/>
                <w14:textFill>
                  <w14:solidFill>
                    <w14:schemeClr w14:val="bg1"/>
                  </w14:solidFill>
                </w14:textFill>
              </w:rPr>
              <w:t>序号</w:t>
            </w: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68355"/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b/>
                <w:bCs/>
                <w:color w:val="FFFFFF" w:themeColor="background1"/>
                <w:sz w:val="24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FFFFFF" w:themeColor="background1"/>
                <w:sz w:val="24"/>
                <w:lang w:bidi="ar"/>
                <w14:textFill>
                  <w14:solidFill>
                    <w14:schemeClr w14:val="bg1"/>
                  </w14:solidFill>
                </w14:textFill>
              </w:rPr>
              <w:t>楼栋号</w:t>
            </w: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68355"/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b/>
                <w:bCs/>
                <w:color w:val="FFFFFF" w:themeColor="background1"/>
                <w:sz w:val="24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FFFFFF" w:themeColor="background1"/>
                <w:sz w:val="24"/>
                <w:lang w:bidi="ar"/>
                <w14:textFill>
                  <w14:solidFill>
                    <w14:schemeClr w14:val="bg1"/>
                  </w14:solidFill>
                </w14:textFill>
              </w:rPr>
              <w:t>业态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A68355"/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b/>
                <w:bCs/>
                <w:color w:val="FFFFFF" w:themeColor="background1"/>
                <w:sz w:val="24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FFFFFF" w:themeColor="background1"/>
                <w:sz w:val="24"/>
                <w:lang w:bidi="ar"/>
                <w14:textFill>
                  <w14:solidFill>
                    <w14:schemeClr w14:val="bg1"/>
                  </w14:solidFill>
                </w14:textFill>
              </w:rPr>
              <w:t>建筑面积</w:t>
            </w:r>
          </w:p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b/>
                <w:bCs/>
                <w:color w:val="FFFFFF" w:themeColor="background1"/>
                <w:sz w:val="24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FFFFFF" w:themeColor="background1"/>
                <w:sz w:val="24"/>
                <w:lang w:bidi="ar"/>
                <w14:textFill>
                  <w14:solidFill>
                    <w14:schemeClr w14:val="bg1"/>
                  </w14:solidFill>
                </w14:textFill>
              </w:rPr>
              <w:t>（万㎡）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shd w:val="clear" w:color="auto" w:fill="A68355"/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b/>
                <w:bCs/>
                <w:color w:val="FFFFFF" w:themeColor="background1"/>
                <w:sz w:val="24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FFFFFF" w:themeColor="background1"/>
                <w:sz w:val="24"/>
                <w:lang w:bidi="ar"/>
                <w14:textFill>
                  <w14:solidFill>
                    <w14:schemeClr w14:val="bg1"/>
                  </w14:solidFill>
                </w14:textFill>
              </w:rPr>
              <w:t>形象进度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A68355"/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b/>
                <w:bCs/>
                <w:color w:val="FFFFFF" w:themeColor="background1"/>
                <w:sz w:val="24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FFFFFF" w:themeColor="background1"/>
                <w:sz w:val="24"/>
                <w:lang w:bidi="ar"/>
                <w14:textFill>
                  <w14:solidFill>
                    <w14:schemeClr w14:val="bg1"/>
                  </w14:solidFill>
                </w14:textFill>
              </w:rPr>
              <w:t>工期情况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68355"/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b/>
                <w:bCs/>
                <w:color w:val="FFFFFF" w:themeColor="background1"/>
                <w:sz w:val="24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FFFFFF" w:themeColor="background1"/>
                <w:sz w:val="24"/>
                <w:lang w:bidi="ar"/>
                <w14:textFill>
                  <w14:solidFill>
                    <w14:schemeClr w14:val="bg1"/>
                  </w14:solidFill>
                </w14:textFill>
              </w:rPr>
              <w:t>是否满足预售节点</w:t>
            </w:r>
          </w:p>
        </w:tc>
        <w:tc>
          <w:tcPr>
            <w:tcW w:w="803" w:type="dxa"/>
            <w:tcBorders>
              <w:tl2br w:val="nil"/>
              <w:tr2bl w:val="nil"/>
            </w:tcBorders>
            <w:shd w:val="clear" w:color="auto" w:fill="A68355"/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b/>
                <w:bCs/>
                <w:color w:val="FFFFFF" w:themeColor="background1"/>
                <w:sz w:val="24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FFFFFF" w:themeColor="background1"/>
                <w:sz w:val="24"/>
                <w:lang w:bidi="ar"/>
                <w14:textFill>
                  <w14:solidFill>
                    <w14:schemeClr w14:val="bg1"/>
                  </w14:solidFill>
                </w14:textFill>
              </w:rPr>
              <w:t>质量</w:t>
            </w: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68355"/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b/>
                <w:bCs/>
                <w:color w:val="FFFFFF" w:themeColor="background1"/>
                <w:sz w:val="24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FFFFFF" w:themeColor="background1"/>
                <w:sz w:val="24"/>
                <w:lang w:bidi="ar"/>
                <w14:textFill>
                  <w14:solidFill>
                    <w14:schemeClr w14:val="bg1"/>
                  </w14:solidFill>
                </w14:textFill>
              </w:rPr>
              <w:t>安全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A68355"/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b/>
                <w:bCs/>
                <w:color w:val="FFFFFF" w:themeColor="background1"/>
                <w:sz w:val="24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FFFFFF" w:themeColor="background1"/>
                <w:sz w:val="24"/>
                <w:lang w:bidi="ar"/>
                <w14:textFill>
                  <w14:solidFill>
                    <w14:schemeClr w14:val="bg1"/>
                  </w14:solidFill>
                </w14:textFill>
              </w:rPr>
              <w:t>备注</w:t>
            </w:r>
          </w:p>
        </w:tc>
      </w:tr>
      <w:tr>
        <w:tblPrEx>
          <w:tblBorders>
            <w:top w:val="thinThickSmallGap" w:color="000000" w:sz="12" w:space="0"/>
            <w:left w:val="none" w:color="auto" w:sz="0" w:space="0"/>
            <w:bottom w:val="thickThinSmallGap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b/>
                <w:bCs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sz w:val="18"/>
                <w:szCs w:val="18"/>
                <w:lang w:bidi="ar"/>
              </w:rPr>
              <w:t>1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"/>
              </w:rPr>
              <w:t>T3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hint="eastAsia" w:ascii="Arial" w:hAnsi="Arial" w:eastAsia="宋体" w:cs="Arial"/>
                <w:b/>
                <w:bCs/>
                <w:sz w:val="18"/>
                <w:szCs w:val="18"/>
                <w:lang w:eastAsia="zh-CN" w:bidi="ar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"/>
              </w:rPr>
              <w:t>公寓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b/>
                <w:bCs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.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"/>
              </w:rPr>
              <w:t>已交付物业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b/>
                <w:bCs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>逾期（约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40</w:t>
            </w:r>
            <w:r>
              <w:rPr>
                <w:rFonts w:ascii="Arial" w:hAnsi="Arial" w:eastAsia="宋体" w:cs="Arial"/>
                <w:sz w:val="18"/>
                <w:szCs w:val="18"/>
              </w:rPr>
              <w:t>天）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b/>
                <w:bCs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sz w:val="18"/>
                <w:szCs w:val="18"/>
                <w:lang w:bidi="ar"/>
              </w:rPr>
              <w:t>是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b/>
                <w:bCs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b/>
                <w:bCs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818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b/>
                <w:bCs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b/>
                <w:bCs/>
                <w:sz w:val="18"/>
                <w:szCs w:val="18"/>
                <w:lang w:bidi="ar"/>
              </w:rPr>
              <w:t>/</w:t>
            </w:r>
          </w:p>
        </w:tc>
      </w:tr>
      <w:tr>
        <w:tblPrEx>
          <w:tblBorders>
            <w:top w:val="thinThickSmallGap" w:color="000000" w:sz="12" w:space="0"/>
            <w:left w:val="none" w:color="auto" w:sz="0" w:space="0"/>
            <w:bottom w:val="thickThinSmallGap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8" w:hRule="atLeast"/>
          <w:jc w:val="center"/>
        </w:trPr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sz w:val="18"/>
                <w:szCs w:val="18"/>
                <w:lang w:bidi="ar"/>
              </w:rPr>
              <w:t>2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"/>
              </w:rPr>
              <w:t>T2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hint="eastAsia" w:ascii="Arial" w:hAnsi="Arial" w:eastAsia="宋体" w:cs="Arial"/>
                <w:sz w:val="18"/>
                <w:szCs w:val="18"/>
                <w:lang w:eastAsia="zh-CN" w:bidi="ar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"/>
              </w:rPr>
              <w:t>公寓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"/>
              </w:rPr>
              <w:t>4.2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"/>
              </w:rPr>
              <w:t>已交付物业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sz w:val="18"/>
                <w:szCs w:val="18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>逾期（约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hAnsi="Arial" w:eastAsia="宋体" w:cs="Arial"/>
                <w:sz w:val="18"/>
                <w:szCs w:val="18"/>
              </w:rPr>
              <w:t>0天）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sz w:val="18"/>
                <w:szCs w:val="18"/>
                <w:lang w:bidi="ar"/>
              </w:rPr>
              <w:t>是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818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b/>
                <w:bCs/>
                <w:sz w:val="18"/>
                <w:szCs w:val="18"/>
                <w:lang w:bidi="ar"/>
              </w:rPr>
              <w:t>/</w:t>
            </w:r>
          </w:p>
        </w:tc>
      </w:tr>
      <w:tr>
        <w:tblPrEx>
          <w:tblBorders>
            <w:top w:val="thinThickSmallGap" w:color="000000" w:sz="12" w:space="0"/>
            <w:left w:val="none" w:color="auto" w:sz="0" w:space="0"/>
            <w:bottom w:val="thickThinSmallGap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1" w:hRule="atLeast"/>
          <w:jc w:val="center"/>
        </w:trPr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sz w:val="18"/>
                <w:szCs w:val="18"/>
                <w:lang w:bidi="ar"/>
              </w:rPr>
              <w:t>3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"/>
              </w:rPr>
              <w:t>T1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hint="eastAsia" w:ascii="Arial" w:hAnsi="Arial" w:eastAsia="宋体" w:cs="Arial"/>
                <w:sz w:val="18"/>
                <w:szCs w:val="18"/>
                <w:lang w:eastAsia="zh-CN" w:bidi="ar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"/>
              </w:rPr>
              <w:t>住宅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"/>
              </w:rPr>
              <w:t>9.17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"/>
              </w:rPr>
              <w:t>六十三</w:t>
            </w:r>
            <w:r>
              <w:rPr>
                <w:rFonts w:hint="eastAsia" w:ascii="Arial" w:hAnsi="Arial" w:eastAsia="宋体" w:cs="Arial"/>
                <w:sz w:val="18"/>
                <w:szCs w:val="18"/>
                <w:lang w:bidi="ar"/>
              </w:rPr>
              <w:t>层柱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"/>
              </w:rPr>
              <w:t>梁墙板砼</w:t>
            </w:r>
            <w:r>
              <w:rPr>
                <w:rFonts w:hint="eastAsia" w:ascii="Arial" w:hAnsi="Arial" w:eastAsia="宋体" w:cs="Arial"/>
                <w:sz w:val="18"/>
                <w:szCs w:val="18"/>
                <w:lang w:bidi="ar"/>
              </w:rPr>
              <w:t>待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"/>
              </w:rPr>
              <w:t>浇筑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sz w:val="18"/>
                <w:szCs w:val="18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>逾期（约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9</w:t>
            </w:r>
            <w:r>
              <w:rPr>
                <w:rFonts w:ascii="Arial" w:hAnsi="Arial" w:eastAsia="宋体" w:cs="Arial"/>
                <w:sz w:val="18"/>
                <w:szCs w:val="18"/>
              </w:rPr>
              <w:t>0天）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sz w:val="18"/>
                <w:szCs w:val="18"/>
                <w:lang w:bidi="ar"/>
              </w:rPr>
              <w:t>是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818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sz w:val="18"/>
                <w:szCs w:val="18"/>
                <w:lang w:bidi="ar"/>
              </w:rPr>
              <w:t>取得预售许可证</w:t>
            </w:r>
          </w:p>
        </w:tc>
      </w:tr>
      <w:tr>
        <w:tblPrEx>
          <w:tblBorders>
            <w:top w:val="thinThickSmallGap" w:color="000000" w:sz="12" w:space="0"/>
            <w:left w:val="none" w:color="auto" w:sz="0" w:space="0"/>
            <w:bottom w:val="thickThinSmallGap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sz w:val="18"/>
                <w:szCs w:val="18"/>
                <w:lang w:bidi="ar"/>
              </w:rPr>
              <w:t>项目整体评价</w:t>
            </w:r>
          </w:p>
        </w:tc>
        <w:tc>
          <w:tcPr>
            <w:tcW w:w="8729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ind w:firstLine="420"/>
              <w:textAlignment w:val="center"/>
              <w:rPr>
                <w:rFonts w:ascii="Arial" w:hAnsi="Arial" w:eastAsia="宋体" w:cs="Arial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sz w:val="18"/>
                <w:szCs w:val="18"/>
                <w:lang w:bidi="ar"/>
              </w:rPr>
              <w:t>截至6月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"/>
              </w:rPr>
              <w:t>30</w:t>
            </w:r>
            <w:r>
              <w:rPr>
                <w:rFonts w:ascii="Arial" w:hAnsi="Arial" w:eastAsia="宋体" w:cs="Arial"/>
                <w:sz w:val="18"/>
                <w:szCs w:val="18"/>
                <w:lang w:bidi="ar"/>
              </w:rPr>
              <w:t>日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"/>
              </w:rPr>
              <w:t>T1/T2/T3栋均</w:t>
            </w:r>
            <w:r>
              <w:rPr>
                <w:rFonts w:ascii="Arial" w:hAnsi="Arial" w:eastAsia="宋体" w:cs="Arial"/>
                <w:sz w:val="18"/>
                <w:szCs w:val="18"/>
                <w:lang w:bidi="ar"/>
              </w:rPr>
              <w:t>已取得预售许可证，现场已经达到预售节点，工程整体进度因疫情、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"/>
              </w:rPr>
              <w:t>材料付款、</w:t>
            </w:r>
            <w:r>
              <w:rPr>
                <w:rFonts w:ascii="Arial" w:hAnsi="Arial" w:eastAsia="宋体" w:cs="Arial"/>
                <w:sz w:val="18"/>
                <w:szCs w:val="18"/>
                <w:lang w:bidi="ar"/>
              </w:rPr>
              <w:t>班组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"/>
              </w:rPr>
              <w:t>组织</w:t>
            </w:r>
            <w:r>
              <w:rPr>
                <w:rFonts w:ascii="Arial" w:hAnsi="Arial" w:eastAsia="宋体" w:cs="Arial"/>
                <w:sz w:val="18"/>
                <w:szCs w:val="18"/>
                <w:lang w:bidi="ar"/>
              </w:rPr>
              <w:t>等原因有所延误，</w:t>
            </w:r>
            <w:bookmarkStart w:id="0" w:name="_Hlk105709254"/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"/>
              </w:rPr>
              <w:t>T1栋</w:t>
            </w:r>
            <w:r>
              <w:rPr>
                <w:rFonts w:ascii="Arial" w:hAnsi="Arial" w:eastAsia="宋体" w:cs="Arial"/>
                <w:sz w:val="18"/>
                <w:szCs w:val="18"/>
                <w:lang w:bidi="ar"/>
              </w:rPr>
              <w:t>施工进度缓慢可能会影响项目可售房源供给</w:t>
            </w:r>
            <w:bookmarkEnd w:id="0"/>
            <w:r>
              <w:rPr>
                <w:rFonts w:ascii="Arial" w:hAnsi="Arial" w:eastAsia="宋体" w:cs="Arial"/>
                <w:sz w:val="18"/>
                <w:szCs w:val="18"/>
                <w:lang w:bidi="ar"/>
              </w:rPr>
              <w:t>。项目工程安全、质量可控，未发生安全、质量事故。</w:t>
            </w:r>
          </w:p>
        </w:tc>
      </w:tr>
    </w:tbl>
    <w:p>
      <w:pPr>
        <w:spacing w:line="480" w:lineRule="auto"/>
        <w:rPr>
          <w:rFonts w:ascii="Arial" w:hAnsi="Arial" w:eastAsia="宋体" w:cs="Arial"/>
          <w:szCs w:val="21"/>
        </w:rPr>
      </w:pPr>
      <w:r>
        <w:rPr>
          <w:rFonts w:hint="eastAsia" w:ascii="Arial" w:hAnsi="Arial" w:eastAsia="宋体" w:cs="Arial"/>
          <w:szCs w:val="21"/>
        </w:rPr>
        <w:t>五、</w:t>
      </w:r>
      <w:r>
        <w:rPr>
          <w:rFonts w:ascii="Arial" w:hAnsi="Arial" w:eastAsia="宋体" w:cs="Arial"/>
          <w:szCs w:val="21"/>
        </w:rPr>
        <w:t>销售状况</w:t>
      </w:r>
    </w:p>
    <w:p>
      <w:pPr>
        <w:spacing w:line="480" w:lineRule="auto"/>
        <w:ind w:left="-424" w:leftChars="-202" w:firstLine="424" w:firstLineChars="202"/>
        <w:rPr>
          <w:rFonts w:ascii="Arial" w:hAnsi="Arial" w:eastAsia="宋体" w:cs="Arial"/>
          <w:szCs w:val="21"/>
        </w:rPr>
      </w:pPr>
      <w:r>
        <w:rPr>
          <w:rFonts w:ascii="Arial" w:hAnsi="Arial" w:eastAsia="宋体" w:cs="Arial"/>
          <w:szCs w:val="21"/>
        </w:rPr>
        <w:t>截至6月</w:t>
      </w:r>
      <w:r>
        <w:rPr>
          <w:rFonts w:hint="eastAsia" w:ascii="Arial" w:hAnsi="Arial" w:eastAsia="宋体" w:cs="Arial"/>
          <w:szCs w:val="21"/>
        </w:rPr>
        <w:t>30</w:t>
      </w:r>
      <w:r>
        <w:rPr>
          <w:rFonts w:ascii="Arial" w:hAnsi="Arial" w:eastAsia="宋体" w:cs="Arial"/>
          <w:szCs w:val="21"/>
        </w:rPr>
        <w:t>日</w:t>
      </w:r>
      <w:r>
        <w:rPr>
          <w:rFonts w:hint="eastAsia" w:ascii="Arial" w:hAnsi="Arial" w:eastAsia="宋体" w:cs="Arial"/>
          <w:szCs w:val="21"/>
          <w:lang w:val="en-US" w:eastAsia="zh-CN"/>
        </w:rPr>
        <w:t>公寓累计认购总额为48,088,237.00元（不包含网签总额），网签总额为1,099,099,556.00元，销售总额为1,147,187,793.00元，实收非贷款房款为803,972,120.60元，实收按揭贷款136,096,000.00元，回款总额为940,068,120.60元；住宅累计认购总额为36,946,310.00元（不包含网签总额），网签约总额为456,850,723.00元，销售总额为493,797,033.00元，实收非贷款房款为277,604,385.00元，实收按揭贷款113,138,000.00元，回款总额为390,742,385.00元。</w:t>
      </w:r>
    </w:p>
    <w:p>
      <w:pPr>
        <w:spacing w:line="480" w:lineRule="auto"/>
        <w:ind w:left="-424" w:leftChars="-202" w:firstLine="424" w:firstLineChars="202"/>
        <w:rPr>
          <w:rFonts w:hint="default" w:ascii="Arial" w:hAnsi="Arial" w:eastAsia="宋体" w:cs="Arial"/>
          <w:szCs w:val="21"/>
          <w:lang w:val="en-US" w:eastAsia="zh-CN"/>
        </w:rPr>
      </w:pPr>
      <w:r>
        <w:rPr>
          <w:rFonts w:hint="eastAsia" w:ascii="Arial" w:hAnsi="Arial" w:eastAsia="宋体" w:cs="Arial"/>
          <w:szCs w:val="21"/>
        </w:rPr>
        <w:t>六、</w:t>
      </w:r>
      <w:r>
        <w:rPr>
          <w:rFonts w:ascii="Arial" w:hAnsi="Arial" w:eastAsia="宋体" w:cs="Arial"/>
          <w:szCs w:val="21"/>
        </w:rPr>
        <w:t>抵押情况</w:t>
      </w:r>
      <w:r>
        <w:rPr>
          <w:rFonts w:hint="eastAsia" w:ascii="Arial" w:hAnsi="Arial" w:eastAsia="宋体" w:cs="Arial"/>
          <w:szCs w:val="21"/>
          <w:lang w:eastAsia="zh-CN"/>
        </w:rPr>
        <w:t>：</w:t>
      </w:r>
      <w:r>
        <w:rPr>
          <w:rFonts w:hint="eastAsia" w:ascii="Arial" w:hAnsi="Arial" w:eastAsia="宋体" w:cs="Arial"/>
          <w:szCs w:val="21"/>
          <w:lang w:val="en-US" w:eastAsia="zh-CN"/>
        </w:rPr>
        <w:t>项目已全解押，无抵押情况</w:t>
      </w:r>
    </w:p>
    <w:p>
      <w:pPr>
        <w:spacing w:line="480" w:lineRule="auto"/>
        <w:rPr>
          <w:rFonts w:ascii="Arial" w:hAnsi="Arial" w:eastAsia="宋体" w:cs="Arial"/>
          <w:szCs w:val="21"/>
        </w:rPr>
      </w:pPr>
      <w:r>
        <w:rPr>
          <w:rFonts w:hint="eastAsia" w:ascii="Arial" w:hAnsi="Arial" w:eastAsia="宋体" w:cs="Arial"/>
          <w:szCs w:val="21"/>
        </w:rPr>
        <w:t>七、风险</w:t>
      </w:r>
      <w:r>
        <w:rPr>
          <w:rFonts w:ascii="Arial" w:hAnsi="Arial" w:eastAsia="宋体" w:cs="Arial"/>
          <w:szCs w:val="21"/>
        </w:rPr>
        <w:t>描述</w:t>
      </w:r>
      <w:r>
        <w:rPr>
          <w:rFonts w:hint="eastAsia" w:ascii="Arial" w:hAnsi="Arial" w:eastAsia="宋体" w:cs="Arial"/>
          <w:szCs w:val="21"/>
        </w:rPr>
        <w:t>：</w:t>
      </w:r>
      <w:r>
        <w:rPr>
          <w:rFonts w:ascii="Arial" w:hAnsi="Arial" w:eastAsia="宋体" w:cs="Arial"/>
          <w:szCs w:val="21"/>
        </w:rPr>
        <w:t>销售缓慢</w:t>
      </w:r>
      <w:r>
        <w:rPr>
          <w:rFonts w:hint="eastAsia" w:ascii="Arial" w:hAnsi="Arial" w:eastAsia="宋体" w:cs="Arial"/>
          <w:szCs w:val="21"/>
        </w:rPr>
        <w:t>、</w:t>
      </w:r>
      <w:r>
        <w:rPr>
          <w:rFonts w:ascii="Arial" w:hAnsi="Arial" w:eastAsia="宋体" w:cs="Arial"/>
          <w:szCs w:val="21"/>
        </w:rPr>
        <w:t>回款压力大</w:t>
      </w:r>
    </w:p>
    <w:p>
      <w:pPr>
        <w:spacing w:line="480" w:lineRule="auto"/>
        <w:ind w:left="-424" w:leftChars="-202" w:firstLine="424" w:firstLineChars="202"/>
        <w:rPr>
          <w:rFonts w:ascii="Arial" w:hAnsi="Arial" w:eastAsia="宋体" w:cs="Arial"/>
          <w:szCs w:val="21"/>
        </w:rPr>
      </w:pPr>
      <w:r>
        <w:rPr>
          <w:rFonts w:hint="eastAsia" w:ascii="Arial" w:hAnsi="Arial" w:eastAsia="宋体" w:cs="Arial"/>
          <w:szCs w:val="21"/>
        </w:rPr>
        <w:t>八、</w:t>
      </w:r>
      <w:r>
        <w:rPr>
          <w:rFonts w:ascii="Arial" w:hAnsi="Arial" w:eastAsia="宋体" w:cs="Arial"/>
          <w:szCs w:val="21"/>
        </w:rPr>
        <w:t>其他需要提示的内容：无</w:t>
      </w:r>
    </w:p>
    <w:p>
      <w:pPr>
        <w:spacing w:line="480" w:lineRule="auto"/>
        <w:ind w:left="-424" w:leftChars="-202" w:firstLine="424" w:firstLineChars="202"/>
        <w:rPr>
          <w:rFonts w:ascii="Arial" w:hAnsi="Arial" w:eastAsia="宋体" w:cs="Arial"/>
          <w:szCs w:val="21"/>
        </w:rPr>
      </w:pPr>
      <w:r>
        <w:rPr>
          <w:rFonts w:hint="eastAsia" w:ascii="Arial" w:hAnsi="Arial" w:eastAsia="宋体" w:cs="Arial"/>
          <w:szCs w:val="21"/>
        </w:rPr>
        <w:t>九、</w:t>
      </w:r>
      <w:r>
        <w:rPr>
          <w:rFonts w:ascii="Arial" w:hAnsi="Arial" w:eastAsia="宋体" w:cs="Arial"/>
          <w:szCs w:val="21"/>
        </w:rPr>
        <w:t>加盖康正</w:t>
      </w:r>
      <w:r>
        <w:rPr>
          <w:rFonts w:hint="eastAsia" w:ascii="Arial" w:hAnsi="Arial" w:eastAsia="宋体" w:cs="Arial"/>
          <w:szCs w:val="21"/>
          <w:lang w:val="en-US" w:eastAsia="zh-CN"/>
        </w:rPr>
        <w:t>国际</w:t>
      </w:r>
      <w:r>
        <w:rPr>
          <w:rFonts w:ascii="Arial" w:hAnsi="Arial" w:eastAsia="宋体" w:cs="Arial"/>
          <w:szCs w:val="21"/>
        </w:rPr>
        <w:t>的监管专用章：是</w:t>
      </w:r>
    </w:p>
    <w:p>
      <w:pPr>
        <w:spacing w:line="480" w:lineRule="auto"/>
        <w:jc w:val="right"/>
        <w:rPr>
          <w:rFonts w:ascii="Arial" w:hAnsi="Arial" w:eastAsia="宋体" w:cs="Arial"/>
          <w:szCs w:val="21"/>
        </w:rPr>
      </w:pPr>
      <w:r>
        <w:rPr>
          <w:rFonts w:hint="eastAsia" w:ascii="Arial" w:hAnsi="Arial" w:eastAsia="宋体" w:cs="Arial"/>
          <w:szCs w:val="21"/>
        </w:rPr>
        <w:t>北京康信君安资产管理有限公司</w:t>
      </w:r>
    </w:p>
    <w:p>
      <w:pPr>
        <w:spacing w:line="480" w:lineRule="auto"/>
        <w:ind w:left="-424" w:leftChars="-202" w:firstLine="424" w:firstLineChars="202"/>
        <w:jc w:val="right"/>
      </w:pPr>
      <w:r>
        <w:rPr>
          <w:rFonts w:ascii="Arial" w:hAnsi="Arial" w:eastAsia="宋体" w:cs="Arial"/>
          <w:szCs w:val="21"/>
        </w:rPr>
        <w:t>2022年</w:t>
      </w:r>
      <w:r>
        <w:rPr>
          <w:rFonts w:hint="eastAsia" w:ascii="Arial" w:hAnsi="Arial" w:eastAsia="宋体" w:cs="Arial"/>
          <w:szCs w:val="21"/>
          <w:lang w:val="en-US" w:eastAsia="zh-CN"/>
        </w:rPr>
        <w:t>7</w:t>
      </w:r>
      <w:r>
        <w:rPr>
          <w:rFonts w:ascii="Arial" w:hAnsi="Arial" w:eastAsia="宋体" w:cs="Arial"/>
          <w:szCs w:val="21"/>
        </w:rPr>
        <w:t>月</w:t>
      </w:r>
      <w:r>
        <w:rPr>
          <w:rFonts w:hint="eastAsia" w:ascii="Arial" w:hAnsi="Arial" w:eastAsia="宋体" w:cs="Arial"/>
          <w:szCs w:val="21"/>
          <w:lang w:val="en-US" w:eastAsia="zh-CN"/>
        </w:rPr>
        <w:t>7</w:t>
      </w:r>
      <w:r>
        <w:rPr>
          <w:rFonts w:ascii="Arial" w:hAnsi="Arial" w:eastAsia="宋体" w:cs="Arial"/>
          <w:szCs w:val="21"/>
        </w:rPr>
        <w:t>日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JiZGIzZWZkZGViZTdhMTQ1MWU1YTMwMDVlMzhlZTUifQ=="/>
  </w:docVars>
  <w:rsids>
    <w:rsidRoot w:val="00845294"/>
    <w:rsid w:val="001B5369"/>
    <w:rsid w:val="001E3150"/>
    <w:rsid w:val="001E36C8"/>
    <w:rsid w:val="0020029D"/>
    <w:rsid w:val="003768A8"/>
    <w:rsid w:val="00451F0B"/>
    <w:rsid w:val="005F3486"/>
    <w:rsid w:val="00690641"/>
    <w:rsid w:val="006C0BCB"/>
    <w:rsid w:val="0072132F"/>
    <w:rsid w:val="00826BAF"/>
    <w:rsid w:val="00845294"/>
    <w:rsid w:val="008A3329"/>
    <w:rsid w:val="009D5D65"/>
    <w:rsid w:val="00D36E2D"/>
    <w:rsid w:val="00D83C41"/>
    <w:rsid w:val="00D91466"/>
    <w:rsid w:val="00DE2BAD"/>
    <w:rsid w:val="01CC7FF4"/>
    <w:rsid w:val="08610F5D"/>
    <w:rsid w:val="0B663156"/>
    <w:rsid w:val="14544153"/>
    <w:rsid w:val="176C1815"/>
    <w:rsid w:val="18294D9C"/>
    <w:rsid w:val="37931583"/>
    <w:rsid w:val="3A766057"/>
    <w:rsid w:val="3DFD0B59"/>
    <w:rsid w:val="42E02BB2"/>
    <w:rsid w:val="447D0140"/>
    <w:rsid w:val="59177F78"/>
    <w:rsid w:val="6B2136CD"/>
    <w:rsid w:val="7BD5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4">
    <w:name w:val="annotation text"/>
    <w:basedOn w:val="1"/>
    <w:unhideWhenUsed/>
    <w:qFormat/>
    <w:uiPriority w:val="0"/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unhideWhenUsed/>
    <w:qFormat/>
    <w:uiPriority w:val="0"/>
    <w:rPr>
      <w:sz w:val="21"/>
      <w:szCs w:val="21"/>
    </w:rPr>
  </w:style>
  <w:style w:type="character" w:customStyle="1" w:styleId="10">
    <w:name w:val="页眉 字符"/>
    <w:basedOn w:val="8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954</Words>
  <Characters>1253</Characters>
  <Lines>16</Lines>
  <Paragraphs>4</Paragraphs>
  <TotalTime>5</TotalTime>
  <ScaleCrop>false</ScaleCrop>
  <LinksUpToDate>false</LinksUpToDate>
  <CharactersWithSpaces>1259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2022-05-30T08:17:00Z</dcterms:created>
  <dc:creator>赵秀红</dc:creator>
  <cp:lastModifiedBy>郭胜霖</cp:lastModifiedBy>
  <dcterms:modified xsi:type="dcterms:W3CDTF">2022-07-07T02:19:03Z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27DA9769F9054679B3C6618D2615251C</vt:lpwstr>
  </property>
</Properties>
</file>