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0"/>
          <w:szCs w:val="30"/>
        </w:rPr>
      </w:pPr>
      <w:r>
        <w:rPr>
          <w:rFonts w:hint="eastAsia"/>
          <w:sz w:val="30"/>
          <w:szCs w:val="30"/>
        </w:rPr>
        <w:t>五矿顺德恒大·铂睿府项目情况说明</w:t>
      </w:r>
    </w:p>
    <w:p>
      <w:pPr>
        <w:rPr>
          <w:sz w:val="28"/>
          <w:szCs w:val="28"/>
        </w:rPr>
      </w:pPr>
      <w:r>
        <w:rPr>
          <w:sz w:val="28"/>
          <w:szCs w:val="28"/>
        </w:rPr>
        <w:t>1、项目基本情况</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的对外推广名为“恒大·铂睿府项目”，坐落于广东省顺德区，东至环湖路（规划）、南至学院南路（规划）、西至学院南路（规划）、北至乔岸路。地块用途为城镇住宅用地，宗地面积119,804.74平方米，总建筑面积592,256.04平方米，计容面积419,316.59平方米，建筑密度18.6%，最大层数38，综合容积率为3.5，业态为精装高层及0.57万平方米底商，共3797户。</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配套设施包括社区服务中心、物业管理用房、中心开关房、节点开关房、配电房、消防控制室、公共厕所、弱电机房、公交首末站、幼儿园、户外健身场地等，共设置机动车停车位4024个。</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标的项目拟建单体33栋，其中第2栋、11栋为2层商业、第25栋为公交首末站、第33栋为幼儿园，其他均为住宅。29栋住宅楼中第20、26、27、28、29、30、31栋为38层，其他均为33层，项目分为三期开发。</w:t>
      </w:r>
    </w:p>
    <w:p>
      <w:pPr>
        <w:numPr>
          <w:ilvl w:val="0"/>
          <w:numId w:val="1"/>
        </w:numPr>
        <w:rPr>
          <w:sz w:val="30"/>
          <w:szCs w:val="30"/>
        </w:rPr>
      </w:pPr>
      <w:r>
        <w:rPr>
          <w:sz w:val="30"/>
          <w:szCs w:val="30"/>
        </w:rPr>
        <w:t>股权或法人变更</w:t>
      </w:r>
    </w:p>
    <w:p>
      <w:pPr>
        <w:pStyle w:val="2"/>
        <w:spacing w:line="48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公司由佛山市南海俊凯房地产开发有限公司于2020年5月6日独资设立，2021年12月30日启动企业类型及股权变更，并于2022年1月14日变更完成，变更后五矿国际信托有限公司股权比例为100%，法定代表人由朱德全变更为李翔。</w:t>
      </w:r>
    </w:p>
    <w:p>
      <w:pPr>
        <w:spacing w:line="480" w:lineRule="auto"/>
        <w:rPr>
          <w:sz w:val="30"/>
          <w:szCs w:val="30"/>
        </w:rPr>
      </w:pPr>
    </w:p>
    <w:p>
      <w:pPr>
        <w:rPr>
          <w:sz w:val="30"/>
          <w:szCs w:val="30"/>
        </w:rPr>
      </w:pPr>
    </w:p>
    <w:p>
      <w:pPr>
        <w:rPr>
          <w:sz w:val="30"/>
          <w:szCs w:val="30"/>
        </w:rPr>
      </w:pPr>
    </w:p>
    <w:p>
      <w:pPr>
        <w:rPr>
          <w:sz w:val="30"/>
          <w:szCs w:val="30"/>
        </w:rPr>
      </w:pPr>
    </w:p>
    <w:p>
      <w:pPr>
        <w:rPr>
          <w:sz w:val="30"/>
          <w:szCs w:val="30"/>
        </w:rPr>
        <w:sectPr>
          <w:pgSz w:w="11906" w:h="16838"/>
          <w:pgMar w:top="1440" w:right="1800" w:bottom="1440" w:left="1800" w:header="851" w:footer="992" w:gutter="0"/>
          <w:cols w:space="425" w:num="1"/>
          <w:docGrid w:type="lines" w:linePitch="312" w:charSpace="0"/>
        </w:sectPr>
      </w:pPr>
    </w:p>
    <w:p>
      <w:pPr>
        <w:numPr>
          <w:ilvl w:val="0"/>
          <w:numId w:val="1"/>
        </w:numPr>
        <w:rPr>
          <w:sz w:val="30"/>
          <w:szCs w:val="30"/>
        </w:rPr>
      </w:pPr>
      <w:r>
        <w:rPr>
          <w:sz w:val="30"/>
          <w:szCs w:val="30"/>
        </w:rPr>
        <w:t>进度描述</w:t>
      </w:r>
    </w:p>
    <w:p>
      <w:pPr>
        <w:pStyle w:val="2"/>
        <w:spacing w:line="480" w:lineRule="auto"/>
        <w:ind w:firstLine="480"/>
        <w:rPr>
          <w:sz w:val="24"/>
          <w:szCs w:val="24"/>
        </w:rPr>
      </w:pPr>
      <w:r>
        <w:rPr>
          <w:rFonts w:hint="eastAsia" w:ascii="宋体" w:hAnsi="宋体" w:eastAsia="宋体" w:cs="宋体"/>
          <w:bCs/>
          <w:sz w:val="24"/>
          <w:szCs w:val="24"/>
        </w:rPr>
        <w:t>项目现场因恒大方资金紧张，未缴齐土地款和施工方工程款，土地证被扣押在国土局，施工方也于2020年11月份停工退场，截止目前尚未复工。目前项目地各楼栋开发进度详见下表：</w:t>
      </w:r>
    </w:p>
    <w:p>
      <w:pPr>
        <w:spacing w:line="480" w:lineRule="auto"/>
        <w:jc w:val="center"/>
        <w:rPr>
          <w:rFonts w:ascii="宋体" w:hAnsi="宋体" w:cs="宋体"/>
          <w:bCs/>
          <w:sz w:val="24"/>
        </w:rPr>
      </w:pPr>
      <w:r>
        <w:rPr>
          <w:rFonts w:hint="eastAsia" w:ascii="宋体" w:hAnsi="宋体" w:cs="宋体"/>
          <w:color w:val="000000"/>
          <w:sz w:val="24"/>
        </w:rPr>
        <w:t>表五：</w:t>
      </w:r>
      <w:r>
        <w:rPr>
          <w:rFonts w:hint="eastAsia" w:ascii="宋体" w:hAnsi="宋体" w:cs="宋体"/>
          <w:bCs/>
          <w:sz w:val="24"/>
        </w:rPr>
        <w:t>项目开发进度表</w:t>
      </w:r>
    </w:p>
    <w:tbl>
      <w:tblPr>
        <w:tblStyle w:val="4"/>
        <w:tblpPr w:leftFromText="180" w:rightFromText="180" w:vertAnchor="text" w:horzAnchor="page" w:tblpX="1129" w:tblpY="314"/>
        <w:tblOverlap w:val="never"/>
        <w:tblW w:w="14854" w:type="dxa"/>
        <w:tblInd w:w="0" w:type="dxa"/>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Layout w:type="autofit"/>
        <w:tblCellMar>
          <w:top w:w="0" w:type="dxa"/>
          <w:left w:w="0" w:type="dxa"/>
          <w:bottom w:w="0" w:type="dxa"/>
          <w:right w:w="0" w:type="dxa"/>
        </w:tblCellMar>
      </w:tblPr>
      <w:tblGrid>
        <w:gridCol w:w="959"/>
        <w:gridCol w:w="2141"/>
        <w:gridCol w:w="1804"/>
        <w:gridCol w:w="1764"/>
        <w:gridCol w:w="3146"/>
        <w:gridCol w:w="5040"/>
      </w:tblGrid>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818" w:hRule="atLeast"/>
        </w:trPr>
        <w:tc>
          <w:tcPr>
            <w:tcW w:w="959"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序号</w:t>
            </w:r>
          </w:p>
        </w:tc>
        <w:tc>
          <w:tcPr>
            <w:tcW w:w="2141"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单位工程</w:t>
            </w:r>
            <w:r>
              <w:rPr>
                <w:rFonts w:ascii="Arial" w:hAnsi="Arial" w:cs="Arial"/>
                <w:b/>
                <w:color w:val="FFFFFF" w:themeColor="background1"/>
                <w:kern w:val="0"/>
                <w:sz w:val="18"/>
                <w:szCs w:val="18"/>
                <w:lang w:bidi="ar"/>
                <w14:textFill>
                  <w14:solidFill>
                    <w14:schemeClr w14:val="bg1"/>
                  </w14:solidFill>
                </w14:textFill>
              </w:rPr>
              <w:t>/</w:t>
            </w:r>
            <w:r>
              <w:rPr>
                <w:rFonts w:hint="eastAsia" w:ascii="宋体" w:hAnsi="宋体" w:cs="宋体"/>
                <w:b/>
                <w:color w:val="FFFFFF"/>
                <w:kern w:val="0"/>
                <w:sz w:val="24"/>
                <w:lang w:bidi="ar"/>
              </w:rPr>
              <w:t>属期/楼栋</w:t>
            </w:r>
          </w:p>
        </w:tc>
        <w:tc>
          <w:tcPr>
            <w:tcW w:w="1804"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上期施工计划</w:t>
            </w:r>
          </w:p>
        </w:tc>
        <w:tc>
          <w:tcPr>
            <w:tcW w:w="1764"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本期施工进度</w:t>
            </w:r>
          </w:p>
        </w:tc>
        <w:tc>
          <w:tcPr>
            <w:tcW w:w="3146"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评价当前施工进度</w:t>
            </w:r>
          </w:p>
        </w:tc>
        <w:tc>
          <w:tcPr>
            <w:tcW w:w="5040" w:type="dxa"/>
            <w:tcBorders>
              <w:tl2br w:val="nil"/>
              <w:tr2bl w:val="nil"/>
            </w:tcBorders>
            <w:shd w:val="clear" w:color="auto" w:fill="A68355"/>
            <w:tcMar>
              <w:top w:w="10" w:type="dxa"/>
              <w:left w:w="10" w:type="dxa"/>
              <w:right w:w="10" w:type="dxa"/>
            </w:tcMar>
            <w:vAlign w:val="center"/>
          </w:tcPr>
          <w:p>
            <w:pPr>
              <w:widowControl/>
              <w:jc w:val="center"/>
              <w:textAlignment w:val="center"/>
              <w:rPr>
                <w:rFonts w:ascii="宋体" w:hAnsi="宋体" w:cs="宋体"/>
                <w:b/>
                <w:color w:val="FFFFFF"/>
                <w:sz w:val="24"/>
              </w:rPr>
            </w:pPr>
            <w:r>
              <w:rPr>
                <w:rFonts w:hint="eastAsia" w:ascii="宋体" w:hAnsi="宋体" w:cs="宋体"/>
                <w:b/>
                <w:color w:val="FFFFFF"/>
                <w:kern w:val="0"/>
                <w:sz w:val="24"/>
                <w:lang w:bidi="ar"/>
              </w:rPr>
              <w:t>备注（进度迟缓原因）</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1</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1#</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底板垫层完成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2</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2#</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主体结构封顶</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3</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3#</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底板垫层完成45%</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4</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4#</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2层模板完成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5</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5层板筋完成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Cs w:val="21"/>
              </w:rPr>
            </w:pPr>
            <w:r>
              <w:rPr>
                <w:rFonts w:hint="eastAsia" w:ascii="Arial" w:hAnsi="Arial" w:cs="宋体"/>
                <w:color w:val="000000"/>
                <w:sz w:val="18"/>
              </w:rPr>
              <w:t>6</w:t>
            </w:r>
          </w:p>
        </w:tc>
        <w:tc>
          <w:tcPr>
            <w:tcW w:w="2141"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6#</w:t>
            </w:r>
          </w:p>
        </w:tc>
        <w:tc>
          <w:tcPr>
            <w:tcW w:w="180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5层板砼完成</w:t>
            </w:r>
          </w:p>
        </w:tc>
        <w:tc>
          <w:tcPr>
            <w:tcW w:w="3146"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宋体" w:hAnsi="宋体" w:cs="宋体"/>
                <w:color w:val="000000"/>
                <w:sz w:val="18"/>
                <w:szCs w:val="18"/>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7</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7#</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5层板筋完成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8</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8#</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地下室顶板钢筋完成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9</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ascii="Arial" w:hAnsi="Arial" w:cs="Arial"/>
                <w:color w:val="000000"/>
                <w:sz w:val="18"/>
                <w:szCs w:val="18"/>
              </w:rPr>
              <w:t>9、10#</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Arial"/>
                <w:color w:val="000000"/>
                <w:sz w:val="18"/>
                <w:szCs w:val="18"/>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土方开挖</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10</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11#</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首层钢筋绑扎</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11</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12-14、15-18#</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土方开挖</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12</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19-24#、26#</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13</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25#</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14</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27#</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楼桩基础完成95%</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15</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28、29、32#</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16</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30、31#</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r>
        <w:tblPrEx>
          <w:tblBorders>
            <w:top w:val="thinThickSmallGap" w:color="000000" w:sz="12" w:space="0"/>
            <w:left w:val="none" w:color="auto" w:sz="0" w:space="0"/>
            <w:bottom w:val="thickThinSmallGap"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trHeight w:val="280" w:hRule="atLeast"/>
        </w:trPr>
        <w:tc>
          <w:tcPr>
            <w:tcW w:w="959"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rPr>
            </w:pPr>
            <w:r>
              <w:rPr>
                <w:rFonts w:hint="eastAsia" w:ascii="Arial" w:hAnsi="Arial" w:cs="宋体"/>
                <w:color w:val="000000"/>
                <w:sz w:val="18"/>
              </w:rPr>
              <w:t>17</w:t>
            </w:r>
          </w:p>
        </w:tc>
        <w:tc>
          <w:tcPr>
            <w:tcW w:w="2141"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33#</w:t>
            </w:r>
          </w:p>
        </w:tc>
        <w:tc>
          <w:tcPr>
            <w:tcW w:w="180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无</w:t>
            </w:r>
          </w:p>
        </w:tc>
        <w:tc>
          <w:tcPr>
            <w:tcW w:w="1764"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楼桩基础完成72%</w:t>
            </w:r>
          </w:p>
        </w:tc>
        <w:tc>
          <w:tcPr>
            <w:tcW w:w="3146"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当前进度停滞</w:t>
            </w:r>
          </w:p>
        </w:tc>
        <w:tc>
          <w:tcPr>
            <w:tcW w:w="5040" w:type="dxa"/>
            <w:tcBorders>
              <w:tl2br w:val="nil"/>
              <w:tr2bl w:val="nil"/>
            </w:tcBorders>
            <w:shd w:val="clear" w:color="auto" w:fill="auto"/>
            <w:tcMar>
              <w:top w:w="10" w:type="dxa"/>
              <w:left w:w="10" w:type="dxa"/>
              <w:right w:w="10" w:type="dxa"/>
            </w:tcMar>
            <w:vAlign w:val="center"/>
          </w:tcPr>
          <w:p>
            <w:pPr>
              <w:jc w:val="center"/>
              <w:rPr>
                <w:rFonts w:ascii="Arial" w:hAnsi="Arial" w:cs="宋体"/>
                <w:color w:val="000000"/>
                <w:sz w:val="18"/>
                <w:szCs w:val="21"/>
              </w:rPr>
            </w:pPr>
            <w:r>
              <w:rPr>
                <w:rFonts w:hint="eastAsia" w:ascii="Arial" w:hAnsi="Arial" w:cs="宋体"/>
                <w:color w:val="000000"/>
                <w:sz w:val="18"/>
                <w:szCs w:val="21"/>
              </w:rPr>
              <w:t>项目已停工</w:t>
            </w:r>
          </w:p>
        </w:tc>
      </w:tr>
    </w:tbl>
    <w:p>
      <w:pPr>
        <w:pStyle w:val="2"/>
        <w:ind w:firstLine="0" w:firstLineChars="0"/>
      </w:pPr>
    </w:p>
    <w:p>
      <w:pPr>
        <w:numPr>
          <w:ilvl w:val="0"/>
          <w:numId w:val="1"/>
        </w:numPr>
        <w:rPr>
          <w:sz w:val="30"/>
          <w:szCs w:val="30"/>
        </w:rPr>
      </w:pPr>
      <w:r>
        <w:rPr>
          <w:sz w:val="30"/>
          <w:szCs w:val="30"/>
        </w:rPr>
        <w:t>资金状况</w:t>
      </w:r>
    </w:p>
    <w:p>
      <w:pPr>
        <w:spacing w:line="48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本期项目公司账户资金流入1,748.74元。</w:t>
      </w:r>
    </w:p>
    <w:p>
      <w:pPr>
        <w:spacing w:line="48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本期项目公司账户资金支出0元。</w:t>
      </w:r>
    </w:p>
    <w:p>
      <w:pPr>
        <w:spacing w:line="480" w:lineRule="auto"/>
        <w:ind w:firstLine="480" w:firstLineChars="200"/>
        <w:jc w:val="left"/>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本期青海云华（中信银行西宁小桥大街支行8112801013700068559）资金支出1,166,002,015.43元。</w:t>
      </w:r>
    </w:p>
    <w:p>
      <w:pPr>
        <w:spacing w:line="48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截至本期期末项目公司所有共管账户(不包含青海云华账户) 资金余额1,957,825.61 元。</w:t>
      </w:r>
    </w:p>
    <w:p>
      <w:pPr>
        <w:pStyle w:val="2"/>
      </w:pPr>
    </w:p>
    <w:p>
      <w:pPr>
        <w:numPr>
          <w:ilvl w:val="0"/>
          <w:numId w:val="1"/>
        </w:numPr>
        <w:rPr>
          <w:sz w:val="30"/>
          <w:szCs w:val="30"/>
        </w:rPr>
      </w:pPr>
      <w:r>
        <w:rPr>
          <w:sz w:val="30"/>
          <w:szCs w:val="30"/>
        </w:rPr>
        <w:t>销售状况</w:t>
      </w:r>
    </w:p>
    <w:p>
      <w:pPr>
        <w:pStyle w:val="2"/>
        <w:ind w:firstLine="480"/>
      </w:pPr>
      <w:r>
        <w:rPr>
          <w:rFonts w:hint="eastAsia" w:ascii="宋体" w:hAnsi="宋体" w:eastAsia="宋体" w:cs="宋体"/>
          <w:sz w:val="24"/>
          <w:szCs w:val="24"/>
        </w:rPr>
        <w:t>该项目未取得预售证，未进入销售阶段</w:t>
      </w:r>
      <w:r>
        <w:rPr>
          <w:rFonts w:hint="eastAsia"/>
        </w:rPr>
        <w:t>。</w:t>
      </w:r>
    </w:p>
    <w:p>
      <w:pPr>
        <w:numPr>
          <w:ilvl w:val="0"/>
          <w:numId w:val="1"/>
        </w:numPr>
        <w:rPr>
          <w:sz w:val="30"/>
          <w:szCs w:val="30"/>
        </w:rPr>
      </w:pPr>
      <w:r>
        <w:rPr>
          <w:sz w:val="30"/>
          <w:szCs w:val="30"/>
        </w:rPr>
        <w:t>贷款和抵押情况</w:t>
      </w:r>
    </w:p>
    <w:p>
      <w:pPr>
        <w:pStyle w:val="2"/>
        <w:ind w:firstLine="480"/>
        <w:rPr>
          <w:rFonts w:ascii="宋体" w:hAnsi="宋体" w:eastAsia="宋体" w:cs="宋体"/>
          <w:sz w:val="24"/>
          <w:szCs w:val="24"/>
        </w:rPr>
      </w:pPr>
      <w:r>
        <w:rPr>
          <w:rFonts w:hint="eastAsia" w:ascii="宋体" w:hAnsi="宋体" w:eastAsia="宋体" w:cs="宋体"/>
          <w:sz w:val="24"/>
          <w:szCs w:val="24"/>
        </w:rPr>
        <w:t>该项目目前由五矿100%控股，未有其他贷款，且尚未取得土地证未进行抵押。</w:t>
      </w:r>
    </w:p>
    <w:p>
      <w:pPr>
        <w:numPr>
          <w:ilvl w:val="0"/>
          <w:numId w:val="1"/>
        </w:numPr>
        <w:rPr>
          <w:sz w:val="30"/>
          <w:szCs w:val="30"/>
        </w:rPr>
      </w:pPr>
      <w:r>
        <w:rPr>
          <w:sz w:val="30"/>
          <w:szCs w:val="30"/>
        </w:rPr>
        <w:t>风险描述</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（1）本项目土地款未能如期缴纳，已产生高额滞纳金；</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（2）目前项目周边竞品项目去化情况不理想；</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（3）现结合项目各楼栋形象进度以及考虑申请预售证的商品房项目需满足的工程形象进度，不能满足协议约定进度。</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关于项目公司不服佛山市自然资源局于2021年6月8日作出的《解除&lt;国有建设用地使用权出让合同&gt;通知书》于2021年8月5日向政府提起行政复议申请，政府复函行政协议（出让合同、变更协议）目前不属于行政复议的受理范围，建议项目公司通过行政诉讼的途径解决。</w:t>
      </w:r>
    </w:p>
    <w:p>
      <w:pPr>
        <w:spacing w:line="48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（5）佛山市实行的限购、限贷政策，有影响销售快速推进的风险。</w:t>
      </w:r>
    </w:p>
    <w:p>
      <w:pPr>
        <w:numPr>
          <w:ilvl w:val="0"/>
          <w:numId w:val="1"/>
        </w:numPr>
        <w:rPr>
          <w:sz w:val="30"/>
          <w:szCs w:val="30"/>
        </w:rPr>
      </w:pPr>
      <w:r>
        <w:rPr>
          <w:rFonts w:hint="eastAsia"/>
          <w:sz w:val="30"/>
          <w:szCs w:val="30"/>
        </w:rPr>
        <w:t>用印申请</w:t>
      </w:r>
    </w:p>
    <w:p>
      <w:pPr>
        <w:pStyle w:val="2"/>
        <w:spacing w:line="480" w:lineRule="auto"/>
        <w:ind w:firstLine="480"/>
        <w:rPr>
          <w:rFonts w:ascii="宋体" w:hAnsi="宋体" w:eastAsia="宋体" w:cs="宋体"/>
          <w:sz w:val="24"/>
          <w:szCs w:val="24"/>
        </w:rPr>
      </w:pPr>
      <w:r>
        <w:rPr>
          <w:rFonts w:hint="eastAsia" w:ascii="宋体" w:hAnsi="宋体" w:eastAsia="宋体" w:cs="宋体"/>
          <w:sz w:val="24"/>
          <w:szCs w:val="24"/>
        </w:rPr>
        <w:t>2022年</w:t>
      </w:r>
      <w:r>
        <w:rPr>
          <w:rFonts w:hint="eastAsia" w:ascii="宋体" w:hAnsi="宋体" w:eastAsia="宋体" w:cs="宋体"/>
          <w:sz w:val="24"/>
          <w:szCs w:val="24"/>
          <w:lang w:val="en-US" w:eastAsia="zh-CN"/>
        </w:rPr>
        <w:t>6</w:t>
      </w:r>
      <w:r>
        <w:rPr>
          <w:rFonts w:hint="eastAsia" w:ascii="宋体" w:hAnsi="宋体" w:eastAsia="宋体" w:cs="宋体"/>
          <w:sz w:val="24"/>
          <w:szCs w:val="24"/>
        </w:rPr>
        <w:t>月份监管报告需加盖北京康正宏基房地产评估有限公司监管专用章，故本次申请使用北京康正宏基房地产评估有限公司监管专用章。</w:t>
      </w:r>
    </w:p>
    <w:p>
      <w:pPr>
        <w:pStyle w:val="2"/>
        <w:spacing w:line="360" w:lineRule="auto"/>
        <w:ind w:firstLine="9450" w:firstLineChars="4500"/>
        <w:jc w:val="both"/>
        <w:rPr>
          <w:sz w:val="24"/>
          <w:szCs w:val="24"/>
        </w:rPr>
      </w:pPr>
      <w:bookmarkStart w:id="0" w:name="_GoBack"/>
      <w:bookmarkEnd w:id="0"/>
      <w:r>
        <w:rPr>
          <w:rFonts w:hint="eastAsia"/>
        </w:rPr>
        <w:t xml:space="preserve">说 明 方： </w:t>
      </w:r>
      <w:r>
        <w:rPr>
          <w:rFonts w:hint="eastAsia"/>
          <w:sz w:val="24"/>
          <w:szCs w:val="24"/>
        </w:rPr>
        <w:t>北京康信君安资产管理有限公司</w:t>
      </w:r>
    </w:p>
    <w:p>
      <w:pPr>
        <w:pStyle w:val="2"/>
        <w:spacing w:line="360" w:lineRule="auto"/>
        <w:ind w:firstLine="0" w:firstLineChars="0"/>
        <w:jc w:val="center"/>
      </w:pPr>
      <w:r>
        <w:rPr>
          <w:rFonts w:hint="eastAsia"/>
        </w:rPr>
        <w:t xml:space="preserve">                                                                                                2022-</w:t>
      </w:r>
      <w:r>
        <w:rPr>
          <w:rFonts w:hint="eastAsia"/>
          <w:lang w:val="en-US" w:eastAsia="zh-CN"/>
        </w:rPr>
        <w:t>7</w:t>
      </w:r>
      <w:r>
        <w:rPr>
          <w:rFonts w:hint="eastAsia"/>
        </w:rPr>
        <w:t>-17</w:t>
      </w:r>
    </w:p>
    <w:p>
      <w:pPr>
        <w:rPr>
          <w:sz w:val="30"/>
          <w:szCs w:val="30"/>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169E"/>
    <w:multiLevelType w:val="singleLevel"/>
    <w:tmpl w:val="2F2D169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845294"/>
    <w:rsid w:val="003B7FC4"/>
    <w:rsid w:val="00413863"/>
    <w:rsid w:val="00502883"/>
    <w:rsid w:val="00845294"/>
    <w:rsid w:val="009D5D65"/>
    <w:rsid w:val="00D36E2D"/>
    <w:rsid w:val="00D91466"/>
    <w:rsid w:val="09C13E54"/>
    <w:rsid w:val="15B1760B"/>
    <w:rsid w:val="25CC58E3"/>
    <w:rsid w:val="3B6B5D9C"/>
    <w:rsid w:val="63755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line="360" w:lineRule="auto"/>
      <w:outlineLvl w:val="0"/>
    </w:pPr>
    <w:rPr>
      <w:rFonts w:eastAsia="仿宋_GB2312"/>
      <w:b/>
      <w:kern w:val="44"/>
      <w:sz w:val="32"/>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273</Words>
  <Characters>1559</Characters>
  <Lines>12</Lines>
  <Paragraphs>3</Paragraphs>
  <TotalTime>1</TotalTime>
  <ScaleCrop>false</ScaleCrop>
  <LinksUpToDate>false</LinksUpToDate>
  <CharactersWithSpaces>1829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2022-06-21T07:31:00Z</dcterms:created>
  <dc:creator>赵秀红</dc:creator>
  <cp:lastModifiedBy>冯同学</cp:lastModifiedBy>
  <dcterms:modified xsi:type="dcterms:W3CDTF">2022-07-19T02:15:21Z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4A10902B96ED4FEC9C37C1534BEA2DC4</vt:lpwstr>
  </property>
</Properties>
</file>