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  <w:bookmarkStart w:id="51" w:name="_GoBack"/>
      <w:bookmarkEnd w:id="51"/>
    </w:p>
    <w:p>
      <w:pPr>
        <w:spacing w:line="48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>
      <w:pPr>
        <w:spacing w:line="360" w:lineRule="auto"/>
        <w:rPr>
          <w:rFonts w:ascii="Arial" w:hAnsi="Arial" w:cs="Arial"/>
          <w:b/>
          <w:bCs/>
          <w:sz w:val="36"/>
          <w:szCs w:val="36"/>
        </w:rPr>
      </w:pPr>
    </w:p>
    <w:p>
      <w:pPr>
        <w:spacing w:line="360" w:lineRule="auto"/>
        <w:rPr>
          <w:rFonts w:ascii="Arial" w:hAnsi="Arial" w:cs="Arial"/>
          <w:b/>
          <w:bCs/>
          <w:sz w:val="36"/>
          <w:szCs w:val="36"/>
        </w:rPr>
      </w:pPr>
    </w:p>
    <w:p>
      <w:pPr>
        <w:spacing w:line="360" w:lineRule="auto"/>
        <w:rPr>
          <w:rFonts w:ascii="Arial" w:hAnsi="Arial" w:cs="Arial"/>
          <w:b/>
          <w:bCs/>
          <w:sz w:val="36"/>
          <w:szCs w:val="36"/>
        </w:rPr>
      </w:pPr>
    </w:p>
    <w:p>
      <w:pPr>
        <w:spacing w:line="360" w:lineRule="auto"/>
        <w:rPr>
          <w:rFonts w:ascii="Arial" w:hAnsi="Arial" w:cs="Arial"/>
          <w:b/>
          <w:bCs/>
          <w:sz w:val="36"/>
          <w:szCs w:val="36"/>
        </w:rPr>
      </w:pPr>
    </w:p>
    <w:p>
      <w:pPr>
        <w:spacing w:line="360" w:lineRule="auto"/>
        <w:rPr>
          <w:rFonts w:ascii="Arial" w:hAnsi="Arial" w:cs="Arial"/>
          <w:b/>
          <w:bCs/>
          <w:sz w:val="36"/>
          <w:szCs w:val="36"/>
        </w:rPr>
      </w:pPr>
    </w:p>
    <w:p>
      <w:pPr>
        <w:spacing w:line="360" w:lineRule="auto"/>
        <w:rPr>
          <w:rFonts w:ascii="Arial" w:hAnsi="Arial" w:cs="Arial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光信·光乾·金泉</w:t>
      </w:r>
      <w:r>
        <w:rPr>
          <w:rFonts w:hint="default" w:ascii="Arial" w:hAnsi="Arial" w:eastAsia="宋体" w:cs="Arial"/>
          <w:b/>
          <w:bCs/>
          <w:sz w:val="36"/>
          <w:szCs w:val="36"/>
        </w:rPr>
        <w:t>2</w:t>
      </w:r>
      <w:r>
        <w:rPr>
          <w:rFonts w:hint="eastAsia" w:ascii="宋体" w:hAnsi="宋体" w:eastAsia="宋体" w:cs="宋体"/>
          <w:b/>
          <w:bCs/>
          <w:sz w:val="36"/>
          <w:szCs w:val="36"/>
        </w:rPr>
        <w:t>号集合资金信托计划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（光大信托·</w:t>
      </w: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万州琅阅滨江</w:t>
      </w:r>
      <w:r>
        <w:rPr>
          <w:rFonts w:hint="eastAsia" w:ascii="宋体" w:hAnsi="宋体" w:eastAsia="宋体" w:cs="宋体"/>
          <w:b/>
          <w:bCs/>
          <w:sz w:val="36"/>
          <w:szCs w:val="36"/>
        </w:rPr>
        <w:t>项目）</w:t>
      </w:r>
    </w:p>
    <w:p>
      <w:pPr>
        <w:spacing w:line="500" w:lineRule="exact"/>
        <w:jc w:val="center"/>
        <w:rPr>
          <w:rFonts w:ascii="Arial" w:hAnsi="Arial" w:cs="Arial"/>
        </w:rPr>
      </w:pPr>
    </w:p>
    <w:p>
      <w:pPr>
        <w:spacing w:line="500" w:lineRule="exact"/>
        <w:jc w:val="center"/>
        <w:rPr>
          <w:rFonts w:ascii="Arial" w:hAnsi="Arial" w:cs="Arial"/>
        </w:rPr>
      </w:pPr>
    </w:p>
    <w:p>
      <w:pPr>
        <w:spacing w:line="500" w:lineRule="exact"/>
        <w:jc w:val="center"/>
        <w:rPr>
          <w:rFonts w:ascii="Arial" w:hAnsi="Arial" w:cs="Arial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Arial" w:hAnsi="Arial" w:cs="Arial"/>
          <w:b/>
          <w:bCs/>
          <w:sz w:val="21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0" w:firstLineChars="0"/>
        <w:jc w:val="left"/>
        <w:textAlignment w:val="auto"/>
        <w:outlineLvl w:val="9"/>
        <w:rPr>
          <w:rFonts w:ascii="Arial" w:hAnsi="Arial" w:cs="Arial"/>
          <w:b/>
          <w:bCs/>
          <w:sz w:val="21"/>
          <w:szCs w:val="21"/>
        </w:rPr>
      </w:pPr>
      <w:r>
        <w:rPr>
          <w:rFonts w:hint="eastAsia" w:ascii="Arial" w:hAnsi="Arial" w:cs="Arial"/>
          <w:b/>
          <w:bCs/>
          <w:sz w:val="21"/>
          <w:szCs w:val="21"/>
        </w:rPr>
        <w:t>项目名称：光信·光乾·金泉2号</w:t>
      </w:r>
      <w:r>
        <w:rPr>
          <w:rFonts w:ascii="Arial" w:hAnsi="Arial" w:cs="Arial"/>
          <w:b/>
          <w:bCs/>
          <w:sz w:val="21"/>
          <w:szCs w:val="21"/>
        </w:rPr>
        <w:t>集合资金信托计划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0" w:firstLineChars="0"/>
        <w:jc w:val="left"/>
        <w:textAlignment w:val="auto"/>
        <w:outlineLvl w:val="9"/>
        <w:rPr>
          <w:rFonts w:ascii="Arial" w:hAnsi="Arial" w:cs="Arial"/>
          <w:b/>
          <w:bCs/>
          <w:sz w:val="21"/>
          <w:szCs w:val="21"/>
        </w:rPr>
      </w:pPr>
      <w:r>
        <w:rPr>
          <w:rFonts w:hint="eastAsia" w:ascii="Arial" w:hAnsi="Arial" w:cs="Arial"/>
          <w:b/>
          <w:bCs/>
          <w:sz w:val="21"/>
          <w:szCs w:val="21"/>
        </w:rPr>
        <w:t>委托方：光大兴陇信托有限责任公司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0" w:firstLineChars="0"/>
        <w:jc w:val="left"/>
        <w:textAlignment w:val="auto"/>
        <w:outlineLvl w:val="9"/>
        <w:rPr>
          <w:rFonts w:ascii="Arial" w:hAnsi="Arial" w:cs="Arial"/>
          <w:b/>
          <w:bCs/>
          <w:sz w:val="21"/>
          <w:szCs w:val="21"/>
        </w:rPr>
      </w:pPr>
      <w:r>
        <w:rPr>
          <w:rFonts w:hint="eastAsia" w:ascii="Arial" w:hAnsi="Arial" w:cs="Arial"/>
          <w:b/>
          <w:bCs/>
          <w:sz w:val="21"/>
          <w:szCs w:val="21"/>
        </w:rPr>
        <w:t>受托方：北京康信君安资产管理有限公司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Arial" w:hAnsi="Arial" w:cs="Arial"/>
          <w:b/>
          <w:bCs/>
          <w:sz w:val="21"/>
          <w:szCs w:val="21"/>
          <w:lang w:val="en-US" w:eastAsia="zh-CN"/>
        </w:rPr>
      </w:pPr>
      <w:r>
        <w:rPr>
          <w:rFonts w:hint="eastAsia" w:ascii="Arial" w:hAnsi="Arial" w:cs="Arial"/>
          <w:b/>
          <w:bCs/>
          <w:sz w:val="21"/>
          <w:szCs w:val="21"/>
        </w:rPr>
        <w:t>监管人员：</w:t>
      </w:r>
      <w:r>
        <w:rPr>
          <w:rFonts w:hint="eastAsia" w:ascii="Arial" w:hAnsi="Arial" w:cs="Arial"/>
          <w:b/>
          <w:bCs/>
          <w:sz w:val="21"/>
          <w:szCs w:val="21"/>
          <w:lang w:val="en-US" w:eastAsia="zh-CN"/>
        </w:rPr>
        <w:t>蒋丽琼  刘艳</w:t>
      </w:r>
    </w:p>
    <w:p>
      <w:pPr>
        <w:spacing w:line="48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color w:val="000000"/>
          <w:sz w:val="21"/>
          <w:szCs w:val="21"/>
        </w:rPr>
        <w:t>日期：二</w:t>
      </w:r>
      <w:r>
        <w:rPr>
          <w:rFonts w:hint="eastAsia" w:ascii="Arial" w:hAnsi="Arial" w:cs="Arial"/>
          <w:b/>
          <w:color w:val="000000"/>
          <w:sz w:val="21"/>
          <w:szCs w:val="21"/>
          <w:lang w:val="en-US" w:eastAsia="zh-CN"/>
        </w:rPr>
        <w:t>〇</w:t>
      </w:r>
      <w:r>
        <w:rPr>
          <w:rFonts w:ascii="Arial" w:hAnsi="Arial" w:cs="Arial"/>
          <w:b/>
          <w:color w:val="000000"/>
          <w:sz w:val="21"/>
          <w:szCs w:val="21"/>
        </w:rPr>
        <w:t>二</w:t>
      </w:r>
      <w:r>
        <w:rPr>
          <w:rFonts w:hint="eastAsia" w:ascii="Arial" w:hAnsi="Arial" w:cs="Arial"/>
          <w:b/>
          <w:color w:val="000000"/>
          <w:sz w:val="21"/>
          <w:szCs w:val="21"/>
          <w:lang w:val="en-US" w:eastAsia="zh-CN"/>
        </w:rPr>
        <w:t>一</w:t>
      </w:r>
      <w:r>
        <w:rPr>
          <w:rFonts w:ascii="Arial" w:hAnsi="Arial" w:cs="Arial"/>
          <w:b/>
          <w:color w:val="000000"/>
          <w:sz w:val="21"/>
          <w:szCs w:val="21"/>
        </w:rPr>
        <w:t>年</w:t>
      </w:r>
      <w:r>
        <w:rPr>
          <w:rFonts w:hint="eastAsia" w:ascii="Arial" w:hAnsi="Arial" w:cs="Arial"/>
          <w:b/>
          <w:color w:val="000000"/>
          <w:sz w:val="21"/>
          <w:szCs w:val="21"/>
          <w:lang w:val="en-US" w:eastAsia="zh-CN"/>
        </w:rPr>
        <w:t>四</w:t>
      </w:r>
      <w:r>
        <w:rPr>
          <w:rFonts w:ascii="Arial" w:hAnsi="Arial" w:cs="Arial"/>
          <w:b/>
          <w:color w:val="000000"/>
          <w:sz w:val="21"/>
          <w:szCs w:val="21"/>
        </w:rPr>
        <w:t>月</w:t>
      </w:r>
      <w:r>
        <w:rPr>
          <w:rFonts w:hint="eastAsia" w:ascii="Arial" w:hAnsi="Arial" w:cs="Arial"/>
          <w:b/>
          <w:color w:val="000000"/>
          <w:sz w:val="21"/>
          <w:szCs w:val="21"/>
          <w:lang w:val="en-US" w:eastAsia="zh-CN"/>
        </w:rPr>
        <w:t>六</w:t>
      </w:r>
      <w:r>
        <w:rPr>
          <w:rFonts w:ascii="Arial" w:hAnsi="Arial" w:cs="Arial"/>
          <w:b/>
          <w:color w:val="000000"/>
          <w:sz w:val="21"/>
          <w:szCs w:val="21"/>
        </w:rPr>
        <w:t>日</w:t>
      </w:r>
    </w:p>
    <w:sdt>
      <w:sdtP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-SA"/>
        </w:rPr>
        <w:id w:val="147473059"/>
        <w15:color w:val="DBDBDB"/>
      </w:sdtPr>
      <w:sdtEndP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-SA"/>
        </w:rPr>
      </w:sdtEndPr>
      <w:sdtContent>
        <w:p>
          <w:pPr>
            <w:keepNext w:val="0"/>
            <w:keepLines w:val="0"/>
            <w:pageBreakBefore w:val="0"/>
            <w:widowControl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Autospacing="0" w:afterAutospacing="0" w:line="360" w:lineRule="auto"/>
            <w:ind w:left="0" w:leftChars="0" w:right="0" w:rightChars="0" w:firstLine="0" w:firstLineChars="0"/>
            <w:jc w:val="center"/>
            <w:textAlignment w:val="auto"/>
            <w:outlineLvl w:val="9"/>
            <w:rPr>
              <w:rFonts w:hint="eastAsia" w:ascii="宋体" w:hAnsi="宋体" w:eastAsia="宋体" w:cs="宋体"/>
              <w:b/>
              <w:bCs/>
              <w:sz w:val="28"/>
              <w:szCs w:val="28"/>
            </w:rPr>
          </w:pPr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t>目录</w:t>
          </w:r>
        </w:p>
        <w:p>
          <w:pPr>
            <w:pStyle w:val="12"/>
            <w:keepNext w:val="0"/>
            <w:keepLines w:val="0"/>
            <w:pageBreakBefore w:val="0"/>
            <w:widowControl/>
            <w:tabs>
              <w:tab w:val="right" w:leader="dot" w:pos="9638"/>
              <w:tab w:val="clear" w:pos="822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Autospacing="0" w:after="0" w:afterAutospacing="0" w:line="360" w:lineRule="auto"/>
            <w:ind w:left="0" w:leftChars="0" w:right="0" w:rightChars="0" w:firstLine="0" w:firstLineChars="0"/>
            <w:jc w:val="center"/>
            <w:textAlignment w:val="auto"/>
            <w:outlineLvl w:val="9"/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</w:pPr>
          <w:r>
            <w:rPr>
              <w:rStyle w:val="29"/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begin"/>
          </w:r>
          <w:r>
            <w:rPr>
              <w:rStyle w:val="29"/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instrText xml:space="preserve">TOC \o "1-1" \h \u </w:instrText>
          </w:r>
          <w:r>
            <w:rPr>
              <w:rStyle w:val="29"/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instrText xml:space="preserve"> HYPERLINK \l _Toc19295 </w:instrText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kern w:val="44"/>
              <w:sz w:val="21"/>
              <w:szCs w:val="21"/>
              <w:lang w:val="en-US" w:eastAsia="zh-CN"/>
            </w:rPr>
            <w:t xml:space="preserve">一、 </w:t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  <w:lang w:val="en-US" w:eastAsia="zh-CN"/>
            </w:rPr>
            <w:t>重大事项</w:t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tab/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instrText xml:space="preserve"> PAGEREF _Toc19295 </w:instrText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fldChar w:fldCharType="separate"/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t>3</w:t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/>
            <w:tabs>
              <w:tab w:val="right" w:leader="dot" w:pos="9638"/>
              <w:tab w:val="clear" w:pos="822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Autospacing="0" w:after="0" w:afterAutospacing="0" w:line="360" w:lineRule="auto"/>
            <w:ind w:left="0" w:leftChars="0" w:right="0" w:rightChars="0" w:firstLine="0" w:firstLineChars="0"/>
            <w:jc w:val="center"/>
            <w:textAlignment w:val="auto"/>
            <w:outlineLvl w:val="9"/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instrText xml:space="preserve"> HYPERLINK \l _Toc6003 </w:instrText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  <w:lang w:val="en-US" w:eastAsia="zh-CN"/>
            </w:rPr>
            <w:t>二、项目进展情况</w:t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tab/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instrText xml:space="preserve"> PAGEREF _Toc6003 </w:instrText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fldChar w:fldCharType="separate"/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t>4</w:t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/>
            <w:tabs>
              <w:tab w:val="right" w:leader="dot" w:pos="9638"/>
              <w:tab w:val="clear" w:pos="822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Autospacing="0" w:after="0" w:afterAutospacing="0" w:line="360" w:lineRule="auto"/>
            <w:ind w:left="0" w:leftChars="0" w:right="0" w:rightChars="0" w:firstLine="0" w:firstLineChars="0"/>
            <w:jc w:val="center"/>
            <w:textAlignment w:val="auto"/>
            <w:outlineLvl w:val="9"/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instrText xml:space="preserve"> HYPERLINK \l _Toc23858 </w:instrText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  <w:lang w:val="en-US" w:eastAsia="zh-CN"/>
            </w:rPr>
            <w:t>（一）报建情况</w:t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tab/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instrText xml:space="preserve"> PAGEREF _Toc23858 </w:instrText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fldChar w:fldCharType="separate"/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t>4</w:t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/>
            <w:tabs>
              <w:tab w:val="right" w:leader="dot" w:pos="9638"/>
              <w:tab w:val="clear" w:pos="822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Autospacing="0" w:after="0" w:afterAutospacing="0" w:line="360" w:lineRule="auto"/>
            <w:ind w:left="0" w:leftChars="0" w:right="0" w:rightChars="0" w:firstLine="0" w:firstLineChars="0"/>
            <w:jc w:val="center"/>
            <w:textAlignment w:val="auto"/>
            <w:outlineLvl w:val="9"/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instrText xml:space="preserve"> HYPERLINK \l _Toc29555 </w:instrText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  <w:lang w:val="en-US" w:eastAsia="zh-CN"/>
            </w:rPr>
            <w:t>（二） 营销情况</w:t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tab/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instrText xml:space="preserve"> PAGEREF _Toc29555 </w:instrText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fldChar w:fldCharType="separate"/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t>5</w:t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/>
            <w:tabs>
              <w:tab w:val="right" w:leader="dot" w:pos="9638"/>
              <w:tab w:val="clear" w:pos="822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Autospacing="0" w:after="0" w:afterAutospacing="0" w:line="360" w:lineRule="auto"/>
            <w:ind w:left="0" w:leftChars="0" w:right="0" w:rightChars="0" w:firstLine="0" w:firstLineChars="0"/>
            <w:jc w:val="center"/>
            <w:textAlignment w:val="auto"/>
            <w:outlineLvl w:val="9"/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instrText xml:space="preserve"> HYPERLINK \l _Toc2527 </w:instrText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  <w:lang w:val="en-US" w:eastAsia="zh-CN" w:bidi="ar-SA"/>
            </w:rPr>
            <w:t>（三） 项目开发进展情况</w:t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tab/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instrText xml:space="preserve"> PAGEREF _Toc2527 </w:instrText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fldChar w:fldCharType="separate"/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t>6</w:t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/>
            <w:tabs>
              <w:tab w:val="right" w:leader="dot" w:pos="9638"/>
              <w:tab w:val="clear" w:pos="822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Autospacing="0" w:after="0" w:afterAutospacing="0" w:line="360" w:lineRule="auto"/>
            <w:ind w:left="0" w:leftChars="0" w:right="0" w:rightChars="0" w:firstLine="0" w:firstLineChars="0"/>
            <w:jc w:val="center"/>
            <w:textAlignment w:val="auto"/>
            <w:outlineLvl w:val="9"/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instrText xml:space="preserve"> HYPERLINK \l _Toc19453 </w:instrText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t xml:space="preserve">（四） </w:t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  <w:lang w:val="en-US" w:eastAsia="zh-CN" w:bidi="ar-SA"/>
            </w:rPr>
            <w:t>资金使用情况</w:t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tab/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instrText xml:space="preserve"> PAGEREF _Toc19453 </w:instrText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fldChar w:fldCharType="separate"/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t>7</w:t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/>
            <w:tabs>
              <w:tab w:val="right" w:leader="dot" w:pos="9638"/>
              <w:tab w:val="clear" w:pos="822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Autospacing="0" w:after="0" w:afterAutospacing="0" w:line="360" w:lineRule="auto"/>
            <w:ind w:left="0" w:leftChars="0" w:right="0" w:rightChars="0" w:firstLine="0" w:firstLineChars="0"/>
            <w:jc w:val="center"/>
            <w:textAlignment w:val="auto"/>
            <w:outlineLvl w:val="9"/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instrText xml:space="preserve"> HYPERLINK \l _Toc687 </w:instrText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  <w:lang w:val="en-US" w:eastAsia="zh-CN" w:bidi="ar-SA"/>
            </w:rPr>
            <w:t>三、项目评价</w:t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tab/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instrText xml:space="preserve"> PAGEREF _Toc687 </w:instrText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fldChar w:fldCharType="separate"/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t>8</w:t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/>
            <w:tabs>
              <w:tab w:val="right" w:leader="dot" w:pos="9638"/>
              <w:tab w:val="clear" w:pos="822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Autospacing="0" w:after="0" w:afterAutospacing="0" w:line="360" w:lineRule="auto"/>
            <w:ind w:left="0" w:leftChars="0" w:right="0" w:rightChars="0" w:firstLine="0" w:firstLineChars="0"/>
            <w:jc w:val="center"/>
            <w:textAlignment w:val="auto"/>
            <w:outlineLvl w:val="9"/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instrText xml:space="preserve"> HYPERLINK \l _Toc32742 </w:instrText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  <w:lang w:val="en-US" w:eastAsia="zh-CN" w:bidi="ar-SA"/>
            </w:rPr>
            <w:t>（一）报建评价</w:t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tab/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instrText xml:space="preserve"> PAGEREF _Toc32742 </w:instrText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fldChar w:fldCharType="separate"/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t>8</w:t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/>
            <w:tabs>
              <w:tab w:val="right" w:leader="dot" w:pos="9638"/>
              <w:tab w:val="clear" w:pos="822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Autospacing="0" w:after="0" w:afterAutospacing="0" w:line="360" w:lineRule="auto"/>
            <w:ind w:left="0" w:leftChars="0" w:right="0" w:rightChars="0" w:firstLine="0" w:firstLineChars="0"/>
            <w:jc w:val="center"/>
            <w:textAlignment w:val="auto"/>
            <w:outlineLvl w:val="9"/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instrText xml:space="preserve"> HYPERLINK \l _Toc6919 </w:instrText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t xml:space="preserve">（二） </w:t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  <w:lang w:val="en-US" w:eastAsia="zh-CN" w:bidi="ar-SA"/>
            </w:rPr>
            <w:t>营销评价</w:t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tab/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instrText xml:space="preserve"> PAGEREF _Toc6919 </w:instrText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fldChar w:fldCharType="separate"/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t>8</w:t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/>
            <w:tabs>
              <w:tab w:val="right" w:leader="dot" w:pos="9638"/>
              <w:tab w:val="clear" w:pos="822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Autospacing="0" w:after="0" w:afterAutospacing="0" w:line="360" w:lineRule="auto"/>
            <w:ind w:left="0" w:leftChars="0" w:right="0" w:rightChars="0" w:firstLine="0" w:firstLineChars="0"/>
            <w:jc w:val="center"/>
            <w:textAlignment w:val="auto"/>
            <w:outlineLvl w:val="9"/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instrText xml:space="preserve"> HYPERLINK \l _Toc27970 </w:instrText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t>（三）开发建设评价</w:t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tab/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instrText xml:space="preserve"> PAGEREF _Toc27970 </w:instrText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fldChar w:fldCharType="separate"/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t>8</w:t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/>
            <w:tabs>
              <w:tab w:val="right" w:leader="dot" w:pos="9638"/>
              <w:tab w:val="clear" w:pos="822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Autospacing="0" w:after="0" w:afterAutospacing="0" w:line="360" w:lineRule="auto"/>
            <w:ind w:left="0" w:leftChars="0" w:right="0" w:rightChars="0" w:firstLine="0" w:firstLineChars="0"/>
            <w:jc w:val="center"/>
            <w:textAlignment w:val="auto"/>
            <w:outlineLvl w:val="9"/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instrText xml:space="preserve"> HYPERLINK \l _Toc14314 </w:instrText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  <w:lang w:val="en-US" w:eastAsia="zh-CN"/>
            </w:rPr>
            <w:t>四</w:t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t>、附件</w:t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tab/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instrText xml:space="preserve"> PAGEREF _Toc14314 </w:instrText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fldChar w:fldCharType="separate"/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t>9</w:t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/>
            <w:tabs>
              <w:tab w:val="right" w:leader="dot" w:pos="9638"/>
              <w:tab w:val="clear" w:pos="822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Autospacing="0" w:after="0" w:afterAutospacing="0" w:line="360" w:lineRule="auto"/>
            <w:ind w:left="0" w:leftChars="0" w:right="0" w:rightChars="0" w:firstLine="0" w:firstLineChars="0"/>
            <w:jc w:val="center"/>
            <w:textAlignment w:val="auto"/>
            <w:outlineLvl w:val="9"/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instrText xml:space="preserve"> HYPERLINK \l _Toc20315 </w:instrText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t>附件一：本期用印情况</w:t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tab/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instrText xml:space="preserve"> PAGEREF _Toc20315 </w:instrText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fldChar w:fldCharType="separate"/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t>9</w:t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/>
            <w:tabs>
              <w:tab w:val="right" w:leader="dot" w:pos="9638"/>
              <w:tab w:val="clear" w:pos="822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Autospacing="0" w:after="0" w:afterAutospacing="0" w:line="360" w:lineRule="auto"/>
            <w:ind w:left="0" w:leftChars="0" w:right="0" w:rightChars="0" w:firstLine="0" w:firstLineChars="0"/>
            <w:jc w:val="center"/>
            <w:textAlignment w:val="auto"/>
            <w:outlineLvl w:val="9"/>
            <w:rPr>
              <w:rFonts w:hint="eastAsia" w:ascii="宋体" w:hAnsi="宋体" w:eastAsia="宋体" w:cs="宋体"/>
              <w:b w:val="0"/>
              <w:bCs w:val="0"/>
              <w:sz w:val="21"/>
              <w:szCs w:val="21"/>
              <w:lang w:eastAsia="zh-CN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instrText xml:space="preserve"> HYPERLINK \l _Toc12416 </w:instrText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t>附件二：章证照使用登记情况</w:t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tab/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instrText xml:space="preserve"> PAGEREF _Toc12416 </w:instrText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fldChar w:fldCharType="separate"/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t>1</w:t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end"/>
          </w:r>
          <w:r>
            <w:rPr>
              <w:rFonts w:hint="eastAsia" w:ascii="Arial" w:hAnsi="Arial" w:eastAsia="宋体" w:cs="Arial"/>
              <w:b w:val="0"/>
              <w:bCs w:val="0"/>
              <w:sz w:val="21"/>
              <w:szCs w:val="21"/>
              <w:lang w:val="en-US" w:eastAsia="zh-CN"/>
            </w:rPr>
            <w:t>2</w:t>
          </w:r>
        </w:p>
        <w:p>
          <w:pPr>
            <w:pStyle w:val="12"/>
            <w:keepNext w:val="0"/>
            <w:keepLines w:val="0"/>
            <w:pageBreakBefore w:val="0"/>
            <w:widowControl/>
            <w:tabs>
              <w:tab w:val="right" w:leader="dot" w:pos="9638"/>
              <w:tab w:val="clear" w:pos="822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Autospacing="0" w:after="0" w:afterAutospacing="0" w:line="360" w:lineRule="auto"/>
            <w:ind w:left="0" w:leftChars="0" w:right="0" w:rightChars="0" w:firstLine="0" w:firstLineChars="0"/>
            <w:jc w:val="center"/>
            <w:textAlignment w:val="auto"/>
            <w:outlineLvl w:val="9"/>
            <w:rPr>
              <w:rFonts w:hint="eastAsia" w:ascii="宋体" w:hAnsi="宋体" w:eastAsia="宋体" w:cs="宋体"/>
              <w:b w:val="0"/>
              <w:bCs w:val="0"/>
              <w:sz w:val="21"/>
              <w:szCs w:val="21"/>
              <w:lang w:eastAsia="zh-CN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instrText xml:space="preserve"> HYPERLINK \l _Toc11669 </w:instrText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kern w:val="44"/>
              <w:sz w:val="21"/>
              <w:szCs w:val="21"/>
              <w:highlight w:val="none"/>
              <w:lang w:eastAsia="zh-CN"/>
            </w:rPr>
            <w:t>附件三：本期资金支出情况</w:t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tab/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instrText xml:space="preserve"> PAGEREF _Toc11669 </w:instrText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fldChar w:fldCharType="separate"/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t>1</w:t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end"/>
          </w:r>
          <w:r>
            <w:rPr>
              <w:rFonts w:hint="eastAsia" w:ascii="Arial" w:hAnsi="Arial" w:eastAsia="宋体" w:cs="Arial"/>
              <w:b w:val="0"/>
              <w:bCs w:val="0"/>
              <w:sz w:val="21"/>
              <w:szCs w:val="21"/>
              <w:lang w:val="en-US" w:eastAsia="zh-CN"/>
            </w:rPr>
            <w:t>4</w:t>
          </w:r>
        </w:p>
        <w:p>
          <w:pPr>
            <w:pStyle w:val="12"/>
            <w:keepNext w:val="0"/>
            <w:keepLines w:val="0"/>
            <w:pageBreakBefore w:val="0"/>
            <w:widowControl/>
            <w:tabs>
              <w:tab w:val="right" w:leader="dot" w:pos="9638"/>
              <w:tab w:val="clear" w:pos="822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Autospacing="0" w:after="0" w:afterAutospacing="0" w:line="360" w:lineRule="auto"/>
            <w:ind w:left="0" w:leftChars="0" w:right="0" w:rightChars="0" w:firstLine="0" w:firstLineChars="0"/>
            <w:jc w:val="center"/>
            <w:textAlignment w:val="auto"/>
            <w:outlineLvl w:val="9"/>
            <w:rPr>
              <w:rFonts w:hint="eastAsia" w:ascii="宋体" w:hAnsi="宋体" w:eastAsia="宋体" w:cs="宋体"/>
              <w:b w:val="0"/>
              <w:bCs w:val="0"/>
              <w:sz w:val="21"/>
              <w:szCs w:val="21"/>
              <w:lang w:eastAsia="zh-CN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instrText xml:space="preserve"> HYPERLINK \l _Toc27230 </w:instrText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t>附件四：本期合同签订情况</w:t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tab/>
          </w:r>
          <w:r>
            <w:rPr>
              <w:rFonts w:hint="default" w:ascii="Arial" w:hAnsi="Arial" w:eastAsia="Arial Unicode MS" w:cs="Arial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default" w:ascii="Arial" w:hAnsi="Arial" w:eastAsia="Arial Unicode MS" w:cs="Arial"/>
              <w:b w:val="0"/>
              <w:bCs w:val="0"/>
              <w:sz w:val="21"/>
              <w:szCs w:val="21"/>
            </w:rPr>
            <w:instrText xml:space="preserve"> PAGEREF _Toc27230 </w:instrText>
          </w:r>
          <w:r>
            <w:rPr>
              <w:rFonts w:hint="default" w:ascii="Arial" w:hAnsi="Arial" w:eastAsia="Arial Unicode MS" w:cs="Arial"/>
              <w:b w:val="0"/>
              <w:bCs w:val="0"/>
              <w:sz w:val="21"/>
              <w:szCs w:val="21"/>
            </w:rPr>
            <w:fldChar w:fldCharType="separate"/>
          </w:r>
          <w:r>
            <w:rPr>
              <w:rFonts w:hint="default" w:ascii="Arial" w:hAnsi="Arial" w:eastAsia="Arial Unicode MS" w:cs="Arial"/>
              <w:b w:val="0"/>
              <w:bCs w:val="0"/>
              <w:sz w:val="21"/>
              <w:szCs w:val="21"/>
            </w:rPr>
            <w:t>1</w:t>
          </w:r>
          <w:r>
            <w:rPr>
              <w:rFonts w:hint="default" w:ascii="Arial" w:hAnsi="Arial" w:eastAsia="Arial Unicode MS" w:cs="Arial"/>
              <w:b w:val="0"/>
              <w:bCs w:val="0"/>
              <w:sz w:val="21"/>
              <w:szCs w:val="21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end"/>
          </w:r>
          <w:r>
            <w:rPr>
              <w:rFonts w:hint="eastAsia" w:ascii="Arial" w:hAnsi="Arial" w:eastAsia="Arial Unicode MS" w:cs="Arial"/>
              <w:b w:val="0"/>
              <w:bCs w:val="0"/>
              <w:sz w:val="21"/>
              <w:szCs w:val="21"/>
              <w:lang w:val="en-US" w:eastAsia="zh-CN"/>
            </w:rPr>
            <w:t>7</w:t>
          </w:r>
        </w:p>
        <w:p>
          <w:pPr>
            <w:pStyle w:val="12"/>
            <w:keepNext w:val="0"/>
            <w:keepLines w:val="0"/>
            <w:pageBreakBefore w:val="0"/>
            <w:widowControl/>
            <w:tabs>
              <w:tab w:val="right" w:leader="dot" w:pos="9638"/>
              <w:tab w:val="clear" w:pos="822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Autospacing="0" w:after="0" w:afterAutospacing="0" w:line="360" w:lineRule="auto"/>
            <w:ind w:left="0" w:leftChars="0" w:right="0" w:rightChars="0" w:firstLine="0" w:firstLineChars="0"/>
            <w:jc w:val="center"/>
            <w:textAlignment w:val="auto"/>
            <w:outlineLvl w:val="9"/>
            <w:rPr>
              <w:rFonts w:hint="eastAsia" w:ascii="宋体" w:hAnsi="宋体" w:eastAsia="宋体" w:cs="宋体"/>
              <w:b w:val="0"/>
              <w:bCs w:val="0"/>
              <w:sz w:val="21"/>
              <w:szCs w:val="21"/>
              <w:lang w:eastAsia="zh-CN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instrText xml:space="preserve"> HYPERLINK \l _Toc27442 </w:instrText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t>附件五：项目公司账户余额情况及余额截图</w:t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tab/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instrText xml:space="preserve"> PAGEREF _Toc27442 </w:instrText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fldChar w:fldCharType="separate"/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t>1</w:t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end"/>
          </w:r>
          <w:r>
            <w:rPr>
              <w:rFonts w:hint="eastAsia" w:ascii="Arial" w:hAnsi="Arial" w:eastAsia="宋体" w:cs="Arial"/>
              <w:b w:val="0"/>
              <w:bCs w:val="0"/>
              <w:sz w:val="21"/>
              <w:szCs w:val="21"/>
              <w:lang w:val="en-US" w:eastAsia="zh-CN"/>
            </w:rPr>
            <w:t>9</w:t>
          </w:r>
        </w:p>
        <w:p>
          <w:pPr>
            <w:pStyle w:val="12"/>
            <w:keepNext w:val="0"/>
            <w:keepLines w:val="0"/>
            <w:pageBreakBefore w:val="0"/>
            <w:widowControl/>
            <w:tabs>
              <w:tab w:val="right" w:leader="dot" w:pos="9638"/>
              <w:tab w:val="clear" w:pos="822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Autospacing="0" w:after="0" w:afterAutospacing="0" w:line="360" w:lineRule="auto"/>
            <w:ind w:left="0" w:leftChars="0" w:right="0" w:rightChars="0" w:firstLine="0" w:firstLineChars="0"/>
            <w:jc w:val="center"/>
            <w:textAlignment w:val="auto"/>
            <w:outlineLvl w:val="9"/>
            <w:rPr>
              <w:rFonts w:hint="eastAsia" w:eastAsia="宋体"/>
              <w:lang w:eastAsia="zh-CN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instrText xml:space="preserve"> HYPERLINK \l _Toc20767 </w:instrText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t>附件</w:t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  <w:lang w:val="en-US" w:eastAsia="zh-CN"/>
            </w:rPr>
            <w:t>六</w:t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t>：本期</w:t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  <w:lang w:val="en-US" w:eastAsia="zh-CN"/>
            </w:rPr>
            <w:t>交接清单截图</w:t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tab/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instrText xml:space="preserve"> PAGEREF _Toc20767 </w:instrText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fldChar w:fldCharType="separate"/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t>2</w:t>
          </w:r>
          <w:r>
            <w:rPr>
              <w:rFonts w:hint="default" w:ascii="Arial" w:hAnsi="Arial" w:eastAsia="宋体" w:cs="Arial"/>
              <w:b w:val="0"/>
              <w:bCs w:val="0"/>
              <w:sz w:val="21"/>
              <w:szCs w:val="21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1"/>
              <w:szCs w:val="21"/>
            </w:rPr>
            <w:fldChar w:fldCharType="end"/>
          </w:r>
          <w:r>
            <w:rPr>
              <w:rFonts w:hint="eastAsia" w:ascii="Arial" w:hAnsi="Arial" w:eastAsia="宋体" w:cs="Arial"/>
              <w:b w:val="0"/>
              <w:bCs w:val="0"/>
              <w:sz w:val="21"/>
              <w:szCs w:val="21"/>
              <w:lang w:val="en-US" w:eastAsia="zh-CN"/>
            </w:rPr>
            <w:t>1</w:t>
          </w:r>
        </w:p>
        <w:p>
          <w:pPr>
            <w:keepNext w:val="0"/>
            <w:keepLines w:val="0"/>
            <w:pageBreakBefore w:val="0"/>
            <w:widowControl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Autospacing="0" w:afterAutospacing="0" w:line="360" w:lineRule="auto"/>
            <w:ind w:left="0" w:leftChars="0" w:right="0" w:rightChars="0" w:firstLine="0" w:firstLineChars="0"/>
            <w:jc w:val="both"/>
            <w:textAlignment w:val="auto"/>
            <w:outlineLvl w:val="9"/>
            <w:rPr>
              <w:rFonts w:hint="eastAsia" w:ascii="宋体" w:hAnsi="宋体" w:cs="宋体"/>
              <w:bCs/>
              <w:kern w:val="44"/>
              <w:sz w:val="21"/>
              <w:szCs w:val="21"/>
              <w:highlight w:val="none"/>
            </w:rPr>
          </w:pPr>
          <w:r>
            <w:rPr>
              <w:rFonts w:hint="eastAsia" w:ascii="宋体" w:hAnsi="宋体" w:eastAsia="宋体" w:cs="宋体"/>
              <w:b w:val="0"/>
              <w:bCs w:val="0"/>
              <w:szCs w:val="21"/>
            </w:rPr>
            <w:fldChar w:fldCharType="end"/>
          </w:r>
        </w:p>
      </w:sdtContent>
    </w:sdt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cs="宋体"/>
          <w:bCs/>
          <w:kern w:val="44"/>
          <w:sz w:val="21"/>
          <w:szCs w:val="21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cs="宋体"/>
          <w:bCs/>
          <w:kern w:val="44"/>
          <w:sz w:val="21"/>
          <w:szCs w:val="21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cs="宋体"/>
          <w:bCs/>
          <w:kern w:val="44"/>
          <w:sz w:val="21"/>
          <w:szCs w:val="21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cs="宋体"/>
          <w:bCs/>
          <w:kern w:val="44"/>
          <w:sz w:val="21"/>
          <w:szCs w:val="21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cs="宋体"/>
          <w:bCs/>
          <w:kern w:val="44"/>
          <w:sz w:val="21"/>
          <w:szCs w:val="21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cs="宋体"/>
          <w:bCs/>
          <w:kern w:val="44"/>
          <w:sz w:val="21"/>
          <w:szCs w:val="21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cs="宋体"/>
          <w:bCs/>
          <w:kern w:val="44"/>
          <w:sz w:val="21"/>
          <w:szCs w:val="21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cs="宋体"/>
          <w:bCs/>
          <w:kern w:val="44"/>
          <w:sz w:val="21"/>
          <w:szCs w:val="21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cs="宋体"/>
          <w:bCs/>
          <w:kern w:val="44"/>
          <w:sz w:val="21"/>
          <w:szCs w:val="21"/>
          <w:highlight w:val="none"/>
        </w:rPr>
      </w:pPr>
      <w:r>
        <w:rPr>
          <w:rFonts w:hint="eastAsia" w:ascii="宋体" w:hAnsi="宋体" w:cs="宋体"/>
          <w:bCs/>
          <w:kern w:val="44"/>
          <w:sz w:val="21"/>
          <w:szCs w:val="21"/>
          <w:highlight w:val="none"/>
        </w:rPr>
        <w:t>为了方便阅读之目的，本报告中将部分名称简写为：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cs="宋体"/>
          <w:bCs/>
          <w:kern w:val="44"/>
          <w:sz w:val="21"/>
          <w:szCs w:val="21"/>
          <w:highlight w:val="none"/>
        </w:rPr>
      </w:pPr>
      <w:r>
        <w:rPr>
          <w:rFonts w:hint="eastAsia" w:cs="宋体"/>
          <w:bCs/>
          <w:kern w:val="44"/>
          <w:sz w:val="21"/>
          <w:szCs w:val="21"/>
          <w:highlight w:val="none"/>
          <w:lang w:val="en-US" w:eastAsia="zh-CN"/>
        </w:rPr>
        <w:t xml:space="preserve">   </w:t>
      </w:r>
      <w:r>
        <w:rPr>
          <w:rFonts w:hint="eastAsia" w:ascii="宋体" w:hAnsi="宋体" w:cs="宋体"/>
          <w:bCs/>
          <w:kern w:val="44"/>
          <w:sz w:val="21"/>
          <w:szCs w:val="21"/>
          <w:highlight w:val="none"/>
        </w:rPr>
        <w:t>·项目公司：重庆</w:t>
      </w:r>
      <w:r>
        <w:rPr>
          <w:rFonts w:hint="eastAsia" w:ascii="宋体" w:hAnsi="宋体" w:cs="宋体"/>
          <w:bCs/>
          <w:kern w:val="44"/>
          <w:sz w:val="21"/>
          <w:szCs w:val="21"/>
          <w:highlight w:val="none"/>
          <w:lang w:val="en-US" w:eastAsia="zh-CN"/>
        </w:rPr>
        <w:t>融滔</w:t>
      </w:r>
      <w:r>
        <w:rPr>
          <w:rFonts w:hint="eastAsia" w:ascii="宋体" w:hAnsi="宋体" w:cs="宋体"/>
          <w:bCs/>
          <w:kern w:val="44"/>
          <w:sz w:val="21"/>
          <w:szCs w:val="21"/>
          <w:highlight w:val="none"/>
        </w:rPr>
        <w:t>房地产开发有限公司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cs="宋体"/>
          <w:bCs/>
          <w:kern w:val="44"/>
          <w:sz w:val="21"/>
          <w:szCs w:val="21"/>
          <w:highlight w:val="none"/>
        </w:rPr>
      </w:pPr>
      <w:r>
        <w:rPr>
          <w:rFonts w:hint="eastAsia" w:cs="宋体"/>
          <w:bCs/>
          <w:kern w:val="44"/>
          <w:sz w:val="21"/>
          <w:szCs w:val="21"/>
          <w:highlight w:val="none"/>
          <w:lang w:val="en-US" w:eastAsia="zh-CN"/>
        </w:rPr>
        <w:t xml:space="preserve">   </w:t>
      </w:r>
      <w:r>
        <w:rPr>
          <w:rFonts w:hint="eastAsia" w:ascii="宋体" w:hAnsi="宋体" w:cs="宋体"/>
          <w:bCs/>
          <w:kern w:val="44"/>
          <w:sz w:val="21"/>
          <w:szCs w:val="21"/>
          <w:highlight w:val="none"/>
        </w:rPr>
        <w:t>·</w:t>
      </w:r>
      <w:r>
        <w:rPr>
          <w:rFonts w:hint="eastAsia" w:ascii="宋体" w:hAnsi="宋体" w:cs="宋体"/>
          <w:bCs/>
          <w:kern w:val="44"/>
          <w:sz w:val="21"/>
          <w:szCs w:val="21"/>
          <w:highlight w:val="none"/>
          <w:lang w:val="en-US" w:eastAsia="zh-CN"/>
        </w:rPr>
        <w:t>光大</w:t>
      </w:r>
      <w:r>
        <w:rPr>
          <w:rFonts w:hint="eastAsia" w:ascii="宋体" w:hAnsi="宋体" w:cs="宋体"/>
          <w:bCs/>
          <w:kern w:val="44"/>
          <w:sz w:val="21"/>
          <w:szCs w:val="21"/>
          <w:highlight w:val="none"/>
        </w:rPr>
        <w:t>信托：</w:t>
      </w:r>
      <w:r>
        <w:rPr>
          <w:rFonts w:hint="eastAsia" w:ascii="宋体" w:hAnsi="宋体" w:cs="宋体"/>
          <w:bCs/>
          <w:kern w:val="44"/>
          <w:sz w:val="21"/>
          <w:szCs w:val="21"/>
          <w:highlight w:val="none"/>
          <w:lang w:val="en-US" w:eastAsia="zh-CN"/>
        </w:rPr>
        <w:t>光大兴陇</w:t>
      </w:r>
      <w:r>
        <w:rPr>
          <w:rFonts w:hint="eastAsia" w:ascii="宋体" w:hAnsi="宋体" w:cs="宋体"/>
          <w:bCs/>
          <w:kern w:val="44"/>
          <w:sz w:val="21"/>
          <w:szCs w:val="21"/>
          <w:highlight w:val="none"/>
        </w:rPr>
        <w:t>信托有限</w:t>
      </w:r>
      <w:r>
        <w:rPr>
          <w:rFonts w:hint="eastAsia" w:ascii="宋体" w:hAnsi="宋体" w:cs="宋体"/>
          <w:bCs/>
          <w:kern w:val="44"/>
          <w:sz w:val="21"/>
          <w:szCs w:val="21"/>
          <w:highlight w:val="none"/>
          <w:lang w:val="en-US" w:eastAsia="zh-CN"/>
        </w:rPr>
        <w:t>责任</w:t>
      </w:r>
      <w:r>
        <w:rPr>
          <w:rFonts w:hint="eastAsia" w:ascii="宋体" w:hAnsi="宋体" w:cs="宋体"/>
          <w:bCs/>
          <w:kern w:val="44"/>
          <w:sz w:val="21"/>
          <w:szCs w:val="21"/>
          <w:highlight w:val="none"/>
        </w:rPr>
        <w:t>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cs="宋体"/>
          <w:bCs/>
          <w:kern w:val="44"/>
          <w:highlight w:val="none"/>
          <w:lang w:eastAsia="zh-CN"/>
        </w:rPr>
      </w:pPr>
      <w:r>
        <w:rPr>
          <w:rFonts w:hint="eastAsia" w:cs="宋体"/>
          <w:bCs/>
          <w:kern w:val="44"/>
          <w:sz w:val="21"/>
          <w:szCs w:val="21"/>
          <w:highlight w:val="none"/>
          <w:lang w:val="en-US" w:eastAsia="zh-CN"/>
        </w:rPr>
        <w:t xml:space="preserve">   </w:t>
      </w:r>
      <w:r>
        <w:rPr>
          <w:rFonts w:hint="eastAsia" w:ascii="宋体" w:hAnsi="宋体" w:cs="宋体"/>
          <w:bCs/>
          <w:kern w:val="44"/>
          <w:sz w:val="21"/>
          <w:szCs w:val="21"/>
          <w:highlight w:val="none"/>
        </w:rPr>
        <w:t>·康信君安：北京康信君安资产管理有限公司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300" w:line="360" w:lineRule="exact"/>
        <w:ind w:left="0" w:leftChars="0" w:right="0" w:rightChars="0" w:firstLine="0" w:firstLineChars="0"/>
        <w:jc w:val="left"/>
        <w:textAlignment w:val="auto"/>
        <w:outlineLvl w:val="0"/>
        <w:rPr>
          <w:rFonts w:hint="eastAsia" w:ascii="Arial" w:hAnsi="Arial" w:cs="Arial"/>
          <w:bCs/>
          <w:kern w:val="44"/>
          <w:sz w:val="21"/>
          <w:szCs w:val="21"/>
          <w:lang w:val="en-US" w:eastAsia="zh-CN"/>
        </w:rPr>
      </w:pPr>
      <w:bookmarkStart w:id="0" w:name="_Toc19295"/>
      <w:r>
        <w:rPr>
          <w:rStyle w:val="29"/>
          <w:rFonts w:hint="eastAsia" w:cs="Times New Roman"/>
          <w:sz w:val="24"/>
          <w:szCs w:val="24"/>
          <w:lang w:val="en-US" w:eastAsia="zh-CN"/>
        </w:rPr>
        <w:t>重大事项</w:t>
      </w:r>
      <w:bookmarkEnd w:id="0"/>
    </w:p>
    <w:p>
      <w:pPr>
        <w:spacing w:line="480" w:lineRule="auto"/>
        <w:ind w:firstLine="420" w:firstLineChars="200"/>
        <w:jc w:val="both"/>
        <w:rPr>
          <w:rFonts w:hint="eastAsia" w:ascii="Arial" w:hAnsi="Arial" w:cs="Arial"/>
          <w:bCs/>
          <w:kern w:val="44"/>
          <w:sz w:val="21"/>
          <w:szCs w:val="21"/>
          <w:lang w:val="en-US" w:eastAsia="zh-CN"/>
        </w:rPr>
      </w:pPr>
      <w:r>
        <w:rPr>
          <w:rFonts w:hint="default" w:ascii="Arial" w:hAnsi="Arial" w:cs="Arial"/>
          <w:bCs/>
          <w:kern w:val="44"/>
          <w:sz w:val="21"/>
          <w:szCs w:val="21"/>
          <w:lang w:val="en-US" w:eastAsia="zh-CN"/>
        </w:rPr>
        <w:t>1、</w:t>
      </w:r>
      <w:r>
        <w:rPr>
          <w:rFonts w:hint="eastAsia" w:ascii="Arial" w:hAnsi="Arial" w:cs="Arial"/>
          <w:bCs/>
          <w:kern w:val="44"/>
          <w:sz w:val="21"/>
          <w:szCs w:val="21"/>
          <w:lang w:val="en-US" w:eastAsia="zh-CN"/>
        </w:rPr>
        <w:t>2021年3月18日现场监管人员开始交接，截至2021年3月24已实现共管的有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Arial" w:hAnsi="Arial" w:cs="Arial"/>
          <w:bCs/>
          <w:kern w:val="44"/>
          <w:sz w:val="21"/>
          <w:szCs w:val="21"/>
          <w:lang w:val="en-US" w:eastAsia="zh-CN"/>
        </w:rPr>
      </w:pPr>
      <w:r>
        <w:rPr>
          <w:rFonts w:hint="eastAsia" w:ascii="Arial" w:hAnsi="Arial" w:cs="Arial"/>
          <w:bCs/>
          <w:kern w:val="44"/>
          <w:sz w:val="21"/>
          <w:szCs w:val="21"/>
          <w:lang w:val="en-US" w:eastAsia="zh-CN"/>
        </w:rPr>
        <w:t>保险柜（现场监管人员持有主钥匙，副钥匙与密码由旭俞盈供应链保管）；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default" w:ascii="Arial" w:hAnsi="Arial" w:cs="Arial"/>
          <w:bCs/>
          <w:kern w:val="44"/>
          <w:sz w:val="21"/>
          <w:szCs w:val="21"/>
          <w:lang w:val="en-US" w:eastAsia="zh-CN"/>
        </w:rPr>
      </w:pPr>
      <w:r>
        <w:rPr>
          <w:rFonts w:hint="eastAsia" w:ascii="Arial" w:hAnsi="Arial" w:cs="Arial"/>
          <w:bCs/>
          <w:kern w:val="44"/>
          <w:sz w:val="21"/>
          <w:szCs w:val="21"/>
          <w:lang w:val="en-US" w:eastAsia="zh-CN"/>
        </w:rPr>
        <w:t>庆霆公章、财务专用章、财务法人章、营业执照（正副本）、U盾及基本户存款信息、印鉴卡；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default" w:ascii="Arial" w:hAnsi="Arial" w:cs="Arial"/>
          <w:bCs/>
          <w:kern w:val="44"/>
          <w:sz w:val="21"/>
          <w:szCs w:val="21"/>
          <w:lang w:val="en-US" w:eastAsia="zh-CN"/>
        </w:rPr>
      </w:pPr>
      <w:r>
        <w:rPr>
          <w:rFonts w:hint="eastAsia" w:ascii="Arial" w:hAnsi="Arial" w:cs="Arial"/>
          <w:bCs/>
          <w:kern w:val="44"/>
          <w:sz w:val="21"/>
          <w:szCs w:val="21"/>
          <w:lang w:val="en-US" w:eastAsia="zh-CN"/>
        </w:rPr>
        <w:t>庆融的公章、财务专用章、营业执照（正副本）、U盾及基本户存款信息；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default" w:ascii="Arial" w:hAnsi="Arial" w:cs="Arial"/>
          <w:bCs/>
          <w:kern w:val="44"/>
          <w:sz w:val="21"/>
          <w:szCs w:val="21"/>
          <w:lang w:val="en-US" w:eastAsia="zh-CN"/>
        </w:rPr>
      </w:pPr>
      <w:r>
        <w:rPr>
          <w:rFonts w:hint="eastAsia" w:ascii="Arial" w:hAnsi="Arial" w:cs="Arial"/>
          <w:bCs/>
          <w:kern w:val="44"/>
          <w:sz w:val="21"/>
          <w:szCs w:val="21"/>
          <w:lang w:val="en-US" w:eastAsia="zh-CN"/>
        </w:rPr>
        <w:t>融滔公司的公章、财务专用章、财务法人章、发票专用章、合同专用章、营业执照（正副本）、U盾及基本户存款信息、印鉴卡。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default" w:ascii="Arial" w:hAnsi="Arial" w:cs="Arial"/>
          <w:bCs/>
          <w:kern w:val="44"/>
          <w:sz w:val="21"/>
          <w:szCs w:val="21"/>
          <w:lang w:val="en-US" w:eastAsia="zh-CN"/>
        </w:rPr>
      </w:pPr>
      <w:r>
        <w:rPr>
          <w:rFonts w:hint="eastAsia" w:ascii="Arial" w:hAnsi="Arial" w:cs="Arial"/>
          <w:bCs/>
          <w:kern w:val="44"/>
          <w:sz w:val="21"/>
          <w:szCs w:val="21"/>
          <w:lang w:val="en-US" w:eastAsia="zh-CN"/>
        </w:rPr>
        <w:t>目前尚未交接是庆融的印鉴卡，预计2021年4月7日交接实现共管，共管资料清单详见附件六。</w:t>
      </w:r>
    </w:p>
    <w:p>
      <w:pPr>
        <w:spacing w:line="480" w:lineRule="auto"/>
        <w:ind w:firstLine="420" w:firstLineChars="200"/>
        <w:jc w:val="both"/>
        <w:rPr>
          <w:rFonts w:hint="eastAsia" w:ascii="Arial" w:hAnsi="Arial" w:cs="Arial"/>
          <w:bCs/>
          <w:kern w:val="44"/>
          <w:sz w:val="21"/>
          <w:szCs w:val="21"/>
          <w:lang w:val="en-US" w:eastAsia="zh-CN"/>
        </w:rPr>
      </w:pPr>
      <w:r>
        <w:rPr>
          <w:rFonts w:hint="eastAsia" w:ascii="Arial" w:hAnsi="Arial" w:cs="Arial"/>
          <w:bCs/>
          <w:kern w:val="44"/>
          <w:sz w:val="21"/>
          <w:szCs w:val="21"/>
          <w:lang w:val="en-US" w:eastAsia="zh-CN"/>
        </w:rPr>
        <w:t>2、2021年3月30日，现场监管人员发现项目公司存有电子章，并已用印已经签订的合同，经与项目公司沟通，增加电子签章监管，目前计划以下述方式进行整改：</w:t>
      </w:r>
    </w:p>
    <w:p>
      <w:pPr>
        <w:spacing w:line="480" w:lineRule="auto"/>
        <w:ind w:firstLine="420" w:firstLineChars="200"/>
        <w:jc w:val="both"/>
        <w:rPr>
          <w:rFonts w:hint="eastAsia" w:ascii="Arial" w:hAnsi="Arial" w:cs="Arial"/>
          <w:bCs/>
          <w:kern w:val="44"/>
          <w:sz w:val="21"/>
          <w:szCs w:val="21"/>
          <w:lang w:val="en-US" w:eastAsia="zh-CN"/>
        </w:rPr>
      </w:pPr>
      <w:r>
        <w:rPr>
          <w:rFonts w:hint="eastAsia" w:ascii="Arial" w:hAnsi="Arial" w:cs="Arial"/>
          <w:bCs/>
          <w:kern w:val="44"/>
          <w:sz w:val="21"/>
          <w:szCs w:val="21"/>
          <w:lang w:val="en-US" w:eastAsia="zh-CN"/>
        </w:rPr>
        <w:t>（1）电子签章印流程增加监管人员节点（一个月内）；</w:t>
      </w:r>
    </w:p>
    <w:p>
      <w:pPr>
        <w:spacing w:line="480" w:lineRule="auto"/>
        <w:ind w:firstLine="420" w:firstLineChars="200"/>
        <w:jc w:val="both"/>
        <w:rPr>
          <w:rFonts w:hint="eastAsia" w:ascii="Arial" w:hAnsi="Arial" w:cs="Arial"/>
          <w:bCs/>
          <w:kern w:val="44"/>
          <w:sz w:val="21"/>
          <w:szCs w:val="21"/>
          <w:lang w:val="en-US" w:eastAsia="zh-CN"/>
        </w:rPr>
      </w:pPr>
      <w:r>
        <w:rPr>
          <w:rFonts w:hint="eastAsia" w:ascii="Arial" w:hAnsi="Arial" w:cs="Arial"/>
          <w:bCs/>
          <w:kern w:val="44"/>
          <w:sz w:val="21"/>
          <w:szCs w:val="21"/>
          <w:lang w:val="en-US" w:eastAsia="zh-CN"/>
        </w:rPr>
        <w:t>（2）电子签章合同流程，开通监管人员查询权限，可查询系统中所有融滔的电子签章合同流程。</w:t>
      </w:r>
    </w:p>
    <w:p>
      <w:pPr>
        <w:spacing w:line="480" w:lineRule="auto"/>
        <w:ind w:firstLine="420" w:firstLineChars="200"/>
        <w:jc w:val="both"/>
        <w:rPr>
          <w:rFonts w:hint="eastAsia" w:ascii="Arial" w:hAnsi="Arial" w:cs="Arial"/>
          <w:bCs/>
          <w:kern w:val="44"/>
          <w:sz w:val="21"/>
          <w:szCs w:val="21"/>
          <w:lang w:val="en-US" w:eastAsia="zh-CN"/>
        </w:rPr>
      </w:pPr>
      <w:r>
        <w:rPr>
          <w:rFonts w:hint="eastAsia" w:ascii="Arial" w:hAnsi="Arial" w:cs="Arial"/>
          <w:bCs/>
          <w:kern w:val="44"/>
          <w:sz w:val="21"/>
          <w:szCs w:val="21"/>
          <w:lang w:val="en-US" w:eastAsia="zh-CN"/>
        </w:rPr>
        <w:t>（3）在整改完成以前，项目公司申请使用电子章需要将合同交给现场监管人员审核留档，并且需提供截止2021年3月30日的所有有关电子章用印的合同台账及用印合同的电子档。</w:t>
      </w:r>
    </w:p>
    <w:p>
      <w:pPr>
        <w:spacing w:line="480" w:lineRule="auto"/>
        <w:ind w:firstLine="420" w:firstLineChars="200"/>
        <w:jc w:val="both"/>
        <w:rPr>
          <w:rFonts w:hint="default" w:ascii="Arial" w:hAnsi="Arial" w:cs="Arial"/>
          <w:bCs/>
          <w:kern w:val="44"/>
          <w:sz w:val="21"/>
          <w:szCs w:val="21"/>
          <w:lang w:val="en-US" w:eastAsia="zh-CN"/>
        </w:rPr>
      </w:pPr>
      <w:r>
        <w:rPr>
          <w:rFonts w:hint="eastAsia" w:ascii="Arial" w:hAnsi="Arial" w:cs="Arial"/>
          <w:bCs/>
          <w:kern w:val="44"/>
          <w:sz w:val="21"/>
          <w:szCs w:val="21"/>
          <w:lang w:val="en-US" w:eastAsia="zh-CN"/>
        </w:rPr>
        <w:t>以上整改方案，第3项已落实，第1、2项，现场驻场人员会持续跟进并汇报，若过程中发现其他问题，现场监管人员将及时通知光大信托。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420" w:firstLineChars="200"/>
        <w:jc w:val="both"/>
        <w:textAlignment w:val="auto"/>
        <w:outlineLvl w:val="9"/>
        <w:rPr>
          <w:rStyle w:val="29"/>
          <w:sz w:val="24"/>
          <w:szCs w:val="24"/>
        </w:rPr>
      </w:pPr>
      <w:r>
        <w:rPr>
          <w:rFonts w:hint="eastAsia" w:ascii="Arial" w:hAnsi="Arial" w:cs="Arial"/>
          <w:bCs/>
          <w:kern w:val="44"/>
          <w:sz w:val="21"/>
          <w:szCs w:val="21"/>
          <w:lang w:val="en-US" w:eastAsia="zh-CN"/>
        </w:rPr>
        <w:t>3、2021年3月31日，项目施工现场地下车库边坡周边土方被雨水冲刷导致土方流失，已做抢险工作，施工团队已进行边坡支护修复；万州近期下雨，导致施工进度缓慢，未发现重大灾害，属风险可控范围内。</w:t>
      </w:r>
    </w:p>
    <w:p>
      <w:pPr>
        <w:pStyle w:val="2"/>
        <w:rPr>
          <w:rFonts w:hint="eastAsia"/>
          <w:lang w:val="en-US" w:eastAsia="zh-CN"/>
        </w:rPr>
      </w:pPr>
      <w:bookmarkStart w:id="1" w:name="_Toc6003"/>
      <w:r>
        <w:rPr>
          <w:rFonts w:hint="default" w:ascii="Arial" w:hAnsi="Arial" w:cs="Arial"/>
          <w:lang w:val="en-US" w:eastAsia="zh-CN"/>
        </w:rPr>
        <w:t>二</w:t>
      </w:r>
      <w:r>
        <w:rPr>
          <w:rFonts w:hint="eastAsia"/>
          <w:lang w:val="en-US" w:eastAsia="zh-CN"/>
        </w:rPr>
        <w:t>、项目进展情况</w:t>
      </w:r>
      <w:bookmarkEnd w:id="1"/>
      <w:bookmarkStart w:id="2" w:name="_Toc3442_WPSOffice_Level2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300" w:line="360" w:lineRule="exact"/>
        <w:ind w:left="0" w:leftChars="0" w:right="0" w:rightChars="0" w:firstLine="0" w:firstLineChars="0"/>
        <w:jc w:val="left"/>
        <w:textAlignment w:val="auto"/>
        <w:outlineLvl w:val="1"/>
        <w:rPr>
          <w:rStyle w:val="29"/>
          <w:sz w:val="24"/>
          <w:szCs w:val="24"/>
        </w:rPr>
      </w:pPr>
      <w:bookmarkStart w:id="3" w:name="_Toc23858"/>
      <w:r>
        <w:rPr>
          <w:rStyle w:val="29"/>
          <w:rFonts w:hint="default" w:ascii="Arial" w:hAnsi="Arial" w:eastAsia="Arial Unicode MS" w:cs="Arial"/>
          <w:sz w:val="24"/>
          <w:szCs w:val="24"/>
          <w:lang w:val="en-US" w:eastAsia="zh-CN"/>
        </w:rPr>
        <w:t>（一）</w:t>
      </w:r>
      <w:r>
        <w:rPr>
          <w:rStyle w:val="29"/>
          <w:rFonts w:hint="eastAsia" w:cs="Times New Roman"/>
          <w:sz w:val="24"/>
          <w:szCs w:val="24"/>
          <w:lang w:val="en-US" w:eastAsia="zh-CN"/>
        </w:rPr>
        <w:t>报建</w:t>
      </w:r>
      <w:bookmarkEnd w:id="2"/>
      <w:r>
        <w:rPr>
          <w:rStyle w:val="29"/>
          <w:rFonts w:hint="eastAsia" w:cs="Times New Roman"/>
          <w:sz w:val="24"/>
          <w:szCs w:val="24"/>
          <w:lang w:val="en-US" w:eastAsia="zh-CN"/>
        </w:rPr>
        <w:t>情况</w:t>
      </w:r>
    </w:p>
    <w:bookmarkEnd w:id="3"/>
    <w:tbl>
      <w:tblPr>
        <w:tblStyle w:val="18"/>
        <w:tblW w:w="1005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8"/>
        <w:gridCol w:w="1297"/>
        <w:gridCol w:w="4901"/>
        <w:gridCol w:w="1080"/>
        <w:gridCol w:w="20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  <w:tblHeader/>
          <w:jc w:val="center"/>
        </w:trPr>
        <w:tc>
          <w:tcPr>
            <w:tcW w:w="718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297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证件名称</w:t>
            </w:r>
          </w:p>
        </w:tc>
        <w:tc>
          <w:tcPr>
            <w:tcW w:w="4901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政策要求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eastAsia="宋体" w:cs="Arial"/>
                <w:b/>
                <w:bCs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预计取证日期</w:t>
            </w:r>
          </w:p>
        </w:tc>
        <w:tc>
          <w:tcPr>
            <w:tcW w:w="2054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73" w:hRule="atLeast"/>
          <w:jc w:val="center"/>
        </w:trPr>
        <w:tc>
          <w:tcPr>
            <w:tcW w:w="718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</w:t>
            </w:r>
          </w:p>
        </w:tc>
        <w:tc>
          <w:tcPr>
            <w:tcW w:w="1297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不动产权证书</w:t>
            </w:r>
          </w:p>
        </w:tc>
        <w:tc>
          <w:tcPr>
            <w:tcW w:w="4901" w:type="dxa"/>
            <w:vAlign w:val="center"/>
          </w:tcPr>
          <w:p>
            <w:pPr>
              <w:pStyle w:val="34"/>
              <w:spacing w:line="240" w:lineRule="auto"/>
              <w:jc w:val="center"/>
              <w:rPr>
                <w:rFonts w:hint="eastAsia" w:ascii="Arial" w:hAnsi="Arial" w:eastAsia="宋体" w:cs="Arial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Arial" w:hAnsi="Arial" w:eastAsia="宋体" w:cs="Arial"/>
                <w:sz w:val="18"/>
                <w:szCs w:val="18"/>
                <w:lang w:bidi="ar"/>
              </w:rPr>
              <w:t>法人身份证明；营业执照复印件；委托书及委托人身份证原件；土地合同；交付土地协议；出让金票据及土地契税票据；权籍调查表；宗地图</w:t>
            </w:r>
          </w:p>
        </w:tc>
        <w:tc>
          <w:tcPr>
            <w:tcW w:w="1080" w:type="dxa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hint="eastAsia" w:ascii="Arial" w:hAnsi="Arial" w:eastAsia="宋体" w:cs="Arial"/>
                <w:b/>
                <w:bCs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2021</w:t>
            </w:r>
            <w:r>
              <w:rPr>
                <w:rFonts w:hint="eastAsia"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4</w:t>
            </w:r>
            <w:r>
              <w:rPr>
                <w:rFonts w:hint="eastAsia"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9</w:t>
            </w:r>
          </w:p>
        </w:tc>
        <w:tc>
          <w:tcPr>
            <w:tcW w:w="2054" w:type="dxa"/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前期因项目未按时缴齐土地款导致出让合同签订系统被锁，下周解锁完系统签订土地出让合同后拿证，政府已把不动产权证复印件给项目开发部用于报建工作。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718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129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建设用地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规划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许可证</w:t>
            </w:r>
          </w:p>
        </w:tc>
        <w:tc>
          <w:tcPr>
            <w:tcW w:w="4901" w:type="dxa"/>
            <w:vAlign w:val="center"/>
          </w:tcPr>
          <w:p>
            <w:pPr>
              <w:pStyle w:val="15"/>
              <w:jc w:val="center"/>
              <w:rPr>
                <w:rFonts w:hint="eastAsia" w:ascii="Arial" w:hAnsi="Arial" w:eastAsia="宋体" w:cs="Arial"/>
                <w:b/>
                <w:bCs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申请单位的申请报告；建设项目审批、核准或者备案文件（发改委批文）；用地位置的1：1000现状地形图2份及其电子文件（宗地图）；属于出让土地的: 提供国有土地使用权出让合同和规划条件通知书；属于划拨土地的: 选址意见书及规划设计要求；提供营业执照、组织机构代码及法人身份证复印件、法人授权委托书及委托代理人身份证复印件。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textAlignment w:val="center"/>
              <w:rPr>
                <w:rFonts w:hint="eastAsia" w:ascii="Arial" w:hAnsi="Arial" w:eastAsia="宋体" w:cs="Arial"/>
                <w:b/>
                <w:bCs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2021/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4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9</w:t>
            </w:r>
          </w:p>
        </w:tc>
        <w:tc>
          <w:tcPr>
            <w:tcW w:w="2054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4" w:hRule="atLeast"/>
          <w:jc w:val="center"/>
        </w:trPr>
        <w:tc>
          <w:tcPr>
            <w:tcW w:w="718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129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建设工程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规划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许可证</w:t>
            </w:r>
          </w:p>
        </w:tc>
        <w:tc>
          <w:tcPr>
            <w:tcW w:w="4901" w:type="dxa"/>
            <w:vAlign w:val="center"/>
          </w:tcPr>
          <w:p>
            <w:pPr>
              <w:pStyle w:val="15"/>
              <w:jc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申请报告；营业执照（原件及复印件）、组织机构代码（原件及复印件）；法人身份证复印件、法人授权委托书、委托代理人身份证复印件；建设用地规划条件通知书（原件及复印件）、建设用地规划许可证（原件及复印件）；国有土地使用权证（原件及复印件）、宗地图；发改委项目批准文件（原件及复印件）；批准的总平面图(含电子文档)；配套费缴费证明；墙改基金（墙改办办理）缴费；人防缴费证明和人防工程审查批准意见（人防办办理）。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eastAsia="宋体" w:cs="Arial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2021/4/30</w:t>
            </w:r>
          </w:p>
        </w:tc>
        <w:tc>
          <w:tcPr>
            <w:tcW w:w="20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3" w:hRule="atLeast"/>
          <w:jc w:val="center"/>
        </w:trPr>
        <w:tc>
          <w:tcPr>
            <w:tcW w:w="718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29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建筑工程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施工</w:t>
            </w:r>
            <w:r>
              <w:rPr>
                <w:rFonts w:ascii="Arial" w:hAnsi="Arial" w:cs="Arial"/>
                <w:sz w:val="18"/>
                <w:szCs w:val="18"/>
              </w:rPr>
              <w:t>许可证</w:t>
            </w:r>
          </w:p>
        </w:tc>
        <w:tc>
          <w:tcPr>
            <w:tcW w:w="4901" w:type="dxa"/>
            <w:vAlign w:val="center"/>
          </w:tcPr>
          <w:p>
            <w:pPr>
              <w:pStyle w:val="15"/>
              <w:jc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1、规划条件通知书2、建设条件通知书3、建筑项目用地界址测绘平面图及界址点成果表4、建设工程规划许可证5、加盖规划部门骑缝章总平面图6、国有土地使用权出让合同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eastAsia="宋体" w:cs="Arial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2021/4/30</w:t>
            </w:r>
          </w:p>
        </w:tc>
        <w:tc>
          <w:tcPr>
            <w:tcW w:w="2054" w:type="dxa"/>
            <w:vAlign w:val="center"/>
          </w:tcPr>
          <w:p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5" w:hRule="atLeast"/>
          <w:jc w:val="center"/>
        </w:trPr>
        <w:tc>
          <w:tcPr>
            <w:tcW w:w="718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129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商品房预售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许可证</w:t>
            </w:r>
          </w:p>
        </w:tc>
        <w:tc>
          <w:tcPr>
            <w:tcW w:w="4901" w:type="dxa"/>
            <w:vAlign w:val="center"/>
          </w:tcPr>
          <w:p>
            <w:pPr>
              <w:pStyle w:val="15"/>
              <w:jc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房地产开发资质证书和营业执照复印件(核对原件)；《国有土地使用证》复印件(核对原件)；《建设工程规划许可证》复印件(核对原件)；《建筑工程施工许可证》复印件(核对原件)；工程施工合同及关于施工进度的说明；有关建筑节能标准及节能措施的证明复印件(核对原件)；商品房预售方案（应包括商品房位置、装修标准、竣工交付日期、预售总面积、交付后的物业管理、总平面图、分层平面图）；工程进度达到设计形象进度25%以上的证明；预售资金监管账户开具。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eastAsia="宋体" w:cs="Arial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2021/5/19</w:t>
            </w:r>
          </w:p>
        </w:tc>
        <w:tc>
          <w:tcPr>
            <w:tcW w:w="2054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300" w:line="360" w:lineRule="exact"/>
        <w:ind w:left="0" w:leftChars="0" w:right="0" w:rightChars="0" w:firstLine="0" w:firstLineChars="0"/>
        <w:jc w:val="left"/>
        <w:textAlignment w:val="auto"/>
        <w:outlineLvl w:val="1"/>
        <w:rPr>
          <w:rStyle w:val="29"/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4" w:name="_Toc29555"/>
      <w:r>
        <w:rPr>
          <w:rStyle w:val="29"/>
          <w:rFonts w:hint="eastAsia" w:ascii="宋体" w:hAnsi="宋体" w:eastAsia="宋体" w:cs="宋体"/>
          <w:sz w:val="24"/>
          <w:szCs w:val="24"/>
          <w:lang w:val="en-US" w:eastAsia="zh-CN"/>
        </w:rPr>
        <w:t>营销情况</w:t>
      </w:r>
    </w:p>
    <w:bookmarkEnd w:id="4"/>
    <w:p>
      <w:pPr>
        <w:pStyle w:val="4"/>
        <w:keepNext w:val="0"/>
        <w:keepLines w:val="0"/>
        <w:spacing w:before="300" w:after="300" w:line="360" w:lineRule="exact"/>
        <w:jc w:val="left"/>
        <w:rPr>
          <w:rStyle w:val="29"/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default" w:ascii="Arial" w:hAnsi="Arial" w:eastAsia="宋体" w:cs="Arial"/>
          <w:sz w:val="24"/>
          <w:szCs w:val="24"/>
          <w:lang w:val="en-US" w:eastAsia="zh-CN"/>
        </w:rPr>
        <w:t>1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.项目销售及推盘计划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300" w:line="480" w:lineRule="auto"/>
        <w:ind w:left="0" w:leftChars="0" w:right="0" w:rightChars="0" w:firstLine="420" w:firstLineChars="200"/>
        <w:jc w:val="both"/>
        <w:textAlignment w:val="auto"/>
        <w:outlineLvl w:val="2"/>
        <w:rPr>
          <w:rFonts w:hint="eastAsia" w:ascii="Arial" w:hAnsi="Arial" w:eastAsia="宋体" w:cs="Arial"/>
          <w:b w:val="0"/>
          <w:bCs/>
          <w:kern w:val="44"/>
          <w:sz w:val="21"/>
          <w:szCs w:val="21"/>
          <w:lang w:val="en-US" w:eastAsia="zh-CN" w:bidi="ar-SA"/>
        </w:rPr>
      </w:pPr>
      <w:r>
        <w:rPr>
          <w:rFonts w:hint="eastAsia" w:ascii="Arial" w:hAnsi="Arial" w:eastAsia="宋体" w:cs="Arial"/>
          <w:b w:val="0"/>
          <w:bCs/>
          <w:kern w:val="44"/>
          <w:sz w:val="21"/>
          <w:szCs w:val="21"/>
          <w:lang w:val="en-US" w:eastAsia="zh-CN" w:bidi="ar-SA"/>
        </w:rPr>
        <w:t>该项目还未预售，现阶段通过开放外展厅、商超展点、项目全员派送传单等形式，进行前期覆盖面较广的品牌宣传。</w:t>
      </w:r>
    </w:p>
    <w:p>
      <w:pPr>
        <w:pStyle w:val="4"/>
        <w:keepNext w:val="0"/>
        <w:keepLines w:val="0"/>
        <w:spacing w:before="300" w:after="300" w:line="360" w:lineRule="exact"/>
        <w:jc w:val="left"/>
        <w:rPr>
          <w:rFonts w:ascii="Arial" w:hAnsi="Arial" w:eastAsia="宋体" w:cs="Arial"/>
          <w:sz w:val="24"/>
          <w:szCs w:val="24"/>
        </w:rPr>
      </w:pPr>
      <w:r>
        <w:rPr>
          <w:rFonts w:hint="eastAsia" w:ascii="Arial" w:hAnsi="Arial" w:eastAsia="宋体" w:cs="Arial"/>
          <w:sz w:val="24"/>
          <w:szCs w:val="24"/>
          <w:lang w:val="en-US" w:eastAsia="zh-CN"/>
        </w:rPr>
        <w:t>2</w:t>
      </w:r>
      <w:r>
        <w:rPr>
          <w:rFonts w:ascii="Arial" w:hAnsi="Arial" w:eastAsia="宋体" w:cs="Arial"/>
          <w:sz w:val="24"/>
          <w:szCs w:val="24"/>
        </w:rPr>
        <w:t>.当地预售政策、限</w:t>
      </w:r>
      <w:r>
        <w:rPr>
          <w:rFonts w:hint="eastAsia" w:ascii="Arial" w:hAnsi="Arial" w:eastAsia="宋体" w:cs="Arial"/>
          <w:sz w:val="24"/>
          <w:szCs w:val="24"/>
        </w:rPr>
        <w:t>贷</w:t>
      </w:r>
      <w:r>
        <w:rPr>
          <w:rFonts w:ascii="Arial" w:hAnsi="Arial" w:eastAsia="宋体" w:cs="Arial"/>
          <w:sz w:val="24"/>
          <w:szCs w:val="24"/>
        </w:rPr>
        <w:t>政策描述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420" w:firstLineChars="200"/>
        <w:jc w:val="both"/>
        <w:textAlignment w:val="auto"/>
        <w:outlineLvl w:val="9"/>
        <w:rPr>
          <w:rFonts w:ascii="Arial" w:hAnsi="Arial" w:cs="Arial"/>
          <w:bCs/>
          <w:kern w:val="44"/>
          <w:sz w:val="21"/>
          <w:szCs w:val="21"/>
        </w:rPr>
      </w:pPr>
      <w:r>
        <w:rPr>
          <w:rFonts w:ascii="Arial" w:hAnsi="Arial" w:cs="Arial"/>
          <w:bCs/>
          <w:kern w:val="44"/>
          <w:sz w:val="21"/>
          <w:szCs w:val="21"/>
        </w:rPr>
        <w:t>（1）预售政策</w:t>
      </w:r>
      <w:r>
        <w:rPr>
          <w:rFonts w:hint="eastAsia" w:ascii="Arial" w:hAnsi="Arial" w:cs="Arial"/>
          <w:bCs/>
          <w:kern w:val="44"/>
          <w:sz w:val="21"/>
          <w:szCs w:val="21"/>
          <w:lang w:eastAsia="zh-CN"/>
        </w:rPr>
        <w:t>：</w:t>
      </w:r>
      <w:r>
        <w:rPr>
          <w:rFonts w:hint="eastAsia" w:ascii="Arial" w:hAnsi="Arial" w:cs="Arial"/>
          <w:bCs/>
          <w:kern w:val="44"/>
          <w:sz w:val="21"/>
          <w:szCs w:val="21"/>
        </w:rPr>
        <w:t>8层及以下要求主体工程封顶，8层以上要求主体工程完成1/2，洋房、别墅、多层住宅主体封顶办理预售</w:t>
      </w:r>
      <w:r>
        <w:rPr>
          <w:rFonts w:ascii="Arial" w:hAnsi="Arial" w:cs="Arial"/>
          <w:bCs/>
          <w:kern w:val="44"/>
          <w:sz w:val="21"/>
          <w:szCs w:val="21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420" w:firstLineChars="200"/>
        <w:jc w:val="both"/>
        <w:textAlignment w:val="auto"/>
        <w:outlineLvl w:val="9"/>
        <w:rPr>
          <w:rFonts w:ascii="Arial" w:hAnsi="Arial" w:cs="Arial"/>
          <w:bCs/>
          <w:kern w:val="44"/>
          <w:sz w:val="21"/>
          <w:szCs w:val="21"/>
        </w:rPr>
      </w:pPr>
      <w:r>
        <w:rPr>
          <w:rFonts w:ascii="Arial" w:hAnsi="Arial" w:cs="Arial"/>
          <w:bCs/>
          <w:kern w:val="44"/>
          <w:sz w:val="21"/>
          <w:szCs w:val="21"/>
        </w:rPr>
        <w:t>（2）限</w:t>
      </w:r>
      <w:r>
        <w:rPr>
          <w:rFonts w:hint="eastAsia" w:ascii="Arial" w:hAnsi="Arial" w:cs="Arial"/>
          <w:bCs/>
          <w:kern w:val="44"/>
          <w:sz w:val="21"/>
          <w:szCs w:val="21"/>
        </w:rPr>
        <w:t>贷</w:t>
      </w:r>
      <w:r>
        <w:rPr>
          <w:rFonts w:ascii="Arial" w:hAnsi="Arial" w:cs="Arial"/>
          <w:bCs/>
          <w:kern w:val="44"/>
          <w:sz w:val="21"/>
          <w:szCs w:val="21"/>
        </w:rPr>
        <w:t>政策</w:t>
      </w:r>
      <w:r>
        <w:rPr>
          <w:rFonts w:hint="eastAsia" w:ascii="Arial" w:hAnsi="Arial" w:cs="Arial"/>
          <w:bCs/>
          <w:kern w:val="44"/>
          <w:sz w:val="21"/>
          <w:szCs w:val="21"/>
        </w:rPr>
        <w:t>：</w:t>
      </w:r>
      <w:r>
        <w:rPr>
          <w:rFonts w:hint="eastAsia" w:ascii="Arial" w:hAnsi="Arial" w:cs="Arial"/>
          <w:bCs/>
          <w:kern w:val="44"/>
          <w:sz w:val="21"/>
          <w:szCs w:val="21"/>
          <w:lang w:val="en-US" w:eastAsia="zh-CN"/>
        </w:rPr>
        <w:t>万州区不限购</w:t>
      </w:r>
      <w:r>
        <w:rPr>
          <w:rFonts w:hint="eastAsia" w:ascii="Arial" w:hAnsi="Arial" w:cs="Arial"/>
          <w:bCs/>
          <w:kern w:val="44"/>
          <w:sz w:val="21"/>
          <w:szCs w:val="21"/>
        </w:rPr>
        <w:t>，</w:t>
      </w:r>
      <w:r>
        <w:rPr>
          <w:rFonts w:hint="eastAsia" w:ascii="Arial" w:hAnsi="Arial" w:cs="Arial"/>
          <w:bCs/>
          <w:kern w:val="44"/>
          <w:sz w:val="21"/>
          <w:szCs w:val="21"/>
          <w:lang w:val="en-US" w:eastAsia="zh-CN"/>
        </w:rPr>
        <w:t>按揭买房</w:t>
      </w:r>
      <w:r>
        <w:rPr>
          <w:rFonts w:hint="eastAsia" w:ascii="Arial" w:hAnsi="Arial" w:cs="Arial"/>
          <w:bCs/>
          <w:kern w:val="44"/>
          <w:sz w:val="21"/>
          <w:szCs w:val="21"/>
        </w:rPr>
        <w:t>首</w:t>
      </w:r>
      <w:r>
        <w:rPr>
          <w:rFonts w:hint="eastAsia" w:ascii="Arial" w:hAnsi="Arial" w:cs="Arial"/>
          <w:bCs/>
          <w:kern w:val="44"/>
          <w:sz w:val="21"/>
          <w:szCs w:val="21"/>
          <w:lang w:val="en-US" w:eastAsia="zh-CN"/>
        </w:rPr>
        <w:t>付最低首付二成，二套房最低首付三成。</w:t>
      </w:r>
    </w:p>
    <w:p>
      <w:pPr>
        <w:pStyle w:val="4"/>
        <w:keepNext w:val="0"/>
        <w:keepLines w:val="0"/>
        <w:spacing w:before="300" w:after="300" w:line="360" w:lineRule="exact"/>
        <w:jc w:val="left"/>
        <w:rPr>
          <w:rFonts w:ascii="Arial" w:hAnsi="Arial" w:eastAsia="宋体" w:cs="Arial"/>
          <w:sz w:val="24"/>
          <w:szCs w:val="24"/>
        </w:rPr>
      </w:pPr>
      <w:r>
        <w:rPr>
          <w:rFonts w:hint="eastAsia" w:ascii="Arial" w:hAnsi="Arial" w:eastAsia="宋体" w:cs="Arial"/>
          <w:sz w:val="24"/>
          <w:szCs w:val="24"/>
          <w:lang w:val="en-US" w:eastAsia="zh-CN"/>
        </w:rPr>
        <w:t>3</w:t>
      </w:r>
      <w:r>
        <w:rPr>
          <w:rFonts w:ascii="Arial" w:hAnsi="Arial" w:eastAsia="宋体" w:cs="Arial"/>
          <w:sz w:val="24"/>
          <w:szCs w:val="24"/>
        </w:rPr>
        <w:t>.周边竞品楼盘情况</w:t>
      </w:r>
    </w:p>
    <w:p>
      <w:pPr>
        <w:widowControl w:val="0"/>
        <w:adjustRightInd w:val="0"/>
        <w:snapToGrid w:val="0"/>
        <w:spacing w:before="312" w:beforeLines="100"/>
        <w:contextualSpacing/>
        <w:jc w:val="center"/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szCs w:val="28"/>
        </w:rPr>
        <w:t>项目周边竞品情况</w:t>
      </w:r>
    </w:p>
    <w:tbl>
      <w:tblPr>
        <w:tblStyle w:val="18"/>
        <w:tblW w:w="909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9"/>
        <w:gridCol w:w="1245"/>
        <w:gridCol w:w="1455"/>
        <w:gridCol w:w="792"/>
        <w:gridCol w:w="888"/>
        <w:gridCol w:w="1575"/>
        <w:gridCol w:w="24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9" w:hRule="atLeast"/>
          <w:tblHeader/>
          <w:jc w:val="center"/>
        </w:trPr>
        <w:tc>
          <w:tcPr>
            <w:tcW w:w="6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序号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楼盘名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开盘时间</w:t>
            </w:r>
          </w:p>
          <w:p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（首次）</w:t>
            </w:r>
          </w:p>
        </w:tc>
        <w:tc>
          <w:tcPr>
            <w:tcW w:w="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容积率</w:t>
            </w:r>
          </w:p>
        </w:tc>
        <w:tc>
          <w:tcPr>
            <w:tcW w:w="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建筑面积</w:t>
            </w:r>
          </w:p>
          <w:p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（万㎡）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物业类型：</w:t>
            </w:r>
          </w:p>
          <w:p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售价（元/㎡）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车距</w:t>
            </w:r>
          </w:p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/去化情况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6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恒大御景半岛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76" w:lineRule="auto"/>
              <w:ind w:firstLine="180" w:firstLineChars="100"/>
              <w:jc w:val="center"/>
              <w:textAlignment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9</w:t>
            </w: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2</w:t>
            </w: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/</w:t>
            </w:r>
            <w:r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eastAsia="宋体" w:cs="Arial"/>
                <w:color w:val="FF0000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</w:rPr>
              <w:t>1.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color w:val="FF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312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高层/毛坯：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8</w:t>
            </w:r>
            <w:r>
              <w:rPr>
                <w:rFonts w:hint="eastAsia" w:ascii="Arial" w:hAnsi="Arial" w:cs="Arial"/>
                <w:sz w:val="18"/>
                <w:szCs w:val="18"/>
              </w:rPr>
              <w:t>,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0</w:t>
            </w:r>
            <w:r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6.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km</w:t>
            </w:r>
          </w:p>
          <w:p>
            <w:pPr>
              <w:jc w:val="center"/>
              <w:rPr>
                <w:rFonts w:hint="default" w:ascii="Arial" w:hAnsi="Arial" w:eastAsia="宋体" w:cs="Arial"/>
                <w:color w:val="FF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2021年1月已售罄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  <w:jc w:val="center"/>
        </w:trPr>
        <w:tc>
          <w:tcPr>
            <w:tcW w:w="6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世茂云著滨江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20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21</w:t>
            </w: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03</w:t>
            </w: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23</w:t>
            </w:r>
          </w:p>
        </w:tc>
        <w:tc>
          <w:tcPr>
            <w:tcW w:w="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4.6</w:t>
            </w:r>
          </w:p>
        </w:tc>
        <w:tc>
          <w:tcPr>
            <w:tcW w:w="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79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高层/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毛坯</w:t>
            </w:r>
            <w:r>
              <w:rPr>
                <w:rFonts w:ascii="Arial" w:hAnsi="Arial" w:cs="Arial"/>
                <w:sz w:val="18"/>
                <w:szCs w:val="18"/>
              </w:rPr>
              <w:t>：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7</w:t>
            </w:r>
            <w:r>
              <w:rPr>
                <w:rFonts w:hint="eastAsia" w:ascii="Arial" w:hAnsi="Arial" w:cs="Arial"/>
                <w:sz w:val="18"/>
                <w:szCs w:val="18"/>
              </w:rPr>
              <w:t>,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2.2</w:t>
            </w:r>
            <w:r>
              <w:rPr>
                <w:rFonts w:ascii="Arial" w:hAnsi="Arial" w:cs="Arial"/>
                <w:sz w:val="18"/>
                <w:szCs w:val="18"/>
              </w:rPr>
              <w:t>km</w:t>
            </w:r>
          </w:p>
          <w:p>
            <w:pPr>
              <w:jc w:val="center"/>
              <w:rPr>
                <w:rFonts w:hint="default" w:ascii="Arial" w:hAnsi="Arial" w:eastAsia="宋体" w:cs="Arial"/>
                <w:color w:val="FF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2021年4月开盘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" w:hRule="atLeast"/>
          <w:jc w:val="center"/>
        </w:trPr>
        <w:tc>
          <w:tcPr>
            <w:tcW w:w="6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南滨上院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eastAsia="宋体" w:cs="Arial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 xml:space="preserve"> 2020</w:t>
            </w: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</w:rPr>
              <w:t>0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3</w:t>
            </w: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</w:rPr>
              <w:t>0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3.46</w:t>
            </w:r>
          </w:p>
        </w:tc>
        <w:tc>
          <w:tcPr>
            <w:tcW w:w="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color w:val="FF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100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高层</w:t>
            </w:r>
            <w:r>
              <w:rPr>
                <w:rFonts w:hint="eastAsia" w:ascii="Arial" w:hAnsi="Arial" w:cs="Arial"/>
                <w:sz w:val="18"/>
                <w:szCs w:val="18"/>
              </w:rPr>
              <w:t>/</w:t>
            </w:r>
            <w:r>
              <w:rPr>
                <w:rFonts w:ascii="Arial" w:hAnsi="Arial" w:cs="Arial"/>
                <w:sz w:val="18"/>
                <w:szCs w:val="18"/>
              </w:rPr>
              <w:t>毛坯：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7,500</w:t>
            </w:r>
          </w:p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0.9</w:t>
            </w:r>
            <w:r>
              <w:rPr>
                <w:rFonts w:ascii="Arial" w:hAnsi="Arial" w:cs="Arial"/>
                <w:sz w:val="18"/>
                <w:szCs w:val="18"/>
              </w:rPr>
              <w:t>km</w:t>
            </w:r>
          </w:p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月去化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110</w:t>
            </w:r>
            <w:r>
              <w:rPr>
                <w:rFonts w:ascii="Arial" w:hAnsi="Arial" w:cs="Arial"/>
                <w:sz w:val="18"/>
                <w:szCs w:val="18"/>
              </w:rPr>
              <w:t>套</w:t>
            </w:r>
          </w:p>
          <w:p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去化率30%</w:t>
            </w:r>
          </w:p>
        </w:tc>
      </w:tr>
    </w:tbl>
    <w:p/>
    <w:p>
      <w:pPr>
        <w:pStyle w:val="4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300" w:line="360" w:lineRule="exact"/>
        <w:ind w:left="0" w:leftChars="0" w:right="0" w:rightChars="0" w:firstLine="0" w:firstLineChars="0"/>
        <w:jc w:val="left"/>
        <w:textAlignment w:val="auto"/>
        <w:outlineLvl w:val="2"/>
        <w:rPr>
          <w:rStyle w:val="29"/>
          <w:rFonts w:hint="eastAsia" w:cs="Times New Roman"/>
          <w:b/>
          <w:bCs/>
          <w:sz w:val="24"/>
          <w:szCs w:val="24"/>
          <w:lang w:val="en-US" w:eastAsia="zh-CN" w:bidi="ar-SA"/>
        </w:rPr>
      </w:pPr>
      <w:bookmarkStart w:id="5" w:name="_Toc2527"/>
      <w:r>
        <w:rPr>
          <w:rStyle w:val="29"/>
          <w:rFonts w:hint="eastAsia" w:cs="Times New Roman"/>
          <w:b/>
          <w:bCs/>
          <w:sz w:val="24"/>
          <w:szCs w:val="24"/>
          <w:lang w:val="en-US" w:eastAsia="zh-CN" w:bidi="ar-SA"/>
        </w:rPr>
        <w:t>项目开发进展情况</w:t>
      </w:r>
    </w:p>
    <w:bookmarkEnd w:id="5"/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300" w:line="360" w:lineRule="exact"/>
        <w:ind w:leftChars="0" w:right="0" w:rightChars="0"/>
        <w:jc w:val="left"/>
        <w:textAlignment w:val="auto"/>
        <w:outlineLvl w:val="2"/>
        <w:rPr>
          <w:rFonts w:ascii="Arial" w:hAnsi="Arial" w:eastAsia="宋体" w:cs="Arial"/>
          <w:sz w:val="24"/>
          <w:szCs w:val="24"/>
        </w:rPr>
      </w:pPr>
      <w:r>
        <w:rPr>
          <w:rFonts w:ascii="Arial" w:hAnsi="Arial" w:eastAsia="宋体" w:cs="Arial"/>
          <w:sz w:val="24"/>
          <w:szCs w:val="24"/>
        </w:rPr>
        <w:t>1.项目基本情况</w:t>
      </w:r>
    </w:p>
    <w:p>
      <w:pPr>
        <w:spacing w:line="480" w:lineRule="auto"/>
        <w:ind w:firstLine="420" w:firstLineChars="200"/>
        <w:jc w:val="both"/>
        <w:rPr>
          <w:rFonts w:hint="eastAsia" w:ascii="宋体" w:hAnsi="宋体" w:eastAsia="宋体" w:cs="宋体"/>
          <w:bCs/>
          <w:kern w:val="44"/>
          <w:sz w:val="21"/>
          <w:szCs w:val="21"/>
        </w:rPr>
      </w:pPr>
      <w:r>
        <w:rPr>
          <w:rFonts w:hint="eastAsia" w:ascii="宋体" w:hAnsi="宋体" w:eastAsia="宋体" w:cs="宋体"/>
          <w:bCs/>
          <w:kern w:val="44"/>
          <w:sz w:val="21"/>
          <w:szCs w:val="21"/>
          <w:lang w:val="en-US" w:eastAsia="zh-CN"/>
        </w:rPr>
        <w:t>万州融创琅阅滨江</w:t>
      </w:r>
      <w:r>
        <w:rPr>
          <w:rFonts w:hint="eastAsia" w:ascii="宋体" w:hAnsi="宋体" w:eastAsia="宋体" w:cs="宋体"/>
          <w:bCs/>
          <w:kern w:val="44"/>
          <w:sz w:val="21"/>
          <w:szCs w:val="21"/>
        </w:rPr>
        <w:t>地块位于万州区行政中心江南新区，距离万州区府仅</w:t>
      </w:r>
      <w:r>
        <w:rPr>
          <w:rFonts w:hint="default" w:ascii="Arial" w:hAnsi="Arial" w:eastAsia="宋体" w:cs="Arial"/>
          <w:bCs/>
          <w:kern w:val="44"/>
          <w:sz w:val="21"/>
          <w:szCs w:val="21"/>
        </w:rPr>
        <w:t>2.3</w:t>
      </w:r>
      <w:r>
        <w:rPr>
          <w:rFonts w:hint="eastAsia" w:ascii="宋体" w:hAnsi="宋体" w:eastAsia="宋体" w:cs="宋体"/>
          <w:bCs/>
          <w:kern w:val="44"/>
          <w:sz w:val="21"/>
          <w:szCs w:val="21"/>
        </w:rPr>
        <w:t>公里，距离江南商圈</w:t>
      </w:r>
      <w:r>
        <w:rPr>
          <w:rFonts w:hint="eastAsia" w:ascii="Arial" w:hAnsi="Arial" w:eastAsia="宋体" w:cs="Arial"/>
          <w:bCs/>
          <w:kern w:val="44"/>
          <w:sz w:val="21"/>
          <w:szCs w:val="21"/>
        </w:rPr>
        <w:t>1.3</w:t>
      </w:r>
      <w:r>
        <w:rPr>
          <w:rFonts w:hint="eastAsia" w:ascii="宋体" w:hAnsi="宋体" w:eastAsia="宋体" w:cs="宋体"/>
          <w:bCs/>
          <w:kern w:val="44"/>
          <w:sz w:val="21"/>
          <w:szCs w:val="21"/>
        </w:rPr>
        <w:t>公里，通过长江三桥</w:t>
      </w:r>
      <w:r>
        <w:rPr>
          <w:rFonts w:hint="eastAsia" w:ascii="Arial" w:hAnsi="Arial" w:eastAsia="宋体" w:cs="Arial"/>
          <w:bCs/>
          <w:kern w:val="44"/>
          <w:sz w:val="21"/>
          <w:szCs w:val="21"/>
        </w:rPr>
        <w:t>10</w:t>
      </w:r>
      <w:r>
        <w:rPr>
          <w:rFonts w:hint="eastAsia" w:ascii="Arial" w:hAnsi="Arial" w:cs="Arial"/>
          <w:bCs/>
          <w:kern w:val="44"/>
          <w:sz w:val="21"/>
          <w:szCs w:val="21"/>
          <w:lang w:val="en-US" w:eastAsia="zh-CN"/>
        </w:rPr>
        <w:t xml:space="preserve"> ~</w:t>
      </w:r>
      <w:r>
        <w:rPr>
          <w:rFonts w:hint="eastAsia" w:ascii="Arial" w:hAnsi="Arial" w:eastAsia="宋体" w:cs="Arial"/>
          <w:bCs/>
          <w:kern w:val="44"/>
          <w:sz w:val="21"/>
          <w:szCs w:val="21"/>
        </w:rPr>
        <w:t>15</w:t>
      </w:r>
      <w:r>
        <w:rPr>
          <w:rFonts w:hint="eastAsia" w:ascii="宋体" w:hAnsi="宋体" w:eastAsia="宋体" w:cs="宋体"/>
          <w:bCs/>
          <w:kern w:val="44"/>
          <w:sz w:val="21"/>
          <w:szCs w:val="21"/>
        </w:rPr>
        <w:t>分钟车程到达老城万达广场商圈，是万州滨江带稀缺纯住宅地块。地块北临长江三桥南桥头，东临已建成的翠屏大道支路，南临待出让居住用地东侧两车道翠屏大道支路已通车，连接长江三桥约</w:t>
      </w:r>
      <w:r>
        <w:rPr>
          <w:rFonts w:hint="eastAsia" w:ascii="Arial" w:hAnsi="Arial" w:eastAsia="宋体" w:cs="Arial"/>
          <w:bCs/>
          <w:kern w:val="44"/>
          <w:sz w:val="21"/>
          <w:szCs w:val="21"/>
        </w:rPr>
        <w:t>1.7</w:t>
      </w:r>
      <w:r>
        <w:rPr>
          <w:rFonts w:hint="eastAsia" w:ascii="宋体" w:hAnsi="宋体" w:eastAsia="宋体" w:cs="宋体"/>
          <w:bCs/>
          <w:kern w:val="44"/>
          <w:sz w:val="21"/>
          <w:szCs w:val="21"/>
        </w:rPr>
        <w:t>公里另在地块东侧规划有翠屏大道为江南新区城市主干道，连接政务中心和机场，交通便捷。项目划片就读红光小学、万二中文德初中</w:t>
      </w:r>
      <w:r>
        <w:rPr>
          <w:rFonts w:hint="eastAsia" w:ascii="宋体" w:hAnsi="宋体" w:eastAsia="宋体" w:cs="宋体"/>
          <w:bCs/>
          <w:kern w:val="44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Cs/>
          <w:kern w:val="44"/>
          <w:sz w:val="21"/>
          <w:szCs w:val="21"/>
        </w:rPr>
        <w:t>为片区内最好的小学和初中。地块距离江南商圈约</w:t>
      </w:r>
      <w:r>
        <w:rPr>
          <w:rFonts w:hint="eastAsia" w:ascii="Arial" w:hAnsi="Arial" w:eastAsia="宋体" w:cs="Arial"/>
          <w:bCs/>
          <w:kern w:val="44"/>
          <w:sz w:val="21"/>
          <w:szCs w:val="21"/>
        </w:rPr>
        <w:t>1.3</w:t>
      </w:r>
      <w:r>
        <w:rPr>
          <w:rFonts w:hint="eastAsia" w:ascii="宋体" w:hAnsi="宋体" w:eastAsia="宋体" w:cs="宋体"/>
          <w:bCs/>
          <w:kern w:val="44"/>
          <w:sz w:val="21"/>
          <w:szCs w:val="21"/>
        </w:rPr>
        <w:t>公里，生活配套完善。地块紧邻规划一所医院，距离妇女儿童医院</w:t>
      </w:r>
      <w:r>
        <w:rPr>
          <w:rFonts w:hint="eastAsia" w:ascii="Arial" w:hAnsi="Arial" w:eastAsia="宋体" w:cs="Arial"/>
          <w:bCs/>
          <w:kern w:val="44"/>
          <w:sz w:val="21"/>
          <w:szCs w:val="21"/>
        </w:rPr>
        <w:t>2.7</w:t>
      </w:r>
      <w:r>
        <w:rPr>
          <w:rFonts w:hint="eastAsia" w:ascii="宋体" w:hAnsi="宋体" w:eastAsia="宋体" w:cs="宋体"/>
          <w:bCs/>
          <w:kern w:val="44"/>
          <w:sz w:val="21"/>
          <w:szCs w:val="21"/>
        </w:rPr>
        <w:t>公里。</w:t>
      </w:r>
    </w:p>
    <w:p>
      <w:pPr>
        <w:pStyle w:val="13"/>
        <w:spacing w:line="480" w:lineRule="auto"/>
        <w:ind w:left="0" w:leftChars="0" w:firstLine="420" w:firstLineChars="200"/>
        <w:rPr>
          <w:rFonts w:hint="eastAsia" w:ascii="宋体" w:hAnsi="宋体" w:eastAsia="宋体" w:cs="宋体"/>
          <w:bCs/>
          <w:kern w:val="44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kern w:val="44"/>
          <w:sz w:val="21"/>
          <w:szCs w:val="21"/>
        </w:rPr>
        <w:t>施工总承包</w:t>
      </w:r>
      <w:r>
        <w:rPr>
          <w:rFonts w:hint="eastAsia" w:ascii="宋体" w:hAnsi="宋体" w:eastAsia="宋体" w:cs="宋体"/>
          <w:bCs/>
          <w:kern w:val="44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bCs/>
          <w:kern w:val="44"/>
          <w:sz w:val="21"/>
          <w:szCs w:val="21"/>
          <w:lang w:val="en-US" w:eastAsia="zh-CN"/>
        </w:rPr>
        <w:t>重庆万泰建设（集团）有限公司</w:t>
      </w:r>
    </w:p>
    <w:p>
      <w:pPr>
        <w:pStyle w:val="13"/>
        <w:spacing w:line="480" w:lineRule="auto"/>
        <w:ind w:left="0" w:leftChars="0" w:firstLine="420" w:firstLineChars="200"/>
        <w:rPr>
          <w:rFonts w:hint="eastAsia" w:ascii="宋体" w:hAnsi="宋体" w:eastAsia="宋体" w:cs="宋体"/>
          <w:bCs/>
          <w:kern w:val="44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kern w:val="44"/>
          <w:sz w:val="21"/>
          <w:szCs w:val="21"/>
        </w:rPr>
        <w:t>监理单位</w:t>
      </w:r>
      <w:r>
        <w:rPr>
          <w:rFonts w:hint="eastAsia" w:ascii="宋体" w:hAnsi="宋体" w:eastAsia="宋体" w:cs="宋体"/>
          <w:bCs/>
          <w:kern w:val="44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bCs/>
          <w:kern w:val="44"/>
          <w:sz w:val="21"/>
          <w:szCs w:val="21"/>
          <w:lang w:val="en-US" w:eastAsia="zh-CN"/>
        </w:rPr>
        <w:t>重庆亚太工程建设监理有限公司</w:t>
      </w:r>
    </w:p>
    <w:p>
      <w:pPr>
        <w:pStyle w:val="4"/>
        <w:keepNext w:val="0"/>
        <w:keepLines w:val="0"/>
        <w:numPr>
          <w:ilvl w:val="0"/>
          <w:numId w:val="5"/>
        </w:numPr>
        <w:spacing w:before="300" w:after="300" w:line="360" w:lineRule="exact"/>
        <w:jc w:val="left"/>
        <w:rPr>
          <w:rFonts w:ascii="Arial" w:hAnsi="Arial" w:eastAsia="宋体" w:cs="Arial"/>
          <w:sz w:val="24"/>
          <w:szCs w:val="24"/>
        </w:rPr>
      </w:pPr>
      <w:r>
        <w:rPr>
          <w:rFonts w:ascii="Arial" w:hAnsi="Arial" w:eastAsia="宋体" w:cs="Arial"/>
          <w:sz w:val="24"/>
          <w:szCs w:val="24"/>
        </w:rPr>
        <w:t>工程进度情况</w:t>
      </w:r>
    </w:p>
    <w:tbl>
      <w:tblPr>
        <w:tblStyle w:val="18"/>
        <w:tblpPr w:leftFromText="180" w:rightFromText="180" w:vertAnchor="text" w:horzAnchor="page" w:tblpX="1507" w:tblpY="301"/>
        <w:tblOverlap w:val="never"/>
        <w:tblW w:w="9102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11"/>
        <w:gridCol w:w="1710"/>
        <w:gridCol w:w="46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  <w:jc w:val="center"/>
        </w:trPr>
        <w:tc>
          <w:tcPr>
            <w:tcW w:w="27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Arial" w:hAnsi="Arial" w:eastAsia="宋体" w:cs="Arial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highlight w:val="none"/>
                <w:lang w:bidi="ar"/>
              </w:rPr>
              <w:t>工程</w:t>
            </w: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  <w:highlight w:val="none"/>
                <w:lang w:val="en-US" w:eastAsia="zh-CN" w:bidi="ar"/>
              </w:rPr>
              <w:t>地块</w:t>
            </w:r>
          </w:p>
        </w:tc>
        <w:tc>
          <w:tcPr>
            <w:tcW w:w="17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highlight w:val="none"/>
                <w:lang w:bidi="ar"/>
              </w:rPr>
              <w:t>工程名称</w:t>
            </w:r>
          </w:p>
        </w:tc>
        <w:tc>
          <w:tcPr>
            <w:tcW w:w="46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highlight w:val="none"/>
                <w:lang w:bidi="ar"/>
              </w:rPr>
              <w:t>本期进度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  <w:jc w:val="center"/>
        </w:trPr>
        <w:tc>
          <w:tcPr>
            <w:tcW w:w="271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000000" w:fill="FFFFFF"/>
            <w:vAlign w:val="top"/>
          </w:tcPr>
          <w:p>
            <w:pPr>
              <w:jc w:val="center"/>
              <w:rPr>
                <w:rFonts w:hint="eastAsia" w:ascii="Arial" w:hAnsi="Arial" w:cs="Arial"/>
                <w:sz w:val="18"/>
                <w:szCs w:val="18"/>
              </w:rPr>
            </w:pPr>
          </w:p>
          <w:p>
            <w:pPr>
              <w:jc w:val="center"/>
              <w:rPr>
                <w:rFonts w:hint="eastAsia" w:ascii="Arial" w:hAnsi="Arial" w:cs="Arial"/>
                <w:sz w:val="18"/>
                <w:szCs w:val="18"/>
              </w:rPr>
            </w:pPr>
          </w:p>
          <w:p>
            <w:pPr>
              <w:jc w:val="center"/>
              <w:rPr>
                <w:rFonts w:hint="eastAsia"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江南新区组团III分区III</w:t>
            </w: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</w:rPr>
              <w:t>1</w:t>
            </w: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</w:rPr>
              <w:t>07/4</w:t>
            </w:r>
          </w:p>
          <w:p>
            <w:pPr>
              <w:ind w:firstLine="540" w:firstLineChars="30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17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售楼部</w:t>
            </w:r>
          </w:p>
        </w:tc>
        <w:tc>
          <w:tcPr>
            <w:tcW w:w="4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主体结构屋面层完成80%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2711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top"/>
          </w:tcPr>
          <w:p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#</w:t>
            </w:r>
          </w:p>
        </w:tc>
        <w:tc>
          <w:tcPr>
            <w:tcW w:w="4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架空层完成90%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711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top"/>
          </w:tcPr>
          <w:p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#</w:t>
            </w:r>
          </w:p>
        </w:tc>
        <w:tc>
          <w:tcPr>
            <w:tcW w:w="4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正负零层完成80%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711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top"/>
          </w:tcPr>
          <w:p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3</w:t>
            </w:r>
            <w:r>
              <w:rPr>
                <w:rFonts w:ascii="Arial" w:hAnsi="Arial" w:cs="Arial"/>
                <w:sz w:val="18"/>
                <w:szCs w:val="18"/>
              </w:rPr>
              <w:t>#</w:t>
            </w:r>
          </w:p>
        </w:tc>
        <w:tc>
          <w:tcPr>
            <w:tcW w:w="4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地梁开挖完成5%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711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top"/>
          </w:tcPr>
          <w:p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4</w:t>
            </w:r>
            <w:r>
              <w:rPr>
                <w:rFonts w:ascii="Arial" w:hAnsi="Arial" w:cs="Arial"/>
                <w:sz w:val="18"/>
                <w:szCs w:val="18"/>
              </w:rPr>
              <w:t>#</w:t>
            </w:r>
          </w:p>
        </w:tc>
        <w:tc>
          <w:tcPr>
            <w:tcW w:w="4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地梁浇筑100%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711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top"/>
          </w:tcPr>
          <w:p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5</w:t>
            </w:r>
            <w:r>
              <w:rPr>
                <w:rFonts w:ascii="Arial" w:hAnsi="Arial" w:cs="Arial"/>
                <w:sz w:val="18"/>
                <w:szCs w:val="18"/>
              </w:rPr>
              <w:t>#</w:t>
            </w:r>
          </w:p>
        </w:tc>
        <w:tc>
          <w:tcPr>
            <w:tcW w:w="4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地梁开挖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完成</w:t>
            </w:r>
            <w:r>
              <w:rPr>
                <w:rFonts w:hint="eastAsia" w:ascii="Arial" w:hAnsi="Arial" w:cs="Arial"/>
                <w:sz w:val="18"/>
                <w:szCs w:val="18"/>
              </w:rPr>
              <w:t>40%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711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top"/>
          </w:tcPr>
          <w:p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#</w:t>
            </w:r>
          </w:p>
        </w:tc>
        <w:tc>
          <w:tcPr>
            <w:tcW w:w="4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旋挖施工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完成</w:t>
            </w:r>
            <w:r>
              <w:rPr>
                <w:rFonts w:hint="eastAsia" w:ascii="Arial" w:hAnsi="Arial" w:cs="Arial"/>
                <w:sz w:val="18"/>
                <w:szCs w:val="18"/>
              </w:rPr>
              <w:t>100%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  <w:jc w:val="center"/>
        </w:trPr>
        <w:tc>
          <w:tcPr>
            <w:tcW w:w="271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top"/>
          </w:tcPr>
          <w:p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公园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</w:p>
        </w:tc>
        <w:tc>
          <w:tcPr>
            <w:tcW w:w="4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eastAsia" w:ascii="Arial" w:hAnsi="Arial" w:cs="Arial"/>
                <w:sz w:val="18"/>
                <w:szCs w:val="18"/>
              </w:rPr>
            </w:pPr>
          </w:p>
          <w:p>
            <w:pPr>
              <w:jc w:val="center"/>
              <w:rPr>
                <w:rFonts w:hint="eastAsia"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道路施工完成，电梯筏板施工完成，钢结构进场</w:t>
            </w:r>
          </w:p>
        </w:tc>
      </w:tr>
    </w:tbl>
    <w:p>
      <w:pPr>
        <w:spacing w:line="360" w:lineRule="auto"/>
        <w:jc w:val="both"/>
        <w:rPr>
          <w:rFonts w:hint="eastAsia" w:cs="宋体"/>
          <w:b/>
          <w:kern w:val="44"/>
          <w:sz w:val="18"/>
          <w:szCs w:val="18"/>
          <w:lang w:val="en-US" w:eastAsia="zh-CN"/>
        </w:rPr>
      </w:pPr>
      <w:r>
        <w:rPr>
          <w:rFonts w:hint="eastAsia" w:cs="宋体"/>
          <w:b/>
          <w:kern w:val="44"/>
          <w:sz w:val="18"/>
          <w:szCs w:val="18"/>
          <w:lang w:val="en-US" w:eastAsia="zh-CN"/>
        </w:rPr>
        <w:t xml:space="preserve"> </w:t>
      </w:r>
    </w:p>
    <w:p>
      <w:pPr>
        <w:spacing w:line="360" w:lineRule="auto"/>
        <w:jc w:val="both"/>
        <w:rPr>
          <w:rFonts w:hint="eastAsia" w:ascii="宋体" w:hAnsi="宋体" w:eastAsia="宋体" w:cs="宋体"/>
          <w:b/>
          <w:kern w:val="44"/>
          <w:sz w:val="18"/>
          <w:szCs w:val="18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b/>
          <w:kern w:val="44"/>
          <w:sz w:val="18"/>
          <w:szCs w:val="18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b/>
          <w:kern w:val="44"/>
          <w:sz w:val="18"/>
          <w:szCs w:val="18"/>
        </w:rPr>
      </w:pPr>
      <w:r>
        <w:rPr>
          <w:rFonts w:hint="eastAsia" w:ascii="宋体" w:hAnsi="宋体" w:eastAsia="宋体" w:cs="宋体"/>
          <w:b/>
          <w:kern w:val="44"/>
          <w:sz w:val="18"/>
          <w:szCs w:val="18"/>
        </w:rPr>
        <w:t>标的项目现场照片（拍摄于</w:t>
      </w:r>
      <w:r>
        <w:rPr>
          <w:rFonts w:hint="eastAsia" w:ascii="宋体" w:hAnsi="宋体" w:eastAsia="宋体" w:cs="宋体"/>
          <w:b/>
          <w:kern w:val="44"/>
          <w:sz w:val="18"/>
          <w:szCs w:val="18"/>
          <w:lang w:val="en-US" w:eastAsia="zh-CN"/>
        </w:rPr>
        <w:t>2021年4</w:t>
      </w:r>
      <w:r>
        <w:rPr>
          <w:rFonts w:hint="eastAsia" w:ascii="宋体" w:hAnsi="宋体" w:eastAsia="宋体" w:cs="宋体"/>
          <w:b/>
          <w:kern w:val="44"/>
          <w:sz w:val="18"/>
          <w:szCs w:val="18"/>
        </w:rPr>
        <w:t>月</w:t>
      </w:r>
      <w:r>
        <w:rPr>
          <w:rFonts w:hint="eastAsia" w:ascii="宋体" w:hAnsi="宋体" w:eastAsia="宋体" w:cs="宋体"/>
          <w:b/>
          <w:kern w:val="44"/>
          <w:sz w:val="18"/>
          <w:szCs w:val="18"/>
          <w:lang w:val="en-US" w:eastAsia="zh-CN"/>
        </w:rPr>
        <w:t>1</w:t>
      </w:r>
      <w:r>
        <w:rPr>
          <w:rFonts w:hint="eastAsia" w:ascii="宋体" w:hAnsi="宋体" w:eastAsia="宋体" w:cs="宋体"/>
          <w:b/>
          <w:kern w:val="44"/>
          <w:sz w:val="18"/>
          <w:szCs w:val="18"/>
        </w:rPr>
        <w:t>日）</w:t>
      </w:r>
    </w:p>
    <w:p>
      <w:pPr>
        <w:spacing w:line="360" w:lineRule="auto"/>
        <w:jc w:val="both"/>
        <w:rPr>
          <w:rFonts w:hint="eastAsia" w:ascii="宋体" w:hAnsi="宋体" w:eastAsia="宋体" w:cs="宋体"/>
          <w:b/>
          <w:kern w:val="44"/>
          <w:sz w:val="18"/>
          <w:szCs w:val="18"/>
          <w:lang w:eastAsia="zh-CN"/>
        </w:rPr>
      </w:pPr>
    </w:p>
    <w:p>
      <w:pPr>
        <w:spacing w:line="360" w:lineRule="auto"/>
        <w:jc w:val="center"/>
        <w:rPr>
          <w:rFonts w:ascii="Arial" w:hAnsi="Arial" w:cs="Arial"/>
        </w:rPr>
      </w:pPr>
      <w:bookmarkStart w:id="6" w:name="_Toc12021_WPSOffice_Level2"/>
      <w:bookmarkStart w:id="7" w:name="_Toc520900435"/>
      <w:bookmarkStart w:id="8" w:name="_Toc23324570"/>
      <w:bookmarkStart w:id="9" w:name="_Toc13827_WPSOffice_Level2"/>
      <w:bookmarkStart w:id="10" w:name="_Toc10824_WPSOffice_Level2"/>
      <w:bookmarkStart w:id="11" w:name="_Toc3978"/>
      <w:r>
        <w:rPr>
          <w:rFonts w:ascii="Arial" w:hAnsi="Arial" w:cs="Arial"/>
        </w:rPr>
        <mc:AlternateContent>
          <mc:Choice Requires="wps">
            <w:drawing>
              <wp:inline distT="0" distB="0" distL="0" distR="0">
                <wp:extent cx="2703830" cy="2080895"/>
                <wp:effectExtent l="4445" t="5080" r="15875" b="9525"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2" name="图片 32" descr="图片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图片 32" descr="图片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486660" cy="1981200"/>
                                  <wp:effectExtent l="0" t="0" r="8890" b="0"/>
                                  <wp:docPr id="1" name="图片 1" descr="售楼部、2号楼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售楼部、2号楼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6660" cy="198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Arial" w:hAnsi="Arial" w:eastAsia="宋体" w:cs="Arial"/>
                                <w:color w:val="000000"/>
                                <w:sz w:val="18"/>
                                <w:szCs w:val="18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163.85pt;width:212.9pt;v-text-anchor:middle;" fillcolor="#FFFFFF" filled="t" stroked="t" coordsize="21600,21600" o:gfxdata="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Uzjql0wAAAAUBAAAPAAAAAAAAAAEAIAAAACIAAABk&#10;cnMvZG93bnJldi54bWxQSwECFAAUAAAACACHTuJAcuUgiEQCAACMBAAADgAAAAAAAAABACAAAAAi&#10;AQAAZHJzL2Uyb0RvYy54bWxQSwUGAAAAAAYABgBZAQAA2A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32" name="图片 32" descr="图片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图片 32" descr="图片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486660" cy="1981200"/>
                            <wp:effectExtent l="0" t="0" r="8890" b="0"/>
                            <wp:docPr id="1" name="图片 1" descr="售楼部、2号楼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售楼部、2号楼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6660" cy="1981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jc w:val="left"/>
                        <w:rPr>
                          <w:rFonts w:hint="eastAsia" w:ascii="Arial" w:hAnsi="Arial" w:eastAsia="宋体" w:cs="Arial"/>
                          <w:color w:val="000000"/>
                          <w:sz w:val="18"/>
                          <w:szCs w:val="18"/>
                          <w:lang w:eastAsia="zh-CN"/>
                        </w:rPr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ascii="Arial" w:hAnsi="Arial" w:cs="Arial"/>
        </w:rPr>
        <mc:AlternateContent>
          <mc:Choice Requires="wps">
            <w:drawing>
              <wp:inline distT="0" distB="0" distL="0" distR="0">
                <wp:extent cx="2703830" cy="2080895"/>
                <wp:effectExtent l="4445" t="5080" r="15875" b="9525"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eastAsia" w:ascii="Arial" w:hAnsi="Arial" w:eastAsia="宋体" w:cs="Arial"/>
                                <w:color w:val="000000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Arial" w:hAnsi="Arial" w:eastAsia="宋体" w:cs="Arial"/>
                                <w:color w:val="000000"/>
                                <w:sz w:val="18"/>
                                <w:szCs w:val="18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53335" cy="2098675"/>
                                  <wp:effectExtent l="0" t="0" r="18415" b="15875"/>
                                  <wp:docPr id="3" name="图片 3" descr="1号楼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号楼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3335" cy="2098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163.85pt;width:212.9pt;v-text-anchor:middle;" fillcolor="#FFFFFF" filled="t" stroked="t" coordsize="21600,21600" o:gfxdata="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TOOqXTAAAABQEAAA8AAAAAAAAAAQAgAAAAIgAAAGRy&#10;cy9kb3ducmV2LnhtbFBLAQIUABQAAAAIAIdO4kDf1m8+QwIAAIwEAAAOAAAAAAAAAAEAIAAAACIB&#10;AABkcnMvZTJvRG9jLnhtbFBLBQYAAAAABgAGAFkBAADX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eastAsia" w:ascii="Arial" w:hAnsi="Arial" w:eastAsia="宋体" w:cs="Arial"/>
                          <w:color w:val="000000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 w:ascii="Arial" w:hAnsi="Arial" w:eastAsia="宋体" w:cs="Arial"/>
                          <w:color w:val="000000"/>
                          <w:sz w:val="18"/>
                          <w:szCs w:val="18"/>
                          <w:lang w:eastAsia="zh-CN"/>
                        </w:rPr>
                        <w:drawing>
                          <wp:inline distT="0" distB="0" distL="114300" distR="114300">
                            <wp:extent cx="2553335" cy="2098675"/>
                            <wp:effectExtent l="0" t="0" r="18415" b="15875"/>
                            <wp:docPr id="3" name="图片 3" descr="1号楼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 descr="1号楼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3335" cy="2098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720" w:firstLineChars="300"/>
        <w:jc w:val="left"/>
        <w:textAlignment w:val="auto"/>
        <w:outlineLvl w:val="9"/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Arial" w:hAnsi="Arial" w:cs="Arial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 xml:space="preserve">   售楼部、 </w:t>
      </w:r>
      <w:r>
        <w:rPr>
          <w:rFonts w:hint="default" w:ascii="Arial" w:hAnsi="Arial" w:eastAsia="宋体" w:cs="Arial"/>
          <w:sz w:val="18"/>
          <w:szCs w:val="18"/>
          <w:lang w:val="en-US" w:eastAsia="zh-CN"/>
        </w:rPr>
        <w:t>2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#号楼施工现场</w:t>
      </w:r>
      <w:r>
        <w:rPr>
          <w:rFonts w:hint="eastAsia" w:ascii="Arial" w:hAnsi="Arial" w:cs="Arial"/>
          <w:b/>
          <w:bCs/>
          <w:sz w:val="21"/>
          <w:szCs w:val="21"/>
          <w:highlight w:val="none"/>
          <w:lang w:val="en-US" w:eastAsia="zh-CN"/>
        </w:rPr>
        <w:t xml:space="preserve">   </w:t>
      </w:r>
      <w:r>
        <w:rPr>
          <w:rFonts w:hint="eastAsia" w:ascii="Arial" w:hAnsi="Arial" w:cs="Arial"/>
          <w:lang w:val="en-US" w:eastAsia="zh-CN"/>
        </w:rPr>
        <w:t xml:space="preserve">             </w:t>
      </w:r>
      <w:r>
        <w:rPr>
          <w:rFonts w:hint="default" w:ascii="Arial" w:hAnsi="Arial" w:eastAsia="Arial Unicode MS" w:cs="Arial"/>
          <w:lang w:val="en-US" w:eastAsia="zh-CN"/>
        </w:rPr>
        <w:t xml:space="preserve">  </w:t>
      </w:r>
      <w:r>
        <w:rPr>
          <w:rFonts w:hint="default" w:ascii="宋体" w:hAnsi="宋体" w:eastAsia="宋体" w:cs="宋体"/>
          <w:sz w:val="18"/>
          <w:szCs w:val="18"/>
          <w:lang w:val="en-US" w:eastAsia="zh-CN"/>
        </w:rPr>
        <w:t>1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#号楼施工现场</w:t>
      </w:r>
    </w:p>
    <w:p>
      <w:pPr>
        <w:spacing w:line="360" w:lineRule="auto"/>
        <w:rPr>
          <w:rFonts w:hint="default" w:ascii="Arial" w:hAnsi="Arial" w:cs="Arial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3247390</wp:posOffset>
                </wp:positionH>
                <wp:positionV relativeFrom="paragraph">
                  <wp:posOffset>136525</wp:posOffset>
                </wp:positionV>
                <wp:extent cx="2656205" cy="2025015"/>
                <wp:effectExtent l="4445" t="4445" r="6350" b="889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6205" cy="2025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66670" cy="1968500"/>
                                  <wp:effectExtent l="0" t="0" r="5080" b="12700"/>
                                  <wp:docPr id="6" name="图片 6" descr="4-7#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4-7#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6670" cy="1968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5.7pt;margin-top:10.75pt;height:159.45pt;width:209.15pt;z-index:251661312;v-text-anchor:middle;mso-width-relative:page;mso-height-relative:page;" fillcolor="#FFFFFF" filled="t" stroked="t" coordsize="21600,21600" o:gfxdata="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nc3jz9cAAAAKAQAADwAAAAAAAAABACAAAAAiAAAAZHJzL2Rvd25yZXYueG1sUEsB&#10;AhQAFAAAAAgAh07iQMHw2OhoAgAA4AQAAA4AAAAAAAAAAQAgAAAAJgEAAGRycy9lMm9Eb2MueG1s&#10;UEsFBgAAAAAGAAYAWQEAAAAG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566670" cy="1968500"/>
                            <wp:effectExtent l="0" t="0" r="5080" b="12700"/>
                            <wp:docPr id="6" name="图片 6" descr="4-7#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6" descr="4-7#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6670" cy="1968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124460</wp:posOffset>
                </wp:positionV>
                <wp:extent cx="2884170" cy="2052320"/>
                <wp:effectExtent l="4445" t="4445" r="6985" b="19685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63955" y="3041015"/>
                          <a:ext cx="2884170" cy="205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709545" cy="1939290"/>
                                  <wp:effectExtent l="0" t="0" r="14605" b="3810"/>
                                  <wp:docPr id="4" name="图片 4" descr="3号楼施工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3号楼施工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9545" cy="1939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25pt;margin-top:9.8pt;height:161.6pt;width:227.1pt;z-index:251660288;v-text-anchor:middle;mso-width-relative:page;mso-height-relative:page;" fillcolor="#FFFFFF" filled="t" stroked="t" coordsize="21600,21600" o:gfxdata="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Gi+Tg1wAAAAkBAAAPAAAAAAAAAAEAIAAAACIAAABk&#10;cnMvZG93bnJldi54bWxQSwECFAAUAAAACACHTuJA7fYoZ3kCAADsBAAADgAAAAAAAAABACAAAAAm&#10;AQAAZHJzL2Uyb0RvYy54bWxQSwUGAAAAAAYABgBZAQAAEQY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709545" cy="1939290"/>
                            <wp:effectExtent l="0" t="0" r="14605" b="3810"/>
                            <wp:docPr id="4" name="图片 4" descr="3号楼施工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4" descr="3号楼施工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9545" cy="1939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Arial" w:hAnsi="Arial" w:cs="Arial"/>
          <w:lang w:val="en-US" w:eastAsia="zh-CN"/>
        </w:rPr>
        <w:t xml:space="preserve">                                   </w:t>
      </w:r>
    </w:p>
    <w:p>
      <w:pPr>
        <w:pStyle w:val="4"/>
        <w:keepNext w:val="0"/>
        <w:keepLines w:val="0"/>
        <w:spacing w:before="300" w:after="300" w:line="360" w:lineRule="exact"/>
        <w:jc w:val="left"/>
        <w:rPr>
          <w:rFonts w:ascii="Arial" w:hAnsi="Arial" w:eastAsia="宋体" w:cs="Arial"/>
          <w:sz w:val="24"/>
          <w:szCs w:val="24"/>
        </w:rPr>
      </w:pPr>
    </w:p>
    <w:p>
      <w:pPr>
        <w:pStyle w:val="4"/>
        <w:keepNext w:val="0"/>
        <w:keepLines w:val="0"/>
        <w:spacing w:before="300" w:after="300" w:line="360" w:lineRule="exact"/>
        <w:jc w:val="left"/>
        <w:rPr>
          <w:rFonts w:ascii="Arial" w:hAnsi="Arial" w:eastAsia="宋体" w:cs="Arial"/>
          <w:sz w:val="24"/>
          <w:szCs w:val="24"/>
        </w:rPr>
      </w:pPr>
    </w:p>
    <w:p>
      <w:pPr>
        <w:pStyle w:val="4"/>
        <w:keepNext w:val="0"/>
        <w:keepLines w:val="0"/>
        <w:spacing w:before="300" w:after="300" w:line="360" w:lineRule="exact"/>
        <w:jc w:val="left"/>
        <w:rPr>
          <w:rFonts w:ascii="Arial" w:hAnsi="Arial" w:eastAsia="宋体" w:cs="Arial"/>
          <w:sz w:val="24"/>
          <w:szCs w:val="24"/>
        </w:rPr>
      </w:pPr>
    </w:p>
    <w:p>
      <w:pPr>
        <w:pStyle w:val="4"/>
        <w:keepNext w:val="0"/>
        <w:keepLines w:val="0"/>
        <w:spacing w:before="300" w:after="300" w:line="360" w:lineRule="exact"/>
        <w:jc w:val="left"/>
        <w:rPr>
          <w:rFonts w:ascii="Arial" w:hAnsi="Arial" w:eastAsia="宋体" w:cs="Arial"/>
          <w:sz w:val="24"/>
          <w:szCs w:val="24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300" w:line="240" w:lineRule="auto"/>
        <w:ind w:left="0" w:leftChars="0" w:right="0" w:rightChars="0" w:firstLine="0" w:firstLineChars="0"/>
        <w:jc w:val="left"/>
        <w:textAlignment w:val="auto"/>
        <w:outlineLvl w:val="2"/>
        <w:rPr>
          <w:rFonts w:ascii="Arial" w:hAnsi="Arial" w:eastAsia="宋体" w:cs="Arial"/>
          <w:sz w:val="24"/>
          <w:szCs w:val="24"/>
        </w:rPr>
      </w:pPr>
      <w:r>
        <w:rPr>
          <w:rFonts w:hint="eastAsia" w:ascii="Arial" w:hAnsi="Arial" w:eastAsia="宋体" w:cs="Arial"/>
          <w:sz w:val="24"/>
          <w:szCs w:val="24"/>
          <w:lang w:val="en-US" w:eastAsia="zh-CN"/>
        </w:rPr>
        <w:t xml:space="preserve">               </w:t>
      </w:r>
      <w:r>
        <w:rPr>
          <w:rFonts w:hint="eastAsia" w:ascii="Arial" w:hAnsi="Arial" w:eastAsia="宋体" w:cs="Arial"/>
          <w:b w:val="0"/>
          <w:bCs w:val="0"/>
          <w:kern w:val="0"/>
          <w:sz w:val="18"/>
          <w:szCs w:val="18"/>
          <w:lang w:val="en-US" w:eastAsia="zh-CN" w:bidi="ar-SA"/>
        </w:rPr>
        <w:t>3</w:t>
      </w:r>
      <w:r>
        <w:rPr>
          <w:rFonts w:hint="eastAsia" w:ascii="宋体" w:hAnsi="宋体" w:eastAsia="宋体" w:cs="宋体"/>
          <w:b w:val="0"/>
          <w:bCs w:val="0"/>
          <w:kern w:val="0"/>
          <w:sz w:val="18"/>
          <w:szCs w:val="18"/>
          <w:lang w:val="en-US" w:eastAsia="zh-CN" w:bidi="ar-SA"/>
        </w:rPr>
        <w:t>#号楼施工现场</w:t>
      </w:r>
      <w:r>
        <w:rPr>
          <w:rFonts w:hint="eastAsia" w:ascii="Arial" w:hAnsi="Arial" w:eastAsia="宋体" w:cs="Arial"/>
          <w:b/>
          <w:bCs/>
          <w:kern w:val="0"/>
          <w:sz w:val="21"/>
          <w:szCs w:val="21"/>
          <w:highlight w:val="none"/>
          <w:lang w:val="en-US" w:eastAsia="zh-CN" w:bidi="ar-SA"/>
        </w:rPr>
        <w:t xml:space="preserve">   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 xml:space="preserve">                  </w:t>
      </w:r>
      <w:r>
        <w:rPr>
          <w:rFonts w:hint="eastAsia" w:ascii="Arial" w:hAnsi="Arial" w:eastAsia="宋体" w:cs="Arial"/>
          <w:b/>
          <w:bCs/>
          <w:kern w:val="0"/>
          <w:sz w:val="21"/>
          <w:szCs w:val="21"/>
          <w:highlight w:val="none"/>
          <w:lang w:val="en-US" w:eastAsia="zh-CN" w:bidi="ar-SA"/>
        </w:rPr>
        <w:t xml:space="preserve">      </w:t>
      </w:r>
      <w:r>
        <w:rPr>
          <w:rFonts w:hint="default" w:ascii="Arial" w:hAnsi="Arial" w:eastAsia="宋体" w:cs="Arial"/>
          <w:b w:val="0"/>
          <w:bCs w:val="0"/>
          <w:kern w:val="0"/>
          <w:sz w:val="18"/>
          <w:szCs w:val="18"/>
          <w:lang w:val="en-US" w:eastAsia="zh-CN" w:bidi="ar-SA"/>
        </w:rPr>
        <w:t>4</w:t>
      </w:r>
      <w:r>
        <w:rPr>
          <w:rFonts w:hint="eastAsia" w:ascii="宋体" w:hAnsi="宋体" w:eastAsia="宋体" w:cs="宋体"/>
          <w:b w:val="0"/>
          <w:bCs w:val="0"/>
          <w:kern w:val="0"/>
          <w:sz w:val="18"/>
          <w:szCs w:val="18"/>
          <w:lang w:val="en-US" w:eastAsia="zh-CN" w:bidi="ar-SA"/>
        </w:rPr>
        <w:t>#/</w:t>
      </w:r>
      <w:r>
        <w:rPr>
          <w:rFonts w:hint="default" w:ascii="Arial" w:hAnsi="Arial" w:eastAsia="宋体" w:cs="Arial"/>
          <w:b w:val="0"/>
          <w:bCs w:val="0"/>
          <w:kern w:val="0"/>
          <w:sz w:val="18"/>
          <w:szCs w:val="18"/>
          <w:lang w:val="en-US" w:eastAsia="zh-CN" w:bidi="ar-SA"/>
        </w:rPr>
        <w:t>7</w:t>
      </w:r>
      <w:r>
        <w:rPr>
          <w:rFonts w:hint="eastAsia" w:ascii="宋体" w:hAnsi="宋体" w:eastAsia="宋体" w:cs="宋体"/>
          <w:b w:val="0"/>
          <w:bCs w:val="0"/>
          <w:kern w:val="0"/>
          <w:sz w:val="18"/>
          <w:szCs w:val="18"/>
          <w:lang w:val="en-US" w:eastAsia="zh-CN" w:bidi="ar-SA"/>
        </w:rPr>
        <w:t>#号楼施工现场</w:t>
      </w:r>
    </w:p>
    <w:p>
      <w:pPr>
        <w:pStyle w:val="4"/>
        <w:keepNext w:val="0"/>
        <w:keepLines w:val="0"/>
        <w:numPr>
          <w:ilvl w:val="0"/>
          <w:numId w:val="6"/>
        </w:numPr>
        <w:spacing w:before="300" w:after="300" w:line="360" w:lineRule="exact"/>
        <w:jc w:val="left"/>
        <w:rPr>
          <w:rFonts w:ascii="Arial" w:hAnsi="Arial" w:eastAsia="宋体" w:cs="Arial"/>
          <w:sz w:val="24"/>
          <w:szCs w:val="24"/>
        </w:rPr>
      </w:pPr>
      <w:bookmarkStart w:id="12" w:name="_Toc19453"/>
      <w:r>
        <w:rPr>
          <w:rStyle w:val="29"/>
          <w:rFonts w:hint="eastAsia" w:cs="Times New Roman"/>
          <w:b/>
          <w:bCs/>
          <w:sz w:val="24"/>
          <w:szCs w:val="24"/>
          <w:lang w:val="en-US" w:eastAsia="zh-CN" w:bidi="ar-SA"/>
        </w:rPr>
        <w:t>资金使用情况</w:t>
      </w:r>
      <w:bookmarkEnd w:id="6"/>
      <w:bookmarkEnd w:id="7"/>
      <w:bookmarkEnd w:id="8"/>
      <w:bookmarkEnd w:id="9"/>
      <w:bookmarkEnd w:id="10"/>
      <w:bookmarkEnd w:id="11"/>
      <w:bookmarkEnd w:id="12"/>
      <w:bookmarkStart w:id="13" w:name="_Toc11621_WPSOffice_Level2"/>
      <w:bookmarkStart w:id="14" w:name="_Toc31803_WPSOffice_Level2"/>
      <w:bookmarkStart w:id="15" w:name="_Toc25204_WPSOffice_Level2"/>
      <w:r>
        <w:rPr>
          <w:rFonts w:ascii="Arial" w:hAnsi="Arial" w:eastAsia="宋体" w:cs="Arial"/>
          <w:sz w:val="24"/>
          <w:szCs w:val="24"/>
        </w:rPr>
        <w:t xml:space="preserve"> </w:t>
      </w:r>
      <w:bookmarkEnd w:id="13"/>
      <w:bookmarkEnd w:id="14"/>
      <w:bookmarkEnd w:id="15"/>
      <w:bookmarkStart w:id="16" w:name="_Hlk55847579"/>
    </w:p>
    <w:p>
      <w:pPr>
        <w:widowControl w:val="0"/>
        <w:spacing w:before="312" w:beforeLines="100"/>
        <w:jc w:val="center"/>
        <w:rPr>
          <w:rFonts w:ascii="Arial" w:hAnsi="Arial" w:cs="Arial"/>
          <w:b/>
          <w:bCs/>
          <w:kern w:val="44"/>
          <w:szCs w:val="44"/>
        </w:rPr>
      </w:pPr>
      <w:r>
        <w:rPr>
          <w:rFonts w:ascii="Arial" w:hAnsi="Arial" w:cs="Arial"/>
          <w:b/>
          <w:bCs/>
          <w:kern w:val="44"/>
          <w:szCs w:val="44"/>
        </w:rPr>
        <w:t>项目公司</w:t>
      </w:r>
      <w:r>
        <w:rPr>
          <w:rFonts w:hint="eastAsia" w:ascii="Arial" w:hAnsi="Arial" w:cs="Arial"/>
          <w:b/>
          <w:bCs/>
          <w:kern w:val="44"/>
          <w:szCs w:val="44"/>
          <w:lang w:eastAsia="zh-CN"/>
        </w:rPr>
        <w:t>（</w:t>
      </w:r>
      <w:r>
        <w:rPr>
          <w:rFonts w:hint="eastAsia" w:ascii="Arial" w:hAnsi="Arial" w:cs="Arial"/>
          <w:b/>
          <w:bCs/>
          <w:kern w:val="44"/>
          <w:szCs w:val="44"/>
          <w:lang w:val="en-US" w:eastAsia="zh-CN"/>
        </w:rPr>
        <w:t>融滔</w:t>
      </w:r>
      <w:r>
        <w:rPr>
          <w:rFonts w:hint="eastAsia" w:ascii="Arial" w:hAnsi="Arial" w:cs="Arial"/>
          <w:b/>
          <w:bCs/>
          <w:kern w:val="44"/>
          <w:szCs w:val="44"/>
          <w:lang w:eastAsia="zh-CN"/>
        </w:rPr>
        <w:t>）</w:t>
      </w:r>
      <w:r>
        <w:rPr>
          <w:rFonts w:ascii="Arial" w:hAnsi="Arial" w:cs="Arial"/>
          <w:b/>
          <w:bCs/>
          <w:kern w:val="44"/>
          <w:szCs w:val="44"/>
        </w:rPr>
        <w:t>本期账户余额变动情况</w:t>
      </w:r>
    </w:p>
    <w:tbl>
      <w:tblPr>
        <w:tblStyle w:val="18"/>
        <w:tblW w:w="985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5"/>
        <w:gridCol w:w="1343"/>
        <w:gridCol w:w="2115"/>
        <w:gridCol w:w="795"/>
        <w:gridCol w:w="1321"/>
        <w:gridCol w:w="1350"/>
        <w:gridCol w:w="1245"/>
        <w:gridCol w:w="12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  <w:jc w:val="center"/>
        </w:trPr>
        <w:tc>
          <w:tcPr>
            <w:tcW w:w="405" w:type="dxa"/>
            <w:tcBorders>
              <w:bottom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bookmarkStart w:id="17" w:name="_Hlk48860262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343" w:type="dxa"/>
            <w:tcBorders>
              <w:bottom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银行名称</w:t>
            </w:r>
          </w:p>
        </w:tc>
        <w:tc>
          <w:tcPr>
            <w:tcW w:w="2115" w:type="dxa"/>
            <w:tcBorders>
              <w:bottom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账号</w:t>
            </w:r>
          </w:p>
        </w:tc>
        <w:tc>
          <w:tcPr>
            <w:tcW w:w="795" w:type="dxa"/>
            <w:tcBorders>
              <w:bottom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账户性质</w:t>
            </w:r>
          </w:p>
        </w:tc>
        <w:tc>
          <w:tcPr>
            <w:tcW w:w="1321" w:type="dxa"/>
            <w:tcBorders>
              <w:bottom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上期余额（元）</w:t>
            </w:r>
          </w:p>
        </w:tc>
        <w:tc>
          <w:tcPr>
            <w:tcW w:w="1350" w:type="dxa"/>
            <w:tcBorders>
              <w:bottom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本期余额（元）</w:t>
            </w:r>
          </w:p>
        </w:tc>
        <w:tc>
          <w:tcPr>
            <w:tcW w:w="1245" w:type="dxa"/>
            <w:tcBorders>
              <w:bottom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变动金额（元）</w:t>
            </w:r>
          </w:p>
        </w:tc>
        <w:tc>
          <w:tcPr>
            <w:tcW w:w="1281" w:type="dxa"/>
            <w:tcBorders>
              <w:bottom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变动原因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</w:t>
            </w:r>
          </w:p>
        </w:tc>
        <w:tc>
          <w:tcPr>
            <w:tcW w:w="13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兴业银行重庆加州支行</w:t>
            </w:r>
          </w:p>
        </w:tc>
        <w:tc>
          <w:tcPr>
            <w:tcW w:w="2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346270100100074576</w:t>
            </w:r>
          </w:p>
        </w:tc>
        <w:tc>
          <w:tcPr>
            <w:tcW w:w="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hint="eastAsia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基本户</w:t>
            </w:r>
          </w:p>
        </w:tc>
        <w:tc>
          <w:tcPr>
            <w:tcW w:w="13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76" w:lineRule="auto"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1,873,276.22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5,923,451.91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 xml:space="preserve">4,050,175.69 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jc w:val="center"/>
              <w:rPr>
                <w:rFonts w:hint="eastAsia" w:ascii="Arial" w:hAnsi="Arial" w:eastAsia="宋体" w:cs="Arial"/>
                <w:sz w:val="18"/>
                <w:szCs w:val="18"/>
                <w:lang w:eastAsia="zh-CN" w:bidi="ar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 w:bidi="ar"/>
              </w:rPr>
              <w:t>投资款、往来款、土地款、土地合同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印花税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 w:bidi="ar"/>
              </w:rPr>
              <w:t>、契税、往来款等</w:t>
            </w:r>
          </w:p>
        </w:tc>
      </w:tr>
      <w:bookmarkEnd w:id="17"/>
    </w:tbl>
    <w:p>
      <w:pPr>
        <w:widowControl w:val="0"/>
        <w:spacing w:before="312" w:beforeLines="100"/>
        <w:jc w:val="center"/>
        <w:rPr>
          <w:rFonts w:hint="eastAsia" w:ascii="宋体" w:hAnsi="宋体" w:eastAsia="宋体" w:cs="宋体"/>
          <w:b/>
          <w:bCs/>
          <w:kern w:val="44"/>
          <w:szCs w:val="44"/>
          <w:lang w:val="en-US" w:eastAsia="zh-CN"/>
        </w:rPr>
      </w:pPr>
    </w:p>
    <w:p>
      <w:pPr>
        <w:widowControl w:val="0"/>
        <w:spacing w:before="312" w:beforeLines="100"/>
        <w:jc w:val="center"/>
        <w:rPr>
          <w:rStyle w:val="41"/>
          <w:rFonts w:hint="eastAsia" w:ascii="宋体" w:hAnsi="宋体" w:eastAsia="宋体" w:cs="宋体"/>
          <w:b/>
          <w:bCs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kern w:val="44"/>
          <w:szCs w:val="44"/>
          <w:lang w:val="en-US" w:eastAsia="zh-CN"/>
        </w:rPr>
        <w:t>SPV</w:t>
      </w:r>
      <w:r>
        <w:rPr>
          <w:rFonts w:hint="eastAsia" w:ascii="宋体" w:hAnsi="宋体" w:eastAsia="宋体" w:cs="宋体"/>
          <w:b/>
          <w:bCs/>
          <w:kern w:val="44"/>
          <w:szCs w:val="44"/>
        </w:rPr>
        <w:t>公司</w:t>
      </w:r>
      <w:r>
        <w:rPr>
          <w:rFonts w:hint="eastAsia" w:ascii="宋体" w:hAnsi="宋体" w:eastAsia="宋体" w:cs="宋体"/>
          <w:b/>
          <w:bCs/>
          <w:kern w:val="44"/>
          <w:szCs w:val="44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kern w:val="44"/>
          <w:szCs w:val="44"/>
          <w:lang w:val="en-US" w:eastAsia="zh-CN"/>
        </w:rPr>
        <w:t>庆霆</w:t>
      </w:r>
      <w:r>
        <w:rPr>
          <w:rFonts w:hint="eastAsia" w:ascii="宋体" w:hAnsi="宋体" w:eastAsia="宋体" w:cs="宋体"/>
          <w:b/>
          <w:bCs/>
          <w:kern w:val="44"/>
          <w:szCs w:val="44"/>
          <w:lang w:eastAsia="zh-CN"/>
        </w:rPr>
        <w:t>）</w:t>
      </w:r>
      <w:r>
        <w:rPr>
          <w:rFonts w:hint="eastAsia" w:ascii="宋体" w:hAnsi="宋体" w:eastAsia="宋体" w:cs="宋体"/>
          <w:b/>
          <w:bCs/>
          <w:kern w:val="44"/>
          <w:szCs w:val="44"/>
        </w:rPr>
        <w:t>本期账户余额变动情况</w:t>
      </w:r>
    </w:p>
    <w:tbl>
      <w:tblPr>
        <w:tblStyle w:val="18"/>
        <w:tblW w:w="985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5"/>
        <w:gridCol w:w="1329"/>
        <w:gridCol w:w="2114"/>
        <w:gridCol w:w="837"/>
        <w:gridCol w:w="1550"/>
        <w:gridCol w:w="1462"/>
        <w:gridCol w:w="1219"/>
        <w:gridCol w:w="9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  <w:jc w:val="center"/>
        </w:trPr>
        <w:tc>
          <w:tcPr>
            <w:tcW w:w="405" w:type="dxa"/>
            <w:tcBorders>
              <w:bottom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329" w:type="dxa"/>
            <w:tcBorders>
              <w:bottom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银行名称</w:t>
            </w:r>
          </w:p>
        </w:tc>
        <w:tc>
          <w:tcPr>
            <w:tcW w:w="2114" w:type="dxa"/>
            <w:tcBorders>
              <w:bottom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账号</w:t>
            </w:r>
          </w:p>
        </w:tc>
        <w:tc>
          <w:tcPr>
            <w:tcW w:w="837" w:type="dxa"/>
            <w:tcBorders>
              <w:bottom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账户性质</w:t>
            </w:r>
          </w:p>
        </w:tc>
        <w:tc>
          <w:tcPr>
            <w:tcW w:w="1550" w:type="dxa"/>
            <w:tcBorders>
              <w:bottom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上期余额（元）</w:t>
            </w:r>
          </w:p>
        </w:tc>
        <w:tc>
          <w:tcPr>
            <w:tcW w:w="1462" w:type="dxa"/>
            <w:tcBorders>
              <w:bottom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本期余额（元）</w:t>
            </w:r>
          </w:p>
        </w:tc>
        <w:tc>
          <w:tcPr>
            <w:tcW w:w="1219" w:type="dxa"/>
            <w:tcBorders>
              <w:bottom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变动金额（元）</w:t>
            </w:r>
          </w:p>
        </w:tc>
        <w:tc>
          <w:tcPr>
            <w:tcW w:w="939" w:type="dxa"/>
            <w:tcBorders>
              <w:bottom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变动原因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</w:t>
            </w:r>
          </w:p>
        </w:tc>
        <w:tc>
          <w:tcPr>
            <w:tcW w:w="1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兴业银行重庆加州支行</w:t>
            </w:r>
          </w:p>
        </w:tc>
        <w:tc>
          <w:tcPr>
            <w:tcW w:w="21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  <w:t>346270100100076291</w:t>
            </w:r>
          </w:p>
        </w:tc>
        <w:tc>
          <w:tcPr>
            <w:tcW w:w="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基本户</w:t>
            </w:r>
          </w:p>
        </w:tc>
        <w:tc>
          <w:tcPr>
            <w:tcW w:w="1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0.00</w:t>
            </w:r>
          </w:p>
        </w:tc>
        <w:tc>
          <w:tcPr>
            <w:tcW w:w="14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76" w:lineRule="auto"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1,015.00</w:t>
            </w:r>
          </w:p>
        </w:tc>
        <w:tc>
          <w:tcPr>
            <w:tcW w:w="12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76" w:lineRule="auto"/>
              <w:jc w:val="righ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1,015.00</w:t>
            </w:r>
          </w:p>
        </w:tc>
        <w:tc>
          <w:tcPr>
            <w:tcW w:w="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存款利息</w:t>
            </w:r>
          </w:p>
        </w:tc>
      </w:tr>
    </w:tbl>
    <w:p>
      <w:pPr>
        <w:rPr>
          <w:rStyle w:val="41"/>
          <w:rFonts w:hint="eastAsia" w:ascii="Arial" w:hAnsi="Arial" w:eastAsia="宋体" w:cs="Arial"/>
          <w:b/>
          <w:bCs w:val="0"/>
          <w:sz w:val="24"/>
          <w:szCs w:val="24"/>
        </w:rPr>
      </w:pPr>
    </w:p>
    <w:p>
      <w:pPr>
        <w:widowControl w:val="0"/>
        <w:spacing w:before="312" w:beforeLines="100"/>
        <w:jc w:val="center"/>
        <w:rPr>
          <w:rStyle w:val="41"/>
          <w:rFonts w:hint="eastAsia" w:ascii="宋体" w:hAnsi="宋体" w:eastAsia="宋体" w:cs="宋体"/>
          <w:b/>
          <w:bCs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kern w:val="44"/>
          <w:szCs w:val="44"/>
          <w:lang w:val="en-US" w:eastAsia="zh-CN"/>
        </w:rPr>
        <w:t>SPV</w:t>
      </w:r>
      <w:r>
        <w:rPr>
          <w:rFonts w:hint="eastAsia" w:ascii="宋体" w:hAnsi="宋体" w:eastAsia="宋体" w:cs="宋体"/>
          <w:b/>
          <w:bCs/>
          <w:kern w:val="44"/>
          <w:szCs w:val="44"/>
        </w:rPr>
        <w:t>公司</w:t>
      </w:r>
      <w:r>
        <w:rPr>
          <w:rFonts w:hint="eastAsia" w:ascii="宋体" w:hAnsi="宋体" w:eastAsia="宋体" w:cs="宋体"/>
          <w:b/>
          <w:bCs/>
          <w:kern w:val="44"/>
          <w:szCs w:val="44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kern w:val="44"/>
          <w:szCs w:val="44"/>
          <w:lang w:val="en-US" w:eastAsia="zh-CN"/>
        </w:rPr>
        <w:t>庆融</w:t>
      </w:r>
      <w:r>
        <w:rPr>
          <w:rFonts w:hint="eastAsia" w:ascii="宋体" w:hAnsi="宋体" w:eastAsia="宋体" w:cs="宋体"/>
          <w:b/>
          <w:bCs/>
          <w:kern w:val="44"/>
          <w:szCs w:val="44"/>
          <w:lang w:eastAsia="zh-CN"/>
        </w:rPr>
        <w:t>）</w:t>
      </w:r>
      <w:r>
        <w:rPr>
          <w:rFonts w:hint="eastAsia" w:ascii="宋体" w:hAnsi="宋体" w:eastAsia="宋体" w:cs="宋体"/>
          <w:b/>
          <w:bCs/>
          <w:kern w:val="44"/>
          <w:szCs w:val="44"/>
        </w:rPr>
        <w:t>本期账户余额变动情况</w:t>
      </w:r>
    </w:p>
    <w:tbl>
      <w:tblPr>
        <w:tblStyle w:val="18"/>
        <w:tblW w:w="985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5"/>
        <w:gridCol w:w="2288"/>
        <w:gridCol w:w="1224"/>
        <w:gridCol w:w="756"/>
        <w:gridCol w:w="1245"/>
        <w:gridCol w:w="1515"/>
        <w:gridCol w:w="810"/>
        <w:gridCol w:w="16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  <w:jc w:val="center"/>
        </w:trPr>
        <w:tc>
          <w:tcPr>
            <w:tcW w:w="405" w:type="dxa"/>
            <w:tcBorders>
              <w:bottom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2288" w:type="dxa"/>
            <w:tcBorders>
              <w:bottom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银行名称</w:t>
            </w:r>
          </w:p>
        </w:tc>
        <w:tc>
          <w:tcPr>
            <w:tcW w:w="1224" w:type="dxa"/>
            <w:tcBorders>
              <w:bottom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账号</w:t>
            </w:r>
          </w:p>
        </w:tc>
        <w:tc>
          <w:tcPr>
            <w:tcW w:w="756" w:type="dxa"/>
            <w:tcBorders>
              <w:bottom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账户性质</w:t>
            </w:r>
          </w:p>
        </w:tc>
        <w:tc>
          <w:tcPr>
            <w:tcW w:w="1245" w:type="dxa"/>
            <w:tcBorders>
              <w:bottom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上期余额（元）</w:t>
            </w:r>
          </w:p>
        </w:tc>
        <w:tc>
          <w:tcPr>
            <w:tcW w:w="1515" w:type="dxa"/>
            <w:tcBorders>
              <w:bottom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本期余额（元）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变动金额（元）</w:t>
            </w:r>
          </w:p>
        </w:tc>
        <w:tc>
          <w:tcPr>
            <w:tcW w:w="1612" w:type="dxa"/>
            <w:tcBorders>
              <w:bottom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变动原因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</w:t>
            </w:r>
          </w:p>
        </w:tc>
        <w:tc>
          <w:tcPr>
            <w:tcW w:w="22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中国农业银行股份有限公司重庆渝北三亚湾支行</w:t>
            </w:r>
          </w:p>
        </w:tc>
        <w:tc>
          <w:tcPr>
            <w:tcW w:w="1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31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111901040005212</w:t>
            </w:r>
          </w:p>
        </w:tc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基本户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457.46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416.46</w:t>
            </w:r>
          </w:p>
        </w:tc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76" w:lineRule="auto"/>
              <w:jc w:val="righ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41.00</w:t>
            </w:r>
          </w:p>
        </w:tc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hint="eastAsia" w:ascii="Arial" w:hAnsi="Arial" w:eastAsia="宋体" w:cs="Arial"/>
                <w:sz w:val="18"/>
                <w:szCs w:val="18"/>
                <w:lang w:eastAsia="zh-CN" w:bidi="ar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对公结算账户维护费、手续费</w:t>
            </w:r>
          </w:p>
        </w:tc>
      </w:tr>
      <w:bookmarkEnd w:id="16"/>
    </w:tbl>
    <w:p>
      <w:pPr>
        <w:pStyle w:val="2"/>
        <w:spacing w:before="300" w:after="300" w:line="360" w:lineRule="exact"/>
        <w:jc w:val="left"/>
        <w:rPr>
          <w:rStyle w:val="41"/>
          <w:rFonts w:hint="eastAsia" w:ascii="Arial" w:hAnsi="Arial" w:eastAsia="宋体" w:cs="Arial"/>
          <w:b/>
          <w:bCs w:val="0"/>
          <w:sz w:val="24"/>
          <w:szCs w:val="24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300" w:line="360" w:lineRule="exact"/>
        <w:ind w:left="0" w:leftChars="0" w:right="0" w:rightChars="0" w:firstLine="0" w:firstLineChars="0"/>
        <w:jc w:val="left"/>
        <w:textAlignment w:val="auto"/>
        <w:outlineLvl w:val="2"/>
        <w:rPr>
          <w:rStyle w:val="29"/>
          <w:rFonts w:hint="eastAsia" w:cs="Times New Roman"/>
          <w:b/>
          <w:bCs/>
          <w:sz w:val="24"/>
          <w:szCs w:val="24"/>
          <w:lang w:val="en-US" w:eastAsia="zh-CN" w:bidi="ar-SA"/>
        </w:rPr>
      </w:pPr>
      <w:bookmarkStart w:id="18" w:name="_Toc687"/>
      <w:r>
        <w:rPr>
          <w:rStyle w:val="29"/>
          <w:rFonts w:hint="eastAsia" w:cs="Times New Roman"/>
          <w:b/>
          <w:bCs/>
          <w:sz w:val="24"/>
          <w:szCs w:val="24"/>
          <w:lang w:val="en-US" w:eastAsia="zh-CN" w:bidi="ar-SA"/>
        </w:rPr>
        <w:t>三、项目评价</w:t>
      </w:r>
    </w:p>
    <w:bookmarkEnd w:id="18"/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300" w:line="360" w:lineRule="exact"/>
        <w:ind w:left="0" w:leftChars="0" w:right="0" w:rightChars="0" w:firstLine="0" w:firstLineChars="0"/>
        <w:jc w:val="left"/>
        <w:textAlignment w:val="auto"/>
        <w:outlineLvl w:val="2"/>
        <w:rPr>
          <w:rStyle w:val="29"/>
          <w:rFonts w:hint="eastAsia" w:cs="Times New Roman"/>
          <w:b/>
          <w:bCs/>
          <w:sz w:val="24"/>
          <w:szCs w:val="24"/>
          <w:lang w:val="en-US" w:eastAsia="zh-CN" w:bidi="ar-SA"/>
        </w:rPr>
      </w:pPr>
      <w:bookmarkStart w:id="19" w:name="_Toc32742"/>
      <w:r>
        <w:rPr>
          <w:rStyle w:val="29"/>
          <w:rFonts w:hint="eastAsia" w:cs="Times New Roman"/>
          <w:b/>
          <w:bCs/>
          <w:sz w:val="24"/>
          <w:szCs w:val="24"/>
          <w:lang w:val="en-US" w:eastAsia="zh-CN" w:bidi="ar-SA"/>
        </w:rPr>
        <w:t>（一）报建评价</w:t>
      </w:r>
    </w:p>
    <w:bookmarkEnd w:id="19"/>
    <w:p>
      <w:pPr>
        <w:pStyle w:val="17"/>
        <w:spacing w:after="0" w:line="480" w:lineRule="auto"/>
        <w:ind w:left="0" w:leftChars="0" w:firstLine="420" w:firstLineChars="200"/>
        <w:rPr>
          <w:rFonts w:hint="default" w:ascii="Arial" w:hAnsi="Arial" w:cs="Arial"/>
          <w:bCs/>
          <w:kern w:val="44"/>
          <w:szCs w:val="21"/>
          <w:lang w:val="en-US" w:eastAsia="zh-CN"/>
        </w:rPr>
      </w:pP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由于前期项目公司未在指定的时间内交齐土地款，出让合同签订系统被自然资源部锁定，预计2021年4月9日前解锁签完土地出让合同正式取得土地证、用地规划许可证。</w:t>
      </w:r>
    </w:p>
    <w:p>
      <w:pPr>
        <w:pStyle w:val="2"/>
        <w:numPr>
          <w:ilvl w:val="0"/>
          <w:numId w:val="7"/>
        </w:numPr>
        <w:spacing w:before="300" w:after="300" w:line="360" w:lineRule="exact"/>
        <w:jc w:val="left"/>
        <w:rPr>
          <w:rStyle w:val="41"/>
          <w:rFonts w:ascii="Arial" w:hAnsi="Arial" w:eastAsia="宋体" w:cs="Arial"/>
          <w:b/>
          <w:bCs w:val="0"/>
          <w:sz w:val="24"/>
          <w:szCs w:val="24"/>
        </w:rPr>
      </w:pPr>
      <w:bookmarkStart w:id="20" w:name="_Toc6919"/>
      <w:r>
        <w:rPr>
          <w:rStyle w:val="29"/>
          <w:rFonts w:hint="eastAsia" w:cs="Times New Roman"/>
          <w:b/>
          <w:bCs/>
          <w:sz w:val="24"/>
          <w:szCs w:val="24"/>
          <w:lang w:val="en-US" w:eastAsia="zh-CN" w:bidi="ar-SA"/>
        </w:rPr>
        <w:t>营销评价</w:t>
      </w:r>
      <w:bookmarkEnd w:id="20"/>
    </w:p>
    <w:p>
      <w:pPr>
        <w:pStyle w:val="17"/>
        <w:spacing w:after="0" w:line="480" w:lineRule="auto"/>
        <w:ind w:left="0" w:leftChars="0" w:firstLine="420" w:firstLineChars="200"/>
        <w:rPr>
          <w:rFonts w:hint="default" w:ascii="Arial" w:hAnsi="Arial" w:cs="Arial"/>
          <w:bCs/>
          <w:kern w:val="44"/>
          <w:szCs w:val="21"/>
          <w:lang w:val="en-US" w:eastAsia="zh-CN"/>
        </w:rPr>
      </w:pP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项目外展厅2021年3月28日开放，该项目预计2021年5月19日拿到预售证，售楼中心预计2021年5月25日开始开放。</w:t>
      </w:r>
    </w:p>
    <w:p>
      <w:pPr>
        <w:pStyle w:val="2"/>
        <w:spacing w:before="300" w:after="300" w:line="360" w:lineRule="exact"/>
        <w:jc w:val="left"/>
        <w:rPr>
          <w:rStyle w:val="41"/>
          <w:rFonts w:ascii="Arial" w:hAnsi="Arial" w:eastAsia="宋体" w:cs="Arial"/>
          <w:b/>
          <w:bCs w:val="0"/>
          <w:sz w:val="24"/>
          <w:szCs w:val="24"/>
        </w:rPr>
      </w:pPr>
      <w:bookmarkStart w:id="21" w:name="_Toc27970"/>
      <w:r>
        <w:rPr>
          <w:rStyle w:val="41"/>
          <w:rFonts w:ascii="Arial" w:hAnsi="Arial" w:eastAsia="宋体" w:cs="Arial"/>
          <w:b/>
          <w:bCs w:val="0"/>
          <w:sz w:val="24"/>
          <w:szCs w:val="24"/>
        </w:rPr>
        <w:t>（三）开发建设评价</w:t>
      </w:r>
      <w:bookmarkEnd w:id="21"/>
    </w:p>
    <w:p>
      <w:pPr>
        <w:pStyle w:val="17"/>
        <w:spacing w:after="0" w:line="480" w:lineRule="auto"/>
        <w:ind w:firstLineChars="200"/>
        <w:rPr>
          <w:rFonts w:hint="default" w:ascii="Arial" w:hAnsi="Arial" w:eastAsia="宋体" w:cs="Arial"/>
          <w:bCs/>
          <w:kern w:val="44"/>
          <w:szCs w:val="21"/>
          <w:lang w:val="en-US" w:eastAsia="zh-CN"/>
        </w:rPr>
      </w:pPr>
      <w:bookmarkStart w:id="22" w:name="_Toc23324574"/>
      <w:bookmarkStart w:id="23" w:name="_Toc23266557"/>
      <w:r>
        <w:rPr>
          <w:rFonts w:hint="eastAsia" w:ascii="Arial" w:hAnsi="Arial" w:cs="Arial"/>
          <w:bCs/>
          <w:kern w:val="44"/>
          <w:szCs w:val="21"/>
        </w:rPr>
        <w:t>目前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先</w:t>
      </w:r>
      <w:r>
        <w:rPr>
          <w:rFonts w:hint="eastAsia" w:ascii="Arial" w:hAnsi="Arial" w:cs="Arial"/>
          <w:bCs/>
          <w:kern w:val="44"/>
          <w:szCs w:val="21"/>
        </w:rPr>
        <w:t>开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发1栋售楼中心、6栋高层住宅楼</w:t>
      </w:r>
      <w:r>
        <w:rPr>
          <w:rFonts w:hint="eastAsia" w:ascii="Arial" w:hAnsi="Arial" w:cs="Arial"/>
          <w:bCs/>
          <w:kern w:val="44"/>
          <w:szCs w:val="21"/>
        </w:rPr>
        <w:t>，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幼儿园跟公园等配套设施在陆续平整土地，由于万州近期下雨，导致施工进度缓慢。</w:t>
      </w:r>
    </w:p>
    <w:p>
      <w:pPr>
        <w:pStyle w:val="2"/>
        <w:spacing w:before="300" w:after="300" w:line="360" w:lineRule="exact"/>
        <w:jc w:val="left"/>
        <w:rPr>
          <w:rStyle w:val="41"/>
          <w:rFonts w:hint="eastAsia" w:ascii="宋体" w:hAnsi="宋体" w:eastAsia="宋体" w:cs="宋体"/>
          <w:b/>
          <w:bCs w:val="0"/>
          <w:sz w:val="24"/>
          <w:szCs w:val="24"/>
        </w:rPr>
      </w:pPr>
      <w:bookmarkStart w:id="24" w:name="_Toc14314"/>
      <w:r>
        <w:rPr>
          <w:rStyle w:val="41"/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四</w:t>
      </w:r>
      <w:r>
        <w:rPr>
          <w:rStyle w:val="41"/>
          <w:rFonts w:hint="eastAsia" w:ascii="宋体" w:hAnsi="宋体" w:eastAsia="宋体" w:cs="宋体"/>
          <w:b/>
          <w:bCs w:val="0"/>
          <w:sz w:val="24"/>
          <w:szCs w:val="24"/>
        </w:rPr>
        <w:t>、附件</w:t>
      </w:r>
      <w:bookmarkEnd w:id="24"/>
    </w:p>
    <w:p>
      <w:pPr>
        <w:pStyle w:val="2"/>
        <w:spacing w:before="300" w:after="300" w:line="360" w:lineRule="exact"/>
        <w:jc w:val="left"/>
        <w:rPr>
          <w:rStyle w:val="41"/>
          <w:rFonts w:ascii="Arial" w:hAnsi="Arial" w:eastAsia="宋体" w:cs="Arial"/>
          <w:b/>
          <w:bCs w:val="0"/>
          <w:sz w:val="24"/>
          <w:szCs w:val="24"/>
        </w:rPr>
      </w:pPr>
      <w:bookmarkStart w:id="25" w:name="_Toc20315"/>
      <w:r>
        <w:rPr>
          <w:rStyle w:val="41"/>
          <w:rFonts w:ascii="Arial" w:hAnsi="Arial" w:eastAsia="宋体" w:cs="Arial"/>
          <w:b/>
          <w:bCs w:val="0"/>
          <w:sz w:val="24"/>
          <w:szCs w:val="24"/>
        </w:rPr>
        <w:t>附件一：本期用印情况</w:t>
      </w:r>
      <w:bookmarkEnd w:id="2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</w:pPr>
      <w:r>
        <w:rPr>
          <w:rFonts w:ascii="Arial" w:hAnsi="Arial" w:cs="Arial"/>
          <w:bCs/>
          <w:kern w:val="44"/>
          <w:highlight w:val="none"/>
        </w:rPr>
        <w:t>对于印章的使用，项目公司人员按照监管协议规定，履行印章使用流程，填写印章使用登记表，康信君安监管人员了解用印事由，重大事项按</w:t>
      </w:r>
      <w:r>
        <w:rPr>
          <w:rFonts w:hint="eastAsia" w:ascii="Arial" w:hAnsi="Arial" w:cs="Arial"/>
          <w:bCs/>
          <w:kern w:val="44"/>
          <w:highlight w:val="none"/>
        </w:rPr>
        <w:t>康信君安</w:t>
      </w:r>
      <w:r>
        <w:rPr>
          <w:rFonts w:ascii="Arial" w:hAnsi="Arial" w:cs="Arial"/>
          <w:bCs/>
          <w:kern w:val="44"/>
          <w:highlight w:val="none"/>
        </w:rPr>
        <w:t>公司流程履行审批后</w:t>
      </w:r>
      <w:r>
        <w:rPr>
          <w:rFonts w:hint="eastAsia" w:ascii="Arial" w:hAnsi="Arial" w:cs="Arial"/>
          <w:bCs/>
          <w:kern w:val="44"/>
          <w:highlight w:val="none"/>
        </w:rPr>
        <w:t>，</w:t>
      </w:r>
      <w:r>
        <w:rPr>
          <w:rFonts w:ascii="Arial" w:hAnsi="Arial" w:cs="Arial"/>
          <w:bCs/>
          <w:kern w:val="44"/>
          <w:highlight w:val="none"/>
        </w:rPr>
        <w:t>通过邮件等方式</w:t>
      </w:r>
      <w:r>
        <w:rPr>
          <w:rFonts w:hint="eastAsia" w:ascii="Arial" w:hAnsi="Arial" w:cs="Arial"/>
          <w:bCs/>
          <w:kern w:val="44"/>
          <w:highlight w:val="none"/>
        </w:rPr>
        <w:t>提交给</w:t>
      </w:r>
      <w:r>
        <w:rPr>
          <w:rFonts w:hint="eastAsia" w:ascii="Arial" w:hAnsi="Arial" w:cs="Arial"/>
          <w:bCs/>
          <w:kern w:val="44"/>
          <w:highlight w:val="none"/>
          <w:lang w:val="en-US" w:eastAsia="zh-CN"/>
        </w:rPr>
        <w:t>光大</w:t>
      </w:r>
      <w:r>
        <w:rPr>
          <w:rFonts w:ascii="Arial" w:hAnsi="Arial" w:cs="Arial"/>
          <w:bCs/>
          <w:kern w:val="44"/>
          <w:highlight w:val="none"/>
        </w:rPr>
        <w:t>信托有关人员，待</w:t>
      </w:r>
      <w:r>
        <w:rPr>
          <w:rFonts w:hint="eastAsia" w:ascii="Arial" w:hAnsi="Arial" w:cs="Arial"/>
          <w:bCs/>
          <w:kern w:val="44"/>
          <w:highlight w:val="none"/>
          <w:lang w:val="en-US" w:eastAsia="zh-CN"/>
        </w:rPr>
        <w:t>光大</w:t>
      </w:r>
      <w:r>
        <w:rPr>
          <w:rFonts w:ascii="Arial" w:hAnsi="Arial" w:cs="Arial"/>
          <w:bCs/>
          <w:kern w:val="44"/>
          <w:highlight w:val="none"/>
        </w:rPr>
        <w:t>信托有关人员批复后方给予用印。使用情况详见下表：</w:t>
      </w:r>
    </w:p>
    <w:bookmarkEnd w:id="22"/>
    <w:bookmarkEnd w:id="23"/>
    <w:p>
      <w:pPr>
        <w:widowControl w:val="0"/>
        <w:adjustRightInd w:val="0"/>
        <w:snapToGrid w:val="0"/>
        <w:spacing w:before="312" w:beforeLines="100"/>
        <w:contextualSpacing/>
        <w:jc w:val="center"/>
        <w:rPr>
          <w:rFonts w:ascii="Arial" w:hAnsi="Arial" w:cs="Arial"/>
          <w:b/>
          <w:szCs w:val="28"/>
        </w:rPr>
      </w:pPr>
    </w:p>
    <w:p>
      <w:pPr>
        <w:widowControl w:val="0"/>
        <w:adjustRightInd w:val="0"/>
        <w:snapToGrid w:val="0"/>
        <w:spacing w:before="312" w:beforeLines="100"/>
        <w:contextualSpacing/>
        <w:jc w:val="center"/>
        <w:rPr>
          <w:rFonts w:ascii="Arial" w:hAnsi="Arial" w:cs="Arial"/>
          <w:b/>
          <w:szCs w:val="28"/>
        </w:rPr>
      </w:pPr>
    </w:p>
    <w:p>
      <w:pPr>
        <w:widowControl w:val="0"/>
        <w:adjustRightInd w:val="0"/>
        <w:snapToGrid w:val="0"/>
        <w:spacing w:before="312" w:beforeLines="100"/>
        <w:contextualSpacing/>
        <w:jc w:val="center"/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szCs w:val="28"/>
        </w:rPr>
        <w:t>本期印章使用统计表</w:t>
      </w:r>
    </w:p>
    <w:tbl>
      <w:tblPr>
        <w:tblStyle w:val="18"/>
        <w:tblW w:w="9938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9"/>
        <w:gridCol w:w="1074"/>
        <w:gridCol w:w="705"/>
        <w:gridCol w:w="1725"/>
        <w:gridCol w:w="3810"/>
        <w:gridCol w:w="1185"/>
        <w:gridCol w:w="84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tblHeader/>
        </w:trPr>
        <w:tc>
          <w:tcPr>
            <w:tcW w:w="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0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用印日期</w:t>
            </w:r>
          </w:p>
        </w:tc>
        <w:tc>
          <w:tcPr>
            <w:tcW w:w="7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印鉴名称</w:t>
            </w:r>
          </w:p>
        </w:tc>
        <w:tc>
          <w:tcPr>
            <w:tcW w:w="17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用印事由</w:t>
            </w:r>
          </w:p>
        </w:tc>
        <w:tc>
          <w:tcPr>
            <w:tcW w:w="38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用印材料及份数</w:t>
            </w:r>
          </w:p>
        </w:tc>
        <w:tc>
          <w:tcPr>
            <w:tcW w:w="11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经办部门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经办人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59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2021/3/29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公章</w:t>
            </w:r>
          </w:p>
        </w:tc>
        <w:tc>
          <w:tcPr>
            <w:tcW w:w="17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用于提前开工手续</w:t>
            </w:r>
          </w:p>
        </w:tc>
        <w:tc>
          <w:tcPr>
            <w:tcW w:w="38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重庆融滔房地产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开发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有限公司 关于融创•琅阅滨江项目提前开工的申请（1份）</w:t>
            </w:r>
          </w:p>
        </w:tc>
        <w:tc>
          <w:tcPr>
            <w:tcW w:w="1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开发部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周育林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9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2021/3/19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公章</w:t>
            </w:r>
          </w:p>
        </w:tc>
        <w:tc>
          <w:tcPr>
            <w:tcW w:w="17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用于签订协议书</w:t>
            </w:r>
          </w:p>
        </w:tc>
        <w:tc>
          <w:tcPr>
            <w:tcW w:w="38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场地临时租赁协议书（4份）</w:t>
            </w:r>
          </w:p>
        </w:tc>
        <w:tc>
          <w:tcPr>
            <w:tcW w:w="1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策划部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李嫣然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59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2021/3/19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公章</w:t>
            </w:r>
          </w:p>
        </w:tc>
        <w:tc>
          <w:tcPr>
            <w:tcW w:w="17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用于签订通知书</w:t>
            </w:r>
          </w:p>
        </w:tc>
        <w:tc>
          <w:tcPr>
            <w:tcW w:w="38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外包服务人员签约通知书（1份）</w:t>
            </w:r>
          </w:p>
        </w:tc>
        <w:tc>
          <w:tcPr>
            <w:tcW w:w="1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渠道部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陈丽花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59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1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2021/3/19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公章</w:t>
            </w:r>
          </w:p>
        </w:tc>
        <w:tc>
          <w:tcPr>
            <w:tcW w:w="17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用于签订工程移交表</w:t>
            </w:r>
          </w:p>
        </w:tc>
        <w:tc>
          <w:tcPr>
            <w:tcW w:w="38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万州长江三桥南桥头绿化景观工程（一期）/樱花渡体育公园占用范围移交清单（4份）</w:t>
            </w:r>
          </w:p>
        </w:tc>
        <w:tc>
          <w:tcPr>
            <w:tcW w:w="1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工程部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杨舒茗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59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1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2021/3/19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公章</w:t>
            </w:r>
          </w:p>
        </w:tc>
        <w:tc>
          <w:tcPr>
            <w:tcW w:w="17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用于签订请示事项表</w:t>
            </w:r>
          </w:p>
        </w:tc>
        <w:tc>
          <w:tcPr>
            <w:tcW w:w="38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协调解决融创琅阅滨江项目临时用地相关问题请示事项（3份）</w:t>
            </w:r>
          </w:p>
        </w:tc>
        <w:tc>
          <w:tcPr>
            <w:tcW w:w="1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工程部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杨舒茗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59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1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2021/3/22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公章</w:t>
            </w:r>
          </w:p>
        </w:tc>
        <w:tc>
          <w:tcPr>
            <w:tcW w:w="17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用于签订建立城市展厅场地所用申请</w:t>
            </w:r>
          </w:p>
        </w:tc>
        <w:tc>
          <w:tcPr>
            <w:tcW w:w="38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关于融创琅阅滨江项目在万州港设立城市展厅的场地使用申请（4份）</w:t>
            </w:r>
          </w:p>
        </w:tc>
        <w:tc>
          <w:tcPr>
            <w:tcW w:w="1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工程部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杨舒茗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59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1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2021/3/23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公章</w:t>
            </w:r>
          </w:p>
        </w:tc>
        <w:tc>
          <w:tcPr>
            <w:tcW w:w="17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用于签订外包服务人员签约通知书</w:t>
            </w:r>
          </w:p>
        </w:tc>
        <w:tc>
          <w:tcPr>
            <w:tcW w:w="38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外包服务人员签约通知书（1份）</w:t>
            </w:r>
          </w:p>
        </w:tc>
        <w:tc>
          <w:tcPr>
            <w:tcW w:w="1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渠道部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陈丽花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0" w:hRule="atLeast"/>
        </w:trPr>
        <w:tc>
          <w:tcPr>
            <w:tcW w:w="59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1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2021/3/23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公章</w:t>
            </w:r>
          </w:p>
        </w:tc>
        <w:tc>
          <w:tcPr>
            <w:tcW w:w="17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用于签订外包服务人员退回确认表</w:t>
            </w:r>
          </w:p>
        </w:tc>
        <w:tc>
          <w:tcPr>
            <w:tcW w:w="38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外包服务人员退回确认表（1份）</w:t>
            </w:r>
          </w:p>
        </w:tc>
        <w:tc>
          <w:tcPr>
            <w:tcW w:w="1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渠道部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陈丽花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9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1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2021/3/23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公章</w:t>
            </w:r>
          </w:p>
        </w:tc>
        <w:tc>
          <w:tcPr>
            <w:tcW w:w="17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用于签订提前开工审批</w:t>
            </w:r>
          </w:p>
        </w:tc>
        <w:tc>
          <w:tcPr>
            <w:tcW w:w="38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万州区中心城区配套费缴费申请表（1份）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br w:type="textWrapping"/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建设项目提前开工审批表（1份）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br w:type="textWrapping"/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建设单位提前开工相关科室、单位意见表（1份）</w:t>
            </w:r>
          </w:p>
        </w:tc>
        <w:tc>
          <w:tcPr>
            <w:tcW w:w="1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开发部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向奕璇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59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9</w:t>
            </w:r>
          </w:p>
        </w:tc>
        <w:tc>
          <w:tcPr>
            <w:tcW w:w="1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2021/3/23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公章</w:t>
            </w:r>
          </w:p>
        </w:tc>
        <w:tc>
          <w:tcPr>
            <w:tcW w:w="17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用于申请施工许可证</w:t>
            </w:r>
          </w:p>
        </w:tc>
        <w:tc>
          <w:tcPr>
            <w:tcW w:w="38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工程简要说明、建设单位项目负责人质量终身责任承诺书、建筑单位法人授权书（各5份）</w:t>
            </w:r>
          </w:p>
        </w:tc>
        <w:tc>
          <w:tcPr>
            <w:tcW w:w="1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开发部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向奕璇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2021/3/23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公章</w:t>
            </w:r>
          </w:p>
        </w:tc>
        <w:tc>
          <w:tcPr>
            <w:tcW w:w="1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用于刻制合同专用章、法人章</w:t>
            </w:r>
          </w:p>
        </w:tc>
        <w:tc>
          <w:tcPr>
            <w:tcW w:w="3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授权委托书法人身份证复印件、重庆融滔房地产开发有限公司营业执照、经办人身份证复印件、基本户开户信息（各1份）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工程部</w:t>
            </w:r>
          </w:p>
        </w:tc>
        <w:tc>
          <w:tcPr>
            <w:tcW w:w="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杨舒茗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11</w:t>
            </w: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2021/3/23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公章</w:t>
            </w:r>
          </w:p>
        </w:tc>
        <w:tc>
          <w:tcPr>
            <w:tcW w:w="1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用于勘察送审资料</w:t>
            </w:r>
          </w:p>
        </w:tc>
        <w:tc>
          <w:tcPr>
            <w:tcW w:w="3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建设工程建设单位法人代表授权书（3份）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br w:type="textWrapping"/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岩土工程勘察任务委托书（3份）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br w:type="textWrapping"/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重庆市房屋建筑和市政基础设施工程勘察文件审查送审表（3份）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br w:type="textWrapping"/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江南新区组团Ⅲ分区Ⅲ/1/07/4地块送审表附表（3份）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br w:type="textWrapping"/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江南新区组团Ⅲ分区Ⅲ/1/07/4地块岩土工程勘察任务委托书附表（3份）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br w:type="textWrapping"/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建设工程建设单位项目负责人质量 终身责任承诺书（3份）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br w:type="textWrapping"/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用地规划许可证承诺书（3份）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工程部</w:t>
            </w:r>
          </w:p>
        </w:tc>
        <w:tc>
          <w:tcPr>
            <w:tcW w:w="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杨舒茗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12</w:t>
            </w: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2021/3/23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公章</w:t>
            </w:r>
          </w:p>
        </w:tc>
        <w:tc>
          <w:tcPr>
            <w:tcW w:w="1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用于评估报告备案</w:t>
            </w:r>
          </w:p>
        </w:tc>
        <w:tc>
          <w:tcPr>
            <w:tcW w:w="3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任务委托书、地质灾害承诺函、评估平面图（各4份）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工程部</w:t>
            </w:r>
          </w:p>
        </w:tc>
        <w:tc>
          <w:tcPr>
            <w:tcW w:w="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杨舒茗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13</w:t>
            </w: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2021/3/23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公章</w:t>
            </w:r>
          </w:p>
        </w:tc>
        <w:tc>
          <w:tcPr>
            <w:tcW w:w="1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用于签订地质灾害危险性评估合同</w:t>
            </w:r>
          </w:p>
        </w:tc>
        <w:tc>
          <w:tcPr>
            <w:tcW w:w="3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建设场地地质灾害危险性评估合同书（8份）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工程部</w:t>
            </w:r>
          </w:p>
        </w:tc>
        <w:tc>
          <w:tcPr>
            <w:tcW w:w="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杨舒茗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14</w:t>
            </w: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2021/3/23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公章</w:t>
            </w:r>
          </w:p>
        </w:tc>
        <w:tc>
          <w:tcPr>
            <w:tcW w:w="1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用于签订兼职人员外包合同</w:t>
            </w:r>
          </w:p>
        </w:tc>
        <w:tc>
          <w:tcPr>
            <w:tcW w:w="3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兼职人员外包合同（7份）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渠道部</w:t>
            </w:r>
          </w:p>
        </w:tc>
        <w:tc>
          <w:tcPr>
            <w:tcW w:w="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陈丽花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15</w:t>
            </w: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2021/3/24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公章</w:t>
            </w:r>
          </w:p>
        </w:tc>
        <w:tc>
          <w:tcPr>
            <w:tcW w:w="1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用于函及情况说明书</w:t>
            </w:r>
          </w:p>
        </w:tc>
        <w:tc>
          <w:tcPr>
            <w:tcW w:w="3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关于拟在万州经开区投资房地产开发项目建设函（1份）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br w:type="textWrapping"/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情况说明书（1份）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开发部</w:t>
            </w:r>
          </w:p>
        </w:tc>
        <w:tc>
          <w:tcPr>
            <w:tcW w:w="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向奕璇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16</w:t>
            </w: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2021/3/25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公章</w:t>
            </w:r>
          </w:p>
        </w:tc>
        <w:tc>
          <w:tcPr>
            <w:tcW w:w="1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用于办理土地使用证</w:t>
            </w:r>
          </w:p>
        </w:tc>
        <w:tc>
          <w:tcPr>
            <w:tcW w:w="3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不动产登记申请表（1份）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br w:type="textWrapping"/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委托授权书（1份）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开发部</w:t>
            </w:r>
          </w:p>
        </w:tc>
        <w:tc>
          <w:tcPr>
            <w:tcW w:w="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周育林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17</w:t>
            </w: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2021/3/25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公章</w:t>
            </w:r>
          </w:p>
        </w:tc>
        <w:tc>
          <w:tcPr>
            <w:tcW w:w="1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用于外包服务人员退回确认表</w:t>
            </w:r>
          </w:p>
        </w:tc>
        <w:tc>
          <w:tcPr>
            <w:tcW w:w="3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外包服务人员退回确认表（1份）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渠道部</w:t>
            </w:r>
          </w:p>
        </w:tc>
        <w:tc>
          <w:tcPr>
            <w:tcW w:w="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陈丽花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18</w:t>
            </w: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2021/3/26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公章</w:t>
            </w:r>
          </w:p>
        </w:tc>
        <w:tc>
          <w:tcPr>
            <w:tcW w:w="1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用于押证施工人员名单</w:t>
            </w:r>
          </w:p>
        </w:tc>
        <w:tc>
          <w:tcPr>
            <w:tcW w:w="3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琅阅滨江1、2号楼押证施工人员名单（2份)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开发部</w:t>
            </w:r>
          </w:p>
        </w:tc>
        <w:tc>
          <w:tcPr>
            <w:tcW w:w="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周育林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19</w:t>
            </w: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2021/3/26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公章</w:t>
            </w:r>
          </w:p>
        </w:tc>
        <w:tc>
          <w:tcPr>
            <w:tcW w:w="1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用于办理外展厅的网络</w:t>
            </w:r>
          </w:p>
        </w:tc>
        <w:tc>
          <w:tcPr>
            <w:tcW w:w="3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营业执照、法人身份证复印件、经办人身份证、委托书（各一份）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营销类</w:t>
            </w:r>
          </w:p>
        </w:tc>
        <w:tc>
          <w:tcPr>
            <w:tcW w:w="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艾艳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20</w:t>
            </w: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2021/3/26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公章</w:t>
            </w:r>
          </w:p>
        </w:tc>
        <w:tc>
          <w:tcPr>
            <w:tcW w:w="1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用于直接发包通知书</w:t>
            </w:r>
          </w:p>
        </w:tc>
        <w:tc>
          <w:tcPr>
            <w:tcW w:w="3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万州区民营投资房屋和市政工程直接发包通知书（3份）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工程部</w:t>
            </w:r>
          </w:p>
        </w:tc>
        <w:tc>
          <w:tcPr>
            <w:tcW w:w="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杨舒茗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21</w:t>
            </w: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2021/3/26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公章</w:t>
            </w:r>
          </w:p>
        </w:tc>
        <w:tc>
          <w:tcPr>
            <w:tcW w:w="1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用于外展厅高德地图认证</w:t>
            </w:r>
          </w:p>
        </w:tc>
        <w:tc>
          <w:tcPr>
            <w:tcW w:w="3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承诺书（1份）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策划部</w:t>
            </w:r>
          </w:p>
        </w:tc>
        <w:tc>
          <w:tcPr>
            <w:tcW w:w="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李嫣然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22</w:t>
            </w: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2021/3/26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公章</w:t>
            </w:r>
          </w:p>
        </w:tc>
        <w:tc>
          <w:tcPr>
            <w:tcW w:w="1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用于实习生离职表</w:t>
            </w:r>
          </w:p>
        </w:tc>
        <w:tc>
          <w:tcPr>
            <w:tcW w:w="3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实习生离职确认表（1份）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渠道部</w:t>
            </w:r>
          </w:p>
        </w:tc>
        <w:tc>
          <w:tcPr>
            <w:tcW w:w="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陈丽花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23</w:t>
            </w: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2021/3/29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公章</w:t>
            </w:r>
          </w:p>
        </w:tc>
        <w:tc>
          <w:tcPr>
            <w:tcW w:w="1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用于提前开工手续</w:t>
            </w:r>
          </w:p>
        </w:tc>
        <w:tc>
          <w:tcPr>
            <w:tcW w:w="3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重庆融滔房地产开发有限公司 关于融创•琅阅滨江项目提前开工的申请（1份）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开发部</w:t>
            </w:r>
          </w:p>
        </w:tc>
        <w:tc>
          <w:tcPr>
            <w:tcW w:w="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周育林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24</w:t>
            </w: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2021/3/29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公章</w:t>
            </w:r>
          </w:p>
        </w:tc>
        <w:tc>
          <w:tcPr>
            <w:tcW w:w="1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用于交地确认书</w:t>
            </w:r>
          </w:p>
        </w:tc>
        <w:tc>
          <w:tcPr>
            <w:tcW w:w="3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国有建设用地交地确认书（6份）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开发部</w:t>
            </w:r>
          </w:p>
        </w:tc>
        <w:tc>
          <w:tcPr>
            <w:tcW w:w="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周育林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25</w:t>
            </w: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2021/3/29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公章</w:t>
            </w:r>
          </w:p>
        </w:tc>
        <w:tc>
          <w:tcPr>
            <w:tcW w:w="1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用于临时用电合同</w:t>
            </w:r>
          </w:p>
        </w:tc>
        <w:tc>
          <w:tcPr>
            <w:tcW w:w="3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临时用电合同（2份）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工程部</w:t>
            </w:r>
          </w:p>
        </w:tc>
        <w:tc>
          <w:tcPr>
            <w:tcW w:w="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杨舒茗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26</w:t>
            </w: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2021/3/30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公章</w:t>
            </w:r>
          </w:p>
        </w:tc>
        <w:tc>
          <w:tcPr>
            <w:tcW w:w="1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用于情况说明</w:t>
            </w:r>
          </w:p>
        </w:tc>
        <w:tc>
          <w:tcPr>
            <w:tcW w:w="3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关于樱花渡公园改造临时施工组织的情况说明、承诺书、效果图（3份）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工程部</w:t>
            </w:r>
          </w:p>
        </w:tc>
        <w:tc>
          <w:tcPr>
            <w:tcW w:w="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杨舒茗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27</w:t>
            </w: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2021/3/31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公章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br w:type="textWrapping"/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法人章</w:t>
            </w:r>
          </w:p>
        </w:tc>
        <w:tc>
          <w:tcPr>
            <w:tcW w:w="1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用于建设工程监理合同</w:t>
            </w:r>
          </w:p>
        </w:tc>
        <w:tc>
          <w:tcPr>
            <w:tcW w:w="3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建设工程监理合同（2份）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开发部</w:t>
            </w:r>
          </w:p>
        </w:tc>
        <w:tc>
          <w:tcPr>
            <w:tcW w:w="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周育林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28</w:t>
            </w: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2021/3/31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公章</w:t>
            </w:r>
          </w:p>
        </w:tc>
        <w:tc>
          <w:tcPr>
            <w:tcW w:w="1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用于情况说明书</w:t>
            </w:r>
          </w:p>
        </w:tc>
        <w:tc>
          <w:tcPr>
            <w:tcW w:w="3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情况说明书（万州区规资局）（1份）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开发部</w:t>
            </w:r>
          </w:p>
        </w:tc>
        <w:tc>
          <w:tcPr>
            <w:tcW w:w="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向奕璇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29</w:t>
            </w: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2021/3/31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公章</w:t>
            </w:r>
          </w:p>
        </w:tc>
        <w:tc>
          <w:tcPr>
            <w:tcW w:w="1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用于税务申报表</w:t>
            </w:r>
          </w:p>
        </w:tc>
        <w:tc>
          <w:tcPr>
            <w:tcW w:w="3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契税申请表、印花税申报表、成交确认书、1.04亿土地款发票、1.29亿土地款发票、0.54亿土地价款发票、土地款发票2.32亿元、滞纳金发票.、土地合同信息、营业执照复印件（各1份）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财务部</w:t>
            </w:r>
          </w:p>
        </w:tc>
        <w:tc>
          <w:tcPr>
            <w:tcW w:w="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罗鹏程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30</w:t>
            </w: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2021/3/31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公章</w:t>
            </w:r>
          </w:p>
        </w:tc>
        <w:tc>
          <w:tcPr>
            <w:tcW w:w="1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用于汽车租赁合同</w:t>
            </w:r>
          </w:p>
        </w:tc>
        <w:tc>
          <w:tcPr>
            <w:tcW w:w="3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重庆置地琅阅滨江项目汽车租赁合同（10份）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渠道部</w:t>
            </w:r>
          </w:p>
        </w:tc>
        <w:tc>
          <w:tcPr>
            <w:tcW w:w="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陈丽花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31</w:t>
            </w: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2021/3/31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公章</w:t>
            </w:r>
          </w:p>
        </w:tc>
        <w:tc>
          <w:tcPr>
            <w:tcW w:w="1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用于外包人员退回表</w:t>
            </w:r>
          </w:p>
        </w:tc>
        <w:tc>
          <w:tcPr>
            <w:tcW w:w="3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外包人员退回表（1份）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渠道部</w:t>
            </w:r>
          </w:p>
        </w:tc>
        <w:tc>
          <w:tcPr>
            <w:tcW w:w="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陈丽花</w:t>
            </w:r>
          </w:p>
        </w:tc>
      </w:tr>
    </w:tbl>
    <w:p>
      <w:pPr>
        <w:pStyle w:val="2"/>
        <w:spacing w:before="300" w:after="300" w:line="360" w:lineRule="exact"/>
        <w:jc w:val="left"/>
        <w:rPr>
          <w:rStyle w:val="41"/>
          <w:rFonts w:hint="eastAsia" w:ascii="Arial" w:hAnsi="Arial" w:eastAsia="宋体" w:cs="Arial"/>
          <w:b/>
          <w:bCs w:val="0"/>
          <w:sz w:val="24"/>
          <w:szCs w:val="24"/>
        </w:rPr>
      </w:pPr>
      <w:bookmarkStart w:id="26" w:name="_Toc12416"/>
      <w:r>
        <w:rPr>
          <w:rStyle w:val="41"/>
          <w:rFonts w:hint="eastAsia" w:ascii="Arial" w:hAnsi="Arial" w:eastAsia="宋体" w:cs="Arial"/>
          <w:b/>
          <w:bCs w:val="0"/>
          <w:sz w:val="24"/>
          <w:szCs w:val="24"/>
        </w:rPr>
        <w:t>附件二：章证照使用登记情况</w:t>
      </w:r>
      <w:bookmarkEnd w:id="26"/>
    </w:p>
    <w:p>
      <w:pPr>
        <w:jc w:val="right"/>
        <w:rPr>
          <w:rStyle w:val="41"/>
          <w:rFonts w:hint="eastAsia" w:ascii="Arial" w:hAnsi="Arial" w:eastAsia="宋体" w:cs="Arial"/>
          <w:b/>
          <w:bCs w:val="0"/>
          <w:sz w:val="24"/>
          <w:szCs w:val="24"/>
          <w:lang w:eastAsia="zh-CN"/>
        </w:rPr>
      </w:pPr>
      <w:r>
        <w:rPr>
          <w:rStyle w:val="41"/>
          <w:rFonts w:hint="eastAsia" w:ascii="Arial" w:hAnsi="Arial" w:eastAsia="宋体" w:cs="Arial"/>
          <w:b/>
          <w:bCs w:val="0"/>
          <w:sz w:val="24"/>
          <w:szCs w:val="24"/>
          <w:lang w:eastAsia="zh-CN"/>
        </w:rPr>
        <w:drawing>
          <wp:inline distT="0" distB="0" distL="114300" distR="114300">
            <wp:extent cx="6065520" cy="4130040"/>
            <wp:effectExtent l="0" t="0" r="11430" b="3810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11"/>
                    <a:srcRect t="6143" r="666" b="3674"/>
                    <a:stretch>
                      <a:fillRect/>
                    </a:stretch>
                  </pic:blipFill>
                  <pic:spPr>
                    <a:xfrm>
                      <a:off x="0" y="0"/>
                      <a:ext cx="606552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b/>
          <w:kern w:val="44"/>
          <w:sz w:val="21"/>
          <w:szCs w:val="21"/>
          <w:lang w:val="en-US" w:eastAsia="zh-CN"/>
        </w:rPr>
        <w:t>（转下页）</w:t>
      </w:r>
    </w:p>
    <w:p>
      <w:pPr>
        <w:rPr>
          <w:rStyle w:val="41"/>
          <w:rFonts w:hint="eastAsia" w:ascii="Arial" w:hAnsi="Arial" w:eastAsia="宋体" w:cs="Arial"/>
          <w:b/>
          <w:bCs w:val="0"/>
          <w:sz w:val="24"/>
          <w:szCs w:val="24"/>
          <w:lang w:eastAsia="zh-CN"/>
        </w:rPr>
      </w:pPr>
      <w:r>
        <w:rPr>
          <w:rStyle w:val="41"/>
          <w:rFonts w:hint="eastAsia" w:ascii="Arial" w:hAnsi="Arial" w:eastAsia="宋体" w:cs="Arial"/>
          <w:b/>
          <w:bCs w:val="0"/>
          <w:sz w:val="24"/>
          <w:szCs w:val="24"/>
          <w:lang w:eastAsia="zh-CN"/>
        </w:rPr>
        <w:drawing>
          <wp:inline distT="0" distB="0" distL="114300" distR="114300">
            <wp:extent cx="6106160" cy="4579620"/>
            <wp:effectExtent l="0" t="0" r="8890" b="11430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457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Style w:val="41"/>
          <w:rFonts w:hint="eastAsia" w:ascii="Arial" w:hAnsi="Arial" w:eastAsia="宋体" w:cs="Arial"/>
          <w:b/>
          <w:bCs w:val="0"/>
          <w:sz w:val="24"/>
          <w:szCs w:val="24"/>
          <w:lang w:eastAsia="zh-CN"/>
        </w:rPr>
      </w:pPr>
      <w:r>
        <w:rPr>
          <w:rStyle w:val="41"/>
          <w:rFonts w:hint="eastAsia" w:ascii="Arial" w:hAnsi="Arial" w:eastAsia="宋体" w:cs="Arial"/>
          <w:b/>
          <w:bCs w:val="0"/>
          <w:sz w:val="24"/>
          <w:szCs w:val="24"/>
          <w:lang w:eastAsia="zh-CN"/>
        </w:rPr>
        <w:drawing>
          <wp:inline distT="0" distB="0" distL="114300" distR="114300">
            <wp:extent cx="6209665" cy="3649980"/>
            <wp:effectExtent l="0" t="0" r="635" b="7620"/>
            <wp:docPr id="12" name="图片 1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00" w:after="300" w:line="360" w:lineRule="exact"/>
        <w:jc w:val="left"/>
        <w:outlineLvl w:val="0"/>
        <w:rPr>
          <w:rFonts w:hint="eastAsia" w:ascii="Arial" w:hAnsi="Arial" w:cs="Arial"/>
          <w:b/>
          <w:bCs/>
          <w:kern w:val="44"/>
          <w:szCs w:val="44"/>
          <w:highlight w:val="none"/>
          <w:lang w:eastAsia="zh-CN"/>
        </w:rPr>
      </w:pPr>
      <w:bookmarkStart w:id="27" w:name="_Toc62487267"/>
      <w:bookmarkStart w:id="28" w:name="_Toc11669"/>
      <w:r>
        <w:rPr>
          <w:rFonts w:hint="eastAsia" w:ascii="Arial" w:hAnsi="Arial" w:cs="Arial"/>
          <w:b/>
          <w:bCs/>
          <w:kern w:val="44"/>
          <w:szCs w:val="44"/>
          <w:highlight w:val="none"/>
          <w:lang w:eastAsia="zh-CN"/>
        </w:rPr>
        <w:t>附件三：本期资金支出情况</w:t>
      </w:r>
      <w:bookmarkEnd w:id="27"/>
      <w:bookmarkEnd w:id="28"/>
    </w:p>
    <w:p>
      <w:pPr>
        <w:widowControl w:val="0"/>
        <w:adjustRightInd w:val="0"/>
        <w:snapToGrid w:val="0"/>
        <w:spacing w:before="312" w:beforeLines="100"/>
        <w:contextualSpacing/>
        <w:jc w:val="left"/>
        <w:rPr>
          <w:rFonts w:hint="eastAsia" w:ascii="宋体" w:hAnsi="宋体" w:eastAsia="宋体" w:cs="宋体"/>
          <w:b/>
          <w:szCs w:val="28"/>
        </w:rPr>
      </w:pPr>
      <w:r>
        <w:rPr>
          <w:rFonts w:hint="eastAsia" w:ascii="宋体" w:hAnsi="宋体" w:eastAsia="宋体" w:cs="宋体"/>
          <w:b/>
          <w:szCs w:val="28"/>
        </w:rPr>
        <w:t>项目公司</w:t>
      </w:r>
      <w:r>
        <w:rPr>
          <w:rFonts w:hint="eastAsia" w:ascii="宋体" w:hAnsi="宋体" w:eastAsia="宋体" w:cs="宋体"/>
          <w:b/>
          <w:szCs w:val="28"/>
          <w:lang w:eastAsia="zh-CN"/>
        </w:rPr>
        <w:t>（</w:t>
      </w:r>
      <w:r>
        <w:rPr>
          <w:rFonts w:hint="eastAsia" w:ascii="宋体" w:hAnsi="宋体" w:eastAsia="宋体" w:cs="宋体"/>
          <w:b/>
          <w:szCs w:val="28"/>
          <w:lang w:val="en-US" w:eastAsia="zh-CN"/>
        </w:rPr>
        <w:t>融滔</w:t>
      </w:r>
      <w:r>
        <w:rPr>
          <w:rFonts w:hint="eastAsia" w:ascii="宋体" w:hAnsi="宋体" w:eastAsia="宋体" w:cs="宋体"/>
          <w:b/>
          <w:szCs w:val="28"/>
          <w:lang w:eastAsia="zh-CN"/>
        </w:rPr>
        <w:t>）</w:t>
      </w:r>
      <w:r>
        <w:rPr>
          <w:rFonts w:hint="eastAsia" w:ascii="宋体" w:hAnsi="宋体" w:eastAsia="宋体" w:cs="宋体"/>
          <w:b/>
          <w:szCs w:val="28"/>
        </w:rPr>
        <w:t>本期资金支出情况</w:t>
      </w:r>
    </w:p>
    <w:p>
      <w:pPr>
        <w:widowControl w:val="0"/>
        <w:adjustRightInd w:val="0"/>
        <w:snapToGrid w:val="0"/>
        <w:spacing w:before="312" w:beforeLines="100"/>
        <w:contextualSpacing/>
        <w:jc w:val="center"/>
        <w:rPr>
          <w:rFonts w:hint="eastAsia"/>
          <w:b/>
          <w:bCs/>
          <w:highlight w:val="none"/>
        </w:rPr>
      </w:pPr>
      <w:r>
        <w:rPr>
          <w:rFonts w:hint="eastAsia" w:ascii="宋体" w:hAnsi="宋体" w:eastAsia="宋体" w:cs="宋体"/>
          <w:b/>
          <w:szCs w:val="28"/>
        </w:rPr>
        <w:t>1.本期资金支出情况</w:t>
      </w:r>
    </w:p>
    <w:tbl>
      <w:tblPr>
        <w:tblStyle w:val="18"/>
        <w:tblpPr w:leftFromText="180" w:rightFromText="180" w:vertAnchor="text" w:horzAnchor="page" w:tblpX="1132" w:tblpY="285"/>
        <w:tblOverlap w:val="never"/>
        <w:tblW w:w="98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4"/>
        <w:gridCol w:w="1138"/>
        <w:gridCol w:w="1878"/>
        <w:gridCol w:w="990"/>
        <w:gridCol w:w="1410"/>
        <w:gridCol w:w="780"/>
        <w:gridCol w:w="1965"/>
        <w:gridCol w:w="10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tblHeader/>
        </w:trPr>
        <w:tc>
          <w:tcPr>
            <w:tcW w:w="654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138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支付时间</w:t>
            </w:r>
          </w:p>
        </w:tc>
        <w:tc>
          <w:tcPr>
            <w:tcW w:w="1878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收款方</w:t>
            </w:r>
          </w:p>
        </w:tc>
        <w:tc>
          <w:tcPr>
            <w:tcW w:w="99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资金用途</w:t>
            </w:r>
          </w:p>
        </w:tc>
        <w:tc>
          <w:tcPr>
            <w:tcW w:w="141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金额（元）</w:t>
            </w:r>
          </w:p>
        </w:tc>
        <w:tc>
          <w:tcPr>
            <w:tcW w:w="780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用款类型</w:t>
            </w:r>
          </w:p>
        </w:tc>
        <w:tc>
          <w:tcPr>
            <w:tcW w:w="196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出款行</w:t>
            </w:r>
          </w:p>
        </w:tc>
        <w:tc>
          <w:tcPr>
            <w:tcW w:w="1039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tblHeader/>
        </w:trPr>
        <w:tc>
          <w:tcPr>
            <w:tcW w:w="654" w:type="dxa"/>
            <w:shd w:val="clear" w:color="000000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38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</w:t>
            </w: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/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18</w:t>
            </w:r>
          </w:p>
        </w:tc>
        <w:tc>
          <w:tcPr>
            <w:tcW w:w="1878" w:type="dxa"/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重庆市万州区规划设计研究院</w:t>
            </w:r>
          </w:p>
        </w:tc>
        <w:tc>
          <w:tcPr>
            <w:tcW w:w="990" w:type="dxa"/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测绘费</w:t>
            </w:r>
          </w:p>
        </w:tc>
        <w:tc>
          <w:tcPr>
            <w:tcW w:w="1410" w:type="dxa"/>
            <w:shd w:val="clear" w:color="auto" w:fill="auto"/>
            <w:vAlign w:val="center"/>
          </w:tcPr>
          <w:p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25,000.00</w:t>
            </w:r>
          </w:p>
        </w:tc>
        <w:tc>
          <w:tcPr>
            <w:tcW w:w="780" w:type="dxa"/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前期费用</w:t>
            </w:r>
          </w:p>
        </w:tc>
        <w:tc>
          <w:tcPr>
            <w:tcW w:w="1965" w:type="dxa"/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融滔兴业银行基本户</w:t>
            </w:r>
          </w:p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346270100100074576</w:t>
            </w:r>
          </w:p>
        </w:tc>
        <w:tc>
          <w:tcPr>
            <w:tcW w:w="1039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监管人员交接前支付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tblHeader/>
        </w:trPr>
        <w:tc>
          <w:tcPr>
            <w:tcW w:w="654" w:type="dxa"/>
            <w:shd w:val="clear" w:color="000000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138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</w:t>
            </w: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/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21</w:t>
            </w:r>
          </w:p>
        </w:tc>
        <w:tc>
          <w:tcPr>
            <w:tcW w:w="1878" w:type="dxa"/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陈应应</w:t>
            </w:r>
          </w:p>
        </w:tc>
        <w:tc>
          <w:tcPr>
            <w:tcW w:w="990" w:type="dxa"/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交通费</w:t>
            </w:r>
          </w:p>
        </w:tc>
        <w:tc>
          <w:tcPr>
            <w:tcW w:w="1410" w:type="dxa"/>
            <w:shd w:val="clear" w:color="auto" w:fill="auto"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1,000.00</w:t>
            </w:r>
          </w:p>
        </w:tc>
        <w:tc>
          <w:tcPr>
            <w:tcW w:w="780" w:type="dxa"/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管理费用</w:t>
            </w:r>
          </w:p>
        </w:tc>
        <w:tc>
          <w:tcPr>
            <w:tcW w:w="1965" w:type="dxa"/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融滔兴业银行基本户</w:t>
            </w:r>
          </w:p>
          <w:p>
            <w:pPr>
              <w:jc w:val="center"/>
              <w:rPr>
                <w:rFonts w:hint="eastAsia"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346270100100074576</w:t>
            </w:r>
          </w:p>
        </w:tc>
        <w:tc>
          <w:tcPr>
            <w:tcW w:w="1039" w:type="dxa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  <w:tblHeader/>
        </w:trPr>
        <w:tc>
          <w:tcPr>
            <w:tcW w:w="654" w:type="dxa"/>
            <w:shd w:val="clear" w:color="000000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1138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</w:t>
            </w: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/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21</w:t>
            </w:r>
          </w:p>
        </w:tc>
        <w:tc>
          <w:tcPr>
            <w:tcW w:w="1878" w:type="dxa"/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苟忠皓</w:t>
            </w:r>
          </w:p>
        </w:tc>
        <w:tc>
          <w:tcPr>
            <w:tcW w:w="990" w:type="dxa"/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交通费</w:t>
            </w:r>
          </w:p>
        </w:tc>
        <w:tc>
          <w:tcPr>
            <w:tcW w:w="1410" w:type="dxa"/>
            <w:shd w:val="clear" w:color="auto" w:fill="auto"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4,200.00</w:t>
            </w:r>
          </w:p>
        </w:tc>
        <w:tc>
          <w:tcPr>
            <w:tcW w:w="780" w:type="dxa"/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管理费用</w:t>
            </w:r>
          </w:p>
        </w:tc>
        <w:tc>
          <w:tcPr>
            <w:tcW w:w="1965" w:type="dxa"/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融滔兴业银行基本户</w:t>
            </w:r>
          </w:p>
          <w:p>
            <w:pPr>
              <w:jc w:val="center"/>
              <w:rPr>
                <w:rFonts w:hint="eastAsia"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346270100100074576</w:t>
            </w:r>
          </w:p>
        </w:tc>
        <w:tc>
          <w:tcPr>
            <w:tcW w:w="1039" w:type="dxa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tblHeader/>
        </w:trPr>
        <w:tc>
          <w:tcPr>
            <w:tcW w:w="654" w:type="dxa"/>
            <w:shd w:val="clear" w:color="000000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1138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</w:t>
            </w: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/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22</w:t>
            </w:r>
          </w:p>
        </w:tc>
        <w:tc>
          <w:tcPr>
            <w:tcW w:w="1878" w:type="dxa"/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重庆市万州区财政局</w:t>
            </w:r>
          </w:p>
        </w:tc>
        <w:tc>
          <w:tcPr>
            <w:tcW w:w="990" w:type="dxa"/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土地款滞纳金</w:t>
            </w:r>
          </w:p>
        </w:tc>
        <w:tc>
          <w:tcPr>
            <w:tcW w:w="1410" w:type="dxa"/>
            <w:shd w:val="clear" w:color="auto" w:fill="auto"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3,257,550.79</w:t>
            </w:r>
          </w:p>
        </w:tc>
        <w:tc>
          <w:tcPr>
            <w:tcW w:w="780" w:type="dxa"/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营业外支出</w:t>
            </w:r>
          </w:p>
        </w:tc>
        <w:tc>
          <w:tcPr>
            <w:tcW w:w="1965" w:type="dxa"/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融滔兴业银行基本户</w:t>
            </w:r>
          </w:p>
          <w:p>
            <w:pPr>
              <w:jc w:val="center"/>
              <w:rPr>
                <w:rFonts w:hint="eastAsia"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346270100100074576</w:t>
            </w:r>
          </w:p>
        </w:tc>
        <w:tc>
          <w:tcPr>
            <w:tcW w:w="1039" w:type="dxa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654" w:type="dxa"/>
            <w:shd w:val="clear" w:color="000000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1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2021</w:t>
            </w: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/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22</w:t>
            </w:r>
          </w:p>
        </w:tc>
        <w:tc>
          <w:tcPr>
            <w:tcW w:w="18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重庆市万州区财政局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wz2020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/</w:t>
            </w:r>
            <w:r>
              <w:rPr>
                <w:rFonts w:ascii="微软雅黑" w:hAnsi="微软雅黑" w:eastAsia="微软雅黑" w:cs="微软雅黑"/>
                <w:sz w:val="18"/>
                <w:szCs w:val="18"/>
              </w:rPr>
              <w:t>1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/</w:t>
            </w:r>
            <w:r>
              <w:rPr>
                <w:rFonts w:ascii="微软雅黑" w:hAnsi="微软雅黑" w:eastAsia="微软雅黑" w:cs="微软雅黑"/>
                <w:sz w:val="18"/>
                <w:szCs w:val="18"/>
              </w:rPr>
              <w:t>34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号宗地土地款</w:t>
            </w: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232,682,199.25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土地费用</w:t>
            </w:r>
          </w:p>
        </w:tc>
        <w:tc>
          <w:tcPr>
            <w:tcW w:w="19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融滔兴业银行基本户</w:t>
            </w:r>
          </w:p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346270100100074576</w:t>
            </w:r>
          </w:p>
        </w:tc>
        <w:tc>
          <w:tcPr>
            <w:tcW w:w="10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654" w:type="dxa"/>
            <w:shd w:val="clear" w:color="000000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1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2021</w:t>
            </w: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/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22</w:t>
            </w:r>
          </w:p>
        </w:tc>
        <w:tc>
          <w:tcPr>
            <w:tcW w:w="18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杨舒茗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hint="eastAsia" w:ascii="Arial" w:hAnsi="Arial" w:cs="Arial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交通费</w:t>
            </w: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10,800.00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管理费用</w:t>
            </w:r>
          </w:p>
        </w:tc>
        <w:tc>
          <w:tcPr>
            <w:tcW w:w="19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融滔兴业银行基本户</w:t>
            </w:r>
          </w:p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346270100100074576</w:t>
            </w:r>
          </w:p>
        </w:tc>
        <w:tc>
          <w:tcPr>
            <w:tcW w:w="10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</w:trPr>
        <w:tc>
          <w:tcPr>
            <w:tcW w:w="654" w:type="dxa"/>
            <w:shd w:val="clear" w:color="000000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1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2021</w:t>
            </w: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/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22</w:t>
            </w:r>
          </w:p>
        </w:tc>
        <w:tc>
          <w:tcPr>
            <w:tcW w:w="18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重庆市万州区规划设计研究院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hint="eastAsia" w:ascii="Arial" w:hAnsi="Arial" w:cs="Arial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测绘费</w:t>
            </w: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89,700.00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前期费用</w:t>
            </w:r>
          </w:p>
        </w:tc>
        <w:tc>
          <w:tcPr>
            <w:tcW w:w="19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融滔兴业银行基本户</w:t>
            </w:r>
          </w:p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346270100100074576</w:t>
            </w:r>
          </w:p>
        </w:tc>
        <w:tc>
          <w:tcPr>
            <w:tcW w:w="10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</w:trPr>
        <w:tc>
          <w:tcPr>
            <w:tcW w:w="654" w:type="dxa"/>
            <w:shd w:val="clear" w:color="000000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1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2021</w:t>
            </w: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/</w:t>
            </w:r>
            <w:r>
              <w:rPr>
                <w:rFonts w:ascii="Arial" w:hAnsi="Arial" w:cs="Arial"/>
                <w:sz w:val="18"/>
                <w:szCs w:val="18"/>
              </w:rPr>
              <w:t>03</w:t>
            </w: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/</w:t>
            </w: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8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重庆融创置地有限公司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信托保障基金保证金</w:t>
            </w: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609,000.00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9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融滔兴业银行基本户</w:t>
            </w:r>
          </w:p>
          <w:p>
            <w:pPr>
              <w:jc w:val="center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346270100100074576</w:t>
            </w:r>
          </w:p>
        </w:tc>
        <w:tc>
          <w:tcPr>
            <w:tcW w:w="10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3" w:hRule="atLeast"/>
        </w:trPr>
        <w:tc>
          <w:tcPr>
            <w:tcW w:w="654" w:type="dxa"/>
            <w:shd w:val="clear" w:color="000000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9</w:t>
            </w:r>
          </w:p>
        </w:tc>
        <w:tc>
          <w:tcPr>
            <w:tcW w:w="1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2021</w:t>
            </w: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/</w:t>
            </w:r>
            <w:r>
              <w:rPr>
                <w:rFonts w:ascii="Arial" w:hAnsi="Arial" w:cs="Arial"/>
                <w:sz w:val="18"/>
                <w:szCs w:val="18"/>
              </w:rPr>
              <w:t>03</w:t>
            </w: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/</w:t>
            </w: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8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重庆庆融房地产开发有限公司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365,400.00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9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融滔兴业银行基本户</w:t>
            </w:r>
          </w:p>
          <w:p>
            <w:pPr>
              <w:jc w:val="center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346270100100074576</w:t>
            </w:r>
          </w:p>
        </w:tc>
        <w:tc>
          <w:tcPr>
            <w:tcW w:w="10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3" w:hRule="atLeast"/>
        </w:trPr>
        <w:tc>
          <w:tcPr>
            <w:tcW w:w="654" w:type="dxa"/>
            <w:shd w:val="clear" w:color="000000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1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CE8C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</w:t>
            </w:r>
          </w:p>
        </w:tc>
        <w:tc>
          <w:tcPr>
            <w:tcW w:w="18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重庆市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住房公积金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管理中心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融滔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公积金</w:t>
            </w: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5,382.00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管理费用</w:t>
            </w:r>
          </w:p>
        </w:tc>
        <w:tc>
          <w:tcPr>
            <w:tcW w:w="19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融滔兴业银行基本户</w:t>
            </w:r>
          </w:p>
          <w:p>
            <w:pPr>
              <w:jc w:val="center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346270100100074576</w:t>
            </w:r>
          </w:p>
        </w:tc>
        <w:tc>
          <w:tcPr>
            <w:tcW w:w="10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3" w:hRule="atLeast"/>
        </w:trPr>
        <w:tc>
          <w:tcPr>
            <w:tcW w:w="654" w:type="dxa"/>
            <w:shd w:val="clear" w:color="000000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11</w:t>
            </w:r>
          </w:p>
        </w:tc>
        <w:tc>
          <w:tcPr>
            <w:tcW w:w="1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29</w:t>
            </w:r>
          </w:p>
        </w:tc>
        <w:tc>
          <w:tcPr>
            <w:tcW w:w="18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杨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舒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茗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 xml:space="preserve"> 财务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报销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办公费用</w:t>
            </w: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245.00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管理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费用</w:t>
            </w:r>
          </w:p>
        </w:tc>
        <w:tc>
          <w:tcPr>
            <w:tcW w:w="19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融滔兴业银行基本户</w:t>
            </w:r>
          </w:p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346270100100074576</w:t>
            </w:r>
          </w:p>
        </w:tc>
        <w:tc>
          <w:tcPr>
            <w:tcW w:w="10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3" w:hRule="atLeast"/>
        </w:trPr>
        <w:tc>
          <w:tcPr>
            <w:tcW w:w="654" w:type="dxa"/>
            <w:shd w:val="clear" w:color="000000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12</w:t>
            </w:r>
          </w:p>
        </w:tc>
        <w:tc>
          <w:tcPr>
            <w:tcW w:w="1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29</w:t>
            </w:r>
          </w:p>
        </w:tc>
        <w:tc>
          <w:tcPr>
            <w:tcW w:w="18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上海晨光科力普办公用品有限公司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 xml:space="preserve"> 财务报销办公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费用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及行政福利费</w:t>
            </w: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903.55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管理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费用</w:t>
            </w:r>
          </w:p>
        </w:tc>
        <w:tc>
          <w:tcPr>
            <w:tcW w:w="19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融滔兴业银行基本户</w:t>
            </w:r>
          </w:p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346270100100074576</w:t>
            </w:r>
          </w:p>
        </w:tc>
        <w:tc>
          <w:tcPr>
            <w:tcW w:w="10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3" w:hRule="atLeast"/>
        </w:trPr>
        <w:tc>
          <w:tcPr>
            <w:tcW w:w="654" w:type="dxa"/>
            <w:shd w:val="clear" w:color="000000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13</w:t>
            </w:r>
          </w:p>
        </w:tc>
        <w:tc>
          <w:tcPr>
            <w:tcW w:w="1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29</w:t>
            </w:r>
          </w:p>
        </w:tc>
        <w:tc>
          <w:tcPr>
            <w:tcW w:w="18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 w:bidi="ar"/>
              </w:rPr>
              <w:t>重庆庆广房地产开发</w:t>
            </w:r>
            <w:r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  <w:t>有</w:t>
            </w: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 w:bidi="ar"/>
              </w:rPr>
              <w:t>限公司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归还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关联方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借款</w:t>
            </w: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54,800,000.00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财务费用</w:t>
            </w:r>
          </w:p>
        </w:tc>
        <w:tc>
          <w:tcPr>
            <w:tcW w:w="19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融滔兴业银行基本户</w:t>
            </w:r>
          </w:p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346270100100074576</w:t>
            </w:r>
          </w:p>
        </w:tc>
        <w:tc>
          <w:tcPr>
            <w:tcW w:w="10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3" w:hRule="atLeast"/>
        </w:trPr>
        <w:tc>
          <w:tcPr>
            <w:tcW w:w="654" w:type="dxa"/>
            <w:shd w:val="clear" w:color="000000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14</w:t>
            </w:r>
          </w:p>
        </w:tc>
        <w:tc>
          <w:tcPr>
            <w:tcW w:w="1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29</w:t>
            </w:r>
          </w:p>
        </w:tc>
        <w:tc>
          <w:tcPr>
            <w:tcW w:w="18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上海携程宏睿国际旅行社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有限公司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财务报销</w:t>
            </w: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428.00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管理费用</w:t>
            </w:r>
          </w:p>
        </w:tc>
        <w:tc>
          <w:tcPr>
            <w:tcW w:w="19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融滔兴业银行基本户</w:t>
            </w:r>
          </w:p>
          <w:p>
            <w:pPr>
              <w:jc w:val="center"/>
              <w:rPr>
                <w:rFonts w:hint="eastAsia"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346270100100074576</w:t>
            </w:r>
          </w:p>
        </w:tc>
        <w:tc>
          <w:tcPr>
            <w:tcW w:w="10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654" w:type="dxa"/>
            <w:shd w:val="clear" w:color="000000" w:fill="auto"/>
            <w:vAlign w:val="center"/>
          </w:tcPr>
          <w:p>
            <w:pPr>
              <w:jc w:val="center"/>
              <w:rPr>
                <w:rFonts w:hint="eastAsia" w:ascii="Arial" w:hAnsi="Arial" w:eastAsia="宋体" w:cs="Arial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18"/>
                <w:szCs w:val="18"/>
                <w:lang w:val="en-US" w:eastAsia="zh-CN"/>
              </w:rPr>
              <w:t>15</w:t>
            </w:r>
          </w:p>
        </w:tc>
        <w:tc>
          <w:tcPr>
            <w:tcW w:w="1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18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中国联合网络通信有限公司重庆市分公司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财务报销网络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费用</w:t>
            </w: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9,960.00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管理费用</w:t>
            </w:r>
          </w:p>
        </w:tc>
        <w:tc>
          <w:tcPr>
            <w:tcW w:w="196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融滔兴业银行基本户</w:t>
            </w:r>
          </w:p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346270100100074576</w:t>
            </w:r>
          </w:p>
        </w:tc>
        <w:tc>
          <w:tcPr>
            <w:tcW w:w="103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654" w:type="dxa"/>
            <w:shd w:val="clear" w:color="000000" w:fill="auto"/>
            <w:vAlign w:val="center"/>
          </w:tcPr>
          <w:p>
            <w:pPr>
              <w:jc w:val="center"/>
              <w:rPr>
                <w:rFonts w:hint="eastAsia" w:ascii="Arial" w:hAnsi="Arial" w:eastAsia="宋体" w:cs="Arial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18"/>
                <w:szCs w:val="18"/>
                <w:lang w:val="en-US" w:eastAsia="zh-CN"/>
              </w:rPr>
              <w:t>16</w:t>
            </w:r>
          </w:p>
        </w:tc>
        <w:tc>
          <w:tcPr>
            <w:tcW w:w="1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18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 w:bidi="ar"/>
              </w:rPr>
              <w:t>国网</w:t>
            </w:r>
            <w:r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  <w:t>重庆市</w:t>
            </w: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 w:bidi="ar"/>
              </w:rPr>
              <w:t>电力公司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电费</w:t>
            </w: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80,000.00 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管理费用</w:t>
            </w:r>
          </w:p>
        </w:tc>
        <w:tc>
          <w:tcPr>
            <w:tcW w:w="196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融滔兴业银行基本户</w:t>
            </w:r>
          </w:p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346270100100074576</w:t>
            </w:r>
          </w:p>
        </w:tc>
        <w:tc>
          <w:tcPr>
            <w:tcW w:w="1039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654" w:type="dxa"/>
            <w:shd w:val="clear" w:color="000000" w:fill="auto"/>
            <w:vAlign w:val="center"/>
          </w:tcPr>
          <w:p>
            <w:pPr>
              <w:jc w:val="center"/>
              <w:rPr>
                <w:rFonts w:hint="eastAsia" w:ascii="Arial" w:hAnsi="Arial" w:eastAsia="宋体" w:cs="Arial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18"/>
                <w:szCs w:val="18"/>
                <w:lang w:val="en-US" w:eastAsia="zh-CN"/>
              </w:rPr>
              <w:t>17</w:t>
            </w:r>
          </w:p>
        </w:tc>
        <w:tc>
          <w:tcPr>
            <w:tcW w:w="1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18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杨舒茗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财务报销团建费</w:t>
            </w: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4,510.00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管理费用</w:t>
            </w:r>
          </w:p>
        </w:tc>
        <w:tc>
          <w:tcPr>
            <w:tcW w:w="196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融滔兴业银行基本户</w:t>
            </w:r>
          </w:p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346270100100074576</w:t>
            </w:r>
          </w:p>
        </w:tc>
        <w:tc>
          <w:tcPr>
            <w:tcW w:w="103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654" w:type="dxa"/>
            <w:shd w:val="clear" w:color="000000" w:fill="auto"/>
            <w:vAlign w:val="center"/>
          </w:tcPr>
          <w:p>
            <w:pPr>
              <w:jc w:val="center"/>
              <w:rPr>
                <w:rFonts w:hint="eastAsia" w:ascii="Arial" w:hAnsi="Arial" w:eastAsia="宋体" w:cs="Arial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18"/>
                <w:szCs w:val="18"/>
                <w:lang w:val="en-US" w:eastAsia="zh-CN"/>
              </w:rPr>
              <w:t>18</w:t>
            </w:r>
          </w:p>
        </w:tc>
        <w:tc>
          <w:tcPr>
            <w:tcW w:w="1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8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国家税务总局重庆市万州区税务局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土地合同契税、印花税</w:t>
            </w: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15,770,682.45 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税费</w:t>
            </w:r>
          </w:p>
        </w:tc>
        <w:tc>
          <w:tcPr>
            <w:tcW w:w="196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融滔兴业银行基本户</w:t>
            </w:r>
          </w:p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346270100100074576</w:t>
            </w:r>
          </w:p>
        </w:tc>
        <w:tc>
          <w:tcPr>
            <w:tcW w:w="1039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654" w:type="dxa"/>
            <w:shd w:val="clear" w:color="000000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合计</w:t>
            </w:r>
          </w:p>
        </w:tc>
        <w:tc>
          <w:tcPr>
            <w:tcW w:w="400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307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716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961.04 </w:t>
            </w:r>
          </w:p>
        </w:tc>
        <w:tc>
          <w:tcPr>
            <w:tcW w:w="378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>
      <w:pPr>
        <w:widowControl w:val="0"/>
        <w:rPr>
          <w:rFonts w:ascii="Arial" w:hAnsi="Arial" w:cs="Arial"/>
          <w:b/>
          <w:bCs/>
          <w:kern w:val="44"/>
          <w:szCs w:val="44"/>
        </w:rPr>
      </w:pPr>
    </w:p>
    <w:p>
      <w:pPr>
        <w:widowControl w:val="0"/>
        <w:adjustRightInd w:val="0"/>
        <w:snapToGrid w:val="0"/>
        <w:spacing w:before="312" w:beforeLines="100"/>
        <w:contextualSpacing/>
        <w:jc w:val="center"/>
        <w:rPr>
          <w:rFonts w:ascii="Arial" w:hAnsi="Arial" w:cs="Arial"/>
          <w:b/>
          <w:szCs w:val="28"/>
        </w:rPr>
      </w:pPr>
      <w:r>
        <w:rPr>
          <w:rFonts w:hint="eastAsia" w:ascii="Arial" w:hAnsi="Arial" w:cs="Arial"/>
          <w:b/>
          <w:szCs w:val="28"/>
        </w:rPr>
        <w:t>2.本期应付账款</w:t>
      </w:r>
    </w:p>
    <w:tbl>
      <w:tblPr>
        <w:tblStyle w:val="18"/>
        <w:tblW w:w="985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1"/>
        <w:gridCol w:w="1181"/>
        <w:gridCol w:w="1464"/>
        <w:gridCol w:w="1695"/>
        <w:gridCol w:w="2814"/>
        <w:gridCol w:w="210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" w:hRule="atLeast"/>
          <w:tblHeader/>
          <w:jc w:val="center"/>
        </w:trPr>
        <w:tc>
          <w:tcPr>
            <w:tcW w:w="5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1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出票时间</w:t>
            </w:r>
          </w:p>
        </w:tc>
        <w:tc>
          <w:tcPr>
            <w:tcW w:w="146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承兑时间</w:t>
            </w:r>
          </w:p>
        </w:tc>
        <w:tc>
          <w:tcPr>
            <w:tcW w:w="1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收款方</w:t>
            </w:r>
          </w:p>
        </w:tc>
        <w:tc>
          <w:tcPr>
            <w:tcW w:w="28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资金用途</w:t>
            </w:r>
          </w:p>
        </w:tc>
        <w:tc>
          <w:tcPr>
            <w:tcW w:w="21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金额（元）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  <w:jc w:val="center"/>
        </w:trPr>
        <w:tc>
          <w:tcPr>
            <w:tcW w:w="5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本期暂无</w:t>
            </w:r>
          </w:p>
        </w:tc>
        <w:tc>
          <w:tcPr>
            <w:tcW w:w="14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8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" w:hRule="atLeast"/>
          <w:jc w:val="center"/>
        </w:trPr>
        <w:tc>
          <w:tcPr>
            <w:tcW w:w="774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合计</w:t>
            </w:r>
          </w:p>
        </w:tc>
        <w:tc>
          <w:tcPr>
            <w:tcW w:w="21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>
      <w:pPr>
        <w:spacing w:before="312" w:beforeLines="100"/>
        <w:jc w:val="both"/>
      </w:pPr>
      <w:r>
        <w:t xml:space="preserve">  </w:t>
      </w:r>
    </w:p>
    <w:p>
      <w:pPr>
        <w:spacing w:before="300" w:after="300" w:line="360" w:lineRule="exact"/>
        <w:outlineLvl w:val="0"/>
        <w:rPr>
          <w:rFonts w:hint="eastAsia" w:ascii="宋体" w:hAnsi="宋体" w:eastAsia="宋体" w:cs="宋体"/>
          <w:b/>
          <w:szCs w:val="28"/>
        </w:rPr>
      </w:pPr>
      <w:r>
        <w:rPr>
          <w:rFonts w:hint="eastAsia" w:cstheme="majorBidi"/>
          <w:b/>
          <w:bCs/>
          <w:kern w:val="2"/>
          <w:highlight w:val="none"/>
          <w:lang w:val="en-US" w:eastAsia="zh-CN"/>
        </w:rPr>
        <w:t xml:space="preserve">  </w:t>
      </w:r>
      <w:bookmarkStart w:id="29" w:name="_Toc20471"/>
      <w:r>
        <w:rPr>
          <w:rFonts w:hint="eastAsia" w:ascii="宋体" w:hAnsi="宋体" w:eastAsia="宋体" w:cs="宋体"/>
          <w:b/>
          <w:szCs w:val="28"/>
          <w:lang w:val="en-US" w:eastAsia="zh-CN"/>
        </w:rPr>
        <w:t>SPV公司</w:t>
      </w:r>
      <w:r>
        <w:rPr>
          <w:rFonts w:hint="eastAsia" w:ascii="宋体" w:hAnsi="宋体" w:eastAsia="宋体" w:cs="宋体"/>
          <w:b/>
          <w:szCs w:val="28"/>
          <w:lang w:eastAsia="zh-CN"/>
        </w:rPr>
        <w:t>（</w:t>
      </w:r>
      <w:r>
        <w:rPr>
          <w:rFonts w:hint="eastAsia" w:ascii="宋体" w:hAnsi="宋体" w:eastAsia="宋体" w:cs="宋体"/>
          <w:b/>
          <w:szCs w:val="28"/>
          <w:lang w:val="en-US" w:eastAsia="zh-CN"/>
        </w:rPr>
        <w:t>庆霆</w:t>
      </w:r>
      <w:r>
        <w:rPr>
          <w:rFonts w:hint="eastAsia" w:ascii="宋体" w:hAnsi="宋体" w:eastAsia="宋体" w:cs="宋体"/>
          <w:b/>
          <w:szCs w:val="28"/>
          <w:lang w:eastAsia="zh-CN"/>
        </w:rPr>
        <w:t>）</w:t>
      </w:r>
      <w:r>
        <w:rPr>
          <w:rFonts w:hint="eastAsia" w:ascii="宋体" w:hAnsi="宋体" w:eastAsia="宋体" w:cs="宋体"/>
          <w:b/>
          <w:szCs w:val="28"/>
        </w:rPr>
        <w:t>本期资金支出情况</w:t>
      </w:r>
      <w:bookmarkEnd w:id="29"/>
    </w:p>
    <w:p>
      <w:pPr>
        <w:widowControl w:val="0"/>
        <w:adjustRightInd w:val="0"/>
        <w:snapToGrid w:val="0"/>
        <w:spacing w:before="312" w:beforeLines="100"/>
        <w:contextualSpacing/>
        <w:jc w:val="center"/>
        <w:rPr>
          <w:rFonts w:ascii="Arial" w:hAnsi="Arial" w:cs="Arial"/>
          <w:b/>
          <w:szCs w:val="28"/>
        </w:rPr>
      </w:pPr>
      <w:r>
        <w:rPr>
          <w:rFonts w:hint="eastAsia" w:ascii="宋体" w:hAnsi="宋体" w:eastAsia="宋体" w:cs="宋体"/>
          <w:b/>
          <w:szCs w:val="28"/>
        </w:rPr>
        <w:t>1.本期资金支出情况</w:t>
      </w:r>
    </w:p>
    <w:tbl>
      <w:tblPr>
        <w:tblStyle w:val="18"/>
        <w:tblW w:w="985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4"/>
        <w:gridCol w:w="1206"/>
        <w:gridCol w:w="1672"/>
        <w:gridCol w:w="1163"/>
        <w:gridCol w:w="1620"/>
        <w:gridCol w:w="915"/>
        <w:gridCol w:w="2070"/>
        <w:gridCol w:w="5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tblHeader/>
          <w:jc w:val="center"/>
        </w:trPr>
        <w:tc>
          <w:tcPr>
            <w:tcW w:w="654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206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支付时间</w:t>
            </w:r>
          </w:p>
        </w:tc>
        <w:tc>
          <w:tcPr>
            <w:tcW w:w="167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收款方</w:t>
            </w:r>
          </w:p>
        </w:tc>
        <w:tc>
          <w:tcPr>
            <w:tcW w:w="1163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资金用途</w:t>
            </w:r>
          </w:p>
        </w:tc>
        <w:tc>
          <w:tcPr>
            <w:tcW w:w="162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金额（元）</w:t>
            </w:r>
          </w:p>
        </w:tc>
        <w:tc>
          <w:tcPr>
            <w:tcW w:w="915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用款类型</w:t>
            </w:r>
          </w:p>
        </w:tc>
        <w:tc>
          <w:tcPr>
            <w:tcW w:w="207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出款行</w:t>
            </w:r>
          </w:p>
        </w:tc>
        <w:tc>
          <w:tcPr>
            <w:tcW w:w="554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654" w:type="dxa"/>
            <w:shd w:val="clear" w:color="000000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</w:t>
            </w: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/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22</w:t>
            </w:r>
          </w:p>
        </w:tc>
        <w:tc>
          <w:tcPr>
            <w:tcW w:w="1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重庆庆融房地产开发有限公司</w:t>
            </w:r>
          </w:p>
        </w:tc>
        <w:tc>
          <w:tcPr>
            <w:tcW w:w="1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付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投资款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eastAsia="helvetica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60,900,000.00</w:t>
            </w:r>
          </w:p>
        </w:tc>
        <w:tc>
          <w:tcPr>
            <w:tcW w:w="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往来款</w:t>
            </w:r>
          </w:p>
        </w:tc>
        <w:tc>
          <w:tcPr>
            <w:tcW w:w="2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CE8CF" w:themeFill="background1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庆霆兴业银行基本户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br w:type="textWrapping"/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346270100100076291</w:t>
            </w:r>
          </w:p>
        </w:tc>
        <w:tc>
          <w:tcPr>
            <w:tcW w:w="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654" w:type="dxa"/>
            <w:shd w:val="clear" w:color="000000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</w:t>
            </w: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/</w:t>
            </w:r>
            <w:r>
              <w:rPr>
                <w:rFonts w:ascii="Arial" w:hAnsi="Arial" w:cs="Arial"/>
                <w:sz w:val="18"/>
                <w:szCs w:val="18"/>
              </w:rPr>
              <w:t>03</w:t>
            </w: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/</w:t>
            </w: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ascii="Arial" w:hAnsi="Arial" w:cs="Arial"/>
                <w:sz w:val="18"/>
                <w:szCs w:val="18"/>
              </w:rPr>
              <w:t>金泉贰号（广州）投资发展中心（有限合伙）</w:t>
            </w:r>
          </w:p>
        </w:tc>
        <w:tc>
          <w:tcPr>
            <w:tcW w:w="1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ascii="Arial" w:hAnsi="Arial" w:cs="Arial"/>
                <w:sz w:val="18"/>
                <w:szCs w:val="18"/>
              </w:rPr>
              <w:t>预付股权收购价款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eastAsia="helvetica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365,400.00</w:t>
            </w:r>
          </w:p>
        </w:tc>
        <w:tc>
          <w:tcPr>
            <w:tcW w:w="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往来款</w:t>
            </w:r>
          </w:p>
        </w:tc>
        <w:tc>
          <w:tcPr>
            <w:tcW w:w="2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CE8CF" w:themeFill="background1"/>
            <w:vAlign w:val="center"/>
          </w:tcPr>
          <w:p>
            <w:pPr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庆霆兴业银行基本户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br w:type="textWrapping"/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346270100100076291</w:t>
            </w:r>
          </w:p>
        </w:tc>
        <w:tc>
          <w:tcPr>
            <w:tcW w:w="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654" w:type="dxa"/>
            <w:shd w:val="clear" w:color="000000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</w:t>
            </w:r>
          </w:p>
        </w:tc>
        <w:tc>
          <w:tcPr>
            <w:tcW w:w="1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  <w:t>重庆庆融房地产开发有限公司</w:t>
            </w:r>
          </w:p>
        </w:tc>
        <w:tc>
          <w:tcPr>
            <w:tcW w:w="1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  <w:t>投资款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helvetica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helvetica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54,800,000.00</w:t>
            </w:r>
          </w:p>
        </w:tc>
        <w:tc>
          <w:tcPr>
            <w:tcW w:w="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往来款</w:t>
            </w:r>
          </w:p>
        </w:tc>
        <w:tc>
          <w:tcPr>
            <w:tcW w:w="2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CE8CF" w:themeFill="background1"/>
            <w:vAlign w:val="center"/>
          </w:tcPr>
          <w:p>
            <w:pPr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庆霆兴业银行基本户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br w:type="textWrapping"/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346270100100076291</w:t>
            </w:r>
          </w:p>
        </w:tc>
        <w:tc>
          <w:tcPr>
            <w:tcW w:w="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654" w:type="dxa"/>
            <w:shd w:val="clear" w:color="000000" w:fill="auto"/>
            <w:vAlign w:val="center"/>
          </w:tcPr>
          <w:p>
            <w:pPr>
              <w:jc w:val="center"/>
              <w:rPr>
                <w:rFonts w:hint="eastAsia" w:ascii="Arial" w:hAnsi="Arial" w:eastAsia="宋体" w:cs="Arial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bCs/>
                <w:sz w:val="18"/>
                <w:szCs w:val="18"/>
                <w:lang w:val="en-US" w:eastAsia="zh-CN"/>
              </w:rPr>
              <w:t>合计</w:t>
            </w:r>
          </w:p>
        </w:tc>
        <w:tc>
          <w:tcPr>
            <w:tcW w:w="40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helvetica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helvetica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116</w:t>
            </w:r>
            <w:r>
              <w:rPr>
                <w:rFonts w:hint="eastAsia" w:ascii="Arial" w:hAnsi="Arial" w:eastAsia="helvetica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default" w:ascii="Arial" w:hAnsi="Arial" w:eastAsia="helvetica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065</w:t>
            </w:r>
            <w:r>
              <w:rPr>
                <w:rFonts w:hint="eastAsia" w:ascii="Arial" w:hAnsi="Arial" w:eastAsia="helvetica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default" w:ascii="Arial" w:hAnsi="Arial" w:eastAsia="helvetica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400.00 </w:t>
            </w:r>
          </w:p>
        </w:tc>
        <w:tc>
          <w:tcPr>
            <w:tcW w:w="353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微软雅黑" w:hAnsi="微软雅黑" w:eastAsia="微软雅黑" w:cs="微软雅黑"/>
                <w:sz w:val="18"/>
                <w:szCs w:val="18"/>
              </w:rPr>
            </w:pPr>
          </w:p>
        </w:tc>
      </w:tr>
    </w:tbl>
    <w:p>
      <w:pPr>
        <w:widowControl w:val="0"/>
        <w:adjustRightInd w:val="0"/>
        <w:snapToGrid w:val="0"/>
        <w:spacing w:before="312" w:beforeLines="100"/>
        <w:contextualSpacing/>
        <w:jc w:val="center"/>
        <w:rPr>
          <w:rFonts w:ascii="Arial" w:hAnsi="Arial" w:cs="Arial"/>
          <w:b/>
          <w:szCs w:val="28"/>
        </w:rPr>
      </w:pPr>
      <w:r>
        <w:rPr>
          <w:rFonts w:hint="eastAsia" w:ascii="Arial" w:hAnsi="Arial" w:cs="Arial"/>
          <w:b/>
          <w:szCs w:val="28"/>
        </w:rPr>
        <w:t>2.本期应付账款</w:t>
      </w:r>
    </w:p>
    <w:tbl>
      <w:tblPr>
        <w:tblStyle w:val="18"/>
        <w:tblW w:w="985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1"/>
        <w:gridCol w:w="1181"/>
        <w:gridCol w:w="1464"/>
        <w:gridCol w:w="1695"/>
        <w:gridCol w:w="2814"/>
        <w:gridCol w:w="2109"/>
      </w:tblGrid>
      <w:tr>
        <w:trPr>
          <w:trHeight w:val="178" w:hRule="atLeast"/>
          <w:tblHeader/>
          <w:jc w:val="center"/>
        </w:trPr>
        <w:tc>
          <w:tcPr>
            <w:tcW w:w="5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1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出票时间</w:t>
            </w:r>
          </w:p>
        </w:tc>
        <w:tc>
          <w:tcPr>
            <w:tcW w:w="146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承兑时间</w:t>
            </w:r>
          </w:p>
        </w:tc>
        <w:tc>
          <w:tcPr>
            <w:tcW w:w="1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收款方</w:t>
            </w:r>
          </w:p>
        </w:tc>
        <w:tc>
          <w:tcPr>
            <w:tcW w:w="28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资金用途</w:t>
            </w:r>
          </w:p>
        </w:tc>
        <w:tc>
          <w:tcPr>
            <w:tcW w:w="21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金额（元）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  <w:jc w:val="center"/>
        </w:trPr>
        <w:tc>
          <w:tcPr>
            <w:tcW w:w="5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本期暂无</w:t>
            </w:r>
          </w:p>
        </w:tc>
        <w:tc>
          <w:tcPr>
            <w:tcW w:w="14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8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" w:hRule="atLeast"/>
          <w:jc w:val="center"/>
        </w:trPr>
        <w:tc>
          <w:tcPr>
            <w:tcW w:w="774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合计</w:t>
            </w:r>
          </w:p>
        </w:tc>
        <w:tc>
          <w:tcPr>
            <w:tcW w:w="21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>
      <w:pPr>
        <w:spacing w:before="300" w:after="300" w:line="360" w:lineRule="exact"/>
        <w:outlineLvl w:val="0"/>
        <w:rPr>
          <w:rFonts w:hint="eastAsia" w:ascii="Arial" w:hAnsi="Arial" w:cs="Arial"/>
          <w:b/>
          <w:bCs/>
          <w:kern w:val="44"/>
          <w:szCs w:val="44"/>
          <w:highlight w:val="none"/>
          <w:lang w:val="en-US" w:eastAsia="zh-CN"/>
        </w:rPr>
      </w:pPr>
    </w:p>
    <w:p>
      <w:pPr>
        <w:widowControl w:val="0"/>
        <w:adjustRightInd w:val="0"/>
        <w:snapToGrid w:val="0"/>
        <w:spacing w:before="312" w:beforeLines="100"/>
        <w:contextualSpacing/>
        <w:jc w:val="left"/>
        <w:rPr>
          <w:rFonts w:hint="eastAsia" w:ascii="宋体" w:hAnsi="宋体" w:eastAsia="宋体" w:cs="宋体"/>
          <w:b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szCs w:val="28"/>
          <w:lang w:val="en-US" w:eastAsia="zh-CN"/>
        </w:rPr>
        <w:t>SPV公司（庆融）本期资金支出情况</w:t>
      </w:r>
    </w:p>
    <w:p>
      <w:pPr>
        <w:widowControl w:val="0"/>
        <w:adjustRightInd w:val="0"/>
        <w:snapToGrid w:val="0"/>
        <w:spacing w:before="312" w:beforeLines="100"/>
        <w:contextualSpacing/>
        <w:jc w:val="center"/>
        <w:rPr>
          <w:rFonts w:hint="eastAsia" w:ascii="Arial" w:hAnsi="Arial" w:cs="Arial"/>
          <w:b/>
          <w:szCs w:val="28"/>
        </w:rPr>
      </w:pPr>
    </w:p>
    <w:p>
      <w:pPr>
        <w:widowControl w:val="0"/>
        <w:adjustRightInd w:val="0"/>
        <w:snapToGrid w:val="0"/>
        <w:spacing w:before="312" w:beforeLines="100"/>
        <w:contextualSpacing/>
        <w:jc w:val="center"/>
        <w:rPr>
          <w:rFonts w:ascii="Arial" w:hAnsi="Arial" w:cs="Arial"/>
          <w:b/>
          <w:szCs w:val="28"/>
        </w:rPr>
      </w:pPr>
      <w:r>
        <w:rPr>
          <w:rFonts w:hint="eastAsia" w:ascii="Arial" w:hAnsi="Arial" w:cs="Arial"/>
          <w:b/>
          <w:szCs w:val="28"/>
        </w:rPr>
        <w:t>1.</w:t>
      </w:r>
      <w:r>
        <w:rPr>
          <w:rFonts w:ascii="Arial" w:hAnsi="Arial" w:cs="Arial"/>
          <w:b/>
          <w:szCs w:val="28"/>
        </w:rPr>
        <w:t>本期资金支出情况</w:t>
      </w:r>
    </w:p>
    <w:tbl>
      <w:tblPr>
        <w:tblStyle w:val="18"/>
        <w:tblW w:w="985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CCE8CF" w:themeFill="background1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4"/>
        <w:gridCol w:w="1228"/>
        <w:gridCol w:w="1470"/>
        <w:gridCol w:w="1320"/>
        <w:gridCol w:w="1635"/>
        <w:gridCol w:w="938"/>
        <w:gridCol w:w="2130"/>
        <w:gridCol w:w="4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CCE8C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tblHeader/>
          <w:jc w:val="center"/>
        </w:trPr>
        <w:tc>
          <w:tcPr>
            <w:tcW w:w="654" w:type="dxa"/>
            <w:shd w:val="clear" w:color="auto" w:fill="CCE8CF" w:themeFill="background1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228" w:type="dxa"/>
            <w:shd w:val="clear" w:color="auto" w:fill="CCE8CF" w:themeFill="background1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支付时间</w:t>
            </w:r>
          </w:p>
        </w:tc>
        <w:tc>
          <w:tcPr>
            <w:tcW w:w="1470" w:type="dxa"/>
            <w:shd w:val="clear" w:color="auto" w:fill="CCE8CF" w:themeFill="background1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b/>
                <w:bCs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b/>
                <w:bCs/>
                <w:sz w:val="18"/>
                <w:szCs w:val="18"/>
              </w:rPr>
              <w:t>收款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方</w:t>
            </w:r>
          </w:p>
        </w:tc>
        <w:tc>
          <w:tcPr>
            <w:tcW w:w="1320" w:type="dxa"/>
            <w:shd w:val="clear" w:color="auto" w:fill="CCE8CF" w:themeFill="background1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资金用途</w:t>
            </w:r>
          </w:p>
        </w:tc>
        <w:tc>
          <w:tcPr>
            <w:tcW w:w="1635" w:type="dxa"/>
            <w:shd w:val="clear" w:color="auto" w:fill="CCE8CF" w:themeFill="background1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金额（元）</w:t>
            </w:r>
          </w:p>
        </w:tc>
        <w:tc>
          <w:tcPr>
            <w:tcW w:w="938" w:type="dxa"/>
            <w:shd w:val="clear" w:color="auto" w:fill="CCE8CF" w:themeFill="background1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用款类型</w:t>
            </w:r>
          </w:p>
        </w:tc>
        <w:tc>
          <w:tcPr>
            <w:tcW w:w="2130" w:type="dxa"/>
            <w:shd w:val="clear" w:color="auto" w:fill="CCE8CF" w:themeFill="background1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出款行</w:t>
            </w:r>
          </w:p>
        </w:tc>
        <w:tc>
          <w:tcPr>
            <w:tcW w:w="479" w:type="dxa"/>
            <w:shd w:val="clear" w:color="auto" w:fill="CCE8CF" w:themeFill="background1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tblHeader/>
          <w:jc w:val="center"/>
        </w:trPr>
        <w:tc>
          <w:tcPr>
            <w:tcW w:w="654" w:type="dxa"/>
            <w:shd w:val="clear" w:color="auto" w:fill="CCE8CF" w:themeFill="background1"/>
            <w:vAlign w:val="center"/>
          </w:tcPr>
          <w:p>
            <w:pPr>
              <w:jc w:val="center"/>
              <w:rPr>
                <w:rFonts w:hint="eastAsia" w:ascii="Arial" w:hAnsi="Arial" w:eastAsia="宋体" w:cs="Arial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228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</w:t>
            </w: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/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22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hint="eastAsia"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重庆融滔房地产开发有限公司</w:t>
            </w:r>
          </w:p>
        </w:tc>
        <w:tc>
          <w:tcPr>
            <w:tcW w:w="1320" w:type="dxa"/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投资款</w:t>
            </w:r>
          </w:p>
        </w:tc>
        <w:tc>
          <w:tcPr>
            <w:tcW w:w="1635" w:type="dxa"/>
            <w:shd w:val="clear" w:color="auto" w:fill="auto"/>
            <w:vAlign w:val="center"/>
          </w:tcPr>
          <w:p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60,900,000.00</w:t>
            </w:r>
          </w:p>
        </w:tc>
        <w:tc>
          <w:tcPr>
            <w:tcW w:w="938" w:type="dxa"/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往来款</w:t>
            </w:r>
          </w:p>
        </w:tc>
        <w:tc>
          <w:tcPr>
            <w:tcW w:w="2130" w:type="dxa"/>
            <w:shd w:val="clear" w:color="auto" w:fill="CCE8CF" w:themeFill="background1"/>
            <w:vAlign w:val="center"/>
          </w:tcPr>
          <w:p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庆融农业银行基本户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31/111901040005212</w:t>
            </w:r>
          </w:p>
        </w:tc>
        <w:tc>
          <w:tcPr>
            <w:tcW w:w="479" w:type="dxa"/>
            <w:shd w:val="clear" w:color="auto" w:fill="CCE8CF" w:themeFill="background1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tblHeader/>
          <w:jc w:val="center"/>
        </w:trPr>
        <w:tc>
          <w:tcPr>
            <w:tcW w:w="654" w:type="dxa"/>
            <w:shd w:val="clear" w:color="auto" w:fill="CCE8CF" w:themeFill="background1"/>
            <w:vAlign w:val="center"/>
          </w:tcPr>
          <w:p>
            <w:pPr>
              <w:jc w:val="center"/>
              <w:rPr>
                <w:rFonts w:hint="eastAsia" w:ascii="Arial" w:hAnsi="Arial" w:eastAsia="宋体" w:cs="Arial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228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</w:t>
            </w: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/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22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/</w:t>
            </w:r>
          </w:p>
        </w:tc>
        <w:tc>
          <w:tcPr>
            <w:tcW w:w="1320" w:type="dxa"/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635" w:type="dxa"/>
            <w:shd w:val="clear" w:color="auto" w:fill="auto"/>
            <w:vAlign w:val="center"/>
          </w:tcPr>
          <w:p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1.00</w:t>
            </w:r>
          </w:p>
        </w:tc>
        <w:tc>
          <w:tcPr>
            <w:tcW w:w="938" w:type="dxa"/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财务费用</w:t>
            </w:r>
          </w:p>
        </w:tc>
        <w:tc>
          <w:tcPr>
            <w:tcW w:w="2130" w:type="dxa"/>
            <w:shd w:val="clear" w:color="auto" w:fill="CCE8CF" w:themeFill="background1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庆融农业银行基本户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31/111901040005212</w:t>
            </w:r>
          </w:p>
        </w:tc>
        <w:tc>
          <w:tcPr>
            <w:tcW w:w="479" w:type="dxa"/>
            <w:shd w:val="clear" w:color="auto" w:fill="CCE8CF" w:themeFill="background1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tblHeader/>
          <w:jc w:val="center"/>
        </w:trPr>
        <w:tc>
          <w:tcPr>
            <w:tcW w:w="654" w:type="dxa"/>
            <w:shd w:val="clear" w:color="auto" w:fill="CCE8CF" w:themeFill="background1"/>
            <w:vAlign w:val="center"/>
          </w:tcPr>
          <w:p>
            <w:pPr>
              <w:jc w:val="center"/>
              <w:rPr>
                <w:rFonts w:hint="eastAsia" w:ascii="Arial" w:hAnsi="Arial" w:eastAsia="宋体" w:cs="Arial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1228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</w:t>
            </w: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/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24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/</w:t>
            </w:r>
          </w:p>
        </w:tc>
        <w:tc>
          <w:tcPr>
            <w:tcW w:w="1320" w:type="dxa"/>
            <w:shd w:val="clear" w:color="auto" w:fill="auto"/>
            <w:vAlign w:val="center"/>
          </w:tcPr>
          <w:p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付对公结算账户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维护费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(账户服务组合).</w:t>
            </w:r>
          </w:p>
        </w:tc>
        <w:tc>
          <w:tcPr>
            <w:tcW w:w="1635" w:type="dxa"/>
            <w:shd w:val="clear" w:color="auto" w:fill="auto"/>
            <w:vAlign w:val="center"/>
          </w:tcPr>
          <w:p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38.00</w:t>
            </w:r>
          </w:p>
        </w:tc>
        <w:tc>
          <w:tcPr>
            <w:tcW w:w="938" w:type="dxa"/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财务费用</w:t>
            </w:r>
          </w:p>
        </w:tc>
        <w:tc>
          <w:tcPr>
            <w:tcW w:w="2130" w:type="dxa"/>
            <w:shd w:val="clear" w:color="auto" w:fill="CCE8CF" w:themeFill="background1"/>
            <w:vAlign w:val="center"/>
          </w:tcPr>
          <w:p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庆融农业银行基本户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br w:type="textWrapping"/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31/111901040005212</w:t>
            </w:r>
          </w:p>
        </w:tc>
        <w:tc>
          <w:tcPr>
            <w:tcW w:w="479" w:type="dxa"/>
            <w:shd w:val="clear" w:color="auto" w:fill="CCE8CF" w:themeFill="background1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tblHeader/>
          <w:jc w:val="center"/>
        </w:trPr>
        <w:tc>
          <w:tcPr>
            <w:tcW w:w="654" w:type="dxa"/>
            <w:shd w:val="clear" w:color="auto" w:fill="CCE8CF" w:themeFill="background1"/>
            <w:vAlign w:val="center"/>
          </w:tcPr>
          <w:p>
            <w:pPr>
              <w:jc w:val="center"/>
              <w:rPr>
                <w:rFonts w:hint="eastAsia" w:ascii="Arial" w:hAnsi="Arial" w:eastAsia="宋体" w:cs="Arial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1228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</w:t>
            </w: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/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25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right"/>
              <w:rPr>
                <w:rFonts w:hint="eastAsia"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重庆庆霆房地产开发有限公</w:t>
            </w:r>
            <w:r>
              <w:rPr>
                <w:rFonts w:ascii="宋体" w:hAnsi="宋体" w:eastAsia="宋体" w:cs="宋体"/>
                <w:sz w:val="24"/>
                <w:szCs w:val="24"/>
              </w:rPr>
              <w:t>司</w:t>
            </w:r>
          </w:p>
        </w:tc>
        <w:tc>
          <w:tcPr>
            <w:tcW w:w="1320" w:type="dxa"/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635" w:type="dxa"/>
            <w:shd w:val="clear" w:color="auto" w:fill="auto"/>
            <w:vAlign w:val="center"/>
          </w:tcPr>
          <w:p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365400.00</w:t>
            </w:r>
          </w:p>
        </w:tc>
        <w:tc>
          <w:tcPr>
            <w:tcW w:w="938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往来款</w:t>
            </w:r>
          </w:p>
        </w:tc>
        <w:tc>
          <w:tcPr>
            <w:tcW w:w="2130" w:type="dxa"/>
            <w:shd w:val="clear" w:color="auto" w:fill="CCE8CF" w:themeFill="background1"/>
            <w:vAlign w:val="center"/>
          </w:tcPr>
          <w:p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庆融农业银行基本户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br w:type="textWrapping"/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31/111901040005212</w:t>
            </w:r>
          </w:p>
        </w:tc>
        <w:tc>
          <w:tcPr>
            <w:tcW w:w="479" w:type="dxa"/>
            <w:shd w:val="clear" w:color="auto" w:fill="CCE8CF" w:themeFill="background1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tblHeader/>
          <w:jc w:val="center"/>
        </w:trPr>
        <w:tc>
          <w:tcPr>
            <w:tcW w:w="654" w:type="dxa"/>
            <w:shd w:val="clear" w:color="auto" w:fill="CCE8CF" w:themeFill="background1"/>
            <w:vAlign w:val="center"/>
          </w:tcPr>
          <w:p>
            <w:pPr>
              <w:jc w:val="center"/>
              <w:rPr>
                <w:rFonts w:hint="eastAsia" w:ascii="Arial" w:hAnsi="Arial" w:eastAsia="宋体" w:cs="Arial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1228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</w:t>
            </w: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/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25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/</w:t>
            </w:r>
          </w:p>
        </w:tc>
        <w:tc>
          <w:tcPr>
            <w:tcW w:w="1320" w:type="dxa"/>
            <w:shd w:val="clear" w:color="auto" w:fill="auto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635" w:type="dxa"/>
            <w:shd w:val="clear" w:color="auto" w:fill="auto"/>
            <w:vAlign w:val="center"/>
          </w:tcPr>
          <w:p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1.00</w:t>
            </w:r>
          </w:p>
        </w:tc>
        <w:tc>
          <w:tcPr>
            <w:tcW w:w="938" w:type="dxa"/>
            <w:shd w:val="clear" w:color="auto" w:fill="auto"/>
            <w:vAlign w:val="center"/>
          </w:tcPr>
          <w:p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财务费用</w:t>
            </w:r>
          </w:p>
        </w:tc>
        <w:tc>
          <w:tcPr>
            <w:tcW w:w="2130" w:type="dxa"/>
            <w:shd w:val="clear" w:color="auto" w:fill="CCE8CF" w:themeFill="background1"/>
            <w:vAlign w:val="center"/>
          </w:tcPr>
          <w:p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庆融农业银行基本户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br w:type="textWrapping"/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31/111901040005212</w:t>
            </w:r>
          </w:p>
        </w:tc>
        <w:tc>
          <w:tcPr>
            <w:tcW w:w="479" w:type="dxa"/>
            <w:shd w:val="clear" w:color="auto" w:fill="CCE8CF" w:themeFill="background1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654" w:type="dxa"/>
            <w:shd w:val="clear" w:color="auto" w:fill="CCE8CF" w:themeFill="background1"/>
            <w:vAlign w:val="center"/>
          </w:tcPr>
          <w:p>
            <w:pPr>
              <w:jc w:val="center"/>
              <w:rPr>
                <w:rFonts w:hint="eastAsia" w:ascii="Arial" w:hAnsi="Arial" w:eastAsia="宋体" w:cs="Arial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12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CE8C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29</w:t>
            </w:r>
          </w:p>
        </w:tc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CE8CF" w:themeFill="background1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重庆融滔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房地产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开发有限公司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CE8CF" w:themeFill="background1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投资款</w:t>
            </w:r>
          </w:p>
        </w:tc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CE8C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54,800,000.00</w:t>
            </w:r>
          </w:p>
        </w:tc>
        <w:tc>
          <w:tcPr>
            <w:tcW w:w="9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CE8CF" w:themeFill="background1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往来款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CE8CF" w:themeFill="background1"/>
            <w:vAlign w:val="center"/>
          </w:tcPr>
          <w:p>
            <w:pPr>
              <w:jc w:val="center"/>
              <w:rPr>
                <w:rFonts w:hint="eastAsia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庆融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农业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银行基本户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31/111901040005212</w:t>
            </w:r>
          </w:p>
        </w:tc>
        <w:tc>
          <w:tcPr>
            <w:tcW w:w="4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CE8CF" w:themeFill="background1"/>
            <w:vAlign w:val="center"/>
          </w:tcPr>
          <w:p>
            <w:pPr>
              <w:jc w:val="center"/>
              <w:rPr>
                <w:rFonts w:hint="eastAsia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654" w:type="dxa"/>
            <w:shd w:val="clear" w:color="auto" w:fill="CCE8CF" w:themeFill="background1"/>
            <w:vAlign w:val="center"/>
          </w:tcPr>
          <w:p>
            <w:pPr>
              <w:jc w:val="center"/>
              <w:rPr>
                <w:rFonts w:hint="eastAsia" w:ascii="Arial" w:hAnsi="Arial" w:eastAsia="宋体" w:cs="Arial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12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CE8C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29</w:t>
            </w:r>
          </w:p>
        </w:tc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CE8C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CE8CF" w:themeFill="background1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eastAsia="zh-CN" w:bidi="ar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手续费</w:t>
            </w:r>
          </w:p>
        </w:tc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CE8C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1.00</w:t>
            </w:r>
          </w:p>
        </w:tc>
        <w:tc>
          <w:tcPr>
            <w:tcW w:w="9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CE8CF" w:themeFill="background1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财务费用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CE8CF" w:themeFill="background1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庆融农业银行基本户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31/111901040005212</w:t>
            </w:r>
          </w:p>
        </w:tc>
        <w:tc>
          <w:tcPr>
            <w:tcW w:w="4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CE8CF" w:themeFill="background1"/>
            <w:vAlign w:val="center"/>
          </w:tcPr>
          <w:p>
            <w:pPr>
              <w:spacing w:line="276" w:lineRule="auto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654" w:type="dxa"/>
            <w:shd w:val="clear" w:color="auto" w:fill="CCE8CF" w:themeFill="background1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合计</w:t>
            </w:r>
          </w:p>
        </w:tc>
        <w:tc>
          <w:tcPr>
            <w:tcW w:w="401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CE8CF" w:themeFill="background1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CE8C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116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065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441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.00</w:t>
            </w:r>
          </w:p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354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CE8CF" w:themeFill="background1"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>
      <w:pPr>
        <w:widowControl w:val="0"/>
        <w:adjustRightInd w:val="0"/>
        <w:snapToGrid w:val="0"/>
        <w:spacing w:before="312" w:beforeLines="100"/>
        <w:contextualSpacing/>
        <w:jc w:val="center"/>
        <w:rPr>
          <w:rFonts w:ascii="Arial" w:hAnsi="Arial" w:cs="Arial"/>
          <w:b/>
          <w:szCs w:val="28"/>
        </w:rPr>
      </w:pPr>
      <w:r>
        <w:rPr>
          <w:rFonts w:hint="eastAsia" w:ascii="Arial" w:hAnsi="Arial" w:cs="Arial"/>
          <w:b/>
          <w:szCs w:val="28"/>
        </w:rPr>
        <w:t>2.本期应付账款</w:t>
      </w:r>
    </w:p>
    <w:tbl>
      <w:tblPr>
        <w:tblStyle w:val="18"/>
        <w:tblW w:w="985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1"/>
        <w:gridCol w:w="1181"/>
        <w:gridCol w:w="1464"/>
        <w:gridCol w:w="1695"/>
        <w:gridCol w:w="2814"/>
        <w:gridCol w:w="210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" w:hRule="atLeast"/>
          <w:tblHeader/>
          <w:jc w:val="center"/>
        </w:trPr>
        <w:tc>
          <w:tcPr>
            <w:tcW w:w="5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1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出票时间</w:t>
            </w:r>
          </w:p>
        </w:tc>
        <w:tc>
          <w:tcPr>
            <w:tcW w:w="146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承兑时间</w:t>
            </w:r>
          </w:p>
        </w:tc>
        <w:tc>
          <w:tcPr>
            <w:tcW w:w="1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收款方</w:t>
            </w:r>
          </w:p>
        </w:tc>
        <w:tc>
          <w:tcPr>
            <w:tcW w:w="28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资金用途</w:t>
            </w:r>
          </w:p>
        </w:tc>
        <w:tc>
          <w:tcPr>
            <w:tcW w:w="21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金额（元）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  <w:jc w:val="center"/>
        </w:trPr>
        <w:tc>
          <w:tcPr>
            <w:tcW w:w="5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本期暂无</w:t>
            </w:r>
          </w:p>
        </w:tc>
        <w:tc>
          <w:tcPr>
            <w:tcW w:w="14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8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" w:hRule="atLeast"/>
          <w:jc w:val="center"/>
        </w:trPr>
        <w:tc>
          <w:tcPr>
            <w:tcW w:w="774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合计</w:t>
            </w:r>
          </w:p>
        </w:tc>
        <w:tc>
          <w:tcPr>
            <w:tcW w:w="21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>
      <w:pPr>
        <w:spacing w:before="312" w:beforeLines="100"/>
        <w:jc w:val="both"/>
      </w:pPr>
      <w:r>
        <w:t xml:space="preserve">  </w:t>
      </w:r>
    </w:p>
    <w:p>
      <w:pPr>
        <w:spacing w:before="300" w:after="300" w:line="360" w:lineRule="exact"/>
        <w:outlineLvl w:val="0"/>
        <w:rPr>
          <w:rFonts w:hint="eastAsia"/>
          <w:b/>
          <w:bCs/>
        </w:rPr>
      </w:pPr>
      <w:bookmarkStart w:id="30" w:name="_Toc27230"/>
      <w:bookmarkStart w:id="31" w:name="_Hlk38616564"/>
      <w:r>
        <w:rPr>
          <w:rFonts w:hint="eastAsia"/>
          <w:b/>
          <w:bCs/>
        </w:rPr>
        <w:t>附件四：本期合同签订情况</w:t>
      </w:r>
      <w:bookmarkEnd w:id="30"/>
    </w:p>
    <w:p>
      <w:pPr>
        <w:spacing w:line="480" w:lineRule="auto"/>
        <w:ind w:firstLine="420" w:firstLineChars="200"/>
        <w:jc w:val="both"/>
        <w:rPr>
          <w:rFonts w:hint="eastAsia" w:ascii="Arial" w:hAnsi="Arial" w:cs="Arial"/>
          <w:bCs/>
          <w:kern w:val="44"/>
          <w:sz w:val="21"/>
          <w:szCs w:val="21"/>
          <w:lang w:val="en-US" w:eastAsia="zh-CN"/>
        </w:rPr>
      </w:pPr>
      <w:bookmarkStart w:id="32" w:name="_Toc22148"/>
      <w:bookmarkStart w:id="33" w:name="_Toc17099"/>
      <w:bookmarkStart w:id="34" w:name="_Toc17873"/>
      <w:bookmarkStart w:id="35" w:name="_Toc12333"/>
      <w:bookmarkStart w:id="36" w:name="_Toc21708"/>
      <w:bookmarkStart w:id="37" w:name="_Toc15139"/>
      <w:bookmarkStart w:id="38" w:name="_Toc11306"/>
      <w:r>
        <w:rPr>
          <w:rFonts w:hint="default" w:ascii="Arial" w:hAnsi="Arial" w:cs="Arial"/>
          <w:bCs/>
          <w:kern w:val="44"/>
          <w:sz w:val="21"/>
          <w:szCs w:val="21"/>
          <w:lang w:val="en-US" w:eastAsia="zh-CN"/>
        </w:rPr>
        <w:t>2021</w:t>
      </w:r>
      <w:r>
        <w:rPr>
          <w:rFonts w:hint="eastAsia" w:ascii="Arial" w:hAnsi="Arial" w:cs="Arial"/>
          <w:bCs/>
          <w:kern w:val="44"/>
          <w:sz w:val="21"/>
          <w:szCs w:val="21"/>
          <w:lang w:val="en-US" w:eastAsia="zh-CN"/>
        </w:rPr>
        <w:t>年3月期间，项目公司共签订合同 6 份。</w:t>
      </w:r>
      <w:bookmarkEnd w:id="32"/>
      <w:bookmarkEnd w:id="33"/>
      <w:bookmarkEnd w:id="34"/>
      <w:bookmarkEnd w:id="35"/>
      <w:bookmarkEnd w:id="36"/>
      <w:bookmarkEnd w:id="37"/>
      <w:bookmarkEnd w:id="38"/>
    </w:p>
    <w:p>
      <w:pPr>
        <w:widowControl w:val="0"/>
        <w:adjustRightInd w:val="0"/>
        <w:snapToGrid w:val="0"/>
        <w:spacing w:before="312" w:beforeLines="100"/>
        <w:contextualSpacing/>
        <w:jc w:val="center"/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szCs w:val="28"/>
        </w:rPr>
        <w:t>本期合同签订情况</w:t>
      </w:r>
    </w:p>
    <w:bookmarkEnd w:id="31"/>
    <w:tbl>
      <w:tblPr>
        <w:tblStyle w:val="18"/>
        <w:tblW w:w="98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5"/>
        <w:gridCol w:w="1326"/>
        <w:gridCol w:w="2211"/>
        <w:gridCol w:w="1453"/>
        <w:gridCol w:w="2987"/>
        <w:gridCol w:w="1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tblHeader/>
        </w:trPr>
        <w:tc>
          <w:tcPr>
            <w:tcW w:w="62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bookmarkStart w:id="39" w:name="_Hlk38616594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用印日期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对方单位</w:t>
            </w:r>
          </w:p>
        </w:tc>
        <w:tc>
          <w:tcPr>
            <w:tcW w:w="1453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合同文件名称</w:t>
            </w:r>
          </w:p>
        </w:tc>
        <w:tc>
          <w:tcPr>
            <w:tcW w:w="298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合同内容</w:t>
            </w:r>
          </w:p>
        </w:tc>
        <w:tc>
          <w:tcPr>
            <w:tcW w:w="125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合同金额（元）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625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2021/3/19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重庆市万州港口（集团 ）有限责任公司</w:t>
            </w:r>
          </w:p>
        </w:tc>
        <w:tc>
          <w:tcPr>
            <w:tcW w:w="145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场地临时租赁协议书</w:t>
            </w:r>
          </w:p>
        </w:tc>
        <w:tc>
          <w:tcPr>
            <w:tcW w:w="298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租赁鞍子坝客运大楼大停车场靠内侧部分区域，建筑面积约54平方米。</w:t>
            </w:r>
          </w:p>
        </w:tc>
        <w:tc>
          <w:tcPr>
            <w:tcW w:w="125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helvetica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helvetica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36,000.00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625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2021/3/23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中国建筑西南勘察设计研究院有限公司</w:t>
            </w:r>
          </w:p>
        </w:tc>
        <w:tc>
          <w:tcPr>
            <w:tcW w:w="145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建设场地地质灾害危险性评估合同书</w:t>
            </w:r>
          </w:p>
        </w:tc>
        <w:tc>
          <w:tcPr>
            <w:tcW w:w="298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按重庆市地方标准《地质灾害危险性评估技术规范》（DB 50/T 139</w:t>
            </w:r>
            <w:r>
              <w:rPr>
                <w:rFonts w:hint="eastAsia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2016），查明建设场地范围及附近的地质环境问题，对拟建物遭受地质灾害的危险性及工程建设诱发、加剧地质灾害进行评估，并提出地质灾害治理恢复措施建议</w:t>
            </w:r>
          </w:p>
        </w:tc>
        <w:tc>
          <w:tcPr>
            <w:tcW w:w="125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helvetica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helvetica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50,000.00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625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bookmarkStart w:id="40" w:name="_Toc18537"/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2021/3/23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重庆怡卓人力资源管理有限公司</w:t>
            </w:r>
          </w:p>
        </w:tc>
        <w:tc>
          <w:tcPr>
            <w:tcW w:w="145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兼职人员外包合同</w:t>
            </w:r>
          </w:p>
        </w:tc>
        <w:tc>
          <w:tcPr>
            <w:tcW w:w="298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一、人员筛选及选任服务：1、根据客户的需要选任合适人选；2、外包服务人员以实际提供服务天数按照服务费标准计算服务费；二、风险管理及价值管理服务：1、对服务人员进行必要的服务培训；2、管理员工遵守甲方的各项操作流程要求3、对服务人员进行日常管理，尽力提高服务人员的服务进度；4、负责协调、处理员工的突发事件以及用工单位的争议、纠纷，尽力保证服务人员的服务效率；5、确保服务人员的绩效与收入相关联，尽力提高服务人员的积极性；6、其他与外包服务有关的服务事项</w:t>
            </w:r>
          </w:p>
        </w:tc>
        <w:tc>
          <w:tcPr>
            <w:tcW w:w="125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helvetica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helvetica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625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2021/3/30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国网重庆市电力公司万州供电分公司</w:t>
            </w:r>
          </w:p>
        </w:tc>
        <w:tc>
          <w:tcPr>
            <w:tcW w:w="145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临时供用电合同</w:t>
            </w:r>
          </w:p>
        </w:tc>
        <w:tc>
          <w:tcPr>
            <w:tcW w:w="298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供电人向用电人提供三相交流50Hz电源,采用单电源/回路向用电人供电</w:t>
            </w:r>
          </w:p>
        </w:tc>
        <w:tc>
          <w:tcPr>
            <w:tcW w:w="1252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eastAsia="helvetica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helvetica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625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2021/3/31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重庆亚太工程建设监理有限公司</w:t>
            </w:r>
          </w:p>
        </w:tc>
        <w:tc>
          <w:tcPr>
            <w:tcW w:w="145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建设工程委托监理合同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(政府备案，不作付款依据）</w:t>
            </w:r>
          </w:p>
        </w:tc>
        <w:tc>
          <w:tcPr>
            <w:tcW w:w="298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承包内容为重庆融创万州江南新区组团 III 分区 III</w:t>
            </w:r>
            <w:r>
              <w:rPr>
                <w:rFonts w:hint="eastAsia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07/4 地块监理工程。 重庆融创万州江南新区组团 III 分区 III</w:t>
            </w:r>
            <w:r>
              <w:rPr>
                <w:rFonts w:hint="eastAsia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07/4 地块全部单体工程、室外配套工程及公园，总建筑面积为 240046.44 ㎡（最终以实际规划建面为准）。</w:t>
            </w:r>
          </w:p>
        </w:tc>
        <w:tc>
          <w:tcPr>
            <w:tcW w:w="125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helvetica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helvetica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625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132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2021/3/31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重庆优迅汽车经纪有限公司</w:t>
            </w:r>
          </w:p>
        </w:tc>
        <w:tc>
          <w:tcPr>
            <w:tcW w:w="145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琅阅滨江项目汽车租赁合同</w:t>
            </w:r>
          </w:p>
        </w:tc>
        <w:tc>
          <w:tcPr>
            <w:tcW w:w="298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长安车每台车每天383.98元，别克商务车每台车每天603.4元（该价格包括但不限于租车费用、驾驶员工资、车辆维修费用、油费及税金等），因甲方工作需要所产生的停车费、高速公路过路费由甲方承担</w:t>
            </w:r>
          </w:p>
        </w:tc>
        <w:tc>
          <w:tcPr>
            <w:tcW w:w="1252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eastAsia="helvetica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</w:tbl>
    <w:p>
      <w:pPr>
        <w:spacing w:before="300" w:after="300" w:line="360" w:lineRule="exact"/>
        <w:outlineLvl w:val="0"/>
        <w:rPr>
          <w:b/>
          <w:bCs/>
        </w:rPr>
      </w:pPr>
      <w:bookmarkStart w:id="41" w:name="_Toc27442"/>
      <w:r>
        <w:rPr>
          <w:rFonts w:hint="eastAsia"/>
          <w:b/>
          <w:bCs/>
        </w:rPr>
        <w:t>附件五：</w:t>
      </w:r>
      <w:bookmarkEnd w:id="40"/>
      <w:r>
        <w:rPr>
          <w:rFonts w:hint="eastAsia"/>
          <w:b/>
          <w:bCs/>
        </w:rPr>
        <w:t>项目公司账户余额情况及余额截图</w:t>
      </w:r>
      <w:bookmarkEnd w:id="41"/>
    </w:p>
    <w:p>
      <w:pPr>
        <w:widowControl w:val="0"/>
        <w:adjustRightInd w:val="0"/>
        <w:snapToGrid w:val="0"/>
        <w:spacing w:before="312" w:beforeLines="100"/>
        <w:contextualSpacing/>
        <w:jc w:val="center"/>
        <w:rPr>
          <w:rFonts w:ascii="Arial" w:hAnsi="Arial" w:cs="Arial"/>
          <w:b/>
          <w:szCs w:val="28"/>
        </w:rPr>
      </w:pPr>
    </w:p>
    <w:p>
      <w:pPr>
        <w:widowControl w:val="0"/>
        <w:adjustRightInd w:val="0"/>
        <w:snapToGrid w:val="0"/>
        <w:spacing w:before="312" w:beforeLines="100"/>
        <w:contextualSpacing/>
        <w:jc w:val="center"/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szCs w:val="28"/>
        </w:rPr>
        <w:t>项目公司账户余额情况</w:t>
      </w:r>
    </w:p>
    <w:bookmarkEnd w:id="39"/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300" w:line="480" w:lineRule="auto"/>
        <w:ind w:left="0" w:leftChars="0" w:right="0" w:rightChars="0" w:firstLine="420" w:firstLineChars="200"/>
        <w:jc w:val="both"/>
        <w:textAlignment w:val="auto"/>
        <w:outlineLvl w:val="0"/>
        <w:rPr>
          <w:rFonts w:hint="eastAsia" w:ascii="Arial" w:hAnsi="Arial" w:cs="Arial"/>
          <w:bCs/>
          <w:kern w:val="44"/>
          <w:sz w:val="21"/>
          <w:szCs w:val="21"/>
          <w:lang w:val="en-US" w:eastAsia="zh-CN"/>
        </w:rPr>
      </w:pPr>
      <w:bookmarkStart w:id="42" w:name="_Toc8390"/>
      <w:bookmarkStart w:id="43" w:name="_Toc23927"/>
      <w:r>
        <w:rPr>
          <w:rFonts w:hint="eastAsia" w:cs="宋体"/>
          <w:sz w:val="21"/>
          <w:szCs w:val="21"/>
          <w:lang w:val="en-US" w:eastAsia="zh-CN"/>
        </w:rPr>
        <w:t xml:space="preserve">   </w:t>
      </w:r>
      <w:r>
        <w:rPr>
          <w:rFonts w:hint="eastAsia" w:ascii="Arial" w:hAnsi="Arial" w:cs="Arial"/>
          <w:bCs/>
          <w:kern w:val="44"/>
          <w:sz w:val="21"/>
          <w:szCs w:val="21"/>
          <w:lang w:val="en-US" w:eastAsia="zh-CN"/>
        </w:rPr>
        <w:t xml:space="preserve">  </w:t>
      </w:r>
      <w:bookmarkStart w:id="44" w:name="_Toc25364"/>
      <w:bookmarkStart w:id="45" w:name="_Toc28414"/>
      <w:bookmarkStart w:id="46" w:name="_Toc7359"/>
      <w:bookmarkStart w:id="47" w:name="_Toc16097"/>
      <w:bookmarkStart w:id="48" w:name="_Toc9030"/>
      <w:bookmarkStart w:id="49" w:name="_Toc14990"/>
      <w:r>
        <w:rPr>
          <w:rFonts w:hint="eastAsia" w:ascii="Arial" w:hAnsi="Arial" w:cs="Arial"/>
          <w:bCs/>
          <w:kern w:val="44"/>
          <w:sz w:val="21"/>
          <w:szCs w:val="21"/>
          <w:lang w:val="en-US" w:eastAsia="zh-CN"/>
        </w:rPr>
        <w:t>截至</w:t>
      </w:r>
      <w:r>
        <w:rPr>
          <w:rFonts w:hint="default" w:ascii="Arial" w:hAnsi="Arial" w:cs="Arial"/>
          <w:bCs/>
          <w:kern w:val="44"/>
          <w:sz w:val="21"/>
          <w:szCs w:val="21"/>
          <w:lang w:val="en-US" w:eastAsia="zh-CN"/>
        </w:rPr>
        <w:t>2021</w:t>
      </w:r>
      <w:r>
        <w:rPr>
          <w:rFonts w:hint="eastAsia" w:ascii="Arial" w:hAnsi="Arial" w:cs="Arial"/>
          <w:bCs/>
          <w:kern w:val="44"/>
          <w:sz w:val="21"/>
          <w:szCs w:val="21"/>
          <w:lang w:val="en-US" w:eastAsia="zh-CN"/>
        </w:rPr>
        <w:t>年3月31日重庆万州融创江南项目银行账户余额表</w:t>
      </w:r>
      <w:bookmarkEnd w:id="42"/>
      <w:bookmarkEnd w:id="43"/>
      <w:bookmarkEnd w:id="44"/>
      <w:bookmarkEnd w:id="45"/>
      <w:bookmarkEnd w:id="46"/>
      <w:bookmarkEnd w:id="47"/>
      <w:bookmarkEnd w:id="48"/>
      <w:bookmarkEnd w:id="49"/>
    </w:p>
    <w:p>
      <w:pPr>
        <w:widowControl w:val="0"/>
        <w:adjustRightInd w:val="0"/>
        <w:snapToGrid w:val="0"/>
        <w:spacing w:before="312" w:beforeLines="100"/>
        <w:contextualSpacing/>
        <w:jc w:val="center"/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szCs w:val="28"/>
        </w:rPr>
        <w:t>项目公司</w:t>
      </w:r>
      <w:r>
        <w:rPr>
          <w:rFonts w:hint="eastAsia" w:ascii="Arial" w:hAnsi="Arial" w:cs="Arial"/>
          <w:b/>
          <w:szCs w:val="28"/>
          <w:lang w:eastAsia="zh-CN"/>
        </w:rPr>
        <w:t>（</w:t>
      </w:r>
      <w:r>
        <w:rPr>
          <w:rFonts w:hint="eastAsia" w:ascii="Arial" w:hAnsi="Arial" w:cs="Arial"/>
          <w:b/>
          <w:szCs w:val="28"/>
          <w:lang w:val="en-US" w:eastAsia="zh-CN"/>
        </w:rPr>
        <w:t>融滔</w:t>
      </w:r>
      <w:r>
        <w:rPr>
          <w:rFonts w:hint="eastAsia" w:ascii="Arial" w:hAnsi="Arial" w:cs="Arial"/>
          <w:b/>
          <w:szCs w:val="28"/>
          <w:lang w:eastAsia="zh-CN"/>
        </w:rPr>
        <w:t>）</w:t>
      </w:r>
      <w:r>
        <w:rPr>
          <w:rFonts w:ascii="Arial" w:hAnsi="Arial" w:cs="Arial"/>
          <w:b/>
          <w:szCs w:val="28"/>
        </w:rPr>
        <w:t>账户余额情况</w:t>
      </w:r>
    </w:p>
    <w:tbl>
      <w:tblPr>
        <w:tblStyle w:val="18"/>
        <w:tblW w:w="845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5"/>
        <w:gridCol w:w="1161"/>
        <w:gridCol w:w="919"/>
        <w:gridCol w:w="2272"/>
        <w:gridCol w:w="1283"/>
        <w:gridCol w:w="945"/>
        <w:gridCol w:w="1303"/>
      </w:tblGrid>
      <w:tr>
        <w:trPr>
          <w:trHeight w:val="276" w:hRule="atLeast"/>
          <w:tblHeader/>
          <w:jc w:val="center"/>
        </w:trPr>
        <w:tc>
          <w:tcPr>
            <w:tcW w:w="57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16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开户行</w:t>
            </w:r>
          </w:p>
        </w:tc>
        <w:tc>
          <w:tcPr>
            <w:tcW w:w="91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账户性质</w:t>
            </w:r>
          </w:p>
        </w:tc>
        <w:tc>
          <w:tcPr>
            <w:tcW w:w="227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账号</w:t>
            </w:r>
          </w:p>
        </w:tc>
        <w:tc>
          <w:tcPr>
            <w:tcW w:w="128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预留印明细鉴</w:t>
            </w:r>
          </w:p>
        </w:tc>
        <w:tc>
          <w:tcPr>
            <w:tcW w:w="9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是否开通结算卡等其他功能</w:t>
            </w:r>
          </w:p>
        </w:tc>
        <w:tc>
          <w:tcPr>
            <w:tcW w:w="13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本期账户余额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  <w:tblHeader/>
          <w:jc w:val="center"/>
        </w:trPr>
        <w:tc>
          <w:tcPr>
            <w:tcW w:w="57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6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1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7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8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（元）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6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兴业银行重庆加州支行</w:t>
            </w:r>
          </w:p>
        </w:tc>
        <w:tc>
          <w:tcPr>
            <w:tcW w:w="9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eastAsia="宋体" w:cs="Arial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基本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户</w:t>
            </w:r>
          </w:p>
        </w:tc>
        <w:tc>
          <w:tcPr>
            <w:tcW w:w="22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346270100100074576</w:t>
            </w:r>
          </w:p>
        </w:tc>
        <w:tc>
          <w:tcPr>
            <w:tcW w:w="12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陶坤宏+骆浩+融滔财务专用章</w:t>
            </w:r>
          </w:p>
        </w:tc>
        <w:tc>
          <w:tcPr>
            <w:tcW w:w="9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/</w:t>
            </w:r>
          </w:p>
        </w:tc>
        <w:tc>
          <w:tcPr>
            <w:tcW w:w="13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5,923,451.91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  <w:jc w:val="center"/>
        </w:trPr>
        <w:tc>
          <w:tcPr>
            <w:tcW w:w="7155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合计</w:t>
            </w:r>
          </w:p>
        </w:tc>
        <w:tc>
          <w:tcPr>
            <w:tcW w:w="13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5,923,451.91</w:t>
            </w:r>
          </w:p>
        </w:tc>
      </w:tr>
    </w:tbl>
    <w:p>
      <w:pPr>
        <w:widowControl w:val="0"/>
        <w:adjustRightInd w:val="0"/>
        <w:snapToGrid w:val="0"/>
        <w:spacing w:before="312" w:beforeLines="100"/>
        <w:contextualSpacing/>
        <w:jc w:val="center"/>
        <w:rPr>
          <w:rFonts w:hint="eastAsia" w:ascii="Arial" w:hAnsi="Arial" w:cs="Arial"/>
          <w:b/>
          <w:szCs w:val="28"/>
          <w:lang w:val="en-US" w:eastAsia="zh-CN"/>
        </w:rPr>
      </w:pPr>
    </w:p>
    <w:p>
      <w:pPr>
        <w:widowControl w:val="0"/>
        <w:adjustRightInd w:val="0"/>
        <w:snapToGrid w:val="0"/>
        <w:spacing w:before="312" w:beforeLines="100"/>
        <w:contextualSpacing/>
        <w:jc w:val="center"/>
        <w:rPr>
          <w:rFonts w:hint="eastAsia" w:ascii="Arial" w:hAnsi="Arial" w:cs="Arial"/>
          <w:b/>
          <w:szCs w:val="28"/>
          <w:lang w:val="en-US" w:eastAsia="zh-CN"/>
        </w:rPr>
      </w:pPr>
    </w:p>
    <w:p>
      <w:pPr>
        <w:widowControl w:val="0"/>
        <w:adjustRightInd w:val="0"/>
        <w:snapToGrid w:val="0"/>
        <w:spacing w:before="312" w:beforeLines="100"/>
        <w:contextualSpacing/>
        <w:jc w:val="center"/>
        <w:rPr>
          <w:rFonts w:ascii="Arial" w:hAnsi="Arial" w:cs="Arial"/>
          <w:b/>
          <w:szCs w:val="28"/>
        </w:rPr>
      </w:pPr>
      <w:r>
        <w:rPr>
          <w:rFonts w:hint="eastAsia" w:ascii="Arial" w:hAnsi="Arial" w:cs="Arial"/>
          <w:b/>
          <w:szCs w:val="28"/>
          <w:lang w:val="en-US" w:eastAsia="zh-CN"/>
        </w:rPr>
        <w:t>SPV</w:t>
      </w:r>
      <w:r>
        <w:rPr>
          <w:rFonts w:ascii="Arial" w:hAnsi="Arial" w:cs="Arial"/>
          <w:b/>
          <w:szCs w:val="28"/>
        </w:rPr>
        <w:t>公司</w:t>
      </w:r>
      <w:r>
        <w:rPr>
          <w:rFonts w:hint="eastAsia" w:ascii="Arial" w:hAnsi="Arial" w:cs="Arial"/>
          <w:b/>
          <w:szCs w:val="28"/>
          <w:lang w:eastAsia="zh-CN"/>
        </w:rPr>
        <w:t>（</w:t>
      </w:r>
      <w:r>
        <w:rPr>
          <w:rFonts w:hint="eastAsia" w:ascii="Arial" w:hAnsi="Arial" w:cs="Arial"/>
          <w:b/>
          <w:szCs w:val="28"/>
          <w:lang w:val="en-US" w:eastAsia="zh-CN"/>
        </w:rPr>
        <w:t>庆霆</w:t>
      </w:r>
      <w:r>
        <w:rPr>
          <w:rFonts w:hint="eastAsia" w:ascii="Arial" w:hAnsi="Arial" w:cs="Arial"/>
          <w:b/>
          <w:szCs w:val="28"/>
          <w:lang w:eastAsia="zh-CN"/>
        </w:rPr>
        <w:t>）</w:t>
      </w:r>
      <w:r>
        <w:rPr>
          <w:rFonts w:ascii="Arial" w:hAnsi="Arial" w:cs="Arial"/>
          <w:b/>
          <w:szCs w:val="28"/>
        </w:rPr>
        <w:t>账户余额情况</w:t>
      </w:r>
    </w:p>
    <w:tbl>
      <w:tblPr>
        <w:tblStyle w:val="18"/>
        <w:tblW w:w="845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5"/>
        <w:gridCol w:w="1161"/>
        <w:gridCol w:w="1019"/>
        <w:gridCol w:w="2172"/>
        <w:gridCol w:w="1298"/>
        <w:gridCol w:w="960"/>
        <w:gridCol w:w="127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tblHeader/>
          <w:jc w:val="center"/>
        </w:trPr>
        <w:tc>
          <w:tcPr>
            <w:tcW w:w="57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16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开户行</w:t>
            </w:r>
          </w:p>
        </w:tc>
        <w:tc>
          <w:tcPr>
            <w:tcW w:w="101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账户性质</w:t>
            </w:r>
          </w:p>
        </w:tc>
        <w:tc>
          <w:tcPr>
            <w:tcW w:w="217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账号</w:t>
            </w:r>
          </w:p>
        </w:tc>
        <w:tc>
          <w:tcPr>
            <w:tcW w:w="129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预留印明细鉴</w:t>
            </w:r>
          </w:p>
        </w:tc>
        <w:tc>
          <w:tcPr>
            <w:tcW w:w="96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是否开通结算卡等其他功能</w:t>
            </w:r>
          </w:p>
        </w:tc>
        <w:tc>
          <w:tcPr>
            <w:tcW w:w="12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本期账户余额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  <w:tblHeader/>
          <w:jc w:val="center"/>
        </w:trPr>
        <w:tc>
          <w:tcPr>
            <w:tcW w:w="57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6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1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17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9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（元）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16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兴业银行重庆加州支行</w:t>
            </w:r>
          </w:p>
        </w:tc>
        <w:tc>
          <w:tcPr>
            <w:tcW w:w="10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基本户</w:t>
            </w:r>
          </w:p>
        </w:tc>
        <w:tc>
          <w:tcPr>
            <w:tcW w:w="21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346270100100076291</w:t>
            </w:r>
          </w:p>
        </w:tc>
        <w:tc>
          <w:tcPr>
            <w:tcW w:w="12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陶坤宏+骆浩+庆霆财务专用章</w:t>
            </w:r>
          </w:p>
        </w:tc>
        <w:tc>
          <w:tcPr>
            <w:tcW w:w="9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/</w:t>
            </w:r>
          </w:p>
        </w:tc>
        <w:tc>
          <w:tcPr>
            <w:tcW w:w="12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1,015.00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  <w:jc w:val="center"/>
        </w:trPr>
        <w:tc>
          <w:tcPr>
            <w:tcW w:w="7185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合计</w:t>
            </w:r>
          </w:p>
        </w:tc>
        <w:tc>
          <w:tcPr>
            <w:tcW w:w="12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1,015.00</w:t>
            </w:r>
          </w:p>
        </w:tc>
      </w:tr>
    </w:tbl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widowControl w:val="0"/>
        <w:adjustRightInd w:val="0"/>
        <w:snapToGrid w:val="0"/>
        <w:spacing w:before="312" w:beforeLines="100"/>
        <w:contextualSpacing/>
        <w:jc w:val="center"/>
        <w:rPr>
          <w:rFonts w:hint="eastAsia" w:ascii="Arial" w:hAnsi="Arial" w:cs="Arial"/>
          <w:b/>
          <w:szCs w:val="28"/>
          <w:lang w:val="en-US" w:eastAsia="zh-CN"/>
        </w:rPr>
      </w:pPr>
    </w:p>
    <w:p>
      <w:pPr>
        <w:widowControl w:val="0"/>
        <w:adjustRightInd w:val="0"/>
        <w:snapToGrid w:val="0"/>
        <w:spacing w:before="312" w:beforeLines="100"/>
        <w:contextualSpacing/>
        <w:jc w:val="center"/>
        <w:rPr>
          <w:rFonts w:ascii="Arial" w:hAnsi="Arial" w:cs="Arial"/>
          <w:b/>
          <w:szCs w:val="28"/>
        </w:rPr>
      </w:pPr>
      <w:r>
        <w:rPr>
          <w:rFonts w:hint="eastAsia" w:ascii="Arial" w:hAnsi="Arial" w:cs="Arial"/>
          <w:b/>
          <w:szCs w:val="28"/>
          <w:lang w:val="en-US" w:eastAsia="zh-CN"/>
        </w:rPr>
        <w:t>SPV</w:t>
      </w:r>
      <w:r>
        <w:rPr>
          <w:rFonts w:ascii="Arial" w:hAnsi="Arial" w:cs="Arial"/>
          <w:b/>
          <w:szCs w:val="28"/>
        </w:rPr>
        <w:t>公司</w:t>
      </w:r>
      <w:r>
        <w:rPr>
          <w:rFonts w:hint="eastAsia" w:ascii="Arial" w:hAnsi="Arial" w:cs="Arial"/>
          <w:b/>
          <w:szCs w:val="28"/>
          <w:lang w:eastAsia="zh-CN"/>
        </w:rPr>
        <w:t>（</w:t>
      </w:r>
      <w:r>
        <w:rPr>
          <w:rFonts w:hint="eastAsia" w:ascii="Arial" w:hAnsi="Arial" w:cs="Arial"/>
          <w:b/>
          <w:szCs w:val="28"/>
          <w:lang w:val="en-US" w:eastAsia="zh-CN"/>
        </w:rPr>
        <w:t>庆融</w:t>
      </w:r>
      <w:r>
        <w:rPr>
          <w:rFonts w:hint="eastAsia" w:ascii="Arial" w:hAnsi="Arial" w:cs="Arial"/>
          <w:b/>
          <w:szCs w:val="28"/>
          <w:lang w:eastAsia="zh-CN"/>
        </w:rPr>
        <w:t>）</w:t>
      </w:r>
      <w:r>
        <w:rPr>
          <w:rFonts w:ascii="Arial" w:hAnsi="Arial" w:cs="Arial"/>
          <w:b/>
          <w:szCs w:val="28"/>
        </w:rPr>
        <w:t>账户余额情况</w:t>
      </w:r>
    </w:p>
    <w:tbl>
      <w:tblPr>
        <w:tblStyle w:val="18"/>
        <w:tblW w:w="845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5"/>
        <w:gridCol w:w="2095"/>
        <w:gridCol w:w="630"/>
        <w:gridCol w:w="1627"/>
        <w:gridCol w:w="1015"/>
        <w:gridCol w:w="1273"/>
        <w:gridCol w:w="124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tblHeader/>
          <w:jc w:val="center"/>
        </w:trPr>
        <w:tc>
          <w:tcPr>
            <w:tcW w:w="57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209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开户行</w:t>
            </w:r>
          </w:p>
        </w:tc>
        <w:tc>
          <w:tcPr>
            <w:tcW w:w="63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账户性质</w:t>
            </w:r>
          </w:p>
        </w:tc>
        <w:tc>
          <w:tcPr>
            <w:tcW w:w="162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账号</w:t>
            </w:r>
          </w:p>
        </w:tc>
        <w:tc>
          <w:tcPr>
            <w:tcW w:w="101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预留印明细鉴</w:t>
            </w:r>
          </w:p>
        </w:tc>
        <w:tc>
          <w:tcPr>
            <w:tcW w:w="127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是否开通结算卡等其他功能</w:t>
            </w:r>
          </w:p>
        </w:tc>
        <w:tc>
          <w:tcPr>
            <w:tcW w:w="12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本期账户余额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  <w:tblHeader/>
          <w:jc w:val="center"/>
        </w:trPr>
        <w:tc>
          <w:tcPr>
            <w:tcW w:w="57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62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（元）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0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中国农业银行股份有限公司重庆渝北三亚湾支行</w:t>
            </w:r>
          </w:p>
        </w:tc>
        <w:tc>
          <w:tcPr>
            <w:tcW w:w="6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基本户</w:t>
            </w:r>
          </w:p>
        </w:tc>
        <w:tc>
          <w:tcPr>
            <w:tcW w:w="16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31-111901040005212</w:t>
            </w:r>
          </w:p>
        </w:tc>
        <w:tc>
          <w:tcPr>
            <w:tcW w:w="10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陈杰+庆霆财务专用章</w:t>
            </w:r>
          </w:p>
        </w:tc>
        <w:tc>
          <w:tcPr>
            <w:tcW w:w="12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/</w:t>
            </w:r>
          </w:p>
        </w:tc>
        <w:tc>
          <w:tcPr>
            <w:tcW w:w="12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416.46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  <w:jc w:val="center"/>
        </w:trPr>
        <w:tc>
          <w:tcPr>
            <w:tcW w:w="7215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合计</w:t>
            </w:r>
          </w:p>
        </w:tc>
        <w:tc>
          <w:tcPr>
            <w:tcW w:w="12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416.46</w:t>
            </w:r>
          </w:p>
        </w:tc>
      </w:tr>
    </w:tbl>
    <w:p>
      <w:pPr>
        <w:spacing w:before="312" w:beforeLines="100"/>
        <w:rPr>
          <w:rFonts w:cstheme="majorBidi"/>
          <w:b/>
          <w:bCs/>
          <w:kern w:val="2"/>
        </w:rPr>
      </w:pPr>
      <w:r>
        <w:rPr>
          <w:rFonts w:hint="eastAsia" w:cstheme="majorBidi"/>
          <w:b/>
          <w:bCs/>
          <w:kern w:val="2"/>
        </w:rPr>
        <w:t>银行账户余额</w:t>
      </w:r>
    </w:p>
    <w:p>
      <w:pPr>
        <w:jc w:val="center"/>
        <w:rPr>
          <w:rFonts w:hint="eastAsia" w:cstheme="majorBidi"/>
          <w:b/>
          <w:bCs/>
          <w:kern w:val="2"/>
          <w:lang w:val="en-US" w:eastAsia="zh-CN"/>
        </w:rPr>
      </w:pPr>
    </w:p>
    <w:p>
      <w:pPr>
        <w:jc w:val="center"/>
        <w:rPr>
          <w:rFonts w:hint="eastAsia" w:cstheme="majorBidi"/>
          <w:b/>
          <w:bCs/>
          <w:kern w:val="2"/>
          <w:lang w:val="en-US" w:eastAsia="zh-CN"/>
        </w:rPr>
      </w:pPr>
    </w:p>
    <w:p>
      <w:pPr>
        <w:spacing w:before="0" w:beforeLines="-2147483648"/>
        <w:jc w:val="center"/>
        <w:rPr>
          <w:rFonts w:hint="eastAsia" w:cstheme="majorBidi"/>
          <w:b/>
          <w:bCs/>
          <w:kern w:val="2"/>
        </w:rPr>
      </w:pPr>
      <w:r>
        <w:rPr>
          <w:rFonts w:hint="eastAsia" w:cstheme="majorBidi"/>
          <w:b/>
          <w:bCs/>
          <w:kern w:val="2"/>
          <w:lang w:val="en-US" w:eastAsia="zh-CN"/>
        </w:rPr>
        <w:t>兴业</w:t>
      </w:r>
      <w:r>
        <w:rPr>
          <w:rFonts w:hint="eastAsia" w:cstheme="majorBidi"/>
          <w:b/>
          <w:bCs/>
          <w:kern w:val="2"/>
        </w:rPr>
        <w:t>银行</w:t>
      </w:r>
      <w:r>
        <w:rPr>
          <w:rFonts w:hint="eastAsia" w:ascii="Arial" w:hAnsi="Arial" w:cs="Arial"/>
          <w:b/>
          <w:bCs/>
          <w:kern w:val="2"/>
          <w:lang w:val="en-US" w:eastAsia="zh-CN"/>
        </w:rPr>
        <w:t>4576</w:t>
      </w:r>
      <w:r>
        <w:rPr>
          <w:rFonts w:hint="eastAsia" w:cstheme="majorBidi"/>
          <w:b/>
          <w:bCs/>
          <w:kern w:val="2"/>
        </w:rPr>
        <w:t>账户</w:t>
      </w:r>
      <w:r>
        <w:rPr>
          <w:rFonts w:hint="eastAsia" w:cstheme="majorBidi"/>
          <w:b/>
          <w:bCs/>
          <w:kern w:val="2"/>
          <w:lang w:val="en-US" w:eastAsia="zh-CN"/>
        </w:rPr>
        <w:t xml:space="preserve">   </w:t>
      </w:r>
      <w:r>
        <w:rPr>
          <w:rFonts w:hint="eastAsia" w:ascii="宋体" w:hAnsi="宋体" w:cs="宋体"/>
          <w:b/>
          <w:bCs/>
          <w:sz w:val="24"/>
          <w:szCs w:val="24"/>
          <w:highlight w:val="none"/>
        </w:rPr>
        <w:t>单位：元</w:t>
      </w:r>
    </w:p>
    <w:p>
      <w:pPr>
        <w:rPr>
          <w:rFonts w:hint="eastAsia" w:ascii="Arial" w:hAnsi="Arial" w:eastAsia="宋体" w:cs="Arial"/>
          <w:lang w:eastAsia="zh-CN"/>
        </w:rPr>
      </w:pPr>
      <w:r>
        <w:rPr>
          <w:rFonts w:hint="eastAsia" w:ascii="Arial" w:hAnsi="Arial" w:eastAsia="宋体" w:cs="Arial"/>
          <w:lang w:eastAsia="zh-CN"/>
        </w:rPr>
        <w:drawing>
          <wp:inline distT="0" distB="0" distL="114300" distR="114300">
            <wp:extent cx="6114415" cy="3086735"/>
            <wp:effectExtent l="0" t="0" r="635" b="18415"/>
            <wp:docPr id="9" name="图片 9" descr="8a7769018b4766ac6a03820e49144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a7769018b4766ac6a03820e49144f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cstheme="majorBidi"/>
          <w:b/>
          <w:bCs/>
          <w:kern w:val="2"/>
          <w:lang w:val="en-US" w:eastAsia="zh-CN"/>
        </w:rPr>
      </w:pPr>
    </w:p>
    <w:p>
      <w:pPr>
        <w:jc w:val="center"/>
        <w:rPr>
          <w:rFonts w:hint="eastAsia" w:cstheme="majorBidi"/>
          <w:b/>
          <w:bCs/>
          <w:kern w:val="2"/>
          <w:lang w:val="en-US" w:eastAsia="zh-CN"/>
        </w:rPr>
      </w:pPr>
    </w:p>
    <w:p>
      <w:pPr>
        <w:jc w:val="center"/>
        <w:rPr>
          <w:rFonts w:hint="eastAsia" w:cstheme="majorBidi"/>
          <w:b/>
          <w:bCs/>
          <w:kern w:val="2"/>
          <w:lang w:val="en-US" w:eastAsia="zh-CN"/>
        </w:rPr>
      </w:pPr>
    </w:p>
    <w:p>
      <w:pPr>
        <w:numPr>
          <w:ilvl w:val="-1"/>
          <w:numId w:val="0"/>
        </w:numPr>
        <w:spacing w:before="0" w:beforeLines="-2147483648"/>
        <w:jc w:val="center"/>
        <w:rPr>
          <w:rFonts w:hint="eastAsia" w:cstheme="majorBidi"/>
          <w:b/>
          <w:bCs/>
          <w:kern w:val="2"/>
          <w:lang w:val="en-US" w:eastAsia="zh-CN"/>
        </w:rPr>
      </w:pPr>
      <w:r>
        <w:rPr>
          <w:rFonts w:hint="eastAsia" w:cstheme="majorBidi"/>
          <w:b/>
          <w:bCs/>
          <w:kern w:val="2"/>
          <w:lang w:val="en-US" w:eastAsia="zh-CN"/>
        </w:rPr>
        <w:t xml:space="preserve">兴业银行6291账户 </w:t>
      </w:r>
      <w:r>
        <w:rPr>
          <w:rFonts w:hint="eastAsia" w:ascii="宋体" w:hAnsi="宋体" w:cs="宋体"/>
          <w:b/>
          <w:bCs/>
          <w:sz w:val="24"/>
          <w:szCs w:val="24"/>
          <w:highlight w:val="none"/>
        </w:rPr>
        <w:t>单位：元</w:t>
      </w:r>
    </w:p>
    <w:p>
      <w:pPr>
        <w:rPr>
          <w:rFonts w:hint="eastAsia" w:ascii="Arial" w:hAnsi="Arial" w:eastAsia="宋体" w:cs="Arial"/>
          <w:lang w:eastAsia="zh-CN"/>
        </w:rPr>
      </w:pPr>
      <w:r>
        <w:rPr>
          <w:rFonts w:hint="eastAsia" w:ascii="Arial" w:hAnsi="Arial" w:eastAsia="宋体" w:cs="Arial"/>
          <w:lang w:eastAsia="zh-CN"/>
        </w:rPr>
        <w:drawing>
          <wp:inline distT="0" distB="0" distL="114300" distR="114300">
            <wp:extent cx="6092190" cy="3044190"/>
            <wp:effectExtent l="0" t="0" r="3810" b="3810"/>
            <wp:docPr id="10" name="图片 10" descr="9b685f08e7f70d16b79ed7be2014d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b685f08e7f70d16b79ed7be2014d42"/>
                    <pic:cNvPicPr>
                      <a:picLocks noChangeAspect="1"/>
                    </pic:cNvPicPr>
                  </pic:nvPicPr>
                  <pic:blipFill>
                    <a:blip r:embed="rId15"/>
                    <a:srcRect t="3132" r="374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Arial" w:hAnsi="Arial" w:eastAsia="宋体" w:cs="Arial"/>
          <w:lang w:eastAsia="zh-CN"/>
        </w:rPr>
      </w:pPr>
    </w:p>
    <w:p>
      <w:pPr>
        <w:rPr>
          <w:rFonts w:hint="eastAsia" w:ascii="Arial" w:hAnsi="Arial" w:eastAsia="宋体" w:cs="Arial"/>
          <w:lang w:eastAsia="zh-CN"/>
        </w:rPr>
      </w:pPr>
    </w:p>
    <w:p>
      <w:pPr>
        <w:jc w:val="center"/>
      </w:pPr>
      <w:r>
        <w:rPr>
          <w:rFonts w:hint="eastAsia" w:cstheme="majorBidi"/>
          <w:b/>
          <w:bCs/>
          <w:kern w:val="2"/>
          <w:lang w:val="en-US" w:eastAsia="zh-CN"/>
        </w:rPr>
        <w:t xml:space="preserve">农业银行5212账户  </w:t>
      </w:r>
      <w:r>
        <w:rPr>
          <w:rFonts w:hint="eastAsia" w:ascii="宋体" w:hAnsi="宋体" w:cs="宋体"/>
          <w:b/>
          <w:bCs/>
          <w:sz w:val="24"/>
          <w:szCs w:val="24"/>
          <w:highlight w:val="none"/>
        </w:rPr>
        <w:t>单位：元</w:t>
      </w:r>
    </w:p>
    <w:p>
      <w:pPr>
        <w:rPr>
          <w:rFonts w:hint="eastAsia" w:ascii="Arial" w:hAnsi="Arial" w:eastAsia="宋体" w:cs="Arial"/>
          <w:lang w:eastAsia="zh-CN"/>
        </w:rPr>
      </w:pPr>
      <w:r>
        <w:rPr>
          <w:rFonts w:hint="eastAsia" w:ascii="Arial" w:hAnsi="Arial" w:eastAsia="宋体" w:cs="Arial"/>
          <w:lang w:eastAsia="zh-CN"/>
        </w:rPr>
        <w:drawing>
          <wp:inline distT="0" distB="0" distL="114300" distR="114300">
            <wp:extent cx="6116320" cy="2988945"/>
            <wp:effectExtent l="0" t="0" r="17780" b="1905"/>
            <wp:docPr id="13" name="图片 13" descr="f473c497406381967c0b877aa05ea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473c497406381967c0b877aa05ea3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Arial" w:hAnsi="Arial" w:eastAsia="宋体" w:cs="Arial"/>
          <w:lang w:eastAsia="zh-CN"/>
        </w:rPr>
      </w:pPr>
    </w:p>
    <w:p>
      <w:pPr>
        <w:rPr>
          <w:rFonts w:hint="eastAsia" w:ascii="Arial" w:hAnsi="Arial" w:eastAsia="宋体" w:cs="Arial"/>
          <w:lang w:eastAsia="zh-CN"/>
        </w:rPr>
      </w:pPr>
    </w:p>
    <w:p>
      <w:pPr>
        <w:spacing w:before="300" w:after="300" w:line="360" w:lineRule="exact"/>
        <w:outlineLvl w:val="0"/>
        <w:rPr>
          <w:rFonts w:hint="eastAsia"/>
          <w:b/>
          <w:bCs/>
        </w:rPr>
      </w:pPr>
      <w:bookmarkStart w:id="50" w:name="_Toc20767"/>
      <w:r>
        <w:rPr>
          <w:rFonts w:hint="eastAsia"/>
          <w:b/>
          <w:bCs/>
        </w:rPr>
        <w:t>附件</w:t>
      </w:r>
      <w:r>
        <w:rPr>
          <w:rFonts w:hint="eastAsia"/>
          <w:b/>
          <w:bCs/>
          <w:lang w:val="en-US" w:eastAsia="zh-CN"/>
        </w:rPr>
        <w:t>六</w:t>
      </w:r>
      <w:r>
        <w:rPr>
          <w:rFonts w:hint="eastAsia"/>
          <w:b/>
          <w:bCs/>
        </w:rPr>
        <w:t>：本期</w:t>
      </w:r>
      <w:r>
        <w:rPr>
          <w:rFonts w:hint="eastAsia"/>
          <w:b/>
          <w:bCs/>
          <w:lang w:val="en-US" w:eastAsia="zh-CN"/>
        </w:rPr>
        <w:t>交接清单截图</w:t>
      </w:r>
      <w:bookmarkEnd w:id="50"/>
    </w:p>
    <w:p>
      <w:r>
        <w:drawing>
          <wp:inline distT="0" distB="0" distL="114300" distR="114300">
            <wp:extent cx="5699125" cy="3608070"/>
            <wp:effectExtent l="0" t="0" r="15875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rcRect t="11242" r="6763" b="10191"/>
                    <a:stretch>
                      <a:fillRect/>
                    </a:stretch>
                  </pic:blipFill>
                  <pic:spPr>
                    <a:xfrm>
                      <a:off x="0" y="0"/>
                      <a:ext cx="5699125" cy="360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822950" cy="3489325"/>
            <wp:effectExtent l="0" t="0" r="6350" b="1587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rcRect t="10953" r="4767" b="12280"/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348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918200" cy="3289935"/>
            <wp:effectExtent l="0" t="0" r="6350" b="571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rcRect t="11231" r="3249" b="12002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32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241415" cy="2781300"/>
            <wp:effectExtent l="0" t="0" r="0" b="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rcRect t="14669" r="-2781" b="21529"/>
                    <a:stretch>
                      <a:fillRect/>
                    </a:stretch>
                  </pic:blipFill>
                  <pic:spPr>
                    <a:xfrm>
                      <a:off x="0" y="0"/>
                      <a:ext cx="624141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946775" cy="2664460"/>
            <wp:effectExtent l="0" t="0" r="15875" b="254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rcRect t="9412" r="2722" b="3407"/>
                    <a:stretch>
                      <a:fillRect/>
                    </a:stretch>
                  </pic:blipFill>
                  <pic:spPr>
                    <a:xfrm>
                      <a:off x="0" y="0"/>
                      <a:ext cx="5946775" cy="2664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003925" cy="2891155"/>
            <wp:effectExtent l="0" t="0" r="15875" b="444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rcRect t="3959" r="1889" b="3613"/>
                    <a:stretch>
                      <a:fillRect/>
                    </a:stretch>
                  </pic:blipFill>
                  <pic:spPr>
                    <a:xfrm>
                      <a:off x="0" y="0"/>
                      <a:ext cx="6003925" cy="2891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6003925" cy="3599180"/>
            <wp:effectExtent l="0" t="0" r="15875" b="127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rcRect t="8199" r="1827" b="499"/>
                    <a:stretch>
                      <a:fillRect/>
                    </a:stretch>
                  </pic:blipFill>
                  <pic:spPr>
                    <a:xfrm>
                      <a:off x="0" y="0"/>
                      <a:ext cx="6003925" cy="3599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051550" cy="3189605"/>
            <wp:effectExtent l="0" t="0" r="6350" b="1079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rcRect t="2162" r="1080"/>
                    <a:stretch>
                      <a:fillRect/>
                    </a:stretch>
                  </pic:blipFill>
                  <pic:spPr>
                    <a:xfrm>
                      <a:off x="0" y="0"/>
                      <a:ext cx="6051550" cy="3189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6032500" cy="3228340"/>
            <wp:effectExtent l="0" t="0" r="6350" b="1016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rcRect t="5275" r="1370" b="629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3228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6080125" cy="3105785"/>
            <wp:effectExtent l="0" t="0" r="15875" b="18415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rcRect t="17694" r="519" b="5992"/>
                    <a:stretch>
                      <a:fillRect/>
                    </a:stretch>
                  </pic:blipFill>
                  <pic:spPr>
                    <a:xfrm>
                      <a:off x="0" y="0"/>
                      <a:ext cx="6080125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843" w:right="1134" w:bottom="1191" w:left="113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start="1"/>
      <w:cols w:space="0" w:num="1"/>
      <w:rtlGutter w:val="0"/>
      <w:docGrid w:type="lines" w:linePitch="32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10" w:usb3="00000000" w:csb0="0000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Arial Unicode MS">
    <w:altName w:val="宋体"/>
    <w:panose1 w:val="020B0604020202020204"/>
    <w:charset w:val="86"/>
    <w:family w:val="auto"/>
    <w:pitch w:val="default"/>
    <w:sig w:usb0="00000000" w:usb1="00000000" w:usb2="0000003F" w:usb3="00000000" w:csb0="603F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helvetica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MGDT">
    <w:panose1 w:val="02000400000000000000"/>
    <w:charset w:val="00"/>
    <w:family w:val="auto"/>
    <w:pitch w:val="default"/>
    <w:sig w:usb0="80000003" w:usb1="10000000" w:usb2="00000000" w:usb3="00000000" w:csb0="0000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47870489"/>
    </w:sdtPr>
    <w:sdtContent>
      <w:p>
        <w:pPr>
          <w:pStyle w:val="1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14</w:t>
        </w:r>
        <w:r>
          <w:fldChar w:fldCharType="end"/>
        </w:r>
      </w:p>
    </w:sdtContent>
  </w:sdt>
  <w:p>
    <w:pPr>
      <w:pStyle w:val="1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rPr>
        <w:rFonts w:hint="eastAsia"/>
      </w:rPr>
    </w:pPr>
    <w:r>
      <w:rPr>
        <w:rFonts w:hint="eastAsia"/>
        <w:lang w:val="en-US" w:eastAsia="zh-CN"/>
      </w:rPr>
      <w:t>2021年3月</w:t>
    </w:r>
    <w:r>
      <w:rPr>
        <w:rFonts w:hint="eastAsia"/>
      </w:rPr>
      <w:t>监管</w:t>
    </w:r>
    <w:r>
      <w:rPr>
        <w:rFonts w:hint="eastAsia"/>
        <w:lang w:val="en-US" w:eastAsia="zh-CN"/>
      </w:rPr>
      <w:t>月</w:t>
    </w:r>
    <w:r>
      <w:rPr>
        <w:rFonts w:hint="eastAsia"/>
      </w:rPr>
      <w:t>报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D79A251"/>
    <w:multiLevelType w:val="singleLevel"/>
    <w:tmpl w:val="DD79A25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5B5CB6A"/>
    <w:multiLevelType w:val="singleLevel"/>
    <w:tmpl w:val="F5B5CB6A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605C97B6"/>
    <w:multiLevelType w:val="singleLevel"/>
    <w:tmpl w:val="605C97B6"/>
    <w:lvl w:ilvl="0" w:tentative="0">
      <w:start w:val="2"/>
      <w:numFmt w:val="decimal"/>
      <w:suff w:val="nothing"/>
      <w:lvlText w:val="%1."/>
      <w:lvlJc w:val="left"/>
    </w:lvl>
  </w:abstractNum>
  <w:abstractNum w:abstractNumId="3">
    <w:nsid w:val="605C990D"/>
    <w:multiLevelType w:val="singleLevel"/>
    <w:tmpl w:val="605C990D"/>
    <w:lvl w:ilvl="0" w:tentative="0">
      <w:start w:val="4"/>
      <w:numFmt w:val="chineseCounting"/>
      <w:suff w:val="nothing"/>
      <w:lvlText w:val="（%1）"/>
      <w:lvlJc w:val="left"/>
    </w:lvl>
  </w:abstractNum>
  <w:abstractNum w:abstractNumId="4">
    <w:nsid w:val="60667DDD"/>
    <w:multiLevelType w:val="singleLevel"/>
    <w:tmpl w:val="60667DDD"/>
    <w:lvl w:ilvl="0" w:tentative="0">
      <w:start w:val="3"/>
      <w:numFmt w:val="chineseCounting"/>
      <w:suff w:val="nothing"/>
      <w:lvlText w:val="（%1）"/>
      <w:lvlJc w:val="left"/>
    </w:lvl>
  </w:abstractNum>
  <w:abstractNum w:abstractNumId="5">
    <w:nsid w:val="606BF94B"/>
    <w:multiLevelType w:val="singleLevel"/>
    <w:tmpl w:val="606BF94B"/>
    <w:lvl w:ilvl="0" w:tentative="0">
      <w:start w:val="2"/>
      <w:numFmt w:val="chineseCounting"/>
      <w:suff w:val="nothing"/>
      <w:lvlText w:val="（%1）"/>
      <w:lvlJc w:val="left"/>
    </w:lvl>
  </w:abstractNum>
  <w:abstractNum w:abstractNumId="6">
    <w:nsid w:val="606D17F5"/>
    <w:multiLevelType w:val="singleLevel"/>
    <w:tmpl w:val="606D17F5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4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hideSpellingErrors/>
  <w:hideGrammaticalErrors/>
  <w:documentProtection w:enforcement="0"/>
  <w:defaultTabStop w:val="420"/>
  <w:drawingGridHorizontalSpacing w:val="120"/>
  <w:drawingGridVerticalSpacing w:val="164"/>
  <w:displayHorizontalDrawingGridEvery w:val="1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420"/>
    <w:rsid w:val="00000F7A"/>
    <w:rsid w:val="000038E2"/>
    <w:rsid w:val="00004315"/>
    <w:rsid w:val="0000451D"/>
    <w:rsid w:val="00004DB8"/>
    <w:rsid w:val="00006FE2"/>
    <w:rsid w:val="00007D45"/>
    <w:rsid w:val="00007E13"/>
    <w:rsid w:val="000113FF"/>
    <w:rsid w:val="00015D60"/>
    <w:rsid w:val="00016293"/>
    <w:rsid w:val="000201AC"/>
    <w:rsid w:val="000210A0"/>
    <w:rsid w:val="00021882"/>
    <w:rsid w:val="000232A5"/>
    <w:rsid w:val="00024758"/>
    <w:rsid w:val="00025295"/>
    <w:rsid w:val="00025E05"/>
    <w:rsid w:val="00031293"/>
    <w:rsid w:val="00032008"/>
    <w:rsid w:val="0003218B"/>
    <w:rsid w:val="00032C11"/>
    <w:rsid w:val="00032C4E"/>
    <w:rsid w:val="0003483C"/>
    <w:rsid w:val="00035CD5"/>
    <w:rsid w:val="0003632A"/>
    <w:rsid w:val="00036D6D"/>
    <w:rsid w:val="00037915"/>
    <w:rsid w:val="000410FA"/>
    <w:rsid w:val="00043605"/>
    <w:rsid w:val="00045783"/>
    <w:rsid w:val="00045FC6"/>
    <w:rsid w:val="00046A43"/>
    <w:rsid w:val="00047D9F"/>
    <w:rsid w:val="00050082"/>
    <w:rsid w:val="000509C1"/>
    <w:rsid w:val="00051272"/>
    <w:rsid w:val="0005251C"/>
    <w:rsid w:val="00053FAE"/>
    <w:rsid w:val="000558CA"/>
    <w:rsid w:val="000559AB"/>
    <w:rsid w:val="00056052"/>
    <w:rsid w:val="00056E22"/>
    <w:rsid w:val="000604A4"/>
    <w:rsid w:val="00060651"/>
    <w:rsid w:val="00060EAD"/>
    <w:rsid w:val="00061031"/>
    <w:rsid w:val="00061A31"/>
    <w:rsid w:val="000644BE"/>
    <w:rsid w:val="00064C98"/>
    <w:rsid w:val="0006554D"/>
    <w:rsid w:val="00066FDF"/>
    <w:rsid w:val="000671DB"/>
    <w:rsid w:val="000708B1"/>
    <w:rsid w:val="00070F2F"/>
    <w:rsid w:val="00072911"/>
    <w:rsid w:val="0007333A"/>
    <w:rsid w:val="00074670"/>
    <w:rsid w:val="00074C16"/>
    <w:rsid w:val="0007518A"/>
    <w:rsid w:val="000852E2"/>
    <w:rsid w:val="000855FC"/>
    <w:rsid w:val="00086483"/>
    <w:rsid w:val="0008780F"/>
    <w:rsid w:val="000906DF"/>
    <w:rsid w:val="00091003"/>
    <w:rsid w:val="0009135B"/>
    <w:rsid w:val="0009184C"/>
    <w:rsid w:val="0009274C"/>
    <w:rsid w:val="00092E3B"/>
    <w:rsid w:val="00094D33"/>
    <w:rsid w:val="00095142"/>
    <w:rsid w:val="0009530A"/>
    <w:rsid w:val="0009587E"/>
    <w:rsid w:val="000A065A"/>
    <w:rsid w:val="000A148F"/>
    <w:rsid w:val="000A19CF"/>
    <w:rsid w:val="000A61C2"/>
    <w:rsid w:val="000A7566"/>
    <w:rsid w:val="000B00D7"/>
    <w:rsid w:val="000B0110"/>
    <w:rsid w:val="000B1740"/>
    <w:rsid w:val="000B2199"/>
    <w:rsid w:val="000B34ED"/>
    <w:rsid w:val="000B5F20"/>
    <w:rsid w:val="000B7873"/>
    <w:rsid w:val="000C1F36"/>
    <w:rsid w:val="000C54AC"/>
    <w:rsid w:val="000C71F0"/>
    <w:rsid w:val="000C7309"/>
    <w:rsid w:val="000C79C2"/>
    <w:rsid w:val="000D2760"/>
    <w:rsid w:val="000D37E8"/>
    <w:rsid w:val="000D397F"/>
    <w:rsid w:val="000D4D6D"/>
    <w:rsid w:val="000D4D81"/>
    <w:rsid w:val="000D53BF"/>
    <w:rsid w:val="000E0769"/>
    <w:rsid w:val="000E0C5B"/>
    <w:rsid w:val="000E1195"/>
    <w:rsid w:val="000E3D75"/>
    <w:rsid w:val="000F3A05"/>
    <w:rsid w:val="000F3ACC"/>
    <w:rsid w:val="000F3FA2"/>
    <w:rsid w:val="000F4FA0"/>
    <w:rsid w:val="000F50A4"/>
    <w:rsid w:val="001038BE"/>
    <w:rsid w:val="00103D69"/>
    <w:rsid w:val="00104539"/>
    <w:rsid w:val="00104605"/>
    <w:rsid w:val="00105AB8"/>
    <w:rsid w:val="001062E7"/>
    <w:rsid w:val="00113559"/>
    <w:rsid w:val="0011533D"/>
    <w:rsid w:val="0012059E"/>
    <w:rsid w:val="00121425"/>
    <w:rsid w:val="001214A5"/>
    <w:rsid w:val="0012172C"/>
    <w:rsid w:val="00121B8B"/>
    <w:rsid w:val="00122C79"/>
    <w:rsid w:val="00123D17"/>
    <w:rsid w:val="00126098"/>
    <w:rsid w:val="0012650A"/>
    <w:rsid w:val="00126D26"/>
    <w:rsid w:val="001279BB"/>
    <w:rsid w:val="00135D36"/>
    <w:rsid w:val="00136407"/>
    <w:rsid w:val="00136E3A"/>
    <w:rsid w:val="00140BA9"/>
    <w:rsid w:val="00142843"/>
    <w:rsid w:val="00143993"/>
    <w:rsid w:val="001439D7"/>
    <w:rsid w:val="00143FBE"/>
    <w:rsid w:val="001476BC"/>
    <w:rsid w:val="0015014A"/>
    <w:rsid w:val="00150CBA"/>
    <w:rsid w:val="00151EC2"/>
    <w:rsid w:val="00156EBC"/>
    <w:rsid w:val="001573CA"/>
    <w:rsid w:val="00160A3D"/>
    <w:rsid w:val="00162EB1"/>
    <w:rsid w:val="0016392F"/>
    <w:rsid w:val="001643E8"/>
    <w:rsid w:val="001652F8"/>
    <w:rsid w:val="0016586A"/>
    <w:rsid w:val="00166E1E"/>
    <w:rsid w:val="00166E72"/>
    <w:rsid w:val="00172B3E"/>
    <w:rsid w:val="00176373"/>
    <w:rsid w:val="001872CB"/>
    <w:rsid w:val="001943F0"/>
    <w:rsid w:val="00195B1A"/>
    <w:rsid w:val="0019757F"/>
    <w:rsid w:val="001A331C"/>
    <w:rsid w:val="001A61BD"/>
    <w:rsid w:val="001A7211"/>
    <w:rsid w:val="001A76FC"/>
    <w:rsid w:val="001B07F0"/>
    <w:rsid w:val="001B215D"/>
    <w:rsid w:val="001B243F"/>
    <w:rsid w:val="001B24F5"/>
    <w:rsid w:val="001B4822"/>
    <w:rsid w:val="001B48ED"/>
    <w:rsid w:val="001B4C23"/>
    <w:rsid w:val="001C016A"/>
    <w:rsid w:val="001C1666"/>
    <w:rsid w:val="001C1747"/>
    <w:rsid w:val="001C5F16"/>
    <w:rsid w:val="001D2127"/>
    <w:rsid w:val="001D2862"/>
    <w:rsid w:val="001D350F"/>
    <w:rsid w:val="001D74C2"/>
    <w:rsid w:val="001D753D"/>
    <w:rsid w:val="001E0CBC"/>
    <w:rsid w:val="001E23B2"/>
    <w:rsid w:val="001E59B5"/>
    <w:rsid w:val="001E5D91"/>
    <w:rsid w:val="001F083E"/>
    <w:rsid w:val="001F1491"/>
    <w:rsid w:val="001F4F2F"/>
    <w:rsid w:val="001F5FA0"/>
    <w:rsid w:val="001F60CA"/>
    <w:rsid w:val="001F7D54"/>
    <w:rsid w:val="0020444D"/>
    <w:rsid w:val="00205064"/>
    <w:rsid w:val="0020516C"/>
    <w:rsid w:val="00206D66"/>
    <w:rsid w:val="0021072F"/>
    <w:rsid w:val="00210F2A"/>
    <w:rsid w:val="0021300C"/>
    <w:rsid w:val="002151B5"/>
    <w:rsid w:val="00215FE6"/>
    <w:rsid w:val="002164C2"/>
    <w:rsid w:val="00220868"/>
    <w:rsid w:val="002234FF"/>
    <w:rsid w:val="0022508F"/>
    <w:rsid w:val="0022531E"/>
    <w:rsid w:val="00226311"/>
    <w:rsid w:val="002266C6"/>
    <w:rsid w:val="00227324"/>
    <w:rsid w:val="00230075"/>
    <w:rsid w:val="0023140F"/>
    <w:rsid w:val="00234149"/>
    <w:rsid w:val="00235001"/>
    <w:rsid w:val="00236F2E"/>
    <w:rsid w:val="002370C4"/>
    <w:rsid w:val="00241FFB"/>
    <w:rsid w:val="00242E31"/>
    <w:rsid w:val="00245651"/>
    <w:rsid w:val="00247F31"/>
    <w:rsid w:val="00250C18"/>
    <w:rsid w:val="00254D6F"/>
    <w:rsid w:val="00255A72"/>
    <w:rsid w:val="002605F9"/>
    <w:rsid w:val="00262309"/>
    <w:rsid w:val="0026255E"/>
    <w:rsid w:val="00263715"/>
    <w:rsid w:val="002643BD"/>
    <w:rsid w:val="00270811"/>
    <w:rsid w:val="00272AC6"/>
    <w:rsid w:val="00272E8C"/>
    <w:rsid w:val="002735D5"/>
    <w:rsid w:val="00276595"/>
    <w:rsid w:val="00280195"/>
    <w:rsid w:val="00280543"/>
    <w:rsid w:val="00280E4F"/>
    <w:rsid w:val="00282D5E"/>
    <w:rsid w:val="00283023"/>
    <w:rsid w:val="002913EB"/>
    <w:rsid w:val="00292093"/>
    <w:rsid w:val="002932A2"/>
    <w:rsid w:val="002938D7"/>
    <w:rsid w:val="00293A93"/>
    <w:rsid w:val="002951DD"/>
    <w:rsid w:val="002973B8"/>
    <w:rsid w:val="002A08BF"/>
    <w:rsid w:val="002A139E"/>
    <w:rsid w:val="002A17D0"/>
    <w:rsid w:val="002A4D11"/>
    <w:rsid w:val="002B0AFD"/>
    <w:rsid w:val="002B1253"/>
    <w:rsid w:val="002B16C0"/>
    <w:rsid w:val="002B17EB"/>
    <w:rsid w:val="002B1935"/>
    <w:rsid w:val="002C0480"/>
    <w:rsid w:val="002C1DD1"/>
    <w:rsid w:val="002C370C"/>
    <w:rsid w:val="002C6D02"/>
    <w:rsid w:val="002C7795"/>
    <w:rsid w:val="002D032A"/>
    <w:rsid w:val="002D0503"/>
    <w:rsid w:val="002D1E81"/>
    <w:rsid w:val="002D22EB"/>
    <w:rsid w:val="002D22FB"/>
    <w:rsid w:val="002D2811"/>
    <w:rsid w:val="002D2CC9"/>
    <w:rsid w:val="002D3986"/>
    <w:rsid w:val="002D3D76"/>
    <w:rsid w:val="002D65A4"/>
    <w:rsid w:val="002E0470"/>
    <w:rsid w:val="002E05AB"/>
    <w:rsid w:val="002E2933"/>
    <w:rsid w:val="002E2C63"/>
    <w:rsid w:val="002E2D55"/>
    <w:rsid w:val="002E514A"/>
    <w:rsid w:val="002E5449"/>
    <w:rsid w:val="002E600D"/>
    <w:rsid w:val="002E69B8"/>
    <w:rsid w:val="002F13CA"/>
    <w:rsid w:val="002F219F"/>
    <w:rsid w:val="002F6158"/>
    <w:rsid w:val="002F7CC7"/>
    <w:rsid w:val="003001A5"/>
    <w:rsid w:val="003028D3"/>
    <w:rsid w:val="0030313E"/>
    <w:rsid w:val="00307EF8"/>
    <w:rsid w:val="00314C8B"/>
    <w:rsid w:val="00316CF8"/>
    <w:rsid w:val="00324D6D"/>
    <w:rsid w:val="003261C5"/>
    <w:rsid w:val="00326591"/>
    <w:rsid w:val="00327DFE"/>
    <w:rsid w:val="00330AB5"/>
    <w:rsid w:val="0033182B"/>
    <w:rsid w:val="00333BEB"/>
    <w:rsid w:val="003347ED"/>
    <w:rsid w:val="00335123"/>
    <w:rsid w:val="0033538D"/>
    <w:rsid w:val="00335A87"/>
    <w:rsid w:val="00336FD0"/>
    <w:rsid w:val="00342F5B"/>
    <w:rsid w:val="00343658"/>
    <w:rsid w:val="00345D8B"/>
    <w:rsid w:val="003474D3"/>
    <w:rsid w:val="00347621"/>
    <w:rsid w:val="00350453"/>
    <w:rsid w:val="00350B70"/>
    <w:rsid w:val="00351D21"/>
    <w:rsid w:val="00353827"/>
    <w:rsid w:val="0035440B"/>
    <w:rsid w:val="0035450D"/>
    <w:rsid w:val="003569BA"/>
    <w:rsid w:val="0036102E"/>
    <w:rsid w:val="00365DEE"/>
    <w:rsid w:val="003660C2"/>
    <w:rsid w:val="00366740"/>
    <w:rsid w:val="00370776"/>
    <w:rsid w:val="00373AD6"/>
    <w:rsid w:val="00374CD3"/>
    <w:rsid w:val="003751F3"/>
    <w:rsid w:val="003757BD"/>
    <w:rsid w:val="00376CD8"/>
    <w:rsid w:val="003806B6"/>
    <w:rsid w:val="00381B86"/>
    <w:rsid w:val="00382623"/>
    <w:rsid w:val="0038616A"/>
    <w:rsid w:val="00390C30"/>
    <w:rsid w:val="0039225A"/>
    <w:rsid w:val="00393646"/>
    <w:rsid w:val="00394EB0"/>
    <w:rsid w:val="003961A4"/>
    <w:rsid w:val="003971B6"/>
    <w:rsid w:val="00397E9B"/>
    <w:rsid w:val="003A0B0C"/>
    <w:rsid w:val="003A1B83"/>
    <w:rsid w:val="003A38C6"/>
    <w:rsid w:val="003A4EFD"/>
    <w:rsid w:val="003A6299"/>
    <w:rsid w:val="003A717E"/>
    <w:rsid w:val="003A7973"/>
    <w:rsid w:val="003A7E2C"/>
    <w:rsid w:val="003B08FD"/>
    <w:rsid w:val="003B1B19"/>
    <w:rsid w:val="003B3012"/>
    <w:rsid w:val="003B4B14"/>
    <w:rsid w:val="003B7FBE"/>
    <w:rsid w:val="003C120D"/>
    <w:rsid w:val="003C42F1"/>
    <w:rsid w:val="003C4E49"/>
    <w:rsid w:val="003C791D"/>
    <w:rsid w:val="003D023B"/>
    <w:rsid w:val="003D2563"/>
    <w:rsid w:val="003D3F34"/>
    <w:rsid w:val="003D4673"/>
    <w:rsid w:val="003D49FD"/>
    <w:rsid w:val="003D4D16"/>
    <w:rsid w:val="003D7722"/>
    <w:rsid w:val="003E010B"/>
    <w:rsid w:val="003E03F6"/>
    <w:rsid w:val="003E1AD9"/>
    <w:rsid w:val="003E26D8"/>
    <w:rsid w:val="003E2E02"/>
    <w:rsid w:val="003E4C38"/>
    <w:rsid w:val="003E51A2"/>
    <w:rsid w:val="003E69F3"/>
    <w:rsid w:val="003E6AA9"/>
    <w:rsid w:val="003E716B"/>
    <w:rsid w:val="003E7EE3"/>
    <w:rsid w:val="003F361C"/>
    <w:rsid w:val="003F5A04"/>
    <w:rsid w:val="003F6561"/>
    <w:rsid w:val="00400942"/>
    <w:rsid w:val="00400D81"/>
    <w:rsid w:val="004017C1"/>
    <w:rsid w:val="004025D7"/>
    <w:rsid w:val="00407E0E"/>
    <w:rsid w:val="00410B37"/>
    <w:rsid w:val="00410B9D"/>
    <w:rsid w:val="004128BB"/>
    <w:rsid w:val="0041450E"/>
    <w:rsid w:val="004152D7"/>
    <w:rsid w:val="0041557D"/>
    <w:rsid w:val="004176DD"/>
    <w:rsid w:val="00417D1F"/>
    <w:rsid w:val="00421A64"/>
    <w:rsid w:val="00421F2A"/>
    <w:rsid w:val="004248E2"/>
    <w:rsid w:val="00425C37"/>
    <w:rsid w:val="00425D04"/>
    <w:rsid w:val="0043150B"/>
    <w:rsid w:val="00432204"/>
    <w:rsid w:val="00433F9D"/>
    <w:rsid w:val="004422DE"/>
    <w:rsid w:val="0044230F"/>
    <w:rsid w:val="004446AB"/>
    <w:rsid w:val="00444CC5"/>
    <w:rsid w:val="004454F7"/>
    <w:rsid w:val="00445F4F"/>
    <w:rsid w:val="00447C83"/>
    <w:rsid w:val="00447E4B"/>
    <w:rsid w:val="004501E1"/>
    <w:rsid w:val="00450843"/>
    <w:rsid w:val="0045192B"/>
    <w:rsid w:val="00457F28"/>
    <w:rsid w:val="004619EB"/>
    <w:rsid w:val="00462AEE"/>
    <w:rsid w:val="0046440F"/>
    <w:rsid w:val="00465548"/>
    <w:rsid w:val="0046580A"/>
    <w:rsid w:val="00466FDE"/>
    <w:rsid w:val="0047031D"/>
    <w:rsid w:val="00473365"/>
    <w:rsid w:val="0047363E"/>
    <w:rsid w:val="00474A17"/>
    <w:rsid w:val="00476C54"/>
    <w:rsid w:val="004771A2"/>
    <w:rsid w:val="00480927"/>
    <w:rsid w:val="00483E55"/>
    <w:rsid w:val="004851BC"/>
    <w:rsid w:val="00485D7F"/>
    <w:rsid w:val="00486FC9"/>
    <w:rsid w:val="004901BE"/>
    <w:rsid w:val="00491DA3"/>
    <w:rsid w:val="00493D19"/>
    <w:rsid w:val="004A0B70"/>
    <w:rsid w:val="004A4B9A"/>
    <w:rsid w:val="004A604D"/>
    <w:rsid w:val="004B0FD4"/>
    <w:rsid w:val="004B33BF"/>
    <w:rsid w:val="004B353A"/>
    <w:rsid w:val="004B4D79"/>
    <w:rsid w:val="004B6F46"/>
    <w:rsid w:val="004C1F9B"/>
    <w:rsid w:val="004C2404"/>
    <w:rsid w:val="004C2B34"/>
    <w:rsid w:val="004C4CAD"/>
    <w:rsid w:val="004C4F3D"/>
    <w:rsid w:val="004C52FD"/>
    <w:rsid w:val="004C7516"/>
    <w:rsid w:val="004D1573"/>
    <w:rsid w:val="004D34C9"/>
    <w:rsid w:val="004D5545"/>
    <w:rsid w:val="004D58A2"/>
    <w:rsid w:val="004D72EC"/>
    <w:rsid w:val="004E15F0"/>
    <w:rsid w:val="004E196E"/>
    <w:rsid w:val="004E2F76"/>
    <w:rsid w:val="004E3A7C"/>
    <w:rsid w:val="004E3EEE"/>
    <w:rsid w:val="004E40BD"/>
    <w:rsid w:val="004E5504"/>
    <w:rsid w:val="004E75D3"/>
    <w:rsid w:val="004F033E"/>
    <w:rsid w:val="004F0A8E"/>
    <w:rsid w:val="004F129D"/>
    <w:rsid w:val="004F1C12"/>
    <w:rsid w:val="004F26DA"/>
    <w:rsid w:val="004F26E0"/>
    <w:rsid w:val="004F4CEA"/>
    <w:rsid w:val="004F66A6"/>
    <w:rsid w:val="004F6CDB"/>
    <w:rsid w:val="004F6F34"/>
    <w:rsid w:val="004F78F6"/>
    <w:rsid w:val="005029CA"/>
    <w:rsid w:val="00504E31"/>
    <w:rsid w:val="00505551"/>
    <w:rsid w:val="00506BDF"/>
    <w:rsid w:val="00510254"/>
    <w:rsid w:val="00510B75"/>
    <w:rsid w:val="0051292E"/>
    <w:rsid w:val="00512D50"/>
    <w:rsid w:val="0051422B"/>
    <w:rsid w:val="0051445E"/>
    <w:rsid w:val="00514879"/>
    <w:rsid w:val="005179FA"/>
    <w:rsid w:val="0052063D"/>
    <w:rsid w:val="00521CE7"/>
    <w:rsid w:val="0052214E"/>
    <w:rsid w:val="005239DD"/>
    <w:rsid w:val="00523C8C"/>
    <w:rsid w:val="00525A12"/>
    <w:rsid w:val="00527B32"/>
    <w:rsid w:val="00530C70"/>
    <w:rsid w:val="00530CD3"/>
    <w:rsid w:val="00530CF0"/>
    <w:rsid w:val="00531399"/>
    <w:rsid w:val="005334A5"/>
    <w:rsid w:val="00534F27"/>
    <w:rsid w:val="0053745A"/>
    <w:rsid w:val="00541C59"/>
    <w:rsid w:val="0054447F"/>
    <w:rsid w:val="00544987"/>
    <w:rsid w:val="00545976"/>
    <w:rsid w:val="00545F95"/>
    <w:rsid w:val="00553547"/>
    <w:rsid w:val="00556251"/>
    <w:rsid w:val="00556726"/>
    <w:rsid w:val="00557FE0"/>
    <w:rsid w:val="00561426"/>
    <w:rsid w:val="005645B9"/>
    <w:rsid w:val="005651C8"/>
    <w:rsid w:val="00565BB8"/>
    <w:rsid w:val="00565DEC"/>
    <w:rsid w:val="00567D3E"/>
    <w:rsid w:val="005714FD"/>
    <w:rsid w:val="00571AD8"/>
    <w:rsid w:val="0057287F"/>
    <w:rsid w:val="00573619"/>
    <w:rsid w:val="00574CE2"/>
    <w:rsid w:val="005757B7"/>
    <w:rsid w:val="00576A3E"/>
    <w:rsid w:val="00581287"/>
    <w:rsid w:val="005812F2"/>
    <w:rsid w:val="005816BA"/>
    <w:rsid w:val="00582777"/>
    <w:rsid w:val="00586A7B"/>
    <w:rsid w:val="00587300"/>
    <w:rsid w:val="0058752B"/>
    <w:rsid w:val="005930CF"/>
    <w:rsid w:val="005944DB"/>
    <w:rsid w:val="005969AE"/>
    <w:rsid w:val="005A01ED"/>
    <w:rsid w:val="005A0BD8"/>
    <w:rsid w:val="005A1124"/>
    <w:rsid w:val="005A156F"/>
    <w:rsid w:val="005A157D"/>
    <w:rsid w:val="005A2664"/>
    <w:rsid w:val="005A2903"/>
    <w:rsid w:val="005A2D73"/>
    <w:rsid w:val="005A4A79"/>
    <w:rsid w:val="005A6E97"/>
    <w:rsid w:val="005B18FF"/>
    <w:rsid w:val="005B2539"/>
    <w:rsid w:val="005B28DD"/>
    <w:rsid w:val="005B32D8"/>
    <w:rsid w:val="005B35D8"/>
    <w:rsid w:val="005B3B2E"/>
    <w:rsid w:val="005B5EE9"/>
    <w:rsid w:val="005B622F"/>
    <w:rsid w:val="005B74AF"/>
    <w:rsid w:val="005C0E1A"/>
    <w:rsid w:val="005C1AB8"/>
    <w:rsid w:val="005C1F94"/>
    <w:rsid w:val="005C22AA"/>
    <w:rsid w:val="005C32AE"/>
    <w:rsid w:val="005C3D84"/>
    <w:rsid w:val="005C568B"/>
    <w:rsid w:val="005C7D5A"/>
    <w:rsid w:val="005D49A7"/>
    <w:rsid w:val="005D7F0A"/>
    <w:rsid w:val="005E0786"/>
    <w:rsid w:val="005E0881"/>
    <w:rsid w:val="005E1B6A"/>
    <w:rsid w:val="005E2785"/>
    <w:rsid w:val="005E2CFC"/>
    <w:rsid w:val="005E42D9"/>
    <w:rsid w:val="005E430E"/>
    <w:rsid w:val="005E4B56"/>
    <w:rsid w:val="005F01C9"/>
    <w:rsid w:val="005F39BB"/>
    <w:rsid w:val="006006C6"/>
    <w:rsid w:val="006040E2"/>
    <w:rsid w:val="00614261"/>
    <w:rsid w:val="006165B8"/>
    <w:rsid w:val="00620127"/>
    <w:rsid w:val="00620803"/>
    <w:rsid w:val="00621CB5"/>
    <w:rsid w:val="006224E1"/>
    <w:rsid w:val="00622682"/>
    <w:rsid w:val="00623015"/>
    <w:rsid w:val="00627926"/>
    <w:rsid w:val="00627B9A"/>
    <w:rsid w:val="00630B5B"/>
    <w:rsid w:val="00631DC5"/>
    <w:rsid w:val="006323F9"/>
    <w:rsid w:val="006351F8"/>
    <w:rsid w:val="006359D9"/>
    <w:rsid w:val="00636CEC"/>
    <w:rsid w:val="00637234"/>
    <w:rsid w:val="006375CB"/>
    <w:rsid w:val="00637F21"/>
    <w:rsid w:val="00640E30"/>
    <w:rsid w:val="006423CD"/>
    <w:rsid w:val="0064242B"/>
    <w:rsid w:val="0064250D"/>
    <w:rsid w:val="00642790"/>
    <w:rsid w:val="00643D84"/>
    <w:rsid w:val="0064759E"/>
    <w:rsid w:val="0064794D"/>
    <w:rsid w:val="00650A20"/>
    <w:rsid w:val="00650B3A"/>
    <w:rsid w:val="00650D61"/>
    <w:rsid w:val="00651864"/>
    <w:rsid w:val="00651E0A"/>
    <w:rsid w:val="0065401D"/>
    <w:rsid w:val="00654C28"/>
    <w:rsid w:val="00656E12"/>
    <w:rsid w:val="0065790A"/>
    <w:rsid w:val="00660594"/>
    <w:rsid w:val="00660CB5"/>
    <w:rsid w:val="00662C74"/>
    <w:rsid w:val="00663DEF"/>
    <w:rsid w:val="006647B3"/>
    <w:rsid w:val="00664AD9"/>
    <w:rsid w:val="006654A3"/>
    <w:rsid w:val="006670C9"/>
    <w:rsid w:val="006712C5"/>
    <w:rsid w:val="00671524"/>
    <w:rsid w:val="0067227B"/>
    <w:rsid w:val="00674C0F"/>
    <w:rsid w:val="00675DA0"/>
    <w:rsid w:val="006772E0"/>
    <w:rsid w:val="00682059"/>
    <w:rsid w:val="006833A1"/>
    <w:rsid w:val="00685072"/>
    <w:rsid w:val="00686081"/>
    <w:rsid w:val="0068615A"/>
    <w:rsid w:val="0068735A"/>
    <w:rsid w:val="00687466"/>
    <w:rsid w:val="00690C83"/>
    <w:rsid w:val="00696C1A"/>
    <w:rsid w:val="00697254"/>
    <w:rsid w:val="00697375"/>
    <w:rsid w:val="006977C6"/>
    <w:rsid w:val="006A0429"/>
    <w:rsid w:val="006A36B3"/>
    <w:rsid w:val="006A3E0C"/>
    <w:rsid w:val="006A5C85"/>
    <w:rsid w:val="006A6DB3"/>
    <w:rsid w:val="006A737A"/>
    <w:rsid w:val="006A79C2"/>
    <w:rsid w:val="006B337E"/>
    <w:rsid w:val="006B3D83"/>
    <w:rsid w:val="006B4F41"/>
    <w:rsid w:val="006B5E9A"/>
    <w:rsid w:val="006B6383"/>
    <w:rsid w:val="006B6DB6"/>
    <w:rsid w:val="006C31CA"/>
    <w:rsid w:val="006C4166"/>
    <w:rsid w:val="006C44A4"/>
    <w:rsid w:val="006C5DF3"/>
    <w:rsid w:val="006C66C9"/>
    <w:rsid w:val="006C7EC5"/>
    <w:rsid w:val="006C7F20"/>
    <w:rsid w:val="006D075E"/>
    <w:rsid w:val="006D0ACB"/>
    <w:rsid w:val="006D0F69"/>
    <w:rsid w:val="006D1684"/>
    <w:rsid w:val="006D2512"/>
    <w:rsid w:val="006D28CC"/>
    <w:rsid w:val="006D367B"/>
    <w:rsid w:val="006D3684"/>
    <w:rsid w:val="006D49D1"/>
    <w:rsid w:val="006D4D82"/>
    <w:rsid w:val="006D5B25"/>
    <w:rsid w:val="006D6542"/>
    <w:rsid w:val="006D6B24"/>
    <w:rsid w:val="006D7CAA"/>
    <w:rsid w:val="006E0363"/>
    <w:rsid w:val="006E0A78"/>
    <w:rsid w:val="006E1FE6"/>
    <w:rsid w:val="006E228B"/>
    <w:rsid w:val="006E2B47"/>
    <w:rsid w:val="006E340E"/>
    <w:rsid w:val="006E38B5"/>
    <w:rsid w:val="006E4470"/>
    <w:rsid w:val="006E44AE"/>
    <w:rsid w:val="006E5EEF"/>
    <w:rsid w:val="006E5F42"/>
    <w:rsid w:val="006E65F8"/>
    <w:rsid w:val="006F04CD"/>
    <w:rsid w:val="006F1517"/>
    <w:rsid w:val="0070009B"/>
    <w:rsid w:val="007004DF"/>
    <w:rsid w:val="00701B17"/>
    <w:rsid w:val="00705609"/>
    <w:rsid w:val="00705E9D"/>
    <w:rsid w:val="00707A63"/>
    <w:rsid w:val="00707B91"/>
    <w:rsid w:val="00715803"/>
    <w:rsid w:val="00715F87"/>
    <w:rsid w:val="00716402"/>
    <w:rsid w:val="00721474"/>
    <w:rsid w:val="007217A0"/>
    <w:rsid w:val="00721A05"/>
    <w:rsid w:val="0072228F"/>
    <w:rsid w:val="0072313F"/>
    <w:rsid w:val="00723613"/>
    <w:rsid w:val="00723AA0"/>
    <w:rsid w:val="00723E28"/>
    <w:rsid w:val="00724270"/>
    <w:rsid w:val="007265B2"/>
    <w:rsid w:val="00726956"/>
    <w:rsid w:val="00731518"/>
    <w:rsid w:val="00733FC2"/>
    <w:rsid w:val="00735C2E"/>
    <w:rsid w:val="00736685"/>
    <w:rsid w:val="00741F02"/>
    <w:rsid w:val="0074206B"/>
    <w:rsid w:val="007420E3"/>
    <w:rsid w:val="007422D1"/>
    <w:rsid w:val="00743E07"/>
    <w:rsid w:val="007453F1"/>
    <w:rsid w:val="00745CF1"/>
    <w:rsid w:val="007463E0"/>
    <w:rsid w:val="00746987"/>
    <w:rsid w:val="00746A7C"/>
    <w:rsid w:val="00751354"/>
    <w:rsid w:val="007516AE"/>
    <w:rsid w:val="00752CD4"/>
    <w:rsid w:val="00752EE7"/>
    <w:rsid w:val="00754F32"/>
    <w:rsid w:val="00756ADE"/>
    <w:rsid w:val="00757A64"/>
    <w:rsid w:val="00761761"/>
    <w:rsid w:val="00762CEC"/>
    <w:rsid w:val="0076343A"/>
    <w:rsid w:val="00763493"/>
    <w:rsid w:val="00765C77"/>
    <w:rsid w:val="00765C9D"/>
    <w:rsid w:val="00766AA1"/>
    <w:rsid w:val="00766D5C"/>
    <w:rsid w:val="0076763E"/>
    <w:rsid w:val="00767825"/>
    <w:rsid w:val="00767C64"/>
    <w:rsid w:val="007733A3"/>
    <w:rsid w:val="00774608"/>
    <w:rsid w:val="00774A6C"/>
    <w:rsid w:val="00774BF5"/>
    <w:rsid w:val="00776F83"/>
    <w:rsid w:val="00777458"/>
    <w:rsid w:val="00777840"/>
    <w:rsid w:val="00781FC1"/>
    <w:rsid w:val="007822F6"/>
    <w:rsid w:val="00783A3B"/>
    <w:rsid w:val="00783BDB"/>
    <w:rsid w:val="00784087"/>
    <w:rsid w:val="0078424B"/>
    <w:rsid w:val="00784CDD"/>
    <w:rsid w:val="007852C3"/>
    <w:rsid w:val="00790510"/>
    <w:rsid w:val="007931C6"/>
    <w:rsid w:val="00793732"/>
    <w:rsid w:val="00795C64"/>
    <w:rsid w:val="007A1268"/>
    <w:rsid w:val="007A1ED7"/>
    <w:rsid w:val="007A2362"/>
    <w:rsid w:val="007A323F"/>
    <w:rsid w:val="007A3AD7"/>
    <w:rsid w:val="007B00C7"/>
    <w:rsid w:val="007B08D6"/>
    <w:rsid w:val="007B0EC5"/>
    <w:rsid w:val="007B3745"/>
    <w:rsid w:val="007B7769"/>
    <w:rsid w:val="007C00BE"/>
    <w:rsid w:val="007C3F6C"/>
    <w:rsid w:val="007C6DEC"/>
    <w:rsid w:val="007D0C7C"/>
    <w:rsid w:val="007D1152"/>
    <w:rsid w:val="007D2C05"/>
    <w:rsid w:val="007D3E80"/>
    <w:rsid w:val="007D5145"/>
    <w:rsid w:val="007D7168"/>
    <w:rsid w:val="007E0F98"/>
    <w:rsid w:val="007E17C5"/>
    <w:rsid w:val="007E19C4"/>
    <w:rsid w:val="007E1B73"/>
    <w:rsid w:val="007E3F21"/>
    <w:rsid w:val="007E4B7E"/>
    <w:rsid w:val="007E52AF"/>
    <w:rsid w:val="007E5310"/>
    <w:rsid w:val="007F1CAC"/>
    <w:rsid w:val="007F4ED6"/>
    <w:rsid w:val="007F55A1"/>
    <w:rsid w:val="00800008"/>
    <w:rsid w:val="00800D0A"/>
    <w:rsid w:val="00801BE7"/>
    <w:rsid w:val="00803F9D"/>
    <w:rsid w:val="0080407D"/>
    <w:rsid w:val="00805484"/>
    <w:rsid w:val="008062D3"/>
    <w:rsid w:val="008064AA"/>
    <w:rsid w:val="008069E3"/>
    <w:rsid w:val="00806EA2"/>
    <w:rsid w:val="0081068A"/>
    <w:rsid w:val="00811A47"/>
    <w:rsid w:val="00816E63"/>
    <w:rsid w:val="008171F5"/>
    <w:rsid w:val="00821383"/>
    <w:rsid w:val="0082233A"/>
    <w:rsid w:val="00824783"/>
    <w:rsid w:val="00824979"/>
    <w:rsid w:val="00824E0A"/>
    <w:rsid w:val="008253BC"/>
    <w:rsid w:val="008259C6"/>
    <w:rsid w:val="00832D7D"/>
    <w:rsid w:val="008343AC"/>
    <w:rsid w:val="008346F5"/>
    <w:rsid w:val="00834951"/>
    <w:rsid w:val="00837A26"/>
    <w:rsid w:val="00837C2C"/>
    <w:rsid w:val="00841BCA"/>
    <w:rsid w:val="00843564"/>
    <w:rsid w:val="00845A01"/>
    <w:rsid w:val="008527EE"/>
    <w:rsid w:val="00852DF4"/>
    <w:rsid w:val="00853041"/>
    <w:rsid w:val="00853D1E"/>
    <w:rsid w:val="00857F89"/>
    <w:rsid w:val="0086376D"/>
    <w:rsid w:val="00863EC4"/>
    <w:rsid w:val="008664EE"/>
    <w:rsid w:val="008704F1"/>
    <w:rsid w:val="0087058F"/>
    <w:rsid w:val="0087083D"/>
    <w:rsid w:val="0087145F"/>
    <w:rsid w:val="008747CD"/>
    <w:rsid w:val="00874A38"/>
    <w:rsid w:val="00874B61"/>
    <w:rsid w:val="00877909"/>
    <w:rsid w:val="00882689"/>
    <w:rsid w:val="0088291B"/>
    <w:rsid w:val="00883AC2"/>
    <w:rsid w:val="0088442C"/>
    <w:rsid w:val="00884D21"/>
    <w:rsid w:val="008857EA"/>
    <w:rsid w:val="0088621A"/>
    <w:rsid w:val="00886EAD"/>
    <w:rsid w:val="008900BB"/>
    <w:rsid w:val="008969A7"/>
    <w:rsid w:val="008A6748"/>
    <w:rsid w:val="008B0014"/>
    <w:rsid w:val="008B07AA"/>
    <w:rsid w:val="008B0C3E"/>
    <w:rsid w:val="008B1D51"/>
    <w:rsid w:val="008B2356"/>
    <w:rsid w:val="008B49BB"/>
    <w:rsid w:val="008B6392"/>
    <w:rsid w:val="008B67FE"/>
    <w:rsid w:val="008C0424"/>
    <w:rsid w:val="008C0441"/>
    <w:rsid w:val="008C1717"/>
    <w:rsid w:val="008C17DC"/>
    <w:rsid w:val="008C17E3"/>
    <w:rsid w:val="008C18BC"/>
    <w:rsid w:val="008C2833"/>
    <w:rsid w:val="008C30E6"/>
    <w:rsid w:val="008C3E3B"/>
    <w:rsid w:val="008C5141"/>
    <w:rsid w:val="008C7DBD"/>
    <w:rsid w:val="008D0DEE"/>
    <w:rsid w:val="008D6640"/>
    <w:rsid w:val="008E0F78"/>
    <w:rsid w:val="008E2B86"/>
    <w:rsid w:val="008E398E"/>
    <w:rsid w:val="008E4BD1"/>
    <w:rsid w:val="008E5F74"/>
    <w:rsid w:val="008E701C"/>
    <w:rsid w:val="008F0AF2"/>
    <w:rsid w:val="008F19E7"/>
    <w:rsid w:val="008F27CB"/>
    <w:rsid w:val="008F2F49"/>
    <w:rsid w:val="008F4430"/>
    <w:rsid w:val="008F5A75"/>
    <w:rsid w:val="008F5E7D"/>
    <w:rsid w:val="008F7CD7"/>
    <w:rsid w:val="00901C25"/>
    <w:rsid w:val="00902996"/>
    <w:rsid w:val="00903F87"/>
    <w:rsid w:val="009076EE"/>
    <w:rsid w:val="009149AC"/>
    <w:rsid w:val="009164BE"/>
    <w:rsid w:val="009177B8"/>
    <w:rsid w:val="00917A2E"/>
    <w:rsid w:val="00917C0E"/>
    <w:rsid w:val="0092186F"/>
    <w:rsid w:val="009229C5"/>
    <w:rsid w:val="0092329E"/>
    <w:rsid w:val="0092391E"/>
    <w:rsid w:val="00924A9B"/>
    <w:rsid w:val="0092597C"/>
    <w:rsid w:val="00926187"/>
    <w:rsid w:val="00927F4B"/>
    <w:rsid w:val="00931895"/>
    <w:rsid w:val="00933331"/>
    <w:rsid w:val="0093469A"/>
    <w:rsid w:val="00936675"/>
    <w:rsid w:val="00937140"/>
    <w:rsid w:val="009417FA"/>
    <w:rsid w:val="00942993"/>
    <w:rsid w:val="009429F4"/>
    <w:rsid w:val="00943622"/>
    <w:rsid w:val="00946F67"/>
    <w:rsid w:val="00950634"/>
    <w:rsid w:val="00950BEE"/>
    <w:rsid w:val="00950F88"/>
    <w:rsid w:val="009541D7"/>
    <w:rsid w:val="00955CA5"/>
    <w:rsid w:val="00955E80"/>
    <w:rsid w:val="0095746B"/>
    <w:rsid w:val="00957EC5"/>
    <w:rsid w:val="00960F0E"/>
    <w:rsid w:val="009620BB"/>
    <w:rsid w:val="00963595"/>
    <w:rsid w:val="00963A38"/>
    <w:rsid w:val="009655EA"/>
    <w:rsid w:val="009712F0"/>
    <w:rsid w:val="0097175D"/>
    <w:rsid w:val="00971F37"/>
    <w:rsid w:val="009721C6"/>
    <w:rsid w:val="009724DB"/>
    <w:rsid w:val="00974C63"/>
    <w:rsid w:val="00974F9B"/>
    <w:rsid w:val="009777BF"/>
    <w:rsid w:val="00980150"/>
    <w:rsid w:val="00980218"/>
    <w:rsid w:val="009806F4"/>
    <w:rsid w:val="00982E42"/>
    <w:rsid w:val="009837AF"/>
    <w:rsid w:val="00984972"/>
    <w:rsid w:val="00985347"/>
    <w:rsid w:val="00985783"/>
    <w:rsid w:val="0098755E"/>
    <w:rsid w:val="0099089C"/>
    <w:rsid w:val="00990B50"/>
    <w:rsid w:val="00992065"/>
    <w:rsid w:val="009939B2"/>
    <w:rsid w:val="0099510B"/>
    <w:rsid w:val="009978D7"/>
    <w:rsid w:val="009A03DF"/>
    <w:rsid w:val="009A30DD"/>
    <w:rsid w:val="009B0B28"/>
    <w:rsid w:val="009B0B4F"/>
    <w:rsid w:val="009B2353"/>
    <w:rsid w:val="009B2E95"/>
    <w:rsid w:val="009B705B"/>
    <w:rsid w:val="009B72DA"/>
    <w:rsid w:val="009C2E6E"/>
    <w:rsid w:val="009C6359"/>
    <w:rsid w:val="009C7E58"/>
    <w:rsid w:val="009D1581"/>
    <w:rsid w:val="009D2297"/>
    <w:rsid w:val="009D3782"/>
    <w:rsid w:val="009D3A96"/>
    <w:rsid w:val="009D3AE2"/>
    <w:rsid w:val="009D3AE9"/>
    <w:rsid w:val="009D4DFA"/>
    <w:rsid w:val="009D609C"/>
    <w:rsid w:val="009D636B"/>
    <w:rsid w:val="009D65DA"/>
    <w:rsid w:val="009D74CE"/>
    <w:rsid w:val="009D7FEA"/>
    <w:rsid w:val="009E263C"/>
    <w:rsid w:val="009E3FF8"/>
    <w:rsid w:val="009E4773"/>
    <w:rsid w:val="009E4F69"/>
    <w:rsid w:val="009E5F79"/>
    <w:rsid w:val="009E7B7F"/>
    <w:rsid w:val="009F2870"/>
    <w:rsid w:val="009F46D9"/>
    <w:rsid w:val="009F53AE"/>
    <w:rsid w:val="009F7C3F"/>
    <w:rsid w:val="00A01036"/>
    <w:rsid w:val="00A022C2"/>
    <w:rsid w:val="00A02E5A"/>
    <w:rsid w:val="00A066E6"/>
    <w:rsid w:val="00A10D3C"/>
    <w:rsid w:val="00A21F43"/>
    <w:rsid w:val="00A225C2"/>
    <w:rsid w:val="00A23C4E"/>
    <w:rsid w:val="00A2444C"/>
    <w:rsid w:val="00A24AE2"/>
    <w:rsid w:val="00A25C1D"/>
    <w:rsid w:val="00A318DF"/>
    <w:rsid w:val="00A318F2"/>
    <w:rsid w:val="00A33945"/>
    <w:rsid w:val="00A37107"/>
    <w:rsid w:val="00A37AC6"/>
    <w:rsid w:val="00A37D86"/>
    <w:rsid w:val="00A4429C"/>
    <w:rsid w:val="00A45271"/>
    <w:rsid w:val="00A45E67"/>
    <w:rsid w:val="00A4665A"/>
    <w:rsid w:val="00A46D53"/>
    <w:rsid w:val="00A46DB9"/>
    <w:rsid w:val="00A46FFA"/>
    <w:rsid w:val="00A518ED"/>
    <w:rsid w:val="00A54848"/>
    <w:rsid w:val="00A56DDC"/>
    <w:rsid w:val="00A611C1"/>
    <w:rsid w:val="00A62702"/>
    <w:rsid w:val="00A66C6C"/>
    <w:rsid w:val="00A67EFF"/>
    <w:rsid w:val="00A72860"/>
    <w:rsid w:val="00A754D2"/>
    <w:rsid w:val="00A82054"/>
    <w:rsid w:val="00A828EB"/>
    <w:rsid w:val="00A832B9"/>
    <w:rsid w:val="00A83C74"/>
    <w:rsid w:val="00A856EE"/>
    <w:rsid w:val="00A86535"/>
    <w:rsid w:val="00A86943"/>
    <w:rsid w:val="00A869FE"/>
    <w:rsid w:val="00A86D85"/>
    <w:rsid w:val="00A90FDC"/>
    <w:rsid w:val="00A921E4"/>
    <w:rsid w:val="00A96E3A"/>
    <w:rsid w:val="00A96FEC"/>
    <w:rsid w:val="00A97E13"/>
    <w:rsid w:val="00AA0FE6"/>
    <w:rsid w:val="00AA11E2"/>
    <w:rsid w:val="00AA1D1C"/>
    <w:rsid w:val="00AA7519"/>
    <w:rsid w:val="00AB1550"/>
    <w:rsid w:val="00AB2A6F"/>
    <w:rsid w:val="00AB537D"/>
    <w:rsid w:val="00AB5EB6"/>
    <w:rsid w:val="00AB7698"/>
    <w:rsid w:val="00AC054F"/>
    <w:rsid w:val="00AC0BB5"/>
    <w:rsid w:val="00AC1CC5"/>
    <w:rsid w:val="00AC28E8"/>
    <w:rsid w:val="00AC4003"/>
    <w:rsid w:val="00AC4AFA"/>
    <w:rsid w:val="00AC67C1"/>
    <w:rsid w:val="00AC7454"/>
    <w:rsid w:val="00AD0E04"/>
    <w:rsid w:val="00AD0E40"/>
    <w:rsid w:val="00AD5A27"/>
    <w:rsid w:val="00AD697A"/>
    <w:rsid w:val="00AE01F1"/>
    <w:rsid w:val="00AE1764"/>
    <w:rsid w:val="00AE2278"/>
    <w:rsid w:val="00AE3D8A"/>
    <w:rsid w:val="00AE748B"/>
    <w:rsid w:val="00AF21C3"/>
    <w:rsid w:val="00AF2B9D"/>
    <w:rsid w:val="00AF3106"/>
    <w:rsid w:val="00AF3F73"/>
    <w:rsid w:val="00AF3F75"/>
    <w:rsid w:val="00AF6D55"/>
    <w:rsid w:val="00B0041B"/>
    <w:rsid w:val="00B0095E"/>
    <w:rsid w:val="00B01AB5"/>
    <w:rsid w:val="00B10994"/>
    <w:rsid w:val="00B12EFA"/>
    <w:rsid w:val="00B144B5"/>
    <w:rsid w:val="00B1450E"/>
    <w:rsid w:val="00B1472C"/>
    <w:rsid w:val="00B149B1"/>
    <w:rsid w:val="00B15BA6"/>
    <w:rsid w:val="00B16945"/>
    <w:rsid w:val="00B1789C"/>
    <w:rsid w:val="00B25067"/>
    <w:rsid w:val="00B25A4F"/>
    <w:rsid w:val="00B25D85"/>
    <w:rsid w:val="00B2789C"/>
    <w:rsid w:val="00B27C51"/>
    <w:rsid w:val="00B313C4"/>
    <w:rsid w:val="00B33E5B"/>
    <w:rsid w:val="00B35161"/>
    <w:rsid w:val="00B417CF"/>
    <w:rsid w:val="00B41E3B"/>
    <w:rsid w:val="00B42063"/>
    <w:rsid w:val="00B42203"/>
    <w:rsid w:val="00B42359"/>
    <w:rsid w:val="00B43820"/>
    <w:rsid w:val="00B45EF4"/>
    <w:rsid w:val="00B46B0C"/>
    <w:rsid w:val="00B5150F"/>
    <w:rsid w:val="00B51966"/>
    <w:rsid w:val="00B56A57"/>
    <w:rsid w:val="00B57361"/>
    <w:rsid w:val="00B618EE"/>
    <w:rsid w:val="00B61B62"/>
    <w:rsid w:val="00B64D5B"/>
    <w:rsid w:val="00B6593E"/>
    <w:rsid w:val="00B6711F"/>
    <w:rsid w:val="00B672FD"/>
    <w:rsid w:val="00B70E29"/>
    <w:rsid w:val="00B72581"/>
    <w:rsid w:val="00B72982"/>
    <w:rsid w:val="00B73828"/>
    <w:rsid w:val="00B73CCB"/>
    <w:rsid w:val="00B741A4"/>
    <w:rsid w:val="00B747E8"/>
    <w:rsid w:val="00B754A5"/>
    <w:rsid w:val="00B75D00"/>
    <w:rsid w:val="00B76E36"/>
    <w:rsid w:val="00B77F7C"/>
    <w:rsid w:val="00B80D44"/>
    <w:rsid w:val="00B80FC2"/>
    <w:rsid w:val="00B849DB"/>
    <w:rsid w:val="00B859CC"/>
    <w:rsid w:val="00B85D9D"/>
    <w:rsid w:val="00B87B52"/>
    <w:rsid w:val="00B9043B"/>
    <w:rsid w:val="00B9118C"/>
    <w:rsid w:val="00B924FF"/>
    <w:rsid w:val="00B9739C"/>
    <w:rsid w:val="00B97E95"/>
    <w:rsid w:val="00BA0A5E"/>
    <w:rsid w:val="00BA2CC1"/>
    <w:rsid w:val="00BA6D07"/>
    <w:rsid w:val="00BB0EF2"/>
    <w:rsid w:val="00BB136C"/>
    <w:rsid w:val="00BB17B1"/>
    <w:rsid w:val="00BB4710"/>
    <w:rsid w:val="00BB5779"/>
    <w:rsid w:val="00BB619A"/>
    <w:rsid w:val="00BB6E28"/>
    <w:rsid w:val="00BC1ACB"/>
    <w:rsid w:val="00BC563A"/>
    <w:rsid w:val="00BD07D2"/>
    <w:rsid w:val="00BD0D6D"/>
    <w:rsid w:val="00BD46EA"/>
    <w:rsid w:val="00BD58F9"/>
    <w:rsid w:val="00BD5904"/>
    <w:rsid w:val="00BD5B66"/>
    <w:rsid w:val="00BD6AB3"/>
    <w:rsid w:val="00BD7913"/>
    <w:rsid w:val="00BD7C27"/>
    <w:rsid w:val="00BE003B"/>
    <w:rsid w:val="00BE00BE"/>
    <w:rsid w:val="00BE083A"/>
    <w:rsid w:val="00BE3505"/>
    <w:rsid w:val="00BE3B03"/>
    <w:rsid w:val="00BE59F1"/>
    <w:rsid w:val="00BE5C49"/>
    <w:rsid w:val="00BF1A75"/>
    <w:rsid w:val="00BF5831"/>
    <w:rsid w:val="00BF61FB"/>
    <w:rsid w:val="00C017DE"/>
    <w:rsid w:val="00C01A8C"/>
    <w:rsid w:val="00C0281C"/>
    <w:rsid w:val="00C0651D"/>
    <w:rsid w:val="00C10E9B"/>
    <w:rsid w:val="00C1242D"/>
    <w:rsid w:val="00C141F4"/>
    <w:rsid w:val="00C16849"/>
    <w:rsid w:val="00C213F8"/>
    <w:rsid w:val="00C23AF1"/>
    <w:rsid w:val="00C24DF7"/>
    <w:rsid w:val="00C262B1"/>
    <w:rsid w:val="00C265CE"/>
    <w:rsid w:val="00C26D76"/>
    <w:rsid w:val="00C30373"/>
    <w:rsid w:val="00C31295"/>
    <w:rsid w:val="00C312BC"/>
    <w:rsid w:val="00C34A99"/>
    <w:rsid w:val="00C3507F"/>
    <w:rsid w:val="00C35291"/>
    <w:rsid w:val="00C35C7E"/>
    <w:rsid w:val="00C36371"/>
    <w:rsid w:val="00C404C1"/>
    <w:rsid w:val="00C42734"/>
    <w:rsid w:val="00C42830"/>
    <w:rsid w:val="00C44A93"/>
    <w:rsid w:val="00C4540B"/>
    <w:rsid w:val="00C46DF8"/>
    <w:rsid w:val="00C5112E"/>
    <w:rsid w:val="00C5153B"/>
    <w:rsid w:val="00C5189E"/>
    <w:rsid w:val="00C5212C"/>
    <w:rsid w:val="00C52FB1"/>
    <w:rsid w:val="00C53C70"/>
    <w:rsid w:val="00C559B7"/>
    <w:rsid w:val="00C56397"/>
    <w:rsid w:val="00C6213D"/>
    <w:rsid w:val="00C64253"/>
    <w:rsid w:val="00C64460"/>
    <w:rsid w:val="00C65117"/>
    <w:rsid w:val="00C65497"/>
    <w:rsid w:val="00C66CDC"/>
    <w:rsid w:val="00C739EA"/>
    <w:rsid w:val="00C73D31"/>
    <w:rsid w:val="00C76ABD"/>
    <w:rsid w:val="00C771F1"/>
    <w:rsid w:val="00C80D27"/>
    <w:rsid w:val="00C819FE"/>
    <w:rsid w:val="00C83743"/>
    <w:rsid w:val="00C83E2A"/>
    <w:rsid w:val="00C84781"/>
    <w:rsid w:val="00C86B31"/>
    <w:rsid w:val="00C87C85"/>
    <w:rsid w:val="00C87E45"/>
    <w:rsid w:val="00C9030A"/>
    <w:rsid w:val="00C91171"/>
    <w:rsid w:val="00C91962"/>
    <w:rsid w:val="00C931D2"/>
    <w:rsid w:val="00C95929"/>
    <w:rsid w:val="00C96173"/>
    <w:rsid w:val="00CA026C"/>
    <w:rsid w:val="00CA0637"/>
    <w:rsid w:val="00CA1566"/>
    <w:rsid w:val="00CA16D6"/>
    <w:rsid w:val="00CA1D1E"/>
    <w:rsid w:val="00CA1F80"/>
    <w:rsid w:val="00CA274F"/>
    <w:rsid w:val="00CA4CF2"/>
    <w:rsid w:val="00CA53B1"/>
    <w:rsid w:val="00CA664D"/>
    <w:rsid w:val="00CA6B34"/>
    <w:rsid w:val="00CA6CAA"/>
    <w:rsid w:val="00CB232F"/>
    <w:rsid w:val="00CB6000"/>
    <w:rsid w:val="00CB7B09"/>
    <w:rsid w:val="00CC0048"/>
    <w:rsid w:val="00CC0AAC"/>
    <w:rsid w:val="00CC2C1A"/>
    <w:rsid w:val="00CC5A07"/>
    <w:rsid w:val="00CC71A7"/>
    <w:rsid w:val="00CD12B2"/>
    <w:rsid w:val="00CD2103"/>
    <w:rsid w:val="00CD2927"/>
    <w:rsid w:val="00CD2E50"/>
    <w:rsid w:val="00CD4F37"/>
    <w:rsid w:val="00CD6424"/>
    <w:rsid w:val="00CE0207"/>
    <w:rsid w:val="00CE1A81"/>
    <w:rsid w:val="00CE3F3B"/>
    <w:rsid w:val="00CE5CD7"/>
    <w:rsid w:val="00CE61FA"/>
    <w:rsid w:val="00CE6AD2"/>
    <w:rsid w:val="00CE7F70"/>
    <w:rsid w:val="00CF1F5B"/>
    <w:rsid w:val="00CF28B1"/>
    <w:rsid w:val="00CF3C09"/>
    <w:rsid w:val="00CF420C"/>
    <w:rsid w:val="00CF481A"/>
    <w:rsid w:val="00CF4B73"/>
    <w:rsid w:val="00D00645"/>
    <w:rsid w:val="00D01284"/>
    <w:rsid w:val="00D026B5"/>
    <w:rsid w:val="00D03A81"/>
    <w:rsid w:val="00D05A3A"/>
    <w:rsid w:val="00D11F01"/>
    <w:rsid w:val="00D12DBF"/>
    <w:rsid w:val="00D160DA"/>
    <w:rsid w:val="00D1724F"/>
    <w:rsid w:val="00D1779F"/>
    <w:rsid w:val="00D17EE6"/>
    <w:rsid w:val="00D201B5"/>
    <w:rsid w:val="00D20385"/>
    <w:rsid w:val="00D20A57"/>
    <w:rsid w:val="00D21E15"/>
    <w:rsid w:val="00D24AFC"/>
    <w:rsid w:val="00D25E74"/>
    <w:rsid w:val="00D26450"/>
    <w:rsid w:val="00D26D58"/>
    <w:rsid w:val="00D30882"/>
    <w:rsid w:val="00D33AF3"/>
    <w:rsid w:val="00D345EB"/>
    <w:rsid w:val="00D351C9"/>
    <w:rsid w:val="00D366F6"/>
    <w:rsid w:val="00D401EA"/>
    <w:rsid w:val="00D423D7"/>
    <w:rsid w:val="00D45268"/>
    <w:rsid w:val="00D457E6"/>
    <w:rsid w:val="00D46AD1"/>
    <w:rsid w:val="00D47C2D"/>
    <w:rsid w:val="00D47D1C"/>
    <w:rsid w:val="00D500D6"/>
    <w:rsid w:val="00D50994"/>
    <w:rsid w:val="00D563B2"/>
    <w:rsid w:val="00D56E03"/>
    <w:rsid w:val="00D56F1F"/>
    <w:rsid w:val="00D575F3"/>
    <w:rsid w:val="00D600BA"/>
    <w:rsid w:val="00D6036C"/>
    <w:rsid w:val="00D64195"/>
    <w:rsid w:val="00D650AD"/>
    <w:rsid w:val="00D66213"/>
    <w:rsid w:val="00D66F9A"/>
    <w:rsid w:val="00D7037F"/>
    <w:rsid w:val="00D72087"/>
    <w:rsid w:val="00D743F6"/>
    <w:rsid w:val="00D7664C"/>
    <w:rsid w:val="00D7742A"/>
    <w:rsid w:val="00D77C75"/>
    <w:rsid w:val="00D8285B"/>
    <w:rsid w:val="00D82A65"/>
    <w:rsid w:val="00D90C2A"/>
    <w:rsid w:val="00D9386B"/>
    <w:rsid w:val="00D951E5"/>
    <w:rsid w:val="00D956F7"/>
    <w:rsid w:val="00D964CB"/>
    <w:rsid w:val="00DA1E1C"/>
    <w:rsid w:val="00DA3D21"/>
    <w:rsid w:val="00DA46A3"/>
    <w:rsid w:val="00DA5D3D"/>
    <w:rsid w:val="00DA7760"/>
    <w:rsid w:val="00DB05C6"/>
    <w:rsid w:val="00DB1444"/>
    <w:rsid w:val="00DB5615"/>
    <w:rsid w:val="00DB5841"/>
    <w:rsid w:val="00DB5B5E"/>
    <w:rsid w:val="00DC123B"/>
    <w:rsid w:val="00DC22DB"/>
    <w:rsid w:val="00DC3EE9"/>
    <w:rsid w:val="00DC5C0D"/>
    <w:rsid w:val="00DC73A6"/>
    <w:rsid w:val="00DC7607"/>
    <w:rsid w:val="00DD01B2"/>
    <w:rsid w:val="00DD0284"/>
    <w:rsid w:val="00DD24DC"/>
    <w:rsid w:val="00DD2552"/>
    <w:rsid w:val="00DD3C59"/>
    <w:rsid w:val="00DE684C"/>
    <w:rsid w:val="00DE6A76"/>
    <w:rsid w:val="00DF1199"/>
    <w:rsid w:val="00DF33DD"/>
    <w:rsid w:val="00DF57AD"/>
    <w:rsid w:val="00DF65C9"/>
    <w:rsid w:val="00E01667"/>
    <w:rsid w:val="00E0409F"/>
    <w:rsid w:val="00E0440F"/>
    <w:rsid w:val="00E04733"/>
    <w:rsid w:val="00E057D1"/>
    <w:rsid w:val="00E05EB2"/>
    <w:rsid w:val="00E10E96"/>
    <w:rsid w:val="00E1302D"/>
    <w:rsid w:val="00E141C5"/>
    <w:rsid w:val="00E14E7F"/>
    <w:rsid w:val="00E161E3"/>
    <w:rsid w:val="00E17600"/>
    <w:rsid w:val="00E21EAD"/>
    <w:rsid w:val="00E22F37"/>
    <w:rsid w:val="00E234B5"/>
    <w:rsid w:val="00E2522A"/>
    <w:rsid w:val="00E2588B"/>
    <w:rsid w:val="00E2740A"/>
    <w:rsid w:val="00E27B92"/>
    <w:rsid w:val="00E32EBA"/>
    <w:rsid w:val="00E34B09"/>
    <w:rsid w:val="00E449F3"/>
    <w:rsid w:val="00E45A6C"/>
    <w:rsid w:val="00E47B3F"/>
    <w:rsid w:val="00E50B33"/>
    <w:rsid w:val="00E50D38"/>
    <w:rsid w:val="00E528E3"/>
    <w:rsid w:val="00E565B4"/>
    <w:rsid w:val="00E5777B"/>
    <w:rsid w:val="00E60A5C"/>
    <w:rsid w:val="00E628E2"/>
    <w:rsid w:val="00E630F8"/>
    <w:rsid w:val="00E64180"/>
    <w:rsid w:val="00E66611"/>
    <w:rsid w:val="00E67042"/>
    <w:rsid w:val="00E67136"/>
    <w:rsid w:val="00E677E4"/>
    <w:rsid w:val="00E721AB"/>
    <w:rsid w:val="00E73B1B"/>
    <w:rsid w:val="00E73FEE"/>
    <w:rsid w:val="00E7415B"/>
    <w:rsid w:val="00E750F2"/>
    <w:rsid w:val="00E755FE"/>
    <w:rsid w:val="00E777A4"/>
    <w:rsid w:val="00E779F4"/>
    <w:rsid w:val="00E83681"/>
    <w:rsid w:val="00E8455D"/>
    <w:rsid w:val="00E84E39"/>
    <w:rsid w:val="00E85B73"/>
    <w:rsid w:val="00E86165"/>
    <w:rsid w:val="00E864A1"/>
    <w:rsid w:val="00E86A68"/>
    <w:rsid w:val="00E910CD"/>
    <w:rsid w:val="00E96116"/>
    <w:rsid w:val="00E97240"/>
    <w:rsid w:val="00EA06C6"/>
    <w:rsid w:val="00EA0D37"/>
    <w:rsid w:val="00EA1713"/>
    <w:rsid w:val="00EA172F"/>
    <w:rsid w:val="00EA3CA6"/>
    <w:rsid w:val="00EA6779"/>
    <w:rsid w:val="00EA67FC"/>
    <w:rsid w:val="00EA74DC"/>
    <w:rsid w:val="00EB1D35"/>
    <w:rsid w:val="00EB3749"/>
    <w:rsid w:val="00EB6005"/>
    <w:rsid w:val="00EC01E2"/>
    <w:rsid w:val="00EC1D17"/>
    <w:rsid w:val="00EC37B3"/>
    <w:rsid w:val="00EC38D8"/>
    <w:rsid w:val="00EC79A1"/>
    <w:rsid w:val="00ED0881"/>
    <w:rsid w:val="00ED0BF2"/>
    <w:rsid w:val="00ED4072"/>
    <w:rsid w:val="00ED55B5"/>
    <w:rsid w:val="00EE0C82"/>
    <w:rsid w:val="00EE1A43"/>
    <w:rsid w:val="00EE2520"/>
    <w:rsid w:val="00EE2968"/>
    <w:rsid w:val="00EE3345"/>
    <w:rsid w:val="00EE343D"/>
    <w:rsid w:val="00EE694C"/>
    <w:rsid w:val="00EE763C"/>
    <w:rsid w:val="00EF05DD"/>
    <w:rsid w:val="00EF1CFF"/>
    <w:rsid w:val="00EF1FB2"/>
    <w:rsid w:val="00EF610D"/>
    <w:rsid w:val="00EF6D9C"/>
    <w:rsid w:val="00EF70E7"/>
    <w:rsid w:val="00EF727E"/>
    <w:rsid w:val="00F00ABA"/>
    <w:rsid w:val="00F028A4"/>
    <w:rsid w:val="00F03326"/>
    <w:rsid w:val="00F03872"/>
    <w:rsid w:val="00F048F4"/>
    <w:rsid w:val="00F04E2D"/>
    <w:rsid w:val="00F0504A"/>
    <w:rsid w:val="00F079A3"/>
    <w:rsid w:val="00F13BB9"/>
    <w:rsid w:val="00F16FCF"/>
    <w:rsid w:val="00F21200"/>
    <w:rsid w:val="00F21DF8"/>
    <w:rsid w:val="00F220B4"/>
    <w:rsid w:val="00F24E32"/>
    <w:rsid w:val="00F2506E"/>
    <w:rsid w:val="00F25A04"/>
    <w:rsid w:val="00F30283"/>
    <w:rsid w:val="00F30A68"/>
    <w:rsid w:val="00F30AEC"/>
    <w:rsid w:val="00F31086"/>
    <w:rsid w:val="00F328B4"/>
    <w:rsid w:val="00F335A1"/>
    <w:rsid w:val="00F33EB3"/>
    <w:rsid w:val="00F34B7B"/>
    <w:rsid w:val="00F35A11"/>
    <w:rsid w:val="00F3712C"/>
    <w:rsid w:val="00F40636"/>
    <w:rsid w:val="00F4075E"/>
    <w:rsid w:val="00F414A4"/>
    <w:rsid w:val="00F421A1"/>
    <w:rsid w:val="00F42732"/>
    <w:rsid w:val="00F4315D"/>
    <w:rsid w:val="00F43196"/>
    <w:rsid w:val="00F43241"/>
    <w:rsid w:val="00F43443"/>
    <w:rsid w:val="00F463FC"/>
    <w:rsid w:val="00F46657"/>
    <w:rsid w:val="00F50433"/>
    <w:rsid w:val="00F52D00"/>
    <w:rsid w:val="00F57375"/>
    <w:rsid w:val="00F573DE"/>
    <w:rsid w:val="00F60BB8"/>
    <w:rsid w:val="00F62EA6"/>
    <w:rsid w:val="00F63211"/>
    <w:rsid w:val="00F665CC"/>
    <w:rsid w:val="00F702C6"/>
    <w:rsid w:val="00F71228"/>
    <w:rsid w:val="00F733C9"/>
    <w:rsid w:val="00F7362A"/>
    <w:rsid w:val="00F73687"/>
    <w:rsid w:val="00F7528D"/>
    <w:rsid w:val="00F76B4D"/>
    <w:rsid w:val="00F770A5"/>
    <w:rsid w:val="00F770BE"/>
    <w:rsid w:val="00F8042A"/>
    <w:rsid w:val="00F807DC"/>
    <w:rsid w:val="00F80FD1"/>
    <w:rsid w:val="00F81774"/>
    <w:rsid w:val="00F818FF"/>
    <w:rsid w:val="00F81F8F"/>
    <w:rsid w:val="00F820BE"/>
    <w:rsid w:val="00F823AD"/>
    <w:rsid w:val="00F8396A"/>
    <w:rsid w:val="00F8459F"/>
    <w:rsid w:val="00F851F6"/>
    <w:rsid w:val="00F876EF"/>
    <w:rsid w:val="00F87872"/>
    <w:rsid w:val="00F9086D"/>
    <w:rsid w:val="00F95EB1"/>
    <w:rsid w:val="00FA0127"/>
    <w:rsid w:val="00FA03FA"/>
    <w:rsid w:val="00FA18CA"/>
    <w:rsid w:val="00FA37E6"/>
    <w:rsid w:val="00FA49E1"/>
    <w:rsid w:val="00FB0C37"/>
    <w:rsid w:val="00FB1889"/>
    <w:rsid w:val="00FB2971"/>
    <w:rsid w:val="00FC4F49"/>
    <w:rsid w:val="00FC6418"/>
    <w:rsid w:val="00FC76CE"/>
    <w:rsid w:val="00FD15B2"/>
    <w:rsid w:val="00FD2F6E"/>
    <w:rsid w:val="00FD3BEE"/>
    <w:rsid w:val="00FE000A"/>
    <w:rsid w:val="00FE0472"/>
    <w:rsid w:val="00FE0D95"/>
    <w:rsid w:val="00FE1B83"/>
    <w:rsid w:val="00FF4232"/>
    <w:rsid w:val="00FF6B66"/>
    <w:rsid w:val="01172137"/>
    <w:rsid w:val="020A2097"/>
    <w:rsid w:val="02597169"/>
    <w:rsid w:val="029740D4"/>
    <w:rsid w:val="02B000A8"/>
    <w:rsid w:val="030B0F8D"/>
    <w:rsid w:val="034B547C"/>
    <w:rsid w:val="04AB05E2"/>
    <w:rsid w:val="05305748"/>
    <w:rsid w:val="06236B36"/>
    <w:rsid w:val="07370051"/>
    <w:rsid w:val="07C05056"/>
    <w:rsid w:val="07E33649"/>
    <w:rsid w:val="08425141"/>
    <w:rsid w:val="08963F41"/>
    <w:rsid w:val="09A7530D"/>
    <w:rsid w:val="0A954801"/>
    <w:rsid w:val="0AD8311C"/>
    <w:rsid w:val="0BBC241D"/>
    <w:rsid w:val="0C210BF8"/>
    <w:rsid w:val="0CA45D88"/>
    <w:rsid w:val="0CB96227"/>
    <w:rsid w:val="0E316D4F"/>
    <w:rsid w:val="0ED70A92"/>
    <w:rsid w:val="0F084C3E"/>
    <w:rsid w:val="0F22553E"/>
    <w:rsid w:val="0FDE71B2"/>
    <w:rsid w:val="10610287"/>
    <w:rsid w:val="10ED6C25"/>
    <w:rsid w:val="13360FC0"/>
    <w:rsid w:val="145B4CF5"/>
    <w:rsid w:val="147A278B"/>
    <w:rsid w:val="14B5016E"/>
    <w:rsid w:val="14F802A6"/>
    <w:rsid w:val="151B3D19"/>
    <w:rsid w:val="160F6CA1"/>
    <w:rsid w:val="169963BA"/>
    <w:rsid w:val="170274B4"/>
    <w:rsid w:val="173C5E5D"/>
    <w:rsid w:val="174A3C2D"/>
    <w:rsid w:val="17BC02D9"/>
    <w:rsid w:val="17CA7357"/>
    <w:rsid w:val="182560C9"/>
    <w:rsid w:val="19102CC6"/>
    <w:rsid w:val="192F6971"/>
    <w:rsid w:val="19D34A4C"/>
    <w:rsid w:val="1A1F48AB"/>
    <w:rsid w:val="1A4833E9"/>
    <w:rsid w:val="1AFE6CFA"/>
    <w:rsid w:val="1B0227AC"/>
    <w:rsid w:val="1B274183"/>
    <w:rsid w:val="1BC2024F"/>
    <w:rsid w:val="1C4D3586"/>
    <w:rsid w:val="1EDF39B3"/>
    <w:rsid w:val="1FB5601C"/>
    <w:rsid w:val="20F00D04"/>
    <w:rsid w:val="21A20C7B"/>
    <w:rsid w:val="21E818F0"/>
    <w:rsid w:val="233C6AD3"/>
    <w:rsid w:val="239F5398"/>
    <w:rsid w:val="24550C6C"/>
    <w:rsid w:val="24A960EC"/>
    <w:rsid w:val="253072DF"/>
    <w:rsid w:val="25694FD3"/>
    <w:rsid w:val="25B15FF5"/>
    <w:rsid w:val="26AB16E5"/>
    <w:rsid w:val="26AD0AD5"/>
    <w:rsid w:val="27D04EB8"/>
    <w:rsid w:val="27F64E18"/>
    <w:rsid w:val="28A86B6A"/>
    <w:rsid w:val="28D1581B"/>
    <w:rsid w:val="293535F7"/>
    <w:rsid w:val="294F1E37"/>
    <w:rsid w:val="2953690A"/>
    <w:rsid w:val="295F1476"/>
    <w:rsid w:val="29A629F9"/>
    <w:rsid w:val="2B253561"/>
    <w:rsid w:val="2B814821"/>
    <w:rsid w:val="2BC620C9"/>
    <w:rsid w:val="2C296006"/>
    <w:rsid w:val="2C79489A"/>
    <w:rsid w:val="2CDA3B4A"/>
    <w:rsid w:val="2D526996"/>
    <w:rsid w:val="2E801AFA"/>
    <w:rsid w:val="2FA44F84"/>
    <w:rsid w:val="2FC322D5"/>
    <w:rsid w:val="2FCC3504"/>
    <w:rsid w:val="2FDB6422"/>
    <w:rsid w:val="307B5D08"/>
    <w:rsid w:val="30C615B7"/>
    <w:rsid w:val="30DD461F"/>
    <w:rsid w:val="314B31DE"/>
    <w:rsid w:val="32725A28"/>
    <w:rsid w:val="341235C1"/>
    <w:rsid w:val="34466CB2"/>
    <w:rsid w:val="34BA4344"/>
    <w:rsid w:val="35090F48"/>
    <w:rsid w:val="35CE463D"/>
    <w:rsid w:val="35EF2A99"/>
    <w:rsid w:val="36CF7F10"/>
    <w:rsid w:val="387D44FF"/>
    <w:rsid w:val="38A47EC6"/>
    <w:rsid w:val="393F3FA8"/>
    <w:rsid w:val="398B01F8"/>
    <w:rsid w:val="39AD555E"/>
    <w:rsid w:val="39E635A8"/>
    <w:rsid w:val="3A606357"/>
    <w:rsid w:val="3C050C40"/>
    <w:rsid w:val="3D9E6217"/>
    <w:rsid w:val="3DC50E22"/>
    <w:rsid w:val="3DF43538"/>
    <w:rsid w:val="3E440F5B"/>
    <w:rsid w:val="3E6F329A"/>
    <w:rsid w:val="3F6F58AE"/>
    <w:rsid w:val="3F865E3D"/>
    <w:rsid w:val="4012659B"/>
    <w:rsid w:val="40683C52"/>
    <w:rsid w:val="41A218C2"/>
    <w:rsid w:val="429878C2"/>
    <w:rsid w:val="43B47CF8"/>
    <w:rsid w:val="43C97F87"/>
    <w:rsid w:val="44731A87"/>
    <w:rsid w:val="45325A05"/>
    <w:rsid w:val="45CE2552"/>
    <w:rsid w:val="4612724B"/>
    <w:rsid w:val="4623114A"/>
    <w:rsid w:val="46584670"/>
    <w:rsid w:val="476A1501"/>
    <w:rsid w:val="478A1B27"/>
    <w:rsid w:val="47D50431"/>
    <w:rsid w:val="47D65F32"/>
    <w:rsid w:val="48C1441E"/>
    <w:rsid w:val="49A706A9"/>
    <w:rsid w:val="4A346143"/>
    <w:rsid w:val="4A5B0C27"/>
    <w:rsid w:val="4A6B0AD8"/>
    <w:rsid w:val="4A861854"/>
    <w:rsid w:val="4AD02666"/>
    <w:rsid w:val="4B657C8A"/>
    <w:rsid w:val="4B664AF6"/>
    <w:rsid w:val="4BA01E3D"/>
    <w:rsid w:val="4C52283A"/>
    <w:rsid w:val="4E0D453F"/>
    <w:rsid w:val="4E68330A"/>
    <w:rsid w:val="4FF23521"/>
    <w:rsid w:val="4FF93CAD"/>
    <w:rsid w:val="505A7397"/>
    <w:rsid w:val="50DE71E0"/>
    <w:rsid w:val="51197495"/>
    <w:rsid w:val="51C05E54"/>
    <w:rsid w:val="52426505"/>
    <w:rsid w:val="52F67426"/>
    <w:rsid w:val="52FB169A"/>
    <w:rsid w:val="531F4AF9"/>
    <w:rsid w:val="537773A5"/>
    <w:rsid w:val="543F73D7"/>
    <w:rsid w:val="54405B9E"/>
    <w:rsid w:val="54D440B8"/>
    <w:rsid w:val="54E772D0"/>
    <w:rsid w:val="55785341"/>
    <w:rsid w:val="55DD51BE"/>
    <w:rsid w:val="569A28E2"/>
    <w:rsid w:val="57591EDB"/>
    <w:rsid w:val="585E0999"/>
    <w:rsid w:val="58EC0014"/>
    <w:rsid w:val="59531E51"/>
    <w:rsid w:val="599E47DA"/>
    <w:rsid w:val="59EB4042"/>
    <w:rsid w:val="5B4C38C5"/>
    <w:rsid w:val="5B6D6F97"/>
    <w:rsid w:val="5BBB1911"/>
    <w:rsid w:val="5C521061"/>
    <w:rsid w:val="5C6601F2"/>
    <w:rsid w:val="5C840659"/>
    <w:rsid w:val="5C8C17DB"/>
    <w:rsid w:val="5CAE2952"/>
    <w:rsid w:val="5D8141DC"/>
    <w:rsid w:val="5DB51EED"/>
    <w:rsid w:val="5ECC2B82"/>
    <w:rsid w:val="5ECD092E"/>
    <w:rsid w:val="5F2C4170"/>
    <w:rsid w:val="60142189"/>
    <w:rsid w:val="605711D5"/>
    <w:rsid w:val="60913AF6"/>
    <w:rsid w:val="60F85E92"/>
    <w:rsid w:val="61B758C5"/>
    <w:rsid w:val="622065DD"/>
    <w:rsid w:val="6383216B"/>
    <w:rsid w:val="64B51D95"/>
    <w:rsid w:val="65EE07D1"/>
    <w:rsid w:val="663E0301"/>
    <w:rsid w:val="673B0189"/>
    <w:rsid w:val="675B26FD"/>
    <w:rsid w:val="690A4DE9"/>
    <w:rsid w:val="69334BD1"/>
    <w:rsid w:val="69FA6340"/>
    <w:rsid w:val="6A124C1D"/>
    <w:rsid w:val="6A1416C2"/>
    <w:rsid w:val="6A3A6FB1"/>
    <w:rsid w:val="6AD37CC5"/>
    <w:rsid w:val="6B3A0D66"/>
    <w:rsid w:val="6B6B47AA"/>
    <w:rsid w:val="6BB01B66"/>
    <w:rsid w:val="6C2632CC"/>
    <w:rsid w:val="6D010718"/>
    <w:rsid w:val="6D3C5EDA"/>
    <w:rsid w:val="6D460771"/>
    <w:rsid w:val="6D687BEF"/>
    <w:rsid w:val="6E9A79B6"/>
    <w:rsid w:val="6EEE1253"/>
    <w:rsid w:val="6F116D5A"/>
    <w:rsid w:val="725D5D7C"/>
    <w:rsid w:val="72A246B4"/>
    <w:rsid w:val="72D4040C"/>
    <w:rsid w:val="731142DE"/>
    <w:rsid w:val="73533935"/>
    <w:rsid w:val="73717343"/>
    <w:rsid w:val="740F6AC6"/>
    <w:rsid w:val="746123E9"/>
    <w:rsid w:val="75503535"/>
    <w:rsid w:val="7670237D"/>
    <w:rsid w:val="76F4104E"/>
    <w:rsid w:val="771B409D"/>
    <w:rsid w:val="77DC4ED9"/>
    <w:rsid w:val="78573A43"/>
    <w:rsid w:val="787B1BDF"/>
    <w:rsid w:val="7B806A1F"/>
    <w:rsid w:val="7C200675"/>
    <w:rsid w:val="7DA85F55"/>
    <w:rsid w:val="7E1E3250"/>
    <w:rsid w:val="7E9F3742"/>
    <w:rsid w:val="7EC20AE7"/>
    <w:rsid w:val="7F0F7202"/>
    <w:rsid w:val="7FD36EA3"/>
    <w:rsid w:val="7FD51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qFormat="1" w:uiPriority="99" w:semiHidden="0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qFormat="1" w:uiPriority="99" w:semiHidden="0" w:name="HTML Cite"/>
    <w:lsdException w:qFormat="1" w:uiPriority="99" w:semiHidden="0" w:name="HTML Code"/>
    <w:lsdException w:qFormat="1" w:uiPriority="99" w:semiHidden="0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9"/>
    <w:qFormat/>
    <w:uiPriority w:val="0"/>
    <w:pPr>
      <w:keepNext/>
      <w:keepLines/>
      <w:widowControl w:val="0"/>
      <w:spacing w:before="300" w:after="300" w:line="360" w:lineRule="exact"/>
      <w:jc w:val="left"/>
      <w:outlineLvl w:val="0"/>
    </w:pPr>
    <w:rPr>
      <w:rFonts w:ascii="Arial" w:hAnsi="Arial" w:cstheme="minorBidi"/>
      <w:b/>
      <w:bCs/>
      <w:kern w:val="44"/>
      <w:sz w:val="24"/>
      <w:szCs w:val="44"/>
    </w:rPr>
  </w:style>
  <w:style w:type="paragraph" w:styleId="3">
    <w:name w:val="heading 2"/>
    <w:basedOn w:val="1"/>
    <w:next w:val="1"/>
    <w:link w:val="35"/>
    <w:unhideWhenUsed/>
    <w:qFormat/>
    <w:uiPriority w:val="9"/>
    <w:pPr>
      <w:keepNext/>
      <w:keepLines/>
      <w:widowControl w:val="0"/>
      <w:spacing w:before="260" w:after="260" w:line="416" w:lineRule="auto"/>
      <w:jc w:val="both"/>
      <w:outlineLvl w:val="1"/>
    </w:pPr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styleId="4">
    <w:name w:val="heading 3"/>
    <w:basedOn w:val="1"/>
    <w:next w:val="1"/>
    <w:link w:val="36"/>
    <w:unhideWhenUsed/>
    <w:qFormat/>
    <w:uiPriority w:val="9"/>
    <w:pPr>
      <w:keepNext/>
      <w:keepLines/>
      <w:widowControl w:val="0"/>
      <w:spacing w:before="260" w:after="260" w:line="416" w:lineRule="auto"/>
      <w:jc w:val="both"/>
      <w:outlineLvl w:val="2"/>
    </w:pPr>
    <w:rPr>
      <w:rFonts w:asciiTheme="minorHAnsi" w:hAnsiTheme="minorHAnsi" w:eastAsiaTheme="minorEastAsia" w:cstheme="minorBidi"/>
      <w:b/>
      <w:bCs/>
      <w:kern w:val="2"/>
      <w:sz w:val="32"/>
      <w:szCs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20">
    <w:name w:val="Default Paragraph Font"/>
    <w:unhideWhenUsed/>
    <w:qFormat/>
    <w:uiPriority w:val="1"/>
  </w:style>
  <w:style w:type="table" w:default="1" w:styleId="18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link w:val="39"/>
    <w:unhideWhenUsed/>
    <w:qFormat/>
    <w:uiPriority w:val="99"/>
    <w:pPr>
      <w:widowControl w:val="0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7">
    <w:name w:val="Body Text"/>
    <w:basedOn w:val="1"/>
    <w:link w:val="37"/>
    <w:unhideWhenUsed/>
    <w:qFormat/>
    <w:uiPriority w:val="99"/>
    <w:pPr>
      <w:widowControl w:val="0"/>
      <w:spacing w:after="120"/>
      <w:jc w:val="both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8">
    <w:name w:val="toc 3"/>
    <w:basedOn w:val="1"/>
    <w:next w:val="1"/>
    <w:unhideWhenUsed/>
    <w:qFormat/>
    <w:uiPriority w:val="39"/>
    <w:pPr>
      <w:spacing w:after="100" w:line="259" w:lineRule="auto"/>
      <w:ind w:left="440"/>
    </w:pPr>
    <w:rPr>
      <w:rFonts w:cs="Times New Roman" w:asciiTheme="minorHAnsi" w:hAnsiTheme="minorHAnsi" w:eastAsiaTheme="minorEastAsia"/>
      <w:sz w:val="22"/>
      <w:szCs w:val="22"/>
    </w:rPr>
  </w:style>
  <w:style w:type="paragraph" w:styleId="9">
    <w:name w:val="Balloon Text"/>
    <w:basedOn w:val="1"/>
    <w:link w:val="42"/>
    <w:unhideWhenUsed/>
    <w:qFormat/>
    <w:uiPriority w:val="99"/>
    <w:pPr>
      <w:widowControl w:val="0"/>
      <w:jc w:val="both"/>
    </w:pPr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0">
    <w:name w:val="footer"/>
    <w:basedOn w:val="1"/>
    <w:link w:val="31"/>
    <w:unhideWhenUsed/>
    <w:qFormat/>
    <w:uiPriority w:val="99"/>
    <w:pPr>
      <w:widowControl w:val="0"/>
      <w:tabs>
        <w:tab w:val="center" w:pos="4153"/>
        <w:tab w:val="right" w:pos="8306"/>
      </w:tabs>
      <w:snapToGrid w:val="0"/>
    </w:pPr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1">
    <w:name w:val="header"/>
    <w:basedOn w:val="1"/>
    <w:link w:val="30"/>
    <w:unhideWhenUsed/>
    <w:qFormat/>
    <w:uiPriority w:val="99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2">
    <w:name w:val="toc 1"/>
    <w:basedOn w:val="1"/>
    <w:next w:val="1"/>
    <w:unhideWhenUsed/>
    <w:qFormat/>
    <w:uiPriority w:val="39"/>
    <w:pPr>
      <w:tabs>
        <w:tab w:val="right" w:leader="dot" w:pos="8222"/>
      </w:tabs>
      <w:spacing w:before="100" w:beforeAutospacing="1" w:after="100" w:afterAutospacing="1" w:line="240" w:lineRule="exact"/>
      <w:jc w:val="center"/>
    </w:pPr>
    <w:rPr>
      <w:rFonts w:cs="Times New Roman" w:asciiTheme="minorHAnsi" w:hAnsiTheme="minorHAnsi" w:eastAsiaTheme="minorEastAsia"/>
      <w:sz w:val="22"/>
      <w:szCs w:val="22"/>
    </w:rPr>
  </w:style>
  <w:style w:type="paragraph" w:styleId="13">
    <w:name w:val="Body Text Indent 3"/>
    <w:basedOn w:val="1"/>
    <w:link w:val="40"/>
    <w:unhideWhenUsed/>
    <w:qFormat/>
    <w:uiPriority w:val="99"/>
    <w:pPr>
      <w:widowControl w:val="0"/>
      <w:spacing w:after="120"/>
      <w:ind w:left="420" w:leftChars="200"/>
      <w:jc w:val="both"/>
    </w:pPr>
    <w:rPr>
      <w:rFonts w:asciiTheme="minorHAnsi" w:hAnsiTheme="minorHAnsi" w:eastAsiaTheme="minorEastAsia" w:cstheme="minorBidi"/>
      <w:kern w:val="2"/>
      <w:sz w:val="16"/>
      <w:szCs w:val="16"/>
    </w:rPr>
  </w:style>
  <w:style w:type="paragraph" w:styleId="14">
    <w:name w:val="toc 2"/>
    <w:basedOn w:val="1"/>
    <w:next w:val="1"/>
    <w:unhideWhenUsed/>
    <w:qFormat/>
    <w:uiPriority w:val="39"/>
    <w:pPr>
      <w:tabs>
        <w:tab w:val="right" w:leader="dot" w:pos="8364"/>
      </w:tabs>
      <w:spacing w:before="100" w:beforeAutospacing="1" w:after="100" w:afterAutospacing="1" w:line="360" w:lineRule="auto"/>
      <w:ind w:left="221" w:right="-58" w:rightChars="-24"/>
      <w:jc w:val="center"/>
    </w:pPr>
    <w:rPr>
      <w:rFonts w:cs="Times New Roman" w:asciiTheme="minorHAnsi" w:hAnsiTheme="minorHAnsi" w:eastAsiaTheme="minorEastAsia"/>
      <w:sz w:val="22"/>
      <w:szCs w:val="22"/>
    </w:rPr>
  </w:style>
  <w:style w:type="paragraph" w:styleId="15">
    <w:name w:val="Normal (Web)"/>
    <w:basedOn w:val="1"/>
    <w:qFormat/>
    <w:uiPriority w:val="99"/>
    <w:rPr>
      <w:rFonts w:ascii="Times New Roman" w:hAnsi="Times New Roman" w:cs="Times New Roman"/>
    </w:rPr>
  </w:style>
  <w:style w:type="paragraph" w:styleId="16">
    <w:name w:val="annotation subject"/>
    <w:basedOn w:val="6"/>
    <w:next w:val="6"/>
    <w:link w:val="43"/>
    <w:unhideWhenUsed/>
    <w:qFormat/>
    <w:uiPriority w:val="99"/>
    <w:rPr>
      <w:b/>
      <w:bCs/>
    </w:rPr>
  </w:style>
  <w:style w:type="paragraph" w:styleId="17">
    <w:name w:val="Body Text First Indent"/>
    <w:basedOn w:val="7"/>
    <w:link w:val="38"/>
    <w:qFormat/>
    <w:uiPriority w:val="0"/>
    <w:pPr>
      <w:ind w:firstLine="420" w:firstLineChars="100"/>
    </w:pPr>
    <w:rPr>
      <w:rFonts w:ascii="Times New Roman" w:hAnsi="Times New Roman" w:eastAsia="宋体" w:cs="Times New Roman"/>
      <w:szCs w:val="24"/>
    </w:rPr>
  </w:style>
  <w:style w:type="table" w:styleId="19">
    <w:name w:val="Table Grid"/>
    <w:basedOn w:val="1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1">
    <w:name w:val="FollowedHyperlink"/>
    <w:basedOn w:val="20"/>
    <w:unhideWhenUsed/>
    <w:qFormat/>
    <w:uiPriority w:val="99"/>
    <w:rPr>
      <w:color w:val="3B81E5"/>
      <w:u w:val="none"/>
    </w:rPr>
  </w:style>
  <w:style w:type="character" w:styleId="22">
    <w:name w:val="Emphasis"/>
    <w:basedOn w:val="20"/>
    <w:qFormat/>
    <w:uiPriority w:val="20"/>
  </w:style>
  <w:style w:type="character" w:styleId="23">
    <w:name w:val="HTML Definition"/>
    <w:basedOn w:val="20"/>
    <w:unhideWhenUsed/>
    <w:qFormat/>
    <w:uiPriority w:val="99"/>
  </w:style>
  <w:style w:type="character" w:styleId="24">
    <w:name w:val="HTML Variable"/>
    <w:basedOn w:val="20"/>
    <w:unhideWhenUsed/>
    <w:qFormat/>
    <w:uiPriority w:val="99"/>
  </w:style>
  <w:style w:type="character" w:styleId="25">
    <w:name w:val="Hyperlink"/>
    <w:basedOn w:val="2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6">
    <w:name w:val="HTML Code"/>
    <w:basedOn w:val="20"/>
    <w:unhideWhenUsed/>
    <w:qFormat/>
    <w:uiPriority w:val="99"/>
    <w:rPr>
      <w:rFonts w:ascii="Courier New" w:hAnsi="Courier New"/>
      <w:vanish/>
      <w:color w:val="000000"/>
      <w:sz w:val="19"/>
      <w:szCs w:val="19"/>
      <w:bdr w:val="single" w:color="888888" w:sz="6" w:space="0"/>
      <w:shd w:val="clear" w:fill="FFFFFF"/>
    </w:rPr>
  </w:style>
  <w:style w:type="character" w:styleId="27">
    <w:name w:val="annotation reference"/>
    <w:basedOn w:val="20"/>
    <w:unhideWhenUsed/>
    <w:qFormat/>
    <w:uiPriority w:val="99"/>
    <w:rPr>
      <w:sz w:val="21"/>
      <w:szCs w:val="21"/>
    </w:rPr>
  </w:style>
  <w:style w:type="character" w:styleId="28">
    <w:name w:val="HTML Cite"/>
    <w:basedOn w:val="20"/>
    <w:unhideWhenUsed/>
    <w:qFormat/>
    <w:uiPriority w:val="99"/>
  </w:style>
  <w:style w:type="character" w:customStyle="1" w:styleId="29">
    <w:name w:val="标题 1 字符"/>
    <w:basedOn w:val="20"/>
    <w:link w:val="2"/>
    <w:qFormat/>
    <w:uiPriority w:val="9"/>
    <w:rPr>
      <w:rFonts w:ascii="Arial" w:hAnsi="Arial" w:eastAsia="宋体"/>
      <w:b/>
      <w:bCs/>
      <w:kern w:val="44"/>
      <w:sz w:val="24"/>
      <w:szCs w:val="44"/>
    </w:rPr>
  </w:style>
  <w:style w:type="character" w:customStyle="1" w:styleId="30">
    <w:name w:val="页眉 字符"/>
    <w:basedOn w:val="20"/>
    <w:link w:val="11"/>
    <w:qFormat/>
    <w:uiPriority w:val="99"/>
    <w:rPr>
      <w:sz w:val="18"/>
      <w:szCs w:val="18"/>
    </w:rPr>
  </w:style>
  <w:style w:type="character" w:customStyle="1" w:styleId="31">
    <w:name w:val="页脚 字符"/>
    <w:basedOn w:val="20"/>
    <w:link w:val="10"/>
    <w:qFormat/>
    <w:uiPriority w:val="99"/>
    <w:rPr>
      <w:sz w:val="18"/>
      <w:szCs w:val="18"/>
    </w:rPr>
  </w:style>
  <w:style w:type="paragraph" w:customStyle="1" w:styleId="32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paragraph" w:customStyle="1" w:styleId="33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34">
    <w:name w:val="p1"/>
    <w:basedOn w:val="1"/>
    <w:qFormat/>
    <w:uiPriority w:val="0"/>
    <w:pPr>
      <w:spacing w:line="380" w:lineRule="atLeast"/>
    </w:pPr>
    <w:rPr>
      <w:rFonts w:ascii="Helvetica Neue" w:hAnsi="Helvetica Neue" w:eastAsia="Helvetica Neue" w:cs="Times New Roman"/>
      <w:color w:val="000000"/>
      <w:sz w:val="26"/>
      <w:szCs w:val="26"/>
    </w:rPr>
  </w:style>
  <w:style w:type="character" w:customStyle="1" w:styleId="35">
    <w:name w:val="标题 2 字符"/>
    <w:basedOn w:val="20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36">
    <w:name w:val="标题 3 字符"/>
    <w:basedOn w:val="20"/>
    <w:link w:val="4"/>
    <w:qFormat/>
    <w:uiPriority w:val="9"/>
    <w:rPr>
      <w:b/>
      <w:bCs/>
      <w:sz w:val="32"/>
      <w:szCs w:val="32"/>
    </w:rPr>
  </w:style>
  <w:style w:type="character" w:customStyle="1" w:styleId="37">
    <w:name w:val="正文文本 字符"/>
    <w:basedOn w:val="20"/>
    <w:link w:val="7"/>
    <w:semiHidden/>
    <w:qFormat/>
    <w:uiPriority w:val="99"/>
  </w:style>
  <w:style w:type="character" w:customStyle="1" w:styleId="38">
    <w:name w:val="正文文本首行缩进 字符"/>
    <w:basedOn w:val="37"/>
    <w:link w:val="17"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39">
    <w:name w:val="批注文字 字符"/>
    <w:basedOn w:val="20"/>
    <w:link w:val="6"/>
    <w:semiHidden/>
    <w:qFormat/>
    <w:uiPriority w:val="99"/>
  </w:style>
  <w:style w:type="character" w:customStyle="1" w:styleId="40">
    <w:name w:val="正文文本缩进 3 字符"/>
    <w:basedOn w:val="20"/>
    <w:link w:val="13"/>
    <w:qFormat/>
    <w:uiPriority w:val="99"/>
    <w:rPr>
      <w:sz w:val="16"/>
      <w:szCs w:val="16"/>
    </w:rPr>
  </w:style>
  <w:style w:type="character" w:customStyle="1" w:styleId="41">
    <w:name w:val="标题 1 字符1"/>
    <w:qFormat/>
    <w:uiPriority w:val="9"/>
    <w:rPr>
      <w:rFonts w:ascii="Times New Roman" w:hAnsi="Times New Roman" w:eastAsia="仿宋_GB2312"/>
      <w:b/>
      <w:kern w:val="44"/>
      <w:sz w:val="32"/>
      <w:szCs w:val="22"/>
    </w:rPr>
  </w:style>
  <w:style w:type="character" w:customStyle="1" w:styleId="42">
    <w:name w:val="批注框文本 字符"/>
    <w:basedOn w:val="20"/>
    <w:link w:val="9"/>
    <w:semiHidden/>
    <w:qFormat/>
    <w:uiPriority w:val="99"/>
    <w:rPr>
      <w:sz w:val="18"/>
      <w:szCs w:val="18"/>
    </w:rPr>
  </w:style>
  <w:style w:type="character" w:customStyle="1" w:styleId="43">
    <w:name w:val="批注主题 字符"/>
    <w:basedOn w:val="39"/>
    <w:link w:val="16"/>
    <w:semiHidden/>
    <w:qFormat/>
    <w:uiPriority w:val="99"/>
    <w:rPr>
      <w:b/>
      <w:bCs/>
    </w:rPr>
  </w:style>
  <w:style w:type="paragraph" w:customStyle="1" w:styleId="44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45">
    <w:name w:val="NormalCharacter"/>
    <w:semiHidden/>
    <w:qFormat/>
    <w:uiPriority w:val="0"/>
  </w:style>
  <w:style w:type="paragraph" w:customStyle="1" w:styleId="46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47">
    <w:name w:val="ui-icon21"/>
    <w:basedOn w:val="20"/>
    <w:qFormat/>
    <w:uiPriority w:val="0"/>
  </w:style>
  <w:style w:type="character" w:customStyle="1" w:styleId="48">
    <w:name w:val="form-value6"/>
    <w:basedOn w:val="20"/>
    <w:qFormat/>
    <w:uiPriority w:val="0"/>
  </w:style>
  <w:style w:type="character" w:customStyle="1" w:styleId="49">
    <w:name w:val="hascalculator"/>
    <w:basedOn w:val="20"/>
    <w:qFormat/>
    <w:uiPriority w:val="0"/>
  </w:style>
  <w:style w:type="character" w:customStyle="1" w:styleId="50">
    <w:name w:val="ui-icon22"/>
    <w:basedOn w:val="20"/>
    <w:qFormat/>
    <w:uiPriority w:val="0"/>
  </w:style>
  <w:style w:type="character" w:customStyle="1" w:styleId="51">
    <w:name w:val="form-value"/>
    <w:basedOn w:val="20"/>
    <w:qFormat/>
    <w:uiPriority w:val="0"/>
    <w:rPr>
      <w:sz w:val="18"/>
      <w:szCs w:val="18"/>
    </w:rPr>
  </w:style>
  <w:style w:type="character" w:customStyle="1" w:styleId="52">
    <w:name w:val="form-value5"/>
    <w:basedOn w:val="20"/>
    <w:qFormat/>
    <w:uiPriority w:val="0"/>
  </w:style>
  <w:style w:type="character" w:customStyle="1" w:styleId="53">
    <w:name w:val="ui-icon4"/>
    <w:basedOn w:val="20"/>
    <w:qFormat/>
    <w:uiPriority w:val="0"/>
  </w:style>
  <w:style w:type="paragraph" w:customStyle="1" w:styleId="54">
    <w:name w:val="_Style 53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55">
    <w:name w:val="_Style 54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character" w:customStyle="1" w:styleId="56">
    <w:name w:val="ui-icon"/>
    <w:basedOn w:val="20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customXml" Target="../customXml/item2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</a:ln>
      </a:spPr>
      <a:bodyPr rot="0" vert="horz" wrap="square" lIns="91440" tIns="45720" rIns="91440" bIns="45720" anchor="ctr" anchorCtr="0" upright="1">
        <a:noAutofit/>
      </a:bodyPr>
      <a:lstStyle/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3E982D4-79AB-45FE-9C3B-F82C9E20F0B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1737</Words>
  <Characters>9905</Characters>
  <Lines>82</Lines>
  <Paragraphs>23</Paragraphs>
  <TotalTime>28</TotalTime>
  <ScaleCrop>false</ScaleCrop>
  <LinksUpToDate>false</LinksUpToDate>
  <CharactersWithSpaces>11619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2021-03-08T03:07:00Z</dcterms:created>
  <dc:creator>* 龙胆</dc:creator>
  <cp:lastModifiedBy>Administrator</cp:lastModifiedBy>
  <dcterms:modified xsi:type="dcterms:W3CDTF">2021-04-07T07:59:36Z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8A5A59AC7C6B4DA9B332AC70654A1342</vt:lpwstr>
  </property>
</Properties>
</file>