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二</w:t>
      </w:r>
      <w:bookmarkStart w:id="1" w:name="_GoBack"/>
      <w:bookmarkEnd w:id="1"/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合计</w:t>
      </w:r>
      <w:r>
        <w:rPr>
          <w:rFonts w:hint="default" w:ascii="Arial" w:hAnsi="Arial" w:cs="Arial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万元/年。其中监管合同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自《有限合伙协议》项下甲方支付首笔实缴出资款之日（含该日）起每届满3个月之日、本合同项下监管公司签署撤场交接单之日为监管服务费基准核算日，监管服务费支付日为各监管服务费基准核算日后</w:t>
      </w:r>
      <w:r>
        <w:rPr>
          <w:rFonts w:hint="default" w:ascii="Arial" w:hAnsi="Arial" w:cs="Arial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91天*29万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年=72,301.37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72,301.37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08CF2D29"/>
    <w:rsid w:val="15664323"/>
    <w:rsid w:val="15857D53"/>
    <w:rsid w:val="16761428"/>
    <w:rsid w:val="20E02A98"/>
    <w:rsid w:val="2AC65D59"/>
    <w:rsid w:val="2BEF7203"/>
    <w:rsid w:val="30A26C1A"/>
    <w:rsid w:val="30B02B91"/>
    <w:rsid w:val="3A2B67D0"/>
    <w:rsid w:val="3DD84B6E"/>
    <w:rsid w:val="41552EA1"/>
    <w:rsid w:val="432D099B"/>
    <w:rsid w:val="4B7650EE"/>
    <w:rsid w:val="513E18F7"/>
    <w:rsid w:val="54406A53"/>
    <w:rsid w:val="59A8365C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2021-12-02T10:07:59Z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AFFD568940BD4EA79ADF2C66A2C20A38</vt:lpwstr>
  </property>
</Properties>
</file>