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720D0B" w:rsidRPr="00720D0B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720D0B" w:rsidRPr="00720D0B">
        <w:rPr>
          <w:rFonts w:ascii="Arial" w:eastAsia="楷体_GB2312" w:hAnsi="Arial" w:hint="eastAsia"/>
          <w:b/>
          <w:kern w:val="0"/>
          <w:sz w:val="36"/>
          <w:szCs w:val="36"/>
        </w:rPr>
        <w:t>2022</w:t>
      </w:r>
      <w:r w:rsidR="00720D0B" w:rsidRPr="00720D0B">
        <w:rPr>
          <w:rFonts w:ascii="Arial" w:eastAsia="楷体_GB2312" w:hAnsi="Arial" w:hint="eastAsia"/>
          <w:b/>
          <w:kern w:val="0"/>
          <w:sz w:val="36"/>
          <w:szCs w:val="36"/>
        </w:rPr>
        <w:t>）京</w:t>
      </w:r>
      <w:r w:rsidR="00720D0B" w:rsidRPr="00720D0B">
        <w:rPr>
          <w:rFonts w:ascii="Arial" w:eastAsia="楷体_GB2312" w:hAnsi="Arial" w:hint="eastAsia"/>
          <w:b/>
          <w:kern w:val="0"/>
          <w:sz w:val="36"/>
          <w:szCs w:val="36"/>
        </w:rPr>
        <w:t xml:space="preserve"> 0105 </w:t>
      </w:r>
      <w:r w:rsidR="00720D0B" w:rsidRPr="00720D0B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720D0B" w:rsidRPr="00720D0B">
        <w:rPr>
          <w:rFonts w:ascii="Arial" w:eastAsia="楷体_GB2312" w:hAnsi="Arial" w:hint="eastAsia"/>
          <w:b/>
          <w:kern w:val="0"/>
          <w:sz w:val="36"/>
          <w:szCs w:val="36"/>
        </w:rPr>
        <w:t xml:space="preserve"> 16213 </w:t>
      </w:r>
      <w:r w:rsidR="00720D0B" w:rsidRPr="00720D0B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720D0B">
        <w:rPr>
          <w:rFonts w:ascii="Arial" w:eastAsia="楷体_GB2312" w:hAnsi="Arial"/>
          <w:kern w:val="0"/>
          <w:sz w:val="28"/>
          <w:szCs w:val="28"/>
        </w:rPr>
        <w:t>2022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720D0B">
        <w:rPr>
          <w:rFonts w:ascii="Arial" w:eastAsia="楷体_GB2312" w:hAnsi="Arial"/>
          <w:kern w:val="0"/>
          <w:sz w:val="28"/>
          <w:szCs w:val="28"/>
        </w:rPr>
        <w:t>9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720D0B">
        <w:rPr>
          <w:rFonts w:ascii="Arial" w:eastAsia="楷体_GB2312" w:hAnsi="Arial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>北京市朝阳区日坛北路</w:t>
      </w:r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 xml:space="preserve"> 17 </w:t>
      </w:r>
      <w:proofErr w:type="gramStart"/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>号院</w:t>
      </w:r>
      <w:proofErr w:type="gramEnd"/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 xml:space="preserve"> 2 </w:t>
      </w:r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 xml:space="preserve"> 2 </w:t>
      </w:r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 xml:space="preserve"> 2525 </w:t>
      </w:r>
      <w:proofErr w:type="gramStart"/>
      <w:r w:rsidR="00720D0B" w:rsidRPr="00720D0B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商业</w:t>
      </w:r>
      <w:proofErr w:type="gramEnd"/>
      <w:r w:rsidR="00611BE7">
        <w:rPr>
          <w:rFonts w:ascii="Arial" w:eastAsia="楷体_GB2312" w:hAnsi="Arial" w:hint="eastAsia"/>
          <w:kern w:val="0"/>
          <w:sz w:val="28"/>
          <w:szCs w:val="28"/>
        </w:rPr>
        <w:t>用房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因为联系</w:t>
      </w:r>
      <w:r w:rsidR="003900FD">
        <w:rPr>
          <w:rFonts w:ascii="Arial" w:eastAsia="楷体_GB2312" w:hAnsi="Arial" w:hint="eastAsia"/>
          <w:kern w:val="0"/>
          <w:sz w:val="28"/>
          <w:szCs w:val="28"/>
        </w:rPr>
        <w:t>不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到被执行人徐</w:t>
      </w:r>
      <w:proofErr w:type="gramStart"/>
      <w:r w:rsidR="00720D0B">
        <w:rPr>
          <w:rFonts w:ascii="Arial" w:eastAsia="楷体_GB2312" w:hAnsi="Arial" w:hint="eastAsia"/>
          <w:kern w:val="0"/>
          <w:sz w:val="28"/>
          <w:szCs w:val="28"/>
        </w:rPr>
        <w:t>大付</w:t>
      </w:r>
      <w:proofErr w:type="gramEnd"/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  <w:bookmarkStart w:id="0" w:name="_GoBack"/>
      <w:bookmarkEnd w:id="0"/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九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六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43" w:rsidRDefault="00087143">
      <w:r>
        <w:separator/>
      </w:r>
    </w:p>
  </w:endnote>
  <w:endnote w:type="continuationSeparator" w:id="0">
    <w:p w:rsidR="00087143" w:rsidRDefault="0008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43" w:rsidRDefault="00087143">
      <w:r>
        <w:separator/>
      </w:r>
    </w:p>
  </w:footnote>
  <w:footnote w:type="continuationSeparator" w:id="0">
    <w:p w:rsidR="00087143" w:rsidRDefault="0008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18902A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4E61-5D68-4F7E-8DB5-98818E2A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2019-08-05T08:49:00Z</cp:lastPrinted>
  <dcterms:created xsi:type="dcterms:W3CDTF">2021-10-18T07:37:00Z</dcterms:created>
  <dcterms:modified xsi:type="dcterms:W3CDTF">2022-09-16T07:17:00Z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