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eastAsiaTheme="majorEastAsia"/>
          <w:b/>
          <w:bCs/>
          <w:sz w:val="36"/>
          <w:szCs w:val="36"/>
        </w:rPr>
      </w:pPr>
      <w:r>
        <w:rPr>
          <w:rFonts w:hint="eastAsia" w:ascii="Arial" w:hAnsi="Arial" w:cs="Arial" w:eastAsiaTheme="majorEastAsia"/>
          <w:b/>
          <w:bCs/>
          <w:sz w:val="36"/>
          <w:szCs w:val="36"/>
        </w:rPr>
        <w:t>2021年中航信托•天启【2020】565号宜宾站前广场项目股权投资集合资金信托计划2021年02月监管报告</w:t>
      </w:r>
    </w:p>
    <w:p>
      <w:pPr>
        <w:spacing w:line="480" w:lineRule="auto"/>
        <w:jc w:val="left"/>
        <w:rPr>
          <w:rFonts w:ascii="Arial" w:hAnsi="Arial"/>
          <w:b/>
          <w:color w:val="000000"/>
          <w:sz w:val="24"/>
        </w:rPr>
      </w:pPr>
      <w:r>
        <w:rPr>
          <w:rFonts w:hint="eastAsia" w:ascii="Arial" w:hAnsi="Arial"/>
          <w:b/>
          <w:color w:val="000000"/>
          <w:sz w:val="24"/>
        </w:rPr>
        <w:t xml:space="preserve"> </w:t>
      </w:r>
    </w:p>
    <w:p>
      <w:pPr>
        <w:spacing w:line="480" w:lineRule="auto"/>
        <w:jc w:val="left"/>
        <w:rPr>
          <w:rFonts w:ascii="Arial" w:hAnsi="Arial"/>
          <w:b/>
          <w:color w:val="FF0000"/>
          <w:sz w:val="24"/>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Arial" w:hAnsi="Arial" w:cs="Arial" w:eastAsiaTheme="minorEastAsia"/>
          <w:b/>
          <w:bCs/>
          <w:color w:val="000000"/>
          <w:szCs w:val="21"/>
        </w:rPr>
      </w:pPr>
      <w:r>
        <w:rPr>
          <w:rFonts w:hint="eastAsia" w:ascii="Arial" w:hAnsi="Arial" w:cs="Arial" w:eastAsiaTheme="minorEastAsia"/>
          <w:b/>
          <w:bCs/>
          <w:color w:val="000000"/>
          <w:szCs w:val="21"/>
        </w:rPr>
        <w:t>项目名称：中航信托•天启【2020】565号宜宾站前广场项目股权投资集合资金信托计划</w:t>
      </w:r>
    </w:p>
    <w:p>
      <w:pPr>
        <w:spacing w:line="480" w:lineRule="auto"/>
        <w:jc w:val="left"/>
        <w:rPr>
          <w:rFonts w:ascii="Arial" w:hAnsi="Arial" w:cs="Arial" w:eastAsiaTheme="minorEastAsia"/>
          <w:b/>
          <w:bCs/>
          <w:color w:val="000000"/>
          <w:szCs w:val="21"/>
        </w:rPr>
      </w:pPr>
      <w:r>
        <w:rPr>
          <w:rFonts w:hint="eastAsia" w:ascii="Arial" w:hAnsi="Arial" w:cs="Arial" w:eastAsiaTheme="minorEastAsia"/>
          <w:b/>
          <w:bCs/>
          <w:color w:val="000000"/>
          <w:szCs w:val="21"/>
        </w:rPr>
        <w:t>委 托 方：深圳航宜投资合伙企业（有限合伙）</w:t>
      </w:r>
    </w:p>
    <w:p>
      <w:pPr>
        <w:spacing w:line="480" w:lineRule="auto"/>
        <w:jc w:val="left"/>
        <w:rPr>
          <w:rFonts w:ascii="Arial" w:hAnsi="Arial" w:cs="Arial" w:eastAsiaTheme="minorEastAsia"/>
          <w:b/>
          <w:bCs/>
          <w:color w:val="000000"/>
          <w:szCs w:val="21"/>
        </w:rPr>
      </w:pPr>
      <w:r>
        <w:rPr>
          <w:rFonts w:hint="eastAsia" w:ascii="Arial" w:hAnsi="Arial" w:cs="Arial" w:eastAsiaTheme="minorEastAsia"/>
          <w:b/>
          <w:bCs/>
          <w:color w:val="000000"/>
          <w:szCs w:val="21"/>
        </w:rPr>
        <w:t>受 托 方：北京康信君安资产管理有限公司</w:t>
      </w:r>
    </w:p>
    <w:p>
      <w:pPr>
        <w:spacing w:line="480" w:lineRule="auto"/>
        <w:jc w:val="left"/>
        <w:rPr>
          <w:rFonts w:ascii="Arial" w:hAnsi="Arial" w:cs="Arial" w:eastAsiaTheme="minorEastAsia"/>
          <w:b/>
          <w:bCs/>
          <w:color w:val="000000"/>
          <w:szCs w:val="21"/>
        </w:rPr>
      </w:pPr>
      <w:r>
        <w:rPr>
          <w:rFonts w:hint="eastAsia" w:ascii="Arial" w:hAnsi="Arial" w:cs="Arial" w:eastAsiaTheme="minorEastAsia"/>
          <w:b/>
          <w:bCs/>
          <w:color w:val="000000"/>
          <w:szCs w:val="21"/>
        </w:rPr>
        <w:t>监管人员：陈文丽</w:t>
      </w:r>
    </w:p>
    <w:p>
      <w:pPr>
        <w:spacing w:line="480" w:lineRule="auto"/>
        <w:jc w:val="left"/>
        <w:rPr>
          <w:rFonts w:ascii="Arial" w:hAnsi="Arial" w:cs="Arial" w:eastAsiaTheme="minorEastAsia"/>
          <w:b/>
          <w:bCs/>
          <w:color w:val="000000"/>
          <w:szCs w:val="21"/>
        </w:rPr>
        <w:sectPr>
          <w:headerReference r:id="rId3" w:type="default"/>
          <w:pgSz w:w="11906" w:h="16838"/>
          <w:pgMar w:top="1843" w:right="1134" w:bottom="1134" w:left="1134" w:header="851" w:footer="992" w:gutter="340"/>
          <w:pgNumType w:start="1"/>
          <w:cols w:space="0" w:num="1"/>
          <w:docGrid w:type="lines" w:linePitch="315" w:charSpace="0"/>
        </w:sectPr>
      </w:pPr>
      <w:r>
        <w:rPr>
          <w:rFonts w:hint="eastAsia" w:ascii="Arial" w:hAnsi="Arial" w:cs="Arial" w:eastAsiaTheme="minorEastAsia"/>
          <w:b/>
          <w:bCs/>
          <w:color w:val="000000"/>
          <w:szCs w:val="21"/>
        </w:rPr>
        <w:t>日期：二〇二一年三月五日</w:t>
      </w:r>
    </w:p>
    <w:sdt>
      <w:sdtPr>
        <w:rPr>
          <w:rFonts w:hint="eastAsia" w:ascii="Arial" w:hAnsi="Arial" w:cs="Arial"/>
          <w:b/>
          <w:kern w:val="0"/>
          <w:sz w:val="28"/>
          <w:szCs w:val="22"/>
        </w:rPr>
        <w:id w:val="147455247"/>
        <w:docPartObj>
          <w:docPartGallery w:val="Table of Contents"/>
          <w:docPartUnique/>
        </w:docPartObj>
      </w:sdtPr>
      <w:sdtEndPr>
        <w:rPr>
          <w:rFonts w:hint="eastAsia" w:asciiTheme="minorEastAsia" w:hAnsiTheme="minorEastAsia" w:eastAsiaTheme="minorEastAsia" w:cstheme="minorEastAsia"/>
          <w:b/>
          <w:bCs/>
          <w:kern w:val="44"/>
          <w:sz w:val="24"/>
          <w:szCs w:val="22"/>
        </w:rPr>
      </w:sdtEndPr>
      <w:sdtContent>
        <w:p>
          <w:pPr>
            <w:spacing w:line="360" w:lineRule="auto"/>
            <w:jc w:val="center"/>
            <w:rPr>
              <w:rFonts w:ascii="Arial" w:hAnsi="Arial" w:cs="Arial"/>
              <w:b/>
              <w:kern w:val="0"/>
              <w:sz w:val="28"/>
              <w:szCs w:val="22"/>
            </w:rPr>
          </w:pPr>
          <w:r>
            <w:rPr>
              <w:rFonts w:hint="eastAsia" w:ascii="Arial" w:hAnsi="Arial" w:cs="Arial"/>
              <w:b/>
              <w:kern w:val="0"/>
              <w:sz w:val="28"/>
              <w:szCs w:val="28"/>
            </w:rPr>
            <w:t>目录</w:t>
          </w:r>
        </w:p>
        <w:p>
          <w:pPr>
            <w:pStyle w:val="10"/>
            <w:tabs>
              <w:tab w:val="right" w:leader="dot" w:pos="9298"/>
            </w:tabs>
            <w:spacing w:line="360" w:lineRule="auto"/>
            <w:rPr>
              <w:rFonts w:ascii="Arial" w:hAnsi="Arial" w:cs="Arial"/>
            </w:rPr>
          </w:pPr>
          <w:r>
            <w:rPr>
              <w:rFonts w:hint="eastAsia" w:ascii="宋体" w:hAnsi="宋体" w:cs="宋体"/>
              <w:bCs/>
              <w:kern w:val="44"/>
              <w:sz w:val="28"/>
              <w:szCs w:val="28"/>
            </w:rPr>
            <w:fldChar w:fldCharType="begin"/>
          </w:r>
          <w:r>
            <w:rPr>
              <w:rFonts w:hint="eastAsia" w:ascii="宋体" w:hAnsi="宋体" w:cs="宋体"/>
              <w:bCs/>
              <w:kern w:val="44"/>
              <w:sz w:val="28"/>
              <w:szCs w:val="28"/>
            </w:rPr>
            <w:instrText xml:space="preserve">TOC \o "1-2" \h \u </w:instrText>
          </w:r>
          <w:r>
            <w:rPr>
              <w:rFonts w:hint="eastAsia" w:ascii="宋体" w:hAnsi="宋体" w:cs="宋体"/>
              <w:bCs/>
              <w:kern w:val="44"/>
              <w:sz w:val="28"/>
              <w:szCs w:val="28"/>
            </w:rPr>
            <w:fldChar w:fldCharType="separate"/>
          </w:r>
          <w:r>
            <w:fldChar w:fldCharType="begin"/>
          </w:r>
          <w:r>
            <w:instrText xml:space="preserve"> HYPERLINK \l "_Toc21131" </w:instrText>
          </w:r>
          <w:r>
            <w:fldChar w:fldCharType="separate"/>
          </w:r>
          <w:r>
            <w:rPr>
              <w:rFonts w:ascii="Arial" w:hAnsi="Arial" w:cs="Arial"/>
            </w:rPr>
            <w:t>1项目基本情况</w:t>
          </w:r>
          <w:r>
            <w:rPr>
              <w:rFonts w:ascii="Arial" w:hAnsi="Arial" w:cs="Arial"/>
            </w:rPr>
            <w:tab/>
          </w:r>
          <w:r>
            <w:rPr>
              <w:rFonts w:ascii="Arial" w:hAnsi="Arial" w:cs="Arial"/>
            </w:rPr>
            <w:fldChar w:fldCharType="begin"/>
          </w:r>
          <w:r>
            <w:rPr>
              <w:rFonts w:ascii="Arial" w:hAnsi="Arial" w:cs="Arial"/>
            </w:rPr>
            <w:instrText xml:space="preserve"> PAGEREF _Toc21131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10"/>
            <w:tabs>
              <w:tab w:val="right" w:leader="dot" w:pos="9298"/>
            </w:tabs>
            <w:spacing w:line="360" w:lineRule="auto"/>
            <w:rPr>
              <w:rFonts w:ascii="Arial" w:hAnsi="Arial" w:cs="Arial"/>
            </w:rPr>
          </w:pPr>
          <w:r>
            <w:fldChar w:fldCharType="begin"/>
          </w:r>
          <w:r>
            <w:instrText xml:space="preserve"> HYPERLINK \l "_Toc27229" </w:instrText>
          </w:r>
          <w:r>
            <w:fldChar w:fldCharType="separate"/>
          </w:r>
          <w:r>
            <w:rPr>
              <w:rFonts w:ascii="Arial" w:hAnsi="Arial" w:cs="Arial" w:eastAsiaTheme="majorEastAsia"/>
            </w:rPr>
            <w:t>2重大事件披露</w:t>
          </w:r>
          <w:r>
            <w:rPr>
              <w:rFonts w:ascii="Arial" w:hAnsi="Arial" w:cs="Arial"/>
            </w:rPr>
            <w:tab/>
          </w:r>
          <w:r>
            <w:rPr>
              <w:rFonts w:ascii="Arial" w:hAnsi="Arial" w:cs="Arial"/>
            </w:rPr>
            <w:fldChar w:fldCharType="begin"/>
          </w:r>
          <w:r>
            <w:rPr>
              <w:rFonts w:ascii="Arial" w:hAnsi="Arial" w:cs="Arial"/>
            </w:rPr>
            <w:instrText xml:space="preserve"> PAGEREF _Toc27229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0"/>
            <w:tabs>
              <w:tab w:val="right" w:leader="dot" w:pos="9298"/>
            </w:tabs>
            <w:spacing w:line="360" w:lineRule="auto"/>
            <w:rPr>
              <w:rFonts w:ascii="Arial" w:hAnsi="Arial" w:cs="Arial"/>
            </w:rPr>
          </w:pPr>
          <w:r>
            <w:fldChar w:fldCharType="begin"/>
          </w:r>
          <w:r>
            <w:instrText xml:space="preserve"> HYPERLINK \l "_Toc12050" </w:instrText>
          </w:r>
          <w:r>
            <w:fldChar w:fldCharType="separate"/>
          </w:r>
          <w:r>
            <w:rPr>
              <w:rFonts w:ascii="Arial" w:hAnsi="Arial" w:cs="Arial" w:eastAsiaTheme="majorEastAsia"/>
              <w:szCs w:val="22"/>
            </w:rPr>
            <w:t>3项目五证办理及施工进度情况</w:t>
          </w:r>
          <w:r>
            <w:rPr>
              <w:rFonts w:ascii="Arial" w:hAnsi="Arial" w:cs="Arial"/>
            </w:rPr>
            <w:tab/>
          </w:r>
          <w:r>
            <w:rPr>
              <w:rFonts w:ascii="Arial" w:hAnsi="Arial" w:cs="Arial"/>
            </w:rPr>
            <w:fldChar w:fldCharType="begin"/>
          </w:r>
          <w:r>
            <w:rPr>
              <w:rFonts w:ascii="Arial" w:hAnsi="Arial" w:cs="Arial"/>
            </w:rPr>
            <w:instrText xml:space="preserve"> PAGEREF _Toc12050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1"/>
            <w:tabs>
              <w:tab w:val="right" w:leader="dot" w:pos="9298"/>
            </w:tabs>
            <w:spacing w:line="360" w:lineRule="auto"/>
            <w:rPr>
              <w:rFonts w:ascii="Arial" w:hAnsi="Arial" w:cs="Arial"/>
            </w:rPr>
          </w:pPr>
          <w:r>
            <w:fldChar w:fldCharType="begin"/>
          </w:r>
          <w:r>
            <w:instrText xml:space="preserve"> HYPERLINK \l "_Toc21031" </w:instrText>
          </w:r>
          <w:r>
            <w:fldChar w:fldCharType="separate"/>
          </w:r>
          <w:r>
            <w:rPr>
              <w:rFonts w:ascii="Arial" w:hAnsi="Arial" w:cs="Arial" w:eastAsiaTheme="majorEastAsia"/>
            </w:rPr>
            <w:t>3.1项目五证办理情况</w:t>
          </w:r>
          <w:r>
            <w:rPr>
              <w:rFonts w:ascii="Arial" w:hAnsi="Arial" w:cs="Arial"/>
            </w:rPr>
            <w:tab/>
          </w:r>
          <w:r>
            <w:rPr>
              <w:rFonts w:ascii="Arial" w:hAnsi="Arial" w:cs="Arial"/>
            </w:rPr>
            <w:fldChar w:fldCharType="begin"/>
          </w:r>
          <w:r>
            <w:rPr>
              <w:rFonts w:ascii="Arial" w:hAnsi="Arial" w:cs="Arial"/>
            </w:rPr>
            <w:instrText xml:space="preserve"> PAGEREF _Toc21031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1"/>
            <w:tabs>
              <w:tab w:val="right" w:leader="dot" w:pos="9298"/>
            </w:tabs>
            <w:spacing w:line="360" w:lineRule="auto"/>
            <w:rPr>
              <w:rFonts w:ascii="Arial" w:hAnsi="Arial" w:cs="Arial"/>
            </w:rPr>
          </w:pPr>
          <w:r>
            <w:fldChar w:fldCharType="begin"/>
          </w:r>
          <w:r>
            <w:instrText xml:space="preserve"> HYPERLINK \l "_Toc5181" </w:instrText>
          </w:r>
          <w:r>
            <w:fldChar w:fldCharType="separate"/>
          </w:r>
          <w:r>
            <w:rPr>
              <w:rFonts w:ascii="Arial" w:hAnsi="Arial" w:cs="Arial" w:eastAsiaTheme="majorEastAsia"/>
            </w:rPr>
            <w:t>3.2项目进度情况</w:t>
          </w:r>
          <w:r>
            <w:rPr>
              <w:rFonts w:ascii="Arial" w:hAnsi="Arial" w:cs="Arial"/>
            </w:rPr>
            <w:tab/>
          </w:r>
          <w:r>
            <w:rPr>
              <w:rFonts w:ascii="Arial" w:hAnsi="Arial" w:cs="Arial"/>
            </w:rPr>
            <w:fldChar w:fldCharType="begin"/>
          </w:r>
          <w:r>
            <w:rPr>
              <w:rFonts w:ascii="Arial" w:hAnsi="Arial" w:cs="Arial"/>
            </w:rPr>
            <w:instrText xml:space="preserve"> PAGEREF _Toc5181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fldChar w:fldCharType="end"/>
          </w:r>
        </w:p>
        <w:p>
          <w:pPr>
            <w:pStyle w:val="11"/>
            <w:tabs>
              <w:tab w:val="right" w:leader="dot" w:pos="9298"/>
            </w:tabs>
            <w:spacing w:line="360" w:lineRule="auto"/>
            <w:rPr>
              <w:rFonts w:ascii="Arial" w:hAnsi="Arial" w:cs="Arial"/>
            </w:rPr>
          </w:pPr>
          <w:r>
            <w:fldChar w:fldCharType="begin"/>
          </w:r>
          <w:r>
            <w:instrText xml:space="preserve"> HYPERLINK \l "_Toc3880" </w:instrText>
          </w:r>
          <w:r>
            <w:fldChar w:fldCharType="separate"/>
          </w:r>
          <w:r>
            <w:rPr>
              <w:rFonts w:ascii="Arial" w:hAnsi="Arial" w:cs="Arial"/>
              <w:bCs/>
              <w:kern w:val="0"/>
            </w:rPr>
            <w:t>3.3项目现场施工照片</w:t>
          </w:r>
          <w:r>
            <w:rPr>
              <w:rFonts w:ascii="Arial" w:hAnsi="Arial" w:cs="Arial"/>
            </w:rPr>
            <w:tab/>
          </w:r>
          <w:r>
            <w:rPr>
              <w:rFonts w:ascii="Arial" w:hAnsi="Arial" w:cs="Arial"/>
            </w:rPr>
            <w:fldChar w:fldCharType="begin"/>
          </w:r>
          <w:r>
            <w:rPr>
              <w:rFonts w:ascii="Arial" w:hAnsi="Arial" w:cs="Arial"/>
            </w:rPr>
            <w:instrText xml:space="preserve"> PAGEREF _Toc3880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11"/>
            <w:tabs>
              <w:tab w:val="right" w:leader="dot" w:pos="9298"/>
            </w:tabs>
            <w:spacing w:line="360" w:lineRule="auto"/>
            <w:rPr>
              <w:rFonts w:ascii="Arial" w:hAnsi="Arial" w:cs="Arial"/>
            </w:rPr>
          </w:pPr>
          <w:r>
            <w:fldChar w:fldCharType="begin"/>
          </w:r>
          <w:r>
            <w:instrText xml:space="preserve"> HYPERLINK \l "_Toc20822" </w:instrText>
          </w:r>
          <w:r>
            <w:fldChar w:fldCharType="separate"/>
          </w:r>
          <w:r>
            <w:rPr>
              <w:rFonts w:ascii="Arial" w:hAnsi="Arial" w:cs="Arial" w:eastAsiaTheme="majorEastAsia"/>
            </w:rPr>
            <w:t>3.4 03月工程施工进度计划</w:t>
          </w:r>
          <w:r>
            <w:rPr>
              <w:rFonts w:ascii="Arial" w:hAnsi="Arial" w:cs="Arial"/>
            </w:rPr>
            <w:tab/>
          </w:r>
          <w:r>
            <w:rPr>
              <w:rFonts w:ascii="Arial" w:hAnsi="Arial" w:cs="Arial"/>
            </w:rPr>
            <w:fldChar w:fldCharType="begin"/>
          </w:r>
          <w:r>
            <w:rPr>
              <w:rFonts w:ascii="Arial" w:hAnsi="Arial" w:cs="Arial"/>
            </w:rPr>
            <w:instrText xml:space="preserve"> PAGEREF _Toc20822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10"/>
            <w:tabs>
              <w:tab w:val="right" w:leader="dot" w:pos="9298"/>
            </w:tabs>
            <w:spacing w:line="360" w:lineRule="auto"/>
            <w:rPr>
              <w:rFonts w:ascii="Arial" w:hAnsi="Arial" w:cs="Arial"/>
            </w:rPr>
          </w:pPr>
          <w:r>
            <w:fldChar w:fldCharType="begin"/>
          </w:r>
          <w:r>
            <w:instrText xml:space="preserve"> HYPERLINK \l "_Toc20142" </w:instrText>
          </w:r>
          <w:r>
            <w:fldChar w:fldCharType="separate"/>
          </w:r>
          <w:r>
            <w:rPr>
              <w:rFonts w:ascii="Arial" w:hAnsi="Arial" w:cs="Arial" w:eastAsiaTheme="majorEastAsia"/>
            </w:rPr>
            <w:t>4印鉴使用情况</w:t>
          </w:r>
          <w:r>
            <w:rPr>
              <w:rFonts w:ascii="Arial" w:hAnsi="Arial" w:cs="Arial"/>
            </w:rPr>
            <w:tab/>
          </w:r>
          <w:r>
            <w:rPr>
              <w:rFonts w:ascii="Arial" w:hAnsi="Arial" w:cs="Arial"/>
            </w:rPr>
            <w:fldChar w:fldCharType="begin"/>
          </w:r>
          <w:r>
            <w:rPr>
              <w:rFonts w:ascii="Arial" w:hAnsi="Arial" w:cs="Arial"/>
            </w:rPr>
            <w:instrText xml:space="preserve"> PAGEREF _Toc20142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10"/>
            <w:tabs>
              <w:tab w:val="right" w:leader="dot" w:pos="9298"/>
            </w:tabs>
            <w:spacing w:line="360" w:lineRule="auto"/>
            <w:rPr>
              <w:rFonts w:ascii="Arial" w:hAnsi="Arial" w:cs="Arial"/>
            </w:rPr>
          </w:pPr>
          <w:r>
            <w:fldChar w:fldCharType="begin"/>
          </w:r>
          <w:r>
            <w:instrText xml:space="preserve"> HYPERLINK \l "_Toc13551" </w:instrText>
          </w:r>
          <w:r>
            <w:fldChar w:fldCharType="separate"/>
          </w:r>
          <w:r>
            <w:rPr>
              <w:rFonts w:ascii="Arial" w:hAnsi="Arial" w:cs="Arial" w:eastAsiaTheme="majorEastAsia"/>
            </w:rPr>
            <w:t>5合同签订情况</w:t>
          </w:r>
          <w:r>
            <w:rPr>
              <w:rFonts w:ascii="Arial" w:hAnsi="Arial" w:cs="Arial"/>
            </w:rPr>
            <w:tab/>
          </w:r>
          <w:r>
            <w:rPr>
              <w:rFonts w:ascii="Arial" w:hAnsi="Arial" w:cs="Arial"/>
            </w:rPr>
            <w:fldChar w:fldCharType="begin"/>
          </w:r>
          <w:r>
            <w:rPr>
              <w:rFonts w:ascii="Arial" w:hAnsi="Arial" w:cs="Arial"/>
            </w:rPr>
            <w:instrText xml:space="preserve"> PAGEREF _Toc13551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fldChar w:fldCharType="end"/>
          </w:r>
        </w:p>
        <w:p>
          <w:pPr>
            <w:pStyle w:val="10"/>
            <w:tabs>
              <w:tab w:val="right" w:leader="dot" w:pos="9298"/>
            </w:tabs>
            <w:spacing w:line="360" w:lineRule="auto"/>
            <w:rPr>
              <w:rFonts w:ascii="Arial" w:hAnsi="Arial" w:cs="Arial"/>
            </w:rPr>
          </w:pPr>
          <w:r>
            <w:fldChar w:fldCharType="begin"/>
          </w:r>
          <w:r>
            <w:instrText xml:space="preserve"> HYPERLINK \l "_Toc10620" </w:instrText>
          </w:r>
          <w:r>
            <w:fldChar w:fldCharType="separate"/>
          </w:r>
          <w:r>
            <w:rPr>
              <w:rFonts w:ascii="Arial" w:hAnsi="Arial" w:cs="Arial" w:eastAsiaTheme="majorEastAsia"/>
              <w:bCs/>
            </w:rPr>
            <w:t>6项目销售情况</w:t>
          </w:r>
          <w:r>
            <w:rPr>
              <w:rFonts w:ascii="Arial" w:hAnsi="Arial" w:cs="Arial"/>
            </w:rPr>
            <w:tab/>
          </w:r>
          <w:r>
            <w:rPr>
              <w:rFonts w:ascii="Arial" w:hAnsi="Arial" w:cs="Arial"/>
            </w:rPr>
            <w:fldChar w:fldCharType="begin"/>
          </w:r>
          <w:r>
            <w:rPr>
              <w:rFonts w:ascii="Arial" w:hAnsi="Arial" w:cs="Arial"/>
            </w:rPr>
            <w:instrText xml:space="preserve"> PAGEREF _Toc10620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10"/>
            <w:tabs>
              <w:tab w:val="right" w:leader="dot" w:pos="9298"/>
            </w:tabs>
            <w:spacing w:line="360" w:lineRule="auto"/>
            <w:rPr>
              <w:rFonts w:ascii="Arial" w:hAnsi="Arial" w:cs="Arial"/>
            </w:rPr>
          </w:pPr>
          <w:r>
            <w:fldChar w:fldCharType="begin"/>
          </w:r>
          <w:r>
            <w:instrText xml:space="preserve"> HYPERLINK \l "_Toc20311" </w:instrText>
          </w:r>
          <w:r>
            <w:fldChar w:fldCharType="separate"/>
          </w:r>
          <w:r>
            <w:rPr>
              <w:rFonts w:ascii="Arial" w:hAnsi="Arial" w:cs="Arial" w:eastAsiaTheme="majorEastAsia"/>
            </w:rPr>
            <w:t>7资金情况</w:t>
          </w:r>
          <w:r>
            <w:rPr>
              <w:rFonts w:ascii="Arial" w:hAnsi="Arial" w:cs="Arial"/>
            </w:rPr>
            <w:tab/>
          </w:r>
          <w:r>
            <w:rPr>
              <w:rFonts w:ascii="Arial" w:hAnsi="Arial" w:cs="Arial"/>
            </w:rPr>
            <w:fldChar w:fldCharType="begin"/>
          </w:r>
          <w:r>
            <w:rPr>
              <w:rFonts w:ascii="Arial" w:hAnsi="Arial" w:cs="Arial"/>
            </w:rPr>
            <w:instrText xml:space="preserve"> PAGEREF _Toc20311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11"/>
            <w:tabs>
              <w:tab w:val="right" w:leader="dot" w:pos="9298"/>
            </w:tabs>
            <w:spacing w:line="360" w:lineRule="auto"/>
            <w:rPr>
              <w:rFonts w:ascii="Arial" w:hAnsi="Arial" w:cs="Arial"/>
            </w:rPr>
          </w:pPr>
          <w:r>
            <w:fldChar w:fldCharType="begin"/>
          </w:r>
          <w:r>
            <w:instrText xml:space="preserve"> HYPERLINK \l "_Toc9970" </w:instrText>
          </w:r>
          <w:r>
            <w:fldChar w:fldCharType="separate"/>
          </w:r>
          <w:r>
            <w:rPr>
              <w:rFonts w:ascii="Arial" w:hAnsi="Arial" w:cs="Arial" w:eastAsiaTheme="majorEastAsia"/>
            </w:rPr>
            <w:t>7.1资金流出情况</w:t>
          </w:r>
          <w:r>
            <w:rPr>
              <w:rFonts w:ascii="Arial" w:hAnsi="Arial" w:cs="Arial"/>
            </w:rPr>
            <w:tab/>
          </w:r>
          <w:r>
            <w:rPr>
              <w:rFonts w:ascii="Arial" w:hAnsi="Arial" w:cs="Arial"/>
            </w:rPr>
            <w:fldChar w:fldCharType="begin"/>
          </w:r>
          <w:r>
            <w:rPr>
              <w:rFonts w:ascii="Arial" w:hAnsi="Arial" w:cs="Arial"/>
            </w:rPr>
            <w:instrText xml:space="preserve"> PAGEREF _Toc9970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11"/>
            <w:tabs>
              <w:tab w:val="right" w:leader="dot" w:pos="9298"/>
            </w:tabs>
            <w:spacing w:line="360" w:lineRule="auto"/>
            <w:rPr>
              <w:rFonts w:ascii="Arial" w:hAnsi="Arial" w:cs="Arial"/>
            </w:rPr>
          </w:pPr>
          <w:r>
            <w:fldChar w:fldCharType="begin"/>
          </w:r>
          <w:r>
            <w:instrText xml:space="preserve"> HYPERLINK \l "_Toc2443" </w:instrText>
          </w:r>
          <w:r>
            <w:fldChar w:fldCharType="separate"/>
          </w:r>
          <w:r>
            <w:rPr>
              <w:rFonts w:ascii="Arial" w:hAnsi="Arial" w:cs="Arial"/>
            </w:rPr>
            <w:t>7.2资金流入情况</w:t>
          </w:r>
          <w:r>
            <w:rPr>
              <w:rFonts w:ascii="Arial" w:hAnsi="Arial" w:cs="Arial"/>
            </w:rPr>
            <w:tab/>
          </w:r>
          <w:r>
            <w:rPr>
              <w:rFonts w:ascii="Arial" w:hAnsi="Arial" w:cs="Arial"/>
            </w:rPr>
            <w:fldChar w:fldCharType="begin"/>
          </w:r>
          <w:r>
            <w:rPr>
              <w:rFonts w:ascii="Arial" w:hAnsi="Arial" w:cs="Arial"/>
            </w:rPr>
            <w:instrText xml:space="preserve"> PAGEREF _Toc2443 </w:instrText>
          </w:r>
          <w:r>
            <w:rPr>
              <w:rFonts w:ascii="Arial" w:hAnsi="Arial" w:cs="Arial"/>
            </w:rPr>
            <w:fldChar w:fldCharType="separate"/>
          </w:r>
          <w:r>
            <w:rPr>
              <w:rFonts w:ascii="Arial" w:hAnsi="Arial" w:cs="Arial"/>
            </w:rPr>
            <w:t>20</w:t>
          </w:r>
          <w:r>
            <w:rPr>
              <w:rFonts w:ascii="Arial" w:hAnsi="Arial" w:cs="Arial"/>
            </w:rPr>
            <w:fldChar w:fldCharType="end"/>
          </w:r>
          <w:r>
            <w:rPr>
              <w:rFonts w:ascii="Arial" w:hAnsi="Arial" w:cs="Arial"/>
            </w:rPr>
            <w:fldChar w:fldCharType="end"/>
          </w:r>
        </w:p>
        <w:p>
          <w:pPr>
            <w:pStyle w:val="11"/>
            <w:tabs>
              <w:tab w:val="right" w:leader="dot" w:pos="9298"/>
            </w:tabs>
            <w:spacing w:line="360" w:lineRule="auto"/>
            <w:rPr>
              <w:rFonts w:ascii="Arial" w:hAnsi="Arial" w:cs="Arial"/>
            </w:rPr>
          </w:pPr>
          <w:r>
            <w:fldChar w:fldCharType="begin"/>
          </w:r>
          <w:r>
            <w:instrText xml:space="preserve"> HYPERLINK \l "_Toc5810" </w:instrText>
          </w:r>
          <w:r>
            <w:fldChar w:fldCharType="separate"/>
          </w:r>
          <w:r>
            <w:rPr>
              <w:rFonts w:ascii="Arial" w:hAnsi="Arial" w:cs="Arial"/>
            </w:rPr>
            <w:t>7.3</w:t>
          </w:r>
          <w:r>
            <w:rPr>
              <w:rFonts w:ascii="Arial" w:hAnsi="Arial" w:cs="Arial" w:eastAsiaTheme="majorEastAsia"/>
            </w:rPr>
            <w:t>资金结算</w:t>
          </w:r>
          <w:r>
            <w:rPr>
              <w:rFonts w:ascii="Arial" w:hAnsi="Arial" w:cs="Arial"/>
            </w:rPr>
            <w:tab/>
          </w:r>
          <w:r>
            <w:rPr>
              <w:rFonts w:ascii="Arial" w:hAnsi="Arial" w:cs="Arial"/>
            </w:rPr>
            <w:fldChar w:fldCharType="begin"/>
          </w:r>
          <w:r>
            <w:rPr>
              <w:rFonts w:ascii="Arial" w:hAnsi="Arial" w:cs="Arial"/>
            </w:rPr>
            <w:instrText xml:space="preserve"> PAGEREF _Toc5810 </w:instrText>
          </w:r>
          <w:r>
            <w:rPr>
              <w:rFonts w:ascii="Arial" w:hAnsi="Arial" w:cs="Arial"/>
            </w:rPr>
            <w:fldChar w:fldCharType="separate"/>
          </w:r>
          <w:r>
            <w:rPr>
              <w:rFonts w:ascii="Arial" w:hAnsi="Arial" w:cs="Arial"/>
            </w:rPr>
            <w:t>23</w:t>
          </w:r>
          <w:r>
            <w:rPr>
              <w:rFonts w:ascii="Arial" w:hAnsi="Arial" w:cs="Arial"/>
            </w:rPr>
            <w:fldChar w:fldCharType="end"/>
          </w:r>
          <w:r>
            <w:rPr>
              <w:rFonts w:ascii="Arial" w:hAnsi="Arial" w:cs="Arial"/>
            </w:rPr>
            <w:fldChar w:fldCharType="end"/>
          </w:r>
        </w:p>
        <w:p>
          <w:pPr>
            <w:pStyle w:val="11"/>
            <w:tabs>
              <w:tab w:val="right" w:leader="dot" w:pos="9298"/>
            </w:tabs>
            <w:spacing w:line="360" w:lineRule="auto"/>
            <w:rPr>
              <w:rFonts w:ascii="Arial" w:hAnsi="Arial" w:cs="Arial"/>
            </w:rPr>
          </w:pPr>
          <w:r>
            <w:fldChar w:fldCharType="begin"/>
          </w:r>
          <w:r>
            <w:instrText xml:space="preserve"> HYPERLINK \l "_Toc15579" </w:instrText>
          </w:r>
          <w:r>
            <w:fldChar w:fldCharType="separate"/>
          </w:r>
          <w:r>
            <w:rPr>
              <w:rFonts w:ascii="Arial" w:hAnsi="Arial" w:cs="Arial"/>
            </w:rPr>
            <w:t>7.4</w:t>
          </w:r>
          <w:r>
            <w:rPr>
              <w:rFonts w:ascii="Arial" w:hAnsi="Arial" w:cs="Arial" w:eastAsiaTheme="majorEastAsia"/>
            </w:rPr>
            <w:t>负债情况</w:t>
          </w:r>
          <w:r>
            <w:rPr>
              <w:rFonts w:ascii="Arial" w:hAnsi="Arial" w:cs="Arial"/>
            </w:rPr>
            <w:tab/>
          </w:r>
          <w:r>
            <w:rPr>
              <w:rFonts w:ascii="Arial" w:hAnsi="Arial" w:cs="Arial"/>
            </w:rPr>
            <w:fldChar w:fldCharType="begin"/>
          </w:r>
          <w:r>
            <w:rPr>
              <w:rFonts w:ascii="Arial" w:hAnsi="Arial" w:cs="Arial"/>
            </w:rPr>
            <w:instrText xml:space="preserve"> PAGEREF _Toc15579 </w:instrText>
          </w:r>
          <w:r>
            <w:rPr>
              <w:rFonts w:ascii="Arial" w:hAnsi="Arial" w:cs="Arial"/>
            </w:rPr>
            <w:fldChar w:fldCharType="separate"/>
          </w:r>
          <w:r>
            <w:rPr>
              <w:rFonts w:ascii="Arial" w:hAnsi="Arial" w:cs="Arial"/>
            </w:rPr>
            <w:t>23</w:t>
          </w:r>
          <w:r>
            <w:rPr>
              <w:rFonts w:ascii="Arial" w:hAnsi="Arial" w:cs="Arial"/>
            </w:rPr>
            <w:fldChar w:fldCharType="end"/>
          </w:r>
          <w:r>
            <w:rPr>
              <w:rFonts w:ascii="Arial" w:hAnsi="Arial" w:cs="Arial"/>
            </w:rPr>
            <w:fldChar w:fldCharType="end"/>
          </w:r>
        </w:p>
        <w:p>
          <w:pPr>
            <w:pStyle w:val="10"/>
            <w:tabs>
              <w:tab w:val="right" w:leader="dot" w:pos="9298"/>
            </w:tabs>
            <w:spacing w:line="360" w:lineRule="auto"/>
            <w:rPr>
              <w:rFonts w:ascii="Arial" w:hAnsi="Arial" w:cs="Arial"/>
            </w:rPr>
          </w:pPr>
          <w:r>
            <w:fldChar w:fldCharType="begin"/>
          </w:r>
          <w:r>
            <w:instrText xml:space="preserve"> HYPERLINK \l "_Toc23602" </w:instrText>
          </w:r>
          <w:r>
            <w:fldChar w:fldCharType="separate"/>
          </w:r>
          <w:r>
            <w:rPr>
              <w:rFonts w:ascii="Arial" w:hAnsi="Arial" w:cs="Arial"/>
            </w:rPr>
            <w:t>8标的项目竞品市场分析</w:t>
          </w:r>
          <w:r>
            <w:rPr>
              <w:rFonts w:ascii="Arial" w:hAnsi="Arial" w:cs="Arial"/>
            </w:rPr>
            <w:tab/>
          </w:r>
          <w:r>
            <w:rPr>
              <w:rFonts w:ascii="Arial" w:hAnsi="Arial" w:cs="Arial"/>
            </w:rPr>
            <w:fldChar w:fldCharType="begin"/>
          </w:r>
          <w:r>
            <w:rPr>
              <w:rFonts w:ascii="Arial" w:hAnsi="Arial" w:cs="Arial"/>
            </w:rPr>
            <w:instrText xml:space="preserve"> PAGEREF _Toc23602 </w:instrText>
          </w:r>
          <w:r>
            <w:rPr>
              <w:rFonts w:ascii="Arial" w:hAnsi="Arial" w:cs="Arial"/>
            </w:rPr>
            <w:fldChar w:fldCharType="separate"/>
          </w:r>
          <w:r>
            <w:rPr>
              <w:rFonts w:ascii="Arial" w:hAnsi="Arial" w:cs="Arial"/>
            </w:rPr>
            <w:t>24</w:t>
          </w:r>
          <w:r>
            <w:rPr>
              <w:rFonts w:ascii="Arial" w:hAnsi="Arial" w:cs="Arial"/>
            </w:rPr>
            <w:fldChar w:fldCharType="end"/>
          </w:r>
          <w:r>
            <w:rPr>
              <w:rFonts w:ascii="Arial" w:hAnsi="Arial" w:cs="Arial"/>
            </w:rPr>
            <w:fldChar w:fldCharType="end"/>
          </w:r>
        </w:p>
        <w:p>
          <w:pPr>
            <w:pStyle w:val="11"/>
            <w:tabs>
              <w:tab w:val="right" w:leader="dot" w:pos="9298"/>
            </w:tabs>
            <w:spacing w:line="360" w:lineRule="auto"/>
            <w:rPr>
              <w:rFonts w:ascii="Arial" w:hAnsi="Arial" w:cs="Arial"/>
            </w:rPr>
          </w:pPr>
          <w:r>
            <w:fldChar w:fldCharType="begin"/>
          </w:r>
          <w:r>
            <w:instrText xml:space="preserve"> HYPERLINK \l "_Toc6308" </w:instrText>
          </w:r>
          <w:r>
            <w:fldChar w:fldCharType="separate"/>
          </w:r>
          <w:r>
            <w:rPr>
              <w:rFonts w:ascii="Arial" w:hAnsi="Arial" w:cs="Arial"/>
            </w:rPr>
            <w:t>8.1房地产政策</w:t>
          </w:r>
          <w:r>
            <w:rPr>
              <w:rFonts w:ascii="Arial" w:hAnsi="Arial" w:cs="Arial"/>
            </w:rPr>
            <w:tab/>
          </w:r>
          <w:r>
            <w:rPr>
              <w:rFonts w:ascii="Arial" w:hAnsi="Arial" w:cs="Arial"/>
            </w:rPr>
            <w:fldChar w:fldCharType="begin"/>
          </w:r>
          <w:r>
            <w:rPr>
              <w:rFonts w:ascii="Arial" w:hAnsi="Arial" w:cs="Arial"/>
            </w:rPr>
            <w:instrText xml:space="preserve"> PAGEREF _Toc6308 </w:instrText>
          </w:r>
          <w:r>
            <w:rPr>
              <w:rFonts w:ascii="Arial" w:hAnsi="Arial" w:cs="Arial"/>
            </w:rPr>
            <w:fldChar w:fldCharType="separate"/>
          </w:r>
          <w:r>
            <w:rPr>
              <w:rFonts w:ascii="Arial" w:hAnsi="Arial" w:cs="Arial"/>
            </w:rPr>
            <w:t>24</w:t>
          </w:r>
          <w:r>
            <w:rPr>
              <w:rFonts w:ascii="Arial" w:hAnsi="Arial" w:cs="Arial"/>
            </w:rPr>
            <w:fldChar w:fldCharType="end"/>
          </w:r>
          <w:r>
            <w:rPr>
              <w:rFonts w:ascii="Arial" w:hAnsi="Arial" w:cs="Arial"/>
            </w:rPr>
            <w:fldChar w:fldCharType="end"/>
          </w:r>
        </w:p>
        <w:p>
          <w:pPr>
            <w:pStyle w:val="11"/>
            <w:tabs>
              <w:tab w:val="right" w:leader="dot" w:pos="9298"/>
            </w:tabs>
            <w:spacing w:line="360" w:lineRule="auto"/>
            <w:rPr>
              <w:rFonts w:ascii="Arial" w:hAnsi="Arial" w:cs="Arial"/>
            </w:rPr>
          </w:pPr>
          <w:r>
            <w:fldChar w:fldCharType="begin"/>
          </w:r>
          <w:r>
            <w:instrText xml:space="preserve"> HYPERLINK \l "_Toc25627" </w:instrText>
          </w:r>
          <w:r>
            <w:fldChar w:fldCharType="separate"/>
          </w:r>
          <w:r>
            <w:rPr>
              <w:rFonts w:ascii="Arial" w:hAnsi="Arial" w:cs="Arial"/>
              <w:kern w:val="44"/>
            </w:rPr>
            <w:t>8.2周边竞品市场分析</w:t>
          </w:r>
          <w:r>
            <w:rPr>
              <w:rFonts w:ascii="Arial" w:hAnsi="Arial" w:cs="Arial"/>
            </w:rPr>
            <w:tab/>
          </w:r>
          <w:r>
            <w:rPr>
              <w:rFonts w:ascii="Arial" w:hAnsi="Arial" w:cs="Arial"/>
            </w:rPr>
            <w:fldChar w:fldCharType="begin"/>
          </w:r>
          <w:r>
            <w:rPr>
              <w:rFonts w:ascii="Arial" w:hAnsi="Arial" w:cs="Arial"/>
            </w:rPr>
            <w:instrText xml:space="preserve"> PAGEREF _Toc25627 </w:instrText>
          </w:r>
          <w:r>
            <w:rPr>
              <w:rFonts w:ascii="Arial" w:hAnsi="Arial" w:cs="Arial"/>
            </w:rPr>
            <w:fldChar w:fldCharType="separate"/>
          </w:r>
          <w:r>
            <w:rPr>
              <w:rFonts w:ascii="Arial" w:hAnsi="Arial" w:cs="Arial"/>
            </w:rPr>
            <w:t>24</w:t>
          </w:r>
          <w:r>
            <w:rPr>
              <w:rFonts w:ascii="Arial" w:hAnsi="Arial" w:cs="Arial"/>
            </w:rPr>
            <w:fldChar w:fldCharType="end"/>
          </w:r>
          <w:r>
            <w:rPr>
              <w:rFonts w:ascii="Arial" w:hAnsi="Arial" w:cs="Arial"/>
            </w:rPr>
            <w:fldChar w:fldCharType="end"/>
          </w:r>
        </w:p>
        <w:p>
          <w:pPr>
            <w:pStyle w:val="10"/>
            <w:tabs>
              <w:tab w:val="right" w:leader="dot" w:pos="9298"/>
            </w:tabs>
            <w:spacing w:line="360" w:lineRule="auto"/>
            <w:rPr>
              <w:rFonts w:ascii="Arial" w:hAnsi="Arial" w:cs="Arial"/>
            </w:rPr>
          </w:pPr>
          <w:r>
            <w:fldChar w:fldCharType="begin"/>
          </w:r>
          <w:r>
            <w:instrText xml:space="preserve"> HYPERLINK \l "_Toc20160" </w:instrText>
          </w:r>
          <w:r>
            <w:fldChar w:fldCharType="separate"/>
          </w:r>
          <w:r>
            <w:rPr>
              <w:rFonts w:ascii="Arial" w:hAnsi="Arial" w:cs="Arial" w:eastAsiaTheme="majorEastAsia"/>
            </w:rPr>
            <w:t>9月度监管总结及建议</w:t>
          </w:r>
          <w:r>
            <w:rPr>
              <w:rFonts w:ascii="Arial" w:hAnsi="Arial" w:cs="Arial"/>
            </w:rPr>
            <w:tab/>
          </w:r>
          <w:r>
            <w:rPr>
              <w:rFonts w:ascii="Arial" w:hAnsi="Arial" w:cs="Arial"/>
            </w:rPr>
            <w:fldChar w:fldCharType="begin"/>
          </w:r>
          <w:r>
            <w:rPr>
              <w:rFonts w:ascii="Arial" w:hAnsi="Arial" w:cs="Arial"/>
            </w:rPr>
            <w:instrText xml:space="preserve"> PAGEREF _Toc20160 </w:instrText>
          </w:r>
          <w:r>
            <w:rPr>
              <w:rFonts w:ascii="Arial" w:hAnsi="Arial" w:cs="Arial"/>
            </w:rPr>
            <w:fldChar w:fldCharType="separate"/>
          </w:r>
          <w:r>
            <w:rPr>
              <w:rFonts w:ascii="Arial" w:hAnsi="Arial" w:cs="Arial"/>
            </w:rPr>
            <w:t>25</w:t>
          </w:r>
          <w:r>
            <w:rPr>
              <w:rFonts w:ascii="Arial" w:hAnsi="Arial" w:cs="Arial"/>
            </w:rPr>
            <w:fldChar w:fldCharType="end"/>
          </w:r>
          <w:r>
            <w:rPr>
              <w:rFonts w:ascii="Arial" w:hAnsi="Arial" w:cs="Arial"/>
            </w:rPr>
            <w:fldChar w:fldCharType="end"/>
          </w:r>
        </w:p>
        <w:p>
          <w:pPr>
            <w:pStyle w:val="10"/>
            <w:tabs>
              <w:tab w:val="right" w:leader="dot" w:pos="9298"/>
            </w:tabs>
            <w:spacing w:line="360" w:lineRule="auto"/>
            <w:rPr>
              <w:rFonts w:ascii="Arial" w:hAnsi="Arial" w:cs="Arial"/>
            </w:rPr>
          </w:pPr>
          <w:r>
            <w:fldChar w:fldCharType="begin"/>
          </w:r>
          <w:r>
            <w:instrText xml:space="preserve"> HYPERLINK \l "_Toc31078" </w:instrText>
          </w:r>
          <w:r>
            <w:fldChar w:fldCharType="separate"/>
          </w:r>
          <w:r>
            <w:rPr>
              <w:rFonts w:ascii="Arial" w:hAnsi="Arial" w:cs="Arial"/>
            </w:rPr>
            <w:t>附件</w:t>
          </w:r>
          <w:r>
            <w:rPr>
              <w:rFonts w:ascii="Arial" w:hAnsi="Arial" w:cs="Arial"/>
            </w:rPr>
            <w:tab/>
          </w:r>
          <w:r>
            <w:rPr>
              <w:rFonts w:ascii="Arial" w:hAnsi="Arial" w:cs="Arial"/>
            </w:rPr>
            <w:fldChar w:fldCharType="begin"/>
          </w:r>
          <w:r>
            <w:rPr>
              <w:rFonts w:ascii="Arial" w:hAnsi="Arial" w:cs="Arial"/>
            </w:rPr>
            <w:instrText xml:space="preserve"> PAGEREF _Toc31078 </w:instrText>
          </w:r>
          <w:r>
            <w:rPr>
              <w:rFonts w:ascii="Arial" w:hAnsi="Arial" w:cs="Arial"/>
            </w:rPr>
            <w:fldChar w:fldCharType="separate"/>
          </w:r>
          <w:r>
            <w:rPr>
              <w:rFonts w:ascii="Arial" w:hAnsi="Arial" w:cs="Arial"/>
            </w:rPr>
            <w:t>26</w:t>
          </w:r>
          <w:r>
            <w:rPr>
              <w:rFonts w:ascii="Arial" w:hAnsi="Arial" w:cs="Arial"/>
            </w:rPr>
            <w:fldChar w:fldCharType="end"/>
          </w:r>
          <w:r>
            <w:rPr>
              <w:rFonts w:ascii="Arial" w:hAnsi="Arial" w:cs="Arial"/>
            </w:rPr>
            <w:fldChar w:fldCharType="end"/>
          </w:r>
        </w:p>
        <w:p>
          <w:pPr>
            <w:pStyle w:val="11"/>
            <w:tabs>
              <w:tab w:val="right" w:leader="dot" w:pos="9298"/>
            </w:tabs>
            <w:spacing w:line="360" w:lineRule="auto"/>
            <w:rPr>
              <w:rFonts w:ascii="Arial" w:hAnsi="Arial" w:cs="Arial"/>
            </w:rPr>
          </w:pPr>
          <w:r>
            <w:fldChar w:fldCharType="begin"/>
          </w:r>
          <w:r>
            <w:instrText xml:space="preserve"> HYPERLINK \l "_Toc1186" </w:instrText>
          </w:r>
          <w:r>
            <w:fldChar w:fldCharType="separate"/>
          </w:r>
          <w:r>
            <w:rPr>
              <w:rFonts w:ascii="Arial" w:hAnsi="Arial" w:cs="Arial"/>
            </w:rPr>
            <w:t>各账户余额截图</w:t>
          </w:r>
          <w:r>
            <w:rPr>
              <w:rFonts w:ascii="Arial" w:hAnsi="Arial" w:cs="Arial"/>
            </w:rPr>
            <w:tab/>
          </w:r>
          <w:r>
            <w:rPr>
              <w:rFonts w:ascii="Arial" w:hAnsi="Arial" w:cs="Arial"/>
            </w:rPr>
            <w:fldChar w:fldCharType="begin"/>
          </w:r>
          <w:r>
            <w:rPr>
              <w:rFonts w:ascii="Arial" w:hAnsi="Arial" w:cs="Arial"/>
            </w:rPr>
            <w:instrText xml:space="preserve"> PAGEREF _Toc1186 </w:instrText>
          </w:r>
          <w:r>
            <w:rPr>
              <w:rFonts w:ascii="Arial" w:hAnsi="Arial" w:cs="Arial"/>
            </w:rPr>
            <w:fldChar w:fldCharType="separate"/>
          </w:r>
          <w:r>
            <w:rPr>
              <w:rFonts w:ascii="Arial" w:hAnsi="Arial" w:cs="Arial"/>
            </w:rPr>
            <w:t>26</w:t>
          </w:r>
          <w:r>
            <w:rPr>
              <w:rFonts w:ascii="Arial" w:hAnsi="Arial" w:cs="Arial"/>
            </w:rPr>
            <w:fldChar w:fldCharType="end"/>
          </w:r>
          <w:r>
            <w:rPr>
              <w:rFonts w:ascii="Arial" w:hAnsi="Arial" w:cs="Arial"/>
            </w:rPr>
            <w:fldChar w:fldCharType="end"/>
          </w:r>
        </w:p>
        <w:p>
          <w:pPr>
            <w:pStyle w:val="11"/>
            <w:tabs>
              <w:tab w:val="right" w:leader="dot" w:pos="9298"/>
            </w:tabs>
            <w:spacing w:line="360" w:lineRule="auto"/>
          </w:pPr>
          <w:r>
            <w:fldChar w:fldCharType="begin"/>
          </w:r>
          <w:r>
            <w:instrText xml:space="preserve"> HYPERLINK \l "_Toc8340" </w:instrText>
          </w:r>
          <w:r>
            <w:fldChar w:fldCharType="separate"/>
          </w:r>
          <w:r>
            <w:rPr>
              <w:rFonts w:ascii="Arial" w:hAnsi="Arial" w:cs="Arial"/>
            </w:rPr>
            <w:t>共管资料清单</w:t>
          </w:r>
          <w:r>
            <w:rPr>
              <w:rFonts w:ascii="Arial" w:hAnsi="Arial" w:cs="Arial"/>
            </w:rPr>
            <w:tab/>
          </w:r>
          <w:r>
            <w:rPr>
              <w:rFonts w:ascii="Arial" w:hAnsi="Arial" w:cs="Arial"/>
            </w:rPr>
            <w:fldChar w:fldCharType="begin"/>
          </w:r>
          <w:r>
            <w:rPr>
              <w:rFonts w:ascii="Arial" w:hAnsi="Arial" w:cs="Arial"/>
            </w:rPr>
            <w:instrText xml:space="preserve"> PAGEREF _Toc8340 </w:instrText>
          </w:r>
          <w:r>
            <w:rPr>
              <w:rFonts w:ascii="Arial" w:hAnsi="Arial" w:cs="Arial"/>
            </w:rPr>
            <w:fldChar w:fldCharType="separate"/>
          </w:r>
          <w:r>
            <w:rPr>
              <w:rFonts w:ascii="Arial" w:hAnsi="Arial" w:cs="Arial"/>
            </w:rPr>
            <w:t>31</w:t>
          </w:r>
          <w:r>
            <w:rPr>
              <w:rFonts w:ascii="Arial" w:hAnsi="Arial" w:cs="Arial"/>
            </w:rPr>
            <w:fldChar w:fldCharType="end"/>
          </w:r>
          <w:r>
            <w:rPr>
              <w:rFonts w:ascii="Arial" w:hAnsi="Arial" w:cs="Arial"/>
            </w:rPr>
            <w:fldChar w:fldCharType="end"/>
          </w:r>
        </w:p>
        <w:p>
          <w:pPr>
            <w:spacing w:line="360" w:lineRule="auto"/>
            <w:rPr>
              <w:rFonts w:asciiTheme="minorEastAsia" w:hAnsiTheme="minorEastAsia" w:eastAsiaTheme="minorEastAsia" w:cstheme="minorEastAsia"/>
              <w:bCs/>
              <w:kern w:val="44"/>
              <w:sz w:val="24"/>
            </w:rPr>
          </w:pPr>
          <w:r>
            <w:rPr>
              <w:rFonts w:hint="eastAsia" w:ascii="宋体" w:hAnsi="宋体" w:cs="宋体"/>
              <w:bCs/>
              <w:kern w:val="44"/>
              <w:szCs w:val="28"/>
            </w:rPr>
            <w:fldChar w:fldCharType="end"/>
          </w:r>
        </w:p>
      </w:sdtContent>
    </w:sdt>
    <w:p>
      <w:pPr>
        <w:spacing w:line="480" w:lineRule="auto"/>
        <w:ind w:left="-199" w:leftChars="-95" w:firstLine="480" w:firstLineChars="200"/>
        <w:rPr>
          <w:rFonts w:asciiTheme="minorEastAsia" w:hAnsiTheme="minorEastAsia" w:eastAsiaTheme="minorEastAsia" w:cstheme="minorEastAsia"/>
          <w:bCs/>
          <w:kern w:val="44"/>
          <w:sz w:val="24"/>
        </w:rPr>
        <w:sectPr>
          <w:footerReference r:id="rId4" w:type="default"/>
          <w:pgSz w:w="11906" w:h="16838"/>
          <w:pgMar w:top="1843" w:right="1134" w:bottom="1134" w:left="1134" w:header="851" w:footer="992" w:gutter="340"/>
          <w:pgNumType w:start="1"/>
          <w:cols w:space="0" w:num="1"/>
          <w:docGrid w:type="lines" w:linePitch="315" w:charSpace="0"/>
        </w:sectPr>
      </w:pPr>
    </w:p>
    <w:p>
      <w:pPr>
        <w:spacing w:line="480" w:lineRule="auto"/>
        <w:rPr>
          <w:rFonts w:ascii="Arial" w:hAnsi="Arial" w:cs="Arial"/>
          <w:kern w:val="44"/>
          <w:szCs w:val="21"/>
        </w:rPr>
      </w:pPr>
      <w:r>
        <w:rPr>
          <w:rFonts w:hint="eastAsia" w:ascii="Arial" w:hAnsi="Arial" w:cs="Arial"/>
          <w:kern w:val="44"/>
          <w:szCs w:val="21"/>
        </w:rPr>
        <w:t>为了方便阅读之目的，本报告中将部分名称简写为：</w:t>
      </w:r>
    </w:p>
    <w:p>
      <w:pPr>
        <w:spacing w:line="480" w:lineRule="auto"/>
        <w:ind w:firstLine="420" w:firstLineChars="200"/>
        <w:rPr>
          <w:rFonts w:ascii="Arial" w:hAnsi="Arial" w:cs="Arial"/>
          <w:kern w:val="44"/>
          <w:szCs w:val="21"/>
        </w:rPr>
      </w:pPr>
      <w:r>
        <w:rPr>
          <w:rFonts w:hint="eastAsia" w:ascii="Arial" w:hAnsi="Arial" w:cs="Arial"/>
          <w:kern w:val="44"/>
          <w:szCs w:val="21"/>
        </w:rPr>
        <w:t>·项目公司：宜宾骏继洪骥置业有限责任公司</w:t>
      </w:r>
    </w:p>
    <w:p>
      <w:pPr>
        <w:spacing w:line="480" w:lineRule="auto"/>
        <w:ind w:firstLine="420" w:firstLineChars="200"/>
        <w:rPr>
          <w:rFonts w:ascii="Arial" w:hAnsi="Arial" w:cs="Arial"/>
          <w:kern w:val="44"/>
          <w:szCs w:val="21"/>
        </w:rPr>
      </w:pPr>
      <w:r>
        <w:rPr>
          <w:rFonts w:hint="eastAsia" w:ascii="Arial" w:hAnsi="Arial" w:cs="Arial"/>
          <w:kern w:val="44"/>
          <w:szCs w:val="21"/>
        </w:rPr>
        <w:t>·中航信托：中航信托股份有限公司</w:t>
      </w:r>
    </w:p>
    <w:p>
      <w:pPr>
        <w:spacing w:line="480" w:lineRule="auto"/>
        <w:ind w:firstLine="420" w:firstLineChars="200"/>
        <w:rPr>
          <w:rFonts w:ascii="Arial" w:hAnsi="Arial" w:cs="Arial"/>
          <w:szCs w:val="21"/>
        </w:rPr>
      </w:pPr>
      <w:r>
        <w:rPr>
          <w:rFonts w:hint="eastAsia" w:ascii="Arial" w:hAnsi="Arial" w:cs="Arial"/>
          <w:kern w:val="44"/>
          <w:szCs w:val="21"/>
        </w:rPr>
        <w:t>·康信君安：北京康信君安资产管理有限公司</w:t>
      </w:r>
    </w:p>
    <w:p>
      <w:pPr>
        <w:pStyle w:val="2"/>
        <w:spacing w:before="300" w:after="300" w:line="360" w:lineRule="exact"/>
        <w:rPr>
          <w:rFonts w:ascii="宋体" w:hAnsi="宋体" w:cs="宋体"/>
          <w:sz w:val="24"/>
        </w:rPr>
      </w:pPr>
      <w:bookmarkStart w:id="0" w:name="_Toc12630"/>
      <w:bookmarkStart w:id="1" w:name="_Toc23810"/>
      <w:bookmarkStart w:id="2" w:name="_Toc10778"/>
      <w:bookmarkStart w:id="3" w:name="_Toc3311"/>
      <w:bookmarkStart w:id="4" w:name="_Toc15481"/>
      <w:bookmarkStart w:id="5" w:name="_Toc21131"/>
      <w:bookmarkStart w:id="6" w:name="_Toc17789"/>
      <w:r>
        <w:rPr>
          <w:rFonts w:ascii="Arial" w:hAnsi="Arial" w:cs="Arial"/>
          <w:sz w:val="24"/>
        </w:rPr>
        <w:t>1</w:t>
      </w:r>
      <w:r>
        <w:rPr>
          <w:rFonts w:hint="eastAsia" w:ascii="宋体" w:hAnsi="宋体" w:cs="宋体"/>
          <w:sz w:val="24"/>
        </w:rPr>
        <w:t>项目基本情况</w:t>
      </w:r>
      <w:bookmarkEnd w:id="0"/>
      <w:bookmarkEnd w:id="1"/>
      <w:bookmarkEnd w:id="2"/>
      <w:bookmarkEnd w:id="3"/>
      <w:bookmarkEnd w:id="4"/>
      <w:bookmarkEnd w:id="5"/>
      <w:bookmarkEnd w:id="6"/>
    </w:p>
    <w:p>
      <w:pPr>
        <w:spacing w:line="480" w:lineRule="auto"/>
        <w:ind w:firstLine="420" w:firstLineChars="200"/>
        <w:rPr>
          <w:rFonts w:ascii="Arial" w:hAnsi="Arial" w:cs="Arial"/>
          <w:kern w:val="44"/>
          <w:szCs w:val="21"/>
        </w:rPr>
      </w:pPr>
      <w:r>
        <w:rPr>
          <w:rFonts w:hint="eastAsia" w:ascii="Arial" w:hAnsi="Arial" w:cs="Arial"/>
          <w:kern w:val="44"/>
          <w:szCs w:val="21"/>
        </w:rPr>
        <w:t>标的项目为项目公司建设的宜宾站前广场项目，位于宜宾市翠屏区老城区，紧邻宜宾火车站、西门汽车客运站，同时项目地块紧临金沙江，具有江景资源优势。项目紧邻城市主干道翠柏路，周边主次支路发达。周边交通、医疗及教育配套极为成熟。标的项目总占地面积</w:t>
      </w:r>
      <w:r>
        <w:rPr>
          <w:rFonts w:ascii="Arial" w:hAnsi="Arial" w:cs="Arial"/>
          <w:kern w:val="44"/>
          <w:szCs w:val="21"/>
        </w:rPr>
        <w:t>64848</w:t>
      </w:r>
      <w:r>
        <w:rPr>
          <w:rFonts w:hint="eastAsia" w:ascii="Arial" w:hAnsi="Arial" w:cs="Arial"/>
          <w:kern w:val="44"/>
          <w:szCs w:val="21"/>
        </w:rPr>
        <w:t>平方米，97.27亩，规划建筑面积337967平方米，项目整体设计为“高层+底商”，包含高层、LOFT及公共配套，可售住宅227574平方米，可售车位1976个。</w:t>
      </w:r>
      <w:bookmarkStart w:id="7" w:name="_Toc28560"/>
    </w:p>
    <w:p>
      <w:pPr>
        <w:spacing w:line="480" w:lineRule="auto"/>
        <w:rPr>
          <w:rFonts w:ascii="宋体" w:hAnsi="宋体" w:cs="宋体"/>
        </w:rPr>
      </w:pPr>
      <w:r>
        <w:rPr>
          <w:rFonts w:hint="eastAsia" w:ascii="宋体" w:hAnsi="宋体" w:cs="宋体"/>
        </w:rPr>
        <w:drawing>
          <wp:inline distT="0" distB="0" distL="114300" distR="114300">
            <wp:extent cx="5899150" cy="3507105"/>
            <wp:effectExtent l="0" t="0" r="13970" b="13335"/>
            <wp:docPr id="6" name="图片 6" descr="C:\Users\123\Desktop\一期\项目效果图2.png项目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一期\项目效果图2.png项目效果图2"/>
                    <pic:cNvPicPr>
                      <a:picLocks noChangeAspect="1"/>
                    </pic:cNvPicPr>
                  </pic:nvPicPr>
                  <pic:blipFill>
                    <a:blip r:embed="rId9"/>
                    <a:srcRect/>
                    <a:stretch>
                      <a:fillRect/>
                    </a:stretch>
                  </pic:blipFill>
                  <pic:spPr>
                    <a:xfrm>
                      <a:off x="0" y="0"/>
                      <a:ext cx="5899150" cy="3507105"/>
                    </a:xfrm>
                    <a:prstGeom prst="rect">
                      <a:avLst/>
                    </a:prstGeom>
                  </pic:spPr>
                </pic:pic>
              </a:graphicData>
            </a:graphic>
          </wp:inline>
        </w:drawing>
      </w:r>
    </w:p>
    <w:p>
      <w:pPr>
        <w:spacing w:line="480" w:lineRule="auto"/>
        <w:jc w:val="center"/>
        <w:rPr>
          <w:b/>
          <w:bCs/>
          <w:szCs w:val="21"/>
        </w:rPr>
      </w:pPr>
      <w:r>
        <w:rPr>
          <w:rFonts w:hint="eastAsia" w:ascii="Arial" w:hAnsi="Arial" w:cs="Arial"/>
          <w:b/>
          <w:bCs/>
          <w:sz w:val="18"/>
          <w:szCs w:val="18"/>
        </w:rPr>
        <w:t>项目效果图</w:t>
      </w:r>
    </w:p>
    <w:p>
      <w:pPr>
        <w:spacing w:line="480" w:lineRule="auto"/>
        <w:ind w:firstLine="420" w:firstLineChars="200"/>
        <w:rPr>
          <w:rFonts w:asciiTheme="minorEastAsia" w:hAnsiTheme="minorEastAsia" w:eastAsiaTheme="minorEastAsia" w:cstheme="minorEastAsia"/>
          <w:bCs/>
          <w:kern w:val="44"/>
          <w:szCs w:val="21"/>
        </w:rPr>
      </w:pPr>
    </w:p>
    <w:p>
      <w:pPr>
        <w:spacing w:line="480" w:lineRule="auto"/>
        <w:ind w:firstLine="420" w:firstLineChars="200"/>
        <w:rPr>
          <w:rFonts w:ascii="Arial" w:hAnsi="Arial" w:cs="Arial"/>
        </w:rPr>
      </w:pPr>
      <w:r>
        <w:rPr>
          <w:rFonts w:hint="eastAsia" w:ascii="Arial" w:hAnsi="Arial" w:cs="Arial"/>
          <w:kern w:val="44"/>
          <w:szCs w:val="21"/>
        </w:rPr>
        <w:t>标的项目处于老城区中坝片区，板块处于发展成熟阶段，在保证与竞品相同功能情况下控面积及总价，本项目一期户型设计为：高层户型面积在80-110㎡（三房为主）、LOFT户型面积在40-60㎡。</w:t>
      </w:r>
    </w:p>
    <w:p>
      <w:pPr>
        <w:spacing w:before="300" w:after="300" w:line="360" w:lineRule="exact"/>
        <w:jc w:val="left"/>
        <w:outlineLvl w:val="0"/>
        <w:rPr>
          <w:rStyle w:val="25"/>
          <w:rFonts w:asciiTheme="majorEastAsia" w:hAnsiTheme="majorEastAsia" w:eastAsiaTheme="majorEastAsia" w:cstheme="majorEastAsia"/>
          <w:sz w:val="24"/>
        </w:rPr>
      </w:pPr>
      <w:bookmarkStart w:id="8" w:name="_Toc16505"/>
      <w:bookmarkStart w:id="9" w:name="_Toc27229"/>
      <w:bookmarkStart w:id="10" w:name="_Toc11480"/>
      <w:bookmarkStart w:id="11" w:name="_Toc31455"/>
      <w:bookmarkStart w:id="12" w:name="_Toc10074"/>
      <w:bookmarkStart w:id="13" w:name="_Toc13642"/>
      <w:r>
        <w:rPr>
          <w:rStyle w:val="25"/>
          <w:rFonts w:ascii="Arial" w:hAnsi="Arial" w:cs="Arial" w:eastAsiaTheme="majorEastAsia"/>
          <w:sz w:val="24"/>
        </w:rPr>
        <w:t>2</w:t>
      </w:r>
      <w:r>
        <w:rPr>
          <w:rStyle w:val="25"/>
          <w:rFonts w:hint="eastAsia" w:asciiTheme="majorEastAsia" w:hAnsiTheme="majorEastAsia" w:eastAsiaTheme="majorEastAsia" w:cstheme="majorEastAsia"/>
          <w:sz w:val="24"/>
        </w:rPr>
        <w:t>重大事件披露</w:t>
      </w:r>
      <w:bookmarkEnd w:id="7"/>
      <w:bookmarkEnd w:id="8"/>
      <w:bookmarkEnd w:id="9"/>
      <w:bookmarkEnd w:id="10"/>
      <w:bookmarkEnd w:id="11"/>
      <w:bookmarkEnd w:id="12"/>
      <w:bookmarkEnd w:id="13"/>
    </w:p>
    <w:p>
      <w:pPr>
        <w:spacing w:line="480" w:lineRule="auto"/>
        <w:ind w:firstLine="420" w:firstLineChars="200"/>
        <w:rPr>
          <w:rFonts w:ascii="Arial" w:hAnsi="Arial" w:cs="Arial"/>
          <w:kern w:val="44"/>
        </w:rPr>
      </w:pPr>
      <w:bookmarkStart w:id="14" w:name="_Toc8398"/>
      <w:bookmarkStart w:id="15" w:name="_Toc30728"/>
      <w:bookmarkStart w:id="16" w:name="_Toc8173"/>
      <w:bookmarkStart w:id="17" w:name="_Toc23668"/>
      <w:bookmarkStart w:id="18" w:name="_Toc30453"/>
      <w:bookmarkStart w:id="19" w:name="_Toc23969"/>
      <w:r>
        <w:rPr>
          <w:rFonts w:hint="eastAsia" w:ascii="Arial" w:hAnsi="Arial" w:cs="Arial"/>
          <w:kern w:val="44"/>
        </w:rPr>
        <w:t>（1）2021年02月03日与项目公司进行证照印鉴交接，章证照已实现共管，交接清单详见附件。</w:t>
      </w:r>
    </w:p>
    <w:p>
      <w:pPr>
        <w:spacing w:line="480" w:lineRule="auto"/>
        <w:ind w:firstLine="420" w:firstLineChars="200"/>
        <w:rPr>
          <w:rFonts w:ascii="Arial" w:hAnsi="Arial" w:cs="Arial"/>
          <w:kern w:val="44"/>
        </w:rPr>
      </w:pPr>
      <w:r>
        <w:rPr>
          <w:rFonts w:hint="eastAsia" w:ascii="Arial" w:hAnsi="Arial" w:cs="Arial"/>
          <w:kern w:val="44"/>
        </w:rPr>
        <w:t>（2）2021年02月03日与项目公司进行网银复核盾交接，项目公司财务潘麓西表示两个网银（</w:t>
      </w:r>
      <w:r>
        <w:rPr>
          <w:rFonts w:ascii="Arial" w:hAnsi="Arial" w:cs="Arial"/>
          <w:kern w:val="44"/>
        </w:rPr>
        <w:t>①</w:t>
      </w:r>
      <w:r>
        <w:rPr>
          <w:rFonts w:hint="eastAsia" w:ascii="Arial" w:hAnsi="Arial" w:cs="Arial"/>
          <w:kern w:val="44"/>
        </w:rPr>
        <w:t>中国银行宜宾翠柏支行115868581512；</w:t>
      </w:r>
      <w:r>
        <w:rPr>
          <w:rFonts w:ascii="Arial" w:hAnsi="Arial" w:cs="Arial"/>
          <w:kern w:val="44"/>
        </w:rPr>
        <w:t>②</w:t>
      </w:r>
      <w:r>
        <w:rPr>
          <w:rFonts w:hint="eastAsia" w:ascii="Arial" w:hAnsi="Arial" w:cs="Arial"/>
          <w:kern w:val="44"/>
        </w:rPr>
        <w:t>中国民生银行宜宾分行营业部632327658）登录出故障，需要年后休假回来去银行处理，已将情况及时汇报给中航信托。</w:t>
      </w:r>
    </w:p>
    <w:p>
      <w:pPr>
        <w:spacing w:line="480" w:lineRule="auto"/>
        <w:ind w:firstLine="420" w:firstLineChars="200"/>
        <w:rPr>
          <w:rFonts w:ascii="Arial" w:hAnsi="Arial" w:cs="Arial"/>
          <w:kern w:val="44"/>
        </w:rPr>
      </w:pPr>
      <w:r>
        <w:rPr>
          <w:rFonts w:hint="eastAsia" w:ascii="Arial" w:hAnsi="Arial" w:cs="Arial"/>
          <w:kern w:val="44"/>
        </w:rPr>
        <w:t>（3）2021年02月03日与成都信茂涵置业有限公司进行证照印鉴、网银复核盾交接，项目公司财务潘麓西表示成都信茂涵置业有限公司基本户中国银行成都科华街支行130711887990的复核盾登录出故障，因在成都开办的账户，需要年后休假回来后寄回成都进行处理，已将情况及时汇报给中航信托。交接清单详见附件。</w:t>
      </w:r>
    </w:p>
    <w:p>
      <w:pPr>
        <w:spacing w:line="480" w:lineRule="auto"/>
        <w:ind w:firstLine="420" w:firstLineChars="200"/>
        <w:rPr>
          <w:rFonts w:ascii="Arial" w:hAnsi="Arial" w:cs="Arial"/>
          <w:kern w:val="44"/>
        </w:rPr>
      </w:pPr>
      <w:r>
        <w:rPr>
          <w:rFonts w:hint="eastAsia" w:ascii="Arial" w:hAnsi="Arial" w:cs="Arial"/>
          <w:kern w:val="44"/>
        </w:rPr>
        <w:t>（4）2021年02月08日现场监管人员陈文丽发现项目公司未经过监管基本户工商银行复核盾支付，支付完成两笔商票，监管的基本户工商银行复核盾不是最后一道复核盾，已将情况及时汇报给中航信托。</w:t>
      </w:r>
    </w:p>
    <w:p>
      <w:pPr>
        <w:spacing w:line="480" w:lineRule="auto"/>
        <w:ind w:firstLine="420" w:firstLineChars="200"/>
        <w:rPr>
          <w:rFonts w:ascii="Arial" w:hAnsi="Arial" w:cs="Arial"/>
          <w:kern w:val="44"/>
        </w:rPr>
      </w:pPr>
      <w:r>
        <w:rPr>
          <w:rFonts w:hint="eastAsia" w:ascii="Arial" w:hAnsi="Arial" w:cs="Arial"/>
          <w:kern w:val="44"/>
        </w:rPr>
        <w:t>（5）2021年02月09日项目公司开始春节放假，现场监管人员陈文丽放假离开宜宾返回重庆。项目公司维保工程师谢程宜当天晚上联系现场监管人员陈文丽表示需要保险柜密码拿项目公司公章盖春节防疫说明，第二天必须上交给相关部门，否则售楼部要关门停止营业。现场监管人员陈文丽将情况及时汇报给中航信托。中航信托领导批复可以将密码告知项目公司，鉴于项目公司没有将最后一道复核盾进行移交监管，保险柜密码也已告知项目公司，年后回来后需要重新与项目公司进行入场资料交接。</w:t>
      </w:r>
    </w:p>
    <w:p>
      <w:pPr>
        <w:spacing w:line="480" w:lineRule="auto"/>
        <w:ind w:firstLine="420" w:firstLineChars="200"/>
        <w:rPr>
          <w:rFonts w:ascii="Arial" w:hAnsi="Arial" w:cs="Arial"/>
          <w:kern w:val="44"/>
        </w:rPr>
      </w:pPr>
      <w:r>
        <w:rPr>
          <w:rFonts w:hint="eastAsia" w:ascii="Arial" w:hAnsi="Arial" w:cs="Arial"/>
          <w:kern w:val="44"/>
        </w:rPr>
        <w:t>（6）2021年02月18日现场监管人员陈文丽携带成都信茂涵置业有限公司公章、法人章、财务章、营业执照正副本和开户许可证去成都，2021年2月19日与成都信茂涵财务李晓敏前往：</w:t>
      </w:r>
      <w:r>
        <w:rPr>
          <w:rFonts w:ascii="Arial" w:hAnsi="Arial" w:cs="Arial"/>
          <w:kern w:val="44"/>
        </w:rPr>
        <w:t>①</w:t>
      </w:r>
      <w:r>
        <w:rPr>
          <w:rFonts w:hint="eastAsia" w:ascii="Arial" w:hAnsi="Arial" w:cs="Arial"/>
          <w:kern w:val="44"/>
        </w:rPr>
        <w:t>成都成华区工商局办理调档、查验章证照真伪；</w:t>
      </w:r>
      <w:r>
        <w:rPr>
          <w:rFonts w:ascii="Arial" w:hAnsi="Arial" w:cs="Arial"/>
          <w:kern w:val="44"/>
        </w:rPr>
        <w:t>②</w:t>
      </w:r>
      <w:r>
        <w:rPr>
          <w:rFonts w:hint="eastAsia" w:ascii="Arial" w:hAnsi="Arial" w:cs="Arial"/>
          <w:kern w:val="44"/>
        </w:rPr>
        <w:t>中国银行成都科华街支行查询已开立银行账户清单、开立网银盾资料。从银行处获悉成都信茂涵网银复核盾有两个（分别是龚丽燕和罗永，监管的复核盾为龚丽燕），权限一样，无主次之分，需要同时经过两个复核盾复核才能付款成功，监管的不属于最后一道复核盾， 存在风险，已将情况及时汇报给中航信托。已开立银行结算账户清单详见附件。</w:t>
      </w:r>
    </w:p>
    <w:p>
      <w:pPr>
        <w:spacing w:line="480" w:lineRule="auto"/>
        <w:ind w:firstLine="420" w:firstLineChars="200"/>
        <w:rPr>
          <w:rFonts w:ascii="Arial" w:hAnsi="Arial" w:cs="Arial"/>
          <w:kern w:val="44"/>
        </w:rPr>
      </w:pPr>
      <w:r>
        <w:rPr>
          <w:rFonts w:ascii="Arial" w:hAnsi="Arial" w:cs="Arial"/>
          <w:kern w:val="44"/>
        </w:rPr>
        <w:t>（7）2021</w:t>
      </w:r>
      <w:r>
        <w:rPr>
          <w:rFonts w:hint="eastAsia" w:ascii="Arial" w:hAnsi="Arial" w:cs="Arial"/>
          <w:kern w:val="44"/>
        </w:rPr>
        <w:t>年</w:t>
      </w:r>
      <w:r>
        <w:rPr>
          <w:rFonts w:ascii="Arial" w:hAnsi="Arial" w:cs="Arial"/>
          <w:kern w:val="44"/>
        </w:rPr>
        <w:t>02</w:t>
      </w:r>
      <w:r>
        <w:rPr>
          <w:rFonts w:hint="eastAsia" w:ascii="Arial" w:hAnsi="Arial" w:cs="Arial"/>
          <w:kern w:val="44"/>
        </w:rPr>
        <w:t>月</w:t>
      </w:r>
      <w:r>
        <w:rPr>
          <w:rFonts w:ascii="Arial" w:hAnsi="Arial" w:cs="Arial"/>
          <w:kern w:val="44"/>
        </w:rPr>
        <w:t>22</w:t>
      </w:r>
      <w:r>
        <w:rPr>
          <w:rFonts w:hint="eastAsia" w:ascii="Arial" w:hAnsi="Arial" w:cs="Arial"/>
          <w:kern w:val="44"/>
        </w:rPr>
        <w:t>日现场监管人员陈文丽与项目公司财务潘麓西到银行查询项目公司已开立银行结算账户清单、预留印鉴、开立网银复核盾情况及更改中国银行和民生银行网银复核盾密码。进一步证实项目公司移交的所有共管复核盾不是最后一道盾，已将情况及时汇报给中航信托，中航信托领导表示已和项目公司明确需将所有共管资料准备齐全后再重新进行入场交接。已开立银行结算账户清单详见附件。</w:t>
      </w:r>
    </w:p>
    <w:p>
      <w:pPr>
        <w:spacing w:before="300" w:after="300" w:line="360" w:lineRule="exact"/>
        <w:jc w:val="left"/>
        <w:outlineLvl w:val="0"/>
        <w:rPr>
          <w:rStyle w:val="25"/>
          <w:rFonts w:asciiTheme="majorEastAsia" w:hAnsiTheme="majorEastAsia" w:eastAsiaTheme="majorEastAsia" w:cstheme="majorEastAsia"/>
          <w:sz w:val="24"/>
          <w:szCs w:val="22"/>
        </w:rPr>
      </w:pPr>
      <w:bookmarkStart w:id="20" w:name="_Toc12050"/>
      <w:r>
        <w:rPr>
          <w:rStyle w:val="25"/>
          <w:rFonts w:ascii="Arial" w:hAnsi="Arial" w:cs="Arial" w:eastAsiaTheme="majorEastAsia"/>
          <w:sz w:val="24"/>
          <w:szCs w:val="22"/>
        </w:rPr>
        <w:t>3</w:t>
      </w:r>
      <w:r>
        <w:rPr>
          <w:rStyle w:val="25"/>
          <w:rFonts w:hint="eastAsia" w:asciiTheme="majorEastAsia" w:hAnsiTheme="majorEastAsia" w:eastAsiaTheme="majorEastAsia" w:cstheme="majorEastAsia"/>
          <w:sz w:val="24"/>
          <w:szCs w:val="22"/>
        </w:rPr>
        <w:t>项目五证办理及施工进度情况</w:t>
      </w:r>
      <w:bookmarkEnd w:id="14"/>
      <w:bookmarkEnd w:id="15"/>
      <w:bookmarkEnd w:id="16"/>
      <w:bookmarkEnd w:id="17"/>
      <w:bookmarkEnd w:id="18"/>
      <w:bookmarkEnd w:id="19"/>
      <w:bookmarkEnd w:id="20"/>
    </w:p>
    <w:p>
      <w:pPr>
        <w:pStyle w:val="3"/>
        <w:spacing w:before="300" w:after="300" w:line="360" w:lineRule="exact"/>
        <w:rPr>
          <w:rFonts w:asciiTheme="majorEastAsia" w:hAnsiTheme="majorEastAsia" w:eastAsiaTheme="majorEastAsia" w:cstheme="majorEastAsia"/>
          <w:sz w:val="24"/>
          <w:szCs w:val="24"/>
        </w:rPr>
      </w:pPr>
      <w:bookmarkStart w:id="21" w:name="_Toc16964"/>
      <w:bookmarkStart w:id="22" w:name="_Toc37668493"/>
      <w:bookmarkStart w:id="23" w:name="_Toc18659"/>
      <w:bookmarkStart w:id="24" w:name="_Toc26564"/>
      <w:bookmarkStart w:id="25" w:name="_Toc30300"/>
      <w:bookmarkStart w:id="26" w:name="_Toc21031"/>
      <w:bookmarkStart w:id="27" w:name="_Toc532281657"/>
      <w:bookmarkStart w:id="28" w:name="_Toc535570750"/>
      <w:bookmarkStart w:id="29" w:name="_Toc15121"/>
      <w:bookmarkStart w:id="30" w:name="_Toc535508636"/>
      <w:bookmarkStart w:id="31" w:name="_Toc535580091"/>
      <w:bookmarkStart w:id="32" w:name="_Toc30910"/>
      <w:bookmarkStart w:id="33" w:name="_Toc535580023"/>
      <w:r>
        <w:rPr>
          <w:rFonts w:cs="Arial" w:eastAsiaTheme="majorEastAsia"/>
          <w:sz w:val="24"/>
          <w:szCs w:val="24"/>
        </w:rPr>
        <w:t>3.1</w:t>
      </w:r>
      <w:r>
        <w:rPr>
          <w:rFonts w:hint="eastAsia" w:asciiTheme="majorEastAsia" w:hAnsiTheme="majorEastAsia" w:eastAsiaTheme="majorEastAsia" w:cstheme="majorEastAsia"/>
          <w:sz w:val="24"/>
          <w:szCs w:val="24"/>
        </w:rPr>
        <w:t>项目五证办理情况</w:t>
      </w:r>
      <w:bookmarkEnd w:id="21"/>
      <w:bookmarkEnd w:id="22"/>
      <w:bookmarkEnd w:id="23"/>
      <w:bookmarkEnd w:id="24"/>
      <w:bookmarkEnd w:id="25"/>
      <w:bookmarkEnd w:id="26"/>
      <w:bookmarkEnd w:id="27"/>
      <w:bookmarkEnd w:id="28"/>
      <w:bookmarkEnd w:id="29"/>
      <w:bookmarkEnd w:id="30"/>
      <w:bookmarkEnd w:id="31"/>
      <w:bookmarkEnd w:id="32"/>
      <w:bookmarkEnd w:id="33"/>
    </w:p>
    <w:p>
      <w:pPr>
        <w:spacing w:line="480" w:lineRule="auto"/>
        <w:ind w:firstLine="420" w:firstLineChars="200"/>
        <w:rPr>
          <w:rFonts w:ascii="Arial" w:hAnsi="Arial" w:cs="Arial"/>
          <w:kern w:val="44"/>
          <w:szCs w:val="21"/>
        </w:rPr>
      </w:pPr>
      <w:r>
        <w:rPr>
          <w:rFonts w:hint="eastAsia" w:ascii="Arial" w:hAnsi="Arial" w:cs="Arial"/>
          <w:kern w:val="44"/>
          <w:szCs w:val="21"/>
        </w:rPr>
        <w:t>标的项目共分为三期，分别是云锦一期、云锦二期和云锦三期。包含6个地块（ZB07-01地块、ZB07-06-02地块、ZB07-06-03地块、ZB07-04地块、ZB07-05地块、ZB07-08地块），云锦一期为ZB07-01地块，云锦二期为ZB07-08地块，云锦三期为4个地块组合（ZB07-04地块、ZB07-05地块、ZB07-06-02地块、ZB07-06-03地块），截至2021年02月2</w:t>
      </w:r>
      <w:r>
        <w:rPr>
          <w:rFonts w:hint="eastAsia" w:ascii="Arial" w:hAnsi="Arial" w:cs="Arial"/>
          <w:kern w:val="44"/>
          <w:szCs w:val="21"/>
          <w:lang w:val="en-US" w:eastAsia="zh-CN"/>
        </w:rPr>
        <w:t>8</w:t>
      </w:r>
      <w:r>
        <w:rPr>
          <w:rFonts w:hint="eastAsia" w:ascii="Arial" w:hAnsi="Arial" w:cs="Arial"/>
          <w:kern w:val="44"/>
          <w:szCs w:val="21"/>
        </w:rPr>
        <w:t>日，该项目具体证照办理进度情况如下：</w:t>
      </w:r>
    </w:p>
    <w:p>
      <w:pPr>
        <w:spacing w:line="480" w:lineRule="auto"/>
        <w:ind w:firstLine="420" w:firstLineChars="200"/>
        <w:rPr>
          <w:rFonts w:ascii="Arial" w:hAnsi="Arial" w:cs="Arial"/>
          <w:kern w:val="44"/>
          <w:szCs w:val="21"/>
        </w:rPr>
      </w:pPr>
    </w:p>
    <w:p>
      <w:pPr>
        <w:rPr>
          <w:rFonts w:ascii="Arial" w:hAnsi="Arial" w:cs="Arial" w:eastAsiaTheme="minorEastAsia"/>
          <w:bCs/>
          <w:kern w:val="44"/>
          <w:szCs w:val="21"/>
        </w:rPr>
        <w:sectPr>
          <w:footerReference r:id="rId5" w:type="default"/>
          <w:pgSz w:w="11906" w:h="16838"/>
          <w:pgMar w:top="1843" w:right="1134" w:bottom="1134" w:left="1134" w:header="851" w:footer="992" w:gutter="340"/>
          <w:pgNumType w:start="1"/>
          <w:cols w:space="0" w:num="1"/>
          <w:docGrid w:type="lines" w:linePitch="315" w:charSpace="0"/>
        </w:sectPr>
      </w:pPr>
    </w:p>
    <w:p>
      <w:pPr>
        <w:adjustRightInd w:val="0"/>
        <w:spacing w:before="315" w:beforeLines="100"/>
        <w:contextualSpacing/>
        <w:jc w:val="center"/>
        <w:rPr>
          <w:rFonts w:ascii="Arial" w:hAnsi="Arial" w:cs="Arial"/>
          <w:b/>
          <w:bCs/>
          <w:sz w:val="24"/>
        </w:rPr>
      </w:pPr>
      <w:r>
        <w:rPr>
          <w:rFonts w:hint="eastAsia" w:ascii="Arial" w:hAnsi="Arial" w:cs="Arial"/>
          <w:b/>
          <w:bCs/>
          <w:sz w:val="24"/>
        </w:rPr>
        <w:t>办理进度情况表</w:t>
      </w:r>
    </w:p>
    <w:tbl>
      <w:tblPr>
        <w:tblStyle w:val="13"/>
        <w:tblW w:w="9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175"/>
        <w:gridCol w:w="3948"/>
        <w:gridCol w:w="2268"/>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9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7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证件名称</w:t>
            </w:r>
          </w:p>
        </w:tc>
        <w:tc>
          <w:tcPr>
            <w:tcW w:w="394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取证日期</w:t>
            </w:r>
          </w:p>
        </w:tc>
        <w:tc>
          <w:tcPr>
            <w:tcW w:w="226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证载面积</w:t>
            </w:r>
          </w:p>
        </w:tc>
        <w:tc>
          <w:tcPr>
            <w:tcW w:w="1121" w:type="dxa"/>
            <w:vAlign w:val="center"/>
          </w:tcPr>
          <w:p>
            <w:pPr>
              <w:jc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restar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1</w:t>
            </w:r>
          </w:p>
        </w:tc>
        <w:tc>
          <w:tcPr>
            <w:tcW w:w="1175" w:type="dxa"/>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不动产权证</w:t>
            </w: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2020年09月27日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(宜宾市翠屏区天柏组团ZB07-01地块)</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33671㎡</w:t>
            </w:r>
          </w:p>
        </w:tc>
        <w:tc>
          <w:tcPr>
            <w:tcW w:w="1121"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vAlign w:val="center"/>
          </w:tcPr>
          <w:p>
            <w:pPr>
              <w:jc w:val="center"/>
              <w:textAlignment w:val="center"/>
              <w:rPr>
                <w:rFonts w:ascii="Arial" w:hAnsi="Arial" w:cs="Arial"/>
                <w:b/>
                <w:bCs/>
                <w:color w:val="000000"/>
                <w:sz w:val="18"/>
                <w:szCs w:val="18"/>
                <w:lang w:bidi="ar"/>
              </w:rPr>
            </w:pPr>
          </w:p>
        </w:tc>
        <w:tc>
          <w:tcPr>
            <w:tcW w:w="1175" w:type="dxa"/>
            <w:vMerge w:val="continue"/>
            <w:vAlign w:val="center"/>
          </w:tcPr>
          <w:p>
            <w:pPr>
              <w:jc w:val="center"/>
              <w:textAlignment w:val="center"/>
              <w:rPr>
                <w:rFonts w:ascii="Arial" w:hAnsi="Arial" w:cs="Arial"/>
                <w:color w:val="000000"/>
                <w:sz w:val="18"/>
                <w:szCs w:val="18"/>
                <w:lang w:bidi="ar"/>
              </w:rPr>
            </w:pP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(宜宾市翠屏区天柏组团ZB07-04地块)</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2782㎡</w:t>
            </w:r>
          </w:p>
        </w:tc>
        <w:tc>
          <w:tcPr>
            <w:tcW w:w="1121"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vAlign w:val="center"/>
          </w:tcPr>
          <w:p>
            <w:pPr>
              <w:jc w:val="center"/>
              <w:textAlignment w:val="center"/>
              <w:rPr>
                <w:rFonts w:ascii="Arial" w:hAnsi="Arial" w:cs="Arial"/>
                <w:b/>
                <w:bCs/>
                <w:color w:val="000000"/>
                <w:sz w:val="18"/>
                <w:szCs w:val="18"/>
                <w:lang w:bidi="ar"/>
              </w:rPr>
            </w:pPr>
          </w:p>
        </w:tc>
        <w:tc>
          <w:tcPr>
            <w:tcW w:w="1175" w:type="dxa"/>
            <w:vMerge w:val="continue"/>
            <w:vAlign w:val="center"/>
          </w:tcPr>
          <w:p>
            <w:pPr>
              <w:jc w:val="center"/>
              <w:textAlignment w:val="center"/>
              <w:rPr>
                <w:rFonts w:ascii="Arial" w:hAnsi="Arial" w:cs="Arial"/>
                <w:color w:val="000000"/>
                <w:sz w:val="18"/>
                <w:szCs w:val="18"/>
                <w:lang w:bidi="ar"/>
              </w:rPr>
            </w:pP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(宜宾市翠屏区天柏组团ZB07-05地块)</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2971㎡</w:t>
            </w:r>
          </w:p>
        </w:tc>
        <w:tc>
          <w:tcPr>
            <w:tcW w:w="1121"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vAlign w:val="center"/>
          </w:tcPr>
          <w:p>
            <w:pPr>
              <w:jc w:val="center"/>
              <w:textAlignment w:val="center"/>
              <w:rPr>
                <w:rFonts w:ascii="Arial" w:hAnsi="Arial" w:cs="Arial"/>
                <w:b/>
                <w:bCs/>
                <w:color w:val="000000"/>
                <w:sz w:val="18"/>
                <w:szCs w:val="18"/>
                <w:lang w:bidi="ar"/>
              </w:rPr>
            </w:pPr>
          </w:p>
        </w:tc>
        <w:tc>
          <w:tcPr>
            <w:tcW w:w="1175" w:type="dxa"/>
            <w:vMerge w:val="continue"/>
            <w:vAlign w:val="center"/>
          </w:tcPr>
          <w:p>
            <w:pPr>
              <w:jc w:val="center"/>
              <w:textAlignment w:val="center"/>
              <w:rPr>
                <w:rFonts w:ascii="Arial" w:hAnsi="Arial" w:cs="Arial"/>
                <w:color w:val="000000"/>
                <w:sz w:val="18"/>
                <w:szCs w:val="18"/>
                <w:lang w:bidi="ar"/>
              </w:rPr>
            </w:pP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(宜宾市翠屏区天柏组团ZB07-06-02地块)</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2807㎡</w:t>
            </w:r>
          </w:p>
        </w:tc>
        <w:tc>
          <w:tcPr>
            <w:tcW w:w="1121"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vAlign w:val="center"/>
          </w:tcPr>
          <w:p>
            <w:pPr>
              <w:jc w:val="center"/>
              <w:textAlignment w:val="center"/>
              <w:rPr>
                <w:rFonts w:ascii="Arial" w:hAnsi="Arial" w:cs="Arial"/>
                <w:b/>
                <w:bCs/>
                <w:color w:val="000000"/>
                <w:sz w:val="18"/>
                <w:szCs w:val="18"/>
                <w:lang w:bidi="ar"/>
              </w:rPr>
            </w:pPr>
          </w:p>
        </w:tc>
        <w:tc>
          <w:tcPr>
            <w:tcW w:w="1175" w:type="dxa"/>
            <w:vMerge w:val="continue"/>
            <w:vAlign w:val="center"/>
          </w:tcPr>
          <w:p>
            <w:pPr>
              <w:jc w:val="center"/>
              <w:textAlignment w:val="center"/>
              <w:rPr>
                <w:rFonts w:ascii="Arial" w:hAnsi="Arial" w:cs="Arial"/>
                <w:color w:val="000000"/>
                <w:sz w:val="18"/>
                <w:szCs w:val="18"/>
                <w:lang w:bidi="ar"/>
              </w:rPr>
            </w:pP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(宜宾市翠屏区天柏组团ZB07-06-03地块)</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3187㎡</w:t>
            </w:r>
          </w:p>
        </w:tc>
        <w:tc>
          <w:tcPr>
            <w:tcW w:w="1121"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vAlign w:val="center"/>
          </w:tcPr>
          <w:p>
            <w:pPr>
              <w:jc w:val="center"/>
              <w:textAlignment w:val="center"/>
              <w:rPr>
                <w:rFonts w:ascii="Arial" w:hAnsi="Arial" w:cs="Arial"/>
                <w:b/>
                <w:bCs/>
                <w:color w:val="000000"/>
                <w:sz w:val="18"/>
                <w:szCs w:val="18"/>
                <w:lang w:bidi="ar"/>
              </w:rPr>
            </w:pPr>
          </w:p>
        </w:tc>
        <w:tc>
          <w:tcPr>
            <w:tcW w:w="1175" w:type="dxa"/>
            <w:vMerge w:val="continue"/>
            <w:vAlign w:val="center"/>
          </w:tcPr>
          <w:p>
            <w:pPr>
              <w:jc w:val="center"/>
              <w:textAlignment w:val="center"/>
              <w:rPr>
                <w:rFonts w:ascii="Arial" w:hAnsi="Arial" w:cs="Arial"/>
                <w:color w:val="000000"/>
                <w:sz w:val="18"/>
                <w:szCs w:val="18"/>
                <w:lang w:bidi="ar"/>
              </w:rPr>
            </w:pP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(宜宾市翠屏区天柏组团ZB07-08地块)</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19430㎡</w:t>
            </w:r>
          </w:p>
        </w:tc>
        <w:tc>
          <w:tcPr>
            <w:tcW w:w="1121"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2</w:t>
            </w:r>
          </w:p>
        </w:tc>
        <w:tc>
          <w:tcPr>
            <w:tcW w:w="11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2020年06月05日</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ZB07-01地块33671㎡ZB07-04地块2782㎡ZB07-05地块2971㎡ZB07-06-02地块2807㎡ZB07-06-03地块3187㎡ZB07-08地块19430㎡</w:t>
            </w:r>
          </w:p>
        </w:tc>
        <w:tc>
          <w:tcPr>
            <w:tcW w:w="1121"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3</w:t>
            </w:r>
          </w:p>
        </w:tc>
        <w:tc>
          <w:tcPr>
            <w:tcW w:w="11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2020年08月14日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（宜宾市翠屏区天柏组团ZB07-01地块</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云锦一期）</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134684㎡</w:t>
            </w:r>
          </w:p>
        </w:tc>
        <w:tc>
          <w:tcPr>
            <w:tcW w:w="1121"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restar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4</w:t>
            </w:r>
          </w:p>
        </w:tc>
        <w:tc>
          <w:tcPr>
            <w:tcW w:w="1175" w:type="dxa"/>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建筑工程施工许可证</w:t>
            </w: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2020年09月10日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（宜宾市天柏组团中坝片区</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站前广场ZB07-01地块</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云锦一期一批次1#、2#、3#、4#、1#门卫及电商服务，2#门卫及地下室）</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99953.33㎡</w:t>
            </w:r>
          </w:p>
        </w:tc>
        <w:tc>
          <w:tcPr>
            <w:tcW w:w="1121"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vAlign w:val="center"/>
          </w:tcPr>
          <w:p>
            <w:pPr>
              <w:jc w:val="center"/>
              <w:textAlignment w:val="center"/>
              <w:rPr>
                <w:rFonts w:ascii="Arial" w:hAnsi="Arial" w:cs="Arial"/>
                <w:b/>
                <w:bCs/>
                <w:color w:val="000000"/>
                <w:sz w:val="18"/>
                <w:szCs w:val="18"/>
                <w:lang w:bidi="ar"/>
              </w:rPr>
            </w:pPr>
          </w:p>
        </w:tc>
        <w:tc>
          <w:tcPr>
            <w:tcW w:w="1175" w:type="dxa"/>
            <w:vMerge w:val="continue"/>
            <w:vAlign w:val="center"/>
          </w:tcPr>
          <w:p>
            <w:pPr>
              <w:jc w:val="center"/>
              <w:textAlignment w:val="center"/>
              <w:rPr>
                <w:rFonts w:ascii="Arial" w:hAnsi="Arial" w:cs="Arial"/>
                <w:color w:val="000000"/>
                <w:sz w:val="18"/>
                <w:szCs w:val="18"/>
                <w:lang w:bidi="ar"/>
              </w:rPr>
            </w:pP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2020年12月18日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（宜宾市天柏组团中坝片区站前广场ZB07-01地块云锦一期二批次5#、6#、7#、地下室）</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80955.44㎡</w:t>
            </w:r>
          </w:p>
        </w:tc>
        <w:tc>
          <w:tcPr>
            <w:tcW w:w="1121"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restar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5</w:t>
            </w:r>
          </w:p>
        </w:tc>
        <w:tc>
          <w:tcPr>
            <w:tcW w:w="1175" w:type="dxa"/>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商品房预售许可证</w:t>
            </w: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2020年11月10日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ZB07-01地块云锦一期）</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20264.23㎡</w:t>
            </w:r>
          </w:p>
        </w:tc>
        <w:tc>
          <w:tcPr>
            <w:tcW w:w="112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云锦一期1#楼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vAlign w:val="center"/>
          </w:tcPr>
          <w:p>
            <w:pPr>
              <w:jc w:val="center"/>
              <w:textAlignment w:val="center"/>
              <w:rPr>
                <w:rFonts w:ascii="Arial" w:hAnsi="Arial" w:cs="Arial"/>
                <w:b/>
                <w:bCs/>
                <w:color w:val="000000"/>
                <w:sz w:val="18"/>
                <w:szCs w:val="18"/>
                <w:lang w:bidi="ar"/>
              </w:rPr>
            </w:pPr>
          </w:p>
        </w:tc>
        <w:tc>
          <w:tcPr>
            <w:tcW w:w="1175" w:type="dxa"/>
            <w:vMerge w:val="continue"/>
            <w:vAlign w:val="center"/>
          </w:tcPr>
          <w:p>
            <w:pPr>
              <w:jc w:val="center"/>
              <w:textAlignment w:val="center"/>
              <w:rPr>
                <w:rFonts w:ascii="Arial" w:hAnsi="Arial" w:cs="Arial"/>
                <w:color w:val="000000"/>
                <w:sz w:val="18"/>
                <w:szCs w:val="18"/>
                <w:lang w:bidi="ar"/>
              </w:rPr>
            </w:pP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2020年12月31日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ZB07-01地块云锦一期）</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20264.23㎡</w:t>
            </w:r>
          </w:p>
        </w:tc>
        <w:tc>
          <w:tcPr>
            <w:tcW w:w="112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云锦一期2#楼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Merge w:val="continue"/>
            <w:vAlign w:val="center"/>
          </w:tcPr>
          <w:p>
            <w:pPr>
              <w:jc w:val="center"/>
              <w:textAlignment w:val="center"/>
              <w:rPr>
                <w:rFonts w:ascii="Arial" w:hAnsi="Arial" w:cs="Arial"/>
                <w:b/>
                <w:bCs/>
                <w:color w:val="000000"/>
                <w:sz w:val="18"/>
                <w:szCs w:val="18"/>
                <w:lang w:bidi="ar"/>
              </w:rPr>
            </w:pPr>
          </w:p>
        </w:tc>
        <w:tc>
          <w:tcPr>
            <w:tcW w:w="1175" w:type="dxa"/>
            <w:vMerge w:val="continue"/>
            <w:vAlign w:val="center"/>
          </w:tcPr>
          <w:p>
            <w:pPr>
              <w:jc w:val="center"/>
              <w:textAlignment w:val="center"/>
              <w:rPr>
                <w:rFonts w:ascii="Arial" w:hAnsi="Arial" w:cs="Arial"/>
                <w:color w:val="000000"/>
                <w:sz w:val="18"/>
                <w:szCs w:val="18"/>
                <w:lang w:bidi="ar"/>
              </w:rPr>
            </w:pP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2020年11年10日</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ZB07-01地块云锦一期）</w:t>
            </w:r>
          </w:p>
        </w:tc>
        <w:tc>
          <w:tcPr>
            <w:tcW w:w="22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19681.46㎡</w:t>
            </w:r>
          </w:p>
        </w:tc>
        <w:tc>
          <w:tcPr>
            <w:tcW w:w="112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云锦一期3#楼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6</w:t>
            </w:r>
          </w:p>
        </w:tc>
        <w:tc>
          <w:tcPr>
            <w:tcW w:w="11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暂定</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资质证书</w:t>
            </w:r>
          </w:p>
        </w:tc>
        <w:tc>
          <w:tcPr>
            <w:tcW w:w="394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2020年07月09日</w:t>
            </w:r>
          </w:p>
        </w:tc>
        <w:tc>
          <w:tcPr>
            <w:tcW w:w="2268" w:type="dxa"/>
            <w:vAlign w:val="center"/>
          </w:tcPr>
          <w:p>
            <w:pPr>
              <w:jc w:val="center"/>
              <w:textAlignment w:val="center"/>
              <w:rPr>
                <w:rFonts w:ascii="Arial" w:hAnsi="Arial" w:cs="Arial"/>
                <w:color w:val="000000"/>
                <w:sz w:val="18"/>
                <w:szCs w:val="18"/>
                <w:lang w:bidi="ar"/>
              </w:rPr>
            </w:pPr>
          </w:p>
        </w:tc>
        <w:tc>
          <w:tcPr>
            <w:tcW w:w="112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二级</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资质</w:t>
            </w:r>
          </w:p>
        </w:tc>
      </w:tr>
    </w:tbl>
    <w:p>
      <w:pPr>
        <w:spacing w:after="315" w:afterLines="100" w:line="480" w:lineRule="auto"/>
        <w:rPr>
          <w:rFonts w:ascii="Arial" w:hAnsi="Arial" w:cs="Arial" w:eastAsiaTheme="minorEastAsia"/>
          <w:bCs/>
          <w:kern w:val="44"/>
          <w:szCs w:val="21"/>
        </w:rPr>
        <w:sectPr>
          <w:pgSz w:w="11906" w:h="16838"/>
          <w:pgMar w:top="1843" w:right="1134" w:bottom="1134" w:left="1134" w:header="851" w:footer="992" w:gutter="340"/>
          <w:cols w:space="0" w:num="1"/>
          <w:docGrid w:type="lines" w:linePitch="315" w:charSpace="0"/>
        </w:sectPr>
      </w:pPr>
    </w:p>
    <w:p>
      <w:pPr>
        <w:pStyle w:val="3"/>
        <w:spacing w:before="300" w:after="300" w:line="360" w:lineRule="exact"/>
        <w:rPr>
          <w:rFonts w:asciiTheme="majorEastAsia" w:hAnsiTheme="majorEastAsia" w:eastAsiaTheme="majorEastAsia" w:cstheme="majorEastAsia"/>
          <w:sz w:val="24"/>
          <w:szCs w:val="24"/>
        </w:rPr>
      </w:pPr>
      <w:bookmarkStart w:id="34" w:name="_Toc535570751"/>
      <w:bookmarkStart w:id="35" w:name="_Toc535508637"/>
      <w:bookmarkStart w:id="36" w:name="_Toc535580092"/>
      <w:bookmarkStart w:id="37" w:name="_Toc37668494"/>
      <w:bookmarkStart w:id="38" w:name="_Toc532281658"/>
      <w:bookmarkStart w:id="39" w:name="_Toc27618"/>
      <w:bookmarkStart w:id="40" w:name="_Toc535580024"/>
      <w:bookmarkStart w:id="41" w:name="_Toc23200"/>
      <w:bookmarkStart w:id="42" w:name="_Toc5181"/>
      <w:bookmarkStart w:id="43" w:name="_Toc9247"/>
      <w:bookmarkStart w:id="44" w:name="_Toc19231"/>
      <w:bookmarkStart w:id="45" w:name="_Toc20410"/>
      <w:bookmarkStart w:id="46" w:name="_Toc15976"/>
      <w:r>
        <w:rPr>
          <w:rFonts w:cs="Arial" w:eastAsiaTheme="majorEastAsia"/>
          <w:sz w:val="24"/>
          <w:szCs w:val="24"/>
        </w:rPr>
        <w:t>3.2</w:t>
      </w:r>
      <w:bookmarkEnd w:id="34"/>
      <w:bookmarkEnd w:id="35"/>
      <w:bookmarkEnd w:id="36"/>
      <w:bookmarkEnd w:id="37"/>
      <w:bookmarkEnd w:id="38"/>
      <w:bookmarkEnd w:id="39"/>
      <w:bookmarkEnd w:id="40"/>
      <w:r>
        <w:rPr>
          <w:rFonts w:hint="eastAsia" w:asciiTheme="majorEastAsia" w:hAnsiTheme="majorEastAsia" w:eastAsiaTheme="majorEastAsia" w:cstheme="majorEastAsia"/>
          <w:sz w:val="24"/>
          <w:szCs w:val="24"/>
        </w:rPr>
        <w:t>项目进度情况</w:t>
      </w:r>
      <w:bookmarkEnd w:id="41"/>
      <w:bookmarkEnd w:id="42"/>
      <w:bookmarkEnd w:id="43"/>
      <w:bookmarkEnd w:id="44"/>
      <w:bookmarkEnd w:id="45"/>
      <w:bookmarkEnd w:id="46"/>
    </w:p>
    <w:p>
      <w:pPr>
        <w:spacing w:before="315" w:beforeLines="100"/>
        <w:jc w:val="center"/>
        <w:rPr>
          <w:rFonts w:ascii="宋体" w:hAnsi="宋体" w:cs="宋体"/>
          <w:b/>
          <w:bCs/>
          <w:sz w:val="24"/>
        </w:rPr>
      </w:pPr>
      <w:r>
        <w:rPr>
          <w:rFonts w:hint="eastAsia" w:ascii="宋体" w:hAnsi="宋体" w:cs="宋体"/>
          <w:b/>
          <w:bCs/>
          <w:sz w:val="24"/>
        </w:rPr>
        <w:t>标的项目</w:t>
      </w:r>
      <w:r>
        <w:rPr>
          <w:rFonts w:hint="eastAsia" w:ascii="Arial" w:hAnsi="Arial" w:cs="Arial"/>
          <w:b/>
          <w:bCs/>
          <w:sz w:val="24"/>
        </w:rPr>
        <w:t>2021年</w:t>
      </w:r>
      <w:r>
        <w:rPr>
          <w:rFonts w:ascii="Arial" w:hAnsi="Arial" w:cs="Arial"/>
          <w:b/>
          <w:bCs/>
          <w:sz w:val="24"/>
        </w:rPr>
        <w:t>02</w:t>
      </w:r>
      <w:r>
        <w:rPr>
          <w:rFonts w:hint="eastAsia" w:ascii="宋体" w:hAnsi="宋体" w:cs="宋体"/>
          <w:b/>
          <w:bCs/>
          <w:sz w:val="24"/>
        </w:rPr>
        <w:t>月施工进度表</w:t>
      </w:r>
    </w:p>
    <w:tbl>
      <w:tblPr>
        <w:tblStyle w:val="13"/>
        <w:tblW w:w="4851" w:type="pct"/>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6"/>
        <w:gridCol w:w="1486"/>
        <w:gridCol w:w="5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460" w:type="pct"/>
            <w:vAlign w:val="center"/>
          </w:tcPr>
          <w:p>
            <w:pPr>
              <w:widowControl/>
              <w:jc w:val="center"/>
              <w:textAlignment w:val="center"/>
              <w:rPr>
                <w:rFonts w:ascii="Arial" w:hAnsi="Arial" w:cs="Arial"/>
                <w:b/>
                <w:bCs/>
                <w:color w:val="000000"/>
                <w:sz w:val="18"/>
                <w:szCs w:val="18"/>
                <w:lang w:bidi="ar"/>
              </w:rPr>
            </w:pPr>
            <w:bookmarkStart w:id="47" w:name="_Toc24230"/>
            <w:bookmarkStart w:id="48" w:name="_Toc6513"/>
            <w:bookmarkStart w:id="49" w:name="_Toc14957"/>
            <w:bookmarkStart w:id="50" w:name="_Toc23808"/>
            <w:bookmarkStart w:id="51" w:name="_Toc31176"/>
            <w:r>
              <w:rPr>
                <w:rFonts w:ascii="Arial" w:hAnsi="Arial" w:cs="Arial"/>
                <w:b/>
                <w:bCs/>
                <w:color w:val="000000"/>
                <w:sz w:val="18"/>
                <w:szCs w:val="18"/>
                <w:lang w:bidi="ar"/>
              </w:rPr>
              <w:t>工程名称</w:t>
            </w:r>
          </w:p>
        </w:tc>
        <w:tc>
          <w:tcPr>
            <w:tcW w:w="805" w:type="pct"/>
            <w:vAlign w:val="center"/>
          </w:tcPr>
          <w:p>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工程名称</w:t>
            </w:r>
          </w:p>
        </w:tc>
        <w:tc>
          <w:tcPr>
            <w:tcW w:w="2734" w:type="pct"/>
            <w:vAlign w:val="center"/>
          </w:tcPr>
          <w:p>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w:t>
            </w:r>
            <w:r>
              <w:rPr>
                <w:rFonts w:hint="eastAsia" w:ascii="Arial" w:hAnsi="Arial" w:cs="Arial"/>
                <w:b/>
                <w:bCs/>
                <w:color w:val="000000"/>
                <w:sz w:val="18"/>
                <w:szCs w:val="18"/>
                <w:lang w:bidi="ar"/>
              </w:rPr>
              <w:t>月</w:t>
            </w:r>
            <w:r>
              <w:rPr>
                <w:rFonts w:ascii="Arial" w:hAnsi="Arial" w:cs="Arial"/>
                <w:b/>
                <w:bCs/>
                <w:color w:val="000000"/>
                <w:sz w:val="18"/>
                <w:szCs w:val="18"/>
                <w:lang w:bidi="ar"/>
              </w:rPr>
              <w:t>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460" w:type="pct"/>
            <w:vMerge w:val="restart"/>
            <w:vAlign w:val="center"/>
          </w:tcPr>
          <w:p>
            <w:pPr>
              <w:widowControl/>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云锦一期</w:t>
            </w:r>
          </w:p>
          <w:p>
            <w:pPr>
              <w:widowControl/>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（ZB07-01地块）</w:t>
            </w:r>
          </w:p>
          <w:p>
            <w:pPr>
              <w:widowControl/>
              <w:jc w:val="center"/>
              <w:textAlignment w:val="center"/>
              <w:rPr>
                <w:rFonts w:ascii="Arial" w:hAnsi="Arial" w:cs="Arial"/>
                <w:color w:val="000000"/>
                <w:sz w:val="18"/>
                <w:szCs w:val="18"/>
                <w:lang w:bidi="ar"/>
              </w:rPr>
            </w:pPr>
          </w:p>
        </w:tc>
        <w:tc>
          <w:tcPr>
            <w:tcW w:w="805" w:type="pc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w:t>
            </w:r>
            <w:r>
              <w:rPr>
                <w:rFonts w:ascii="Arial" w:hAnsi="Arial" w:cs="Arial"/>
                <w:color w:val="000000"/>
                <w:sz w:val="18"/>
                <w:szCs w:val="18"/>
                <w:lang w:bidi="ar"/>
              </w:rPr>
              <w:t>#楼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地上第6层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460" w:type="pct"/>
            <w:vMerge w:val="continue"/>
            <w:vAlign w:val="center"/>
          </w:tcPr>
          <w:p>
            <w:pPr>
              <w:widowControl/>
              <w:jc w:val="center"/>
              <w:textAlignment w:val="center"/>
              <w:rPr>
                <w:rFonts w:ascii="Arial" w:hAnsi="Arial" w:cs="Arial"/>
                <w:b/>
                <w:bCs/>
                <w:color w:val="000000"/>
                <w:sz w:val="18"/>
                <w:szCs w:val="18"/>
                <w:lang w:bidi="ar"/>
              </w:rPr>
            </w:pPr>
          </w:p>
        </w:tc>
        <w:tc>
          <w:tcPr>
            <w:tcW w:w="805" w:type="pc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r>
              <w:rPr>
                <w:rFonts w:ascii="Arial" w:hAnsi="Arial" w:cs="Arial"/>
                <w:color w:val="000000"/>
                <w:sz w:val="18"/>
                <w:szCs w:val="18"/>
                <w:lang w:bidi="ar"/>
              </w:rPr>
              <w:t>#楼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地上第6层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460" w:type="pct"/>
            <w:vMerge w:val="continue"/>
            <w:vAlign w:val="center"/>
          </w:tcPr>
          <w:p>
            <w:pPr>
              <w:widowControl/>
              <w:jc w:val="center"/>
              <w:textAlignment w:val="center"/>
              <w:rPr>
                <w:rFonts w:ascii="Arial" w:hAnsi="Arial" w:cs="Arial"/>
                <w:color w:val="000000"/>
                <w:sz w:val="18"/>
                <w:szCs w:val="18"/>
                <w:lang w:bidi="ar"/>
              </w:rPr>
            </w:pPr>
          </w:p>
        </w:tc>
        <w:tc>
          <w:tcPr>
            <w:tcW w:w="805" w:type="pc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地上第6层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460" w:type="pct"/>
            <w:vMerge w:val="continue"/>
            <w:vAlign w:val="center"/>
          </w:tcPr>
          <w:p>
            <w:pPr>
              <w:widowControl/>
              <w:jc w:val="center"/>
              <w:textAlignment w:val="center"/>
              <w:rPr>
                <w:rFonts w:ascii="Arial" w:hAnsi="Arial" w:cs="Arial"/>
                <w:color w:val="000000"/>
                <w:sz w:val="18"/>
                <w:szCs w:val="18"/>
                <w:lang w:bidi="ar"/>
              </w:rPr>
            </w:pPr>
          </w:p>
        </w:tc>
        <w:tc>
          <w:tcPr>
            <w:tcW w:w="805" w:type="pc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r>
              <w:rPr>
                <w:rFonts w:ascii="Arial" w:hAnsi="Arial" w:cs="Arial"/>
                <w:color w:val="000000"/>
                <w:sz w:val="18"/>
                <w:szCs w:val="18"/>
                <w:lang w:bidi="ar"/>
              </w:rPr>
              <w:t>#楼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地上第6层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460" w:type="pct"/>
            <w:vMerge w:val="continue"/>
            <w:vAlign w:val="center"/>
          </w:tcPr>
          <w:p>
            <w:pPr>
              <w:widowControl/>
              <w:jc w:val="center"/>
              <w:textAlignment w:val="center"/>
              <w:rPr>
                <w:rFonts w:ascii="Arial" w:hAnsi="Arial" w:cs="Arial"/>
                <w:color w:val="000000"/>
                <w:sz w:val="18"/>
                <w:szCs w:val="18"/>
                <w:lang w:bidi="ar"/>
              </w:rPr>
            </w:pPr>
          </w:p>
        </w:tc>
        <w:tc>
          <w:tcPr>
            <w:tcW w:w="805" w:type="pc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w:t>
            </w:r>
            <w:r>
              <w:rPr>
                <w:rFonts w:ascii="Arial" w:hAnsi="Arial" w:cs="Arial"/>
                <w:color w:val="000000"/>
                <w:sz w:val="18"/>
                <w:szCs w:val="18"/>
                <w:lang w:bidi="ar"/>
              </w:rPr>
              <w:t>#楼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地上第6层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0" w:type="pct"/>
            <w:vMerge w:val="continue"/>
            <w:vAlign w:val="center"/>
          </w:tcPr>
          <w:p>
            <w:pPr>
              <w:widowControl/>
              <w:jc w:val="center"/>
              <w:textAlignment w:val="center"/>
              <w:rPr>
                <w:rFonts w:ascii="Arial" w:hAnsi="Arial" w:cs="Arial"/>
                <w:color w:val="000000"/>
                <w:sz w:val="18"/>
                <w:szCs w:val="18"/>
                <w:lang w:bidi="ar"/>
              </w:rPr>
            </w:pPr>
          </w:p>
        </w:tc>
        <w:tc>
          <w:tcPr>
            <w:tcW w:w="805" w:type="pc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6</w:t>
            </w:r>
            <w:r>
              <w:rPr>
                <w:rFonts w:ascii="Arial" w:hAnsi="Arial" w:cs="Arial"/>
                <w:color w:val="000000"/>
                <w:sz w:val="18"/>
                <w:szCs w:val="18"/>
                <w:lang w:bidi="ar"/>
              </w:rPr>
              <w:t>#楼</w:t>
            </w:r>
          </w:p>
        </w:tc>
        <w:tc>
          <w:tcPr>
            <w:tcW w:w="2734" w:type="pc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基础桩施工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60" w:type="pct"/>
            <w:vMerge w:val="continue"/>
            <w:vAlign w:val="center"/>
          </w:tcPr>
          <w:p>
            <w:pPr>
              <w:widowControl/>
              <w:jc w:val="center"/>
              <w:textAlignment w:val="center"/>
              <w:rPr>
                <w:rFonts w:ascii="Arial" w:hAnsi="Arial" w:cs="Arial"/>
                <w:color w:val="000000"/>
                <w:sz w:val="18"/>
                <w:szCs w:val="18"/>
                <w:lang w:bidi="ar"/>
              </w:rPr>
            </w:pPr>
          </w:p>
        </w:tc>
        <w:tc>
          <w:tcPr>
            <w:tcW w:w="805" w:type="pc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7#楼</w:t>
            </w:r>
          </w:p>
        </w:tc>
        <w:tc>
          <w:tcPr>
            <w:tcW w:w="2734" w:type="pc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基础桩施工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460" w:type="pct"/>
            <w:vMerge w:val="continue"/>
            <w:vAlign w:val="center"/>
          </w:tcPr>
          <w:p>
            <w:pPr>
              <w:widowControl/>
              <w:jc w:val="center"/>
              <w:textAlignment w:val="center"/>
              <w:rPr>
                <w:rFonts w:ascii="Arial" w:hAnsi="Arial" w:cs="Arial"/>
                <w:color w:val="000000"/>
                <w:sz w:val="18"/>
                <w:szCs w:val="18"/>
                <w:lang w:bidi="ar"/>
              </w:rPr>
            </w:pPr>
          </w:p>
        </w:tc>
        <w:tc>
          <w:tcPr>
            <w:tcW w:w="805" w:type="pc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地下室</w:t>
            </w:r>
          </w:p>
        </w:tc>
        <w:tc>
          <w:tcPr>
            <w:tcW w:w="2734" w:type="pc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基础桩施工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460" w:type="pct"/>
            <w:vAlign w:val="center"/>
          </w:tcPr>
          <w:p>
            <w:pPr>
              <w:widowControl/>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云锦二期</w:t>
            </w:r>
          </w:p>
          <w:p>
            <w:pPr>
              <w:widowControl/>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（ZB07-08地块）</w:t>
            </w:r>
          </w:p>
        </w:tc>
        <w:tc>
          <w:tcPr>
            <w:tcW w:w="805" w:type="pct"/>
            <w:vAlign w:val="center"/>
          </w:tcPr>
          <w:p>
            <w:pPr>
              <w:widowControl/>
              <w:jc w:val="center"/>
              <w:textAlignment w:val="center"/>
              <w:rPr>
                <w:rFonts w:ascii="Arial" w:hAnsi="Arial" w:cs="Arial"/>
                <w:color w:val="000000"/>
                <w:sz w:val="18"/>
                <w:szCs w:val="18"/>
                <w:lang w:bidi="ar"/>
              </w:rPr>
            </w:pPr>
          </w:p>
        </w:tc>
        <w:tc>
          <w:tcPr>
            <w:tcW w:w="2734" w:type="pct"/>
            <w:vAlign w:val="center"/>
          </w:tcPr>
          <w:p>
            <w:pPr>
              <w:widowControl/>
              <w:jc w:val="center"/>
              <w:textAlignment w:val="center"/>
              <w:rPr>
                <w:rFonts w:ascii="Arial" w:hAnsi="Arial" w:cs="Arial"/>
                <w:color w:val="000000"/>
                <w:sz w:val="18"/>
                <w:szCs w:val="18"/>
                <w:lang w:bidi="ar"/>
              </w:rPr>
            </w:pPr>
            <w:r>
              <w:rPr>
                <w:rFonts w:hint="eastAsia" w:ascii="Arial" w:hAnsi="Arial" w:cs="Arial"/>
                <w:sz w:val="18"/>
                <w:szCs w:val="18"/>
              </w:rPr>
              <w:t>暂无进度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60" w:type="pct"/>
            <w:vAlign w:val="center"/>
          </w:tcPr>
          <w:p>
            <w:pPr>
              <w:widowControl/>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云锦三期</w:t>
            </w:r>
          </w:p>
          <w:p>
            <w:pPr>
              <w:widowControl/>
              <w:jc w:val="center"/>
              <w:textAlignment w:val="center"/>
              <w:rPr>
                <w:rFonts w:ascii="Arial" w:hAnsi="Arial" w:cs="Arial"/>
                <w:color w:val="000000"/>
                <w:sz w:val="18"/>
                <w:szCs w:val="18"/>
                <w:lang w:bidi="ar"/>
              </w:rPr>
            </w:pPr>
            <w:r>
              <w:rPr>
                <w:rFonts w:hint="eastAsia" w:ascii="Arial" w:hAnsi="Arial" w:cs="Arial"/>
                <w:b/>
                <w:bCs/>
                <w:color w:val="000000"/>
                <w:sz w:val="18"/>
                <w:szCs w:val="18"/>
                <w:lang w:bidi="ar"/>
              </w:rPr>
              <w:t>（ZB07-04地块、ZB07-05地块、ZB07-06-02地块、ZB07-06-03地块）</w:t>
            </w:r>
          </w:p>
        </w:tc>
        <w:tc>
          <w:tcPr>
            <w:tcW w:w="805" w:type="pct"/>
            <w:vAlign w:val="center"/>
          </w:tcPr>
          <w:p>
            <w:pPr>
              <w:widowControl/>
              <w:jc w:val="center"/>
              <w:textAlignment w:val="center"/>
              <w:rPr>
                <w:rFonts w:ascii="Arial" w:hAnsi="Arial" w:cs="Arial"/>
                <w:color w:val="000000"/>
                <w:sz w:val="18"/>
                <w:szCs w:val="18"/>
                <w:lang w:bidi="ar"/>
              </w:rPr>
            </w:pPr>
          </w:p>
        </w:tc>
        <w:tc>
          <w:tcPr>
            <w:tcW w:w="2734" w:type="pct"/>
            <w:vAlign w:val="center"/>
          </w:tcPr>
          <w:p>
            <w:pPr>
              <w:widowControl/>
              <w:jc w:val="center"/>
              <w:textAlignment w:val="center"/>
              <w:rPr>
                <w:rFonts w:ascii="Arial" w:hAnsi="Arial" w:cs="Arial"/>
                <w:color w:val="000000"/>
                <w:sz w:val="18"/>
                <w:szCs w:val="18"/>
                <w:lang w:bidi="ar"/>
              </w:rPr>
            </w:pPr>
            <w:r>
              <w:rPr>
                <w:rFonts w:hint="eastAsia" w:ascii="Arial" w:hAnsi="Arial" w:cs="Arial"/>
                <w:sz w:val="18"/>
                <w:szCs w:val="18"/>
              </w:rPr>
              <w:t>暂无进度</w:t>
            </w:r>
          </w:p>
        </w:tc>
      </w:tr>
    </w:tbl>
    <w:p>
      <w:pPr>
        <w:spacing w:line="480" w:lineRule="auto"/>
        <w:ind w:firstLine="420" w:firstLineChars="200"/>
        <w:rPr>
          <w:rFonts w:ascii="Arial" w:hAnsi="Arial" w:cs="Arial"/>
          <w:kern w:val="44"/>
          <w:szCs w:val="21"/>
        </w:rPr>
        <w:sectPr>
          <w:pgSz w:w="11906" w:h="16838"/>
          <w:pgMar w:top="1843" w:right="1134" w:bottom="1134" w:left="1134" w:header="851" w:footer="992" w:gutter="340"/>
          <w:cols w:space="0" w:num="1"/>
          <w:docGrid w:type="lines" w:linePitch="315" w:charSpace="0"/>
        </w:sectPr>
      </w:pPr>
    </w:p>
    <w:p>
      <w:pPr>
        <w:pStyle w:val="3"/>
        <w:spacing w:before="300" w:after="300" w:line="360" w:lineRule="exact"/>
        <w:jc w:val="left"/>
        <w:rPr>
          <w:rFonts w:eastAsia="宋体" w:cs="Arial"/>
          <w:kern w:val="0"/>
          <w:sz w:val="24"/>
          <w:szCs w:val="24"/>
        </w:rPr>
      </w:pPr>
      <w:bookmarkStart w:id="52" w:name="_Toc3880"/>
      <w:r>
        <w:rPr>
          <w:rFonts w:hint="eastAsia" w:eastAsia="宋体" w:cs="Arial"/>
          <w:kern w:val="0"/>
          <w:sz w:val="24"/>
          <w:szCs w:val="24"/>
        </w:rPr>
        <w:t>3.3项目现场施工照片</w:t>
      </w:r>
      <w:bookmarkEnd w:id="52"/>
    </w:p>
    <w:p>
      <w:pPr>
        <w:rPr>
          <w:rFonts w:ascii="Arial" w:hAnsi="Arial" w:cs="Arial"/>
          <w:sz w:val="24"/>
        </w:rPr>
      </w:pPr>
      <w:r>
        <w:drawing>
          <wp:inline distT="0" distB="0" distL="0" distR="0">
            <wp:extent cx="2703830" cy="2080895"/>
            <wp:effectExtent l="0" t="0" r="8890" b="6985"/>
            <wp:docPr id="13" name="图片 13" descr="C:\Users\123\Desktop\一期\一期\5b66a503b4e7f8c4601e4e4302a8ec2.jpg5b66a503b4e7f8c4601e4e4302a8ec2"/>
            <wp:cNvGraphicFramePr/>
            <a:graphic xmlns:a="http://schemas.openxmlformats.org/drawingml/2006/main">
              <a:graphicData uri="http://schemas.openxmlformats.org/drawingml/2006/picture">
                <pic:pic xmlns:pic="http://schemas.openxmlformats.org/drawingml/2006/picture">
                  <pic:nvPicPr>
                    <pic:cNvPr id="13" name="图片 13" descr="C:\Users\123\Desktop\一期\一期\5b66a503b4e7f8c4601e4e4302a8ec2.jpg5b66a503b4e7f8c4601e4e4302a8ec2"/>
                    <pic:cNvPicPr/>
                  </pic:nvPicPr>
                  <pic:blipFill>
                    <a:blip r:embed="rId10"/>
                    <a:srcRect/>
                    <a:stretch>
                      <a:fillRect/>
                    </a:stretch>
                  </pic:blipFill>
                  <pic:spPr>
                    <a:xfrm>
                      <a:off x="0" y="0"/>
                      <a:ext cx="2703830" cy="2080895"/>
                    </a:xfrm>
                    <a:prstGeom prst="rect">
                      <a:avLst/>
                    </a:prstGeom>
                  </pic:spPr>
                </pic:pic>
              </a:graphicData>
            </a:graphic>
          </wp:inline>
        </w:drawing>
      </w:r>
      <w:r>
        <w:rPr>
          <w:rFonts w:hint="eastAsia"/>
        </w:rPr>
        <w:t xml:space="preserve">       </w:t>
      </w:r>
      <w:r>
        <w:drawing>
          <wp:inline distT="0" distB="0" distL="0" distR="0">
            <wp:extent cx="2703830" cy="2080895"/>
            <wp:effectExtent l="0" t="0" r="8890" b="6985"/>
            <wp:docPr id="26" name="图片 26" descr="C:\Users\123\Desktop\一期\一期\5b177c8110ec13366b5ccf898bf6607.jpg5b177c8110ec13366b5ccf898bf6607"/>
            <wp:cNvGraphicFramePr/>
            <a:graphic xmlns:a="http://schemas.openxmlformats.org/drawingml/2006/main">
              <a:graphicData uri="http://schemas.openxmlformats.org/drawingml/2006/picture">
                <pic:pic xmlns:pic="http://schemas.openxmlformats.org/drawingml/2006/picture">
                  <pic:nvPicPr>
                    <pic:cNvPr id="26" name="图片 26" descr="C:\Users\123\Desktop\一期\一期\5b177c8110ec13366b5ccf898bf6607.jpg5b177c8110ec13366b5ccf898bf6607"/>
                    <pic:cNvPicPr/>
                  </pic:nvPicPr>
                  <pic:blipFill>
                    <a:blip r:embed="rId11"/>
                    <a:srcRect/>
                    <a:stretch>
                      <a:fillRect/>
                    </a:stretch>
                  </pic:blipFill>
                  <pic:spPr>
                    <a:xfrm>
                      <a:off x="0" y="0"/>
                      <a:ext cx="2703830" cy="2080895"/>
                    </a:xfrm>
                    <a:prstGeom prst="rect">
                      <a:avLst/>
                    </a:prstGeom>
                  </pic:spPr>
                </pic:pic>
              </a:graphicData>
            </a:graphic>
          </wp:inline>
        </w:drawing>
      </w:r>
      <w:r>
        <w:rPr>
          <w:rFonts w:hint="eastAsia" w:cs="宋体"/>
          <w:sz w:val="18"/>
          <w:szCs w:val="18"/>
        </w:rPr>
        <w:t>云锦一期</w:t>
      </w:r>
      <w:bookmarkStart w:id="53" w:name="SGXC"/>
      <w:bookmarkEnd w:id="53"/>
      <w:r>
        <w:rPr>
          <w:rFonts w:hint="eastAsia" w:cs="宋体"/>
          <w:sz w:val="18"/>
          <w:szCs w:val="18"/>
        </w:rPr>
        <w:t xml:space="preserve">施工现状                                        云锦一期施工现状 </w:t>
      </w:r>
    </w:p>
    <w:p>
      <w:pPr>
        <w:rPr>
          <w:rFonts w:cs="宋体"/>
          <w:b/>
          <w:bCs/>
          <w:sz w:val="18"/>
          <w:szCs w:val="18"/>
        </w:rPr>
      </w:pPr>
      <w:r>
        <w:drawing>
          <wp:inline distT="0" distB="0" distL="0" distR="0">
            <wp:extent cx="2703830" cy="2080895"/>
            <wp:effectExtent l="0" t="0" r="8890" b="6985"/>
            <wp:docPr id="30" name="图片 30" descr="C:\Users\123\Desktop\一期\二期\e915e905cdc10a82a245ab79b45ea1b.jpge915e905cdc10a82a245ab79b45ea1b"/>
            <wp:cNvGraphicFramePr/>
            <a:graphic xmlns:a="http://schemas.openxmlformats.org/drawingml/2006/main">
              <a:graphicData uri="http://schemas.openxmlformats.org/drawingml/2006/picture">
                <pic:pic xmlns:pic="http://schemas.openxmlformats.org/drawingml/2006/picture">
                  <pic:nvPicPr>
                    <pic:cNvPr id="30" name="图片 30" descr="C:\Users\123\Desktop\一期\二期\e915e905cdc10a82a245ab79b45ea1b.jpge915e905cdc10a82a245ab79b45ea1b"/>
                    <pic:cNvPicPr/>
                  </pic:nvPicPr>
                  <pic:blipFill>
                    <a:blip r:embed="rId12"/>
                    <a:srcRect/>
                    <a:stretch>
                      <a:fillRect/>
                    </a:stretch>
                  </pic:blipFill>
                  <pic:spPr>
                    <a:xfrm>
                      <a:off x="0" y="0"/>
                      <a:ext cx="2703830" cy="2080895"/>
                    </a:xfrm>
                    <a:prstGeom prst="rect">
                      <a:avLst/>
                    </a:prstGeom>
                  </pic:spPr>
                </pic:pic>
              </a:graphicData>
            </a:graphic>
          </wp:inline>
        </w:drawing>
      </w:r>
      <w:r>
        <w:rPr>
          <w:rFonts w:hint="eastAsia"/>
        </w:rPr>
        <w:t xml:space="preserve">       </w:t>
      </w:r>
      <w:r>
        <w:drawing>
          <wp:inline distT="0" distB="0" distL="0" distR="0">
            <wp:extent cx="2703830" cy="2080895"/>
            <wp:effectExtent l="0" t="0" r="8890" b="6985"/>
            <wp:docPr id="31" name="图片 31" descr="C:\Users\123\Desktop\一期\三期\062d49b9e5309b5a201576b9d8a9c8a.jpg062d49b9e5309b5a201576b9d8a9c8a"/>
            <wp:cNvGraphicFramePr/>
            <a:graphic xmlns:a="http://schemas.openxmlformats.org/drawingml/2006/main">
              <a:graphicData uri="http://schemas.openxmlformats.org/drawingml/2006/picture">
                <pic:pic xmlns:pic="http://schemas.openxmlformats.org/drawingml/2006/picture">
                  <pic:nvPicPr>
                    <pic:cNvPr id="31" name="图片 31" descr="C:\Users\123\Desktop\一期\三期\062d49b9e5309b5a201576b9d8a9c8a.jpg062d49b9e5309b5a201576b9d8a9c8a"/>
                    <pic:cNvPicPr/>
                  </pic:nvPicPr>
                  <pic:blipFill>
                    <a:blip r:embed="rId13"/>
                    <a:srcRect/>
                    <a:stretch>
                      <a:fillRect/>
                    </a:stretch>
                  </pic:blipFill>
                  <pic:spPr>
                    <a:xfrm>
                      <a:off x="0" y="0"/>
                      <a:ext cx="2703830" cy="2080895"/>
                    </a:xfrm>
                    <a:prstGeom prst="rect">
                      <a:avLst/>
                    </a:prstGeom>
                  </pic:spPr>
                </pic:pic>
              </a:graphicData>
            </a:graphic>
          </wp:inline>
        </w:drawing>
      </w:r>
    </w:p>
    <w:p>
      <w:r>
        <w:rPr>
          <w:rFonts w:hint="eastAsia" w:cs="宋体"/>
          <w:sz w:val="18"/>
          <w:szCs w:val="18"/>
        </w:rPr>
        <w:t xml:space="preserve">云锦二期施工现状                                        云锦三期施工现状 </w:t>
      </w:r>
      <w:r>
        <w:rPr>
          <w:rFonts w:hint="eastAsia"/>
        </w:rPr>
        <w:t xml:space="preserve"> </w:t>
      </w:r>
    </w:p>
    <w:p>
      <w:pPr>
        <w:rPr>
          <w:rFonts w:cs="宋体"/>
          <w:b/>
          <w:bCs/>
          <w:sz w:val="18"/>
          <w:szCs w:val="18"/>
        </w:rPr>
      </w:pPr>
      <w:r>
        <w:drawing>
          <wp:inline distT="0" distB="0" distL="0" distR="0">
            <wp:extent cx="2703830" cy="2080895"/>
            <wp:effectExtent l="0" t="0" r="8890" b="6985"/>
            <wp:docPr id="32" name="图片 32" descr="C:\Users\123\Desktop\一期\售楼部\微信图片_20210226164301.jpg微信图片_20210226164301"/>
            <wp:cNvGraphicFramePr/>
            <a:graphic xmlns:a="http://schemas.openxmlformats.org/drawingml/2006/main">
              <a:graphicData uri="http://schemas.openxmlformats.org/drawingml/2006/picture">
                <pic:pic xmlns:pic="http://schemas.openxmlformats.org/drawingml/2006/picture">
                  <pic:nvPicPr>
                    <pic:cNvPr id="32" name="图片 32" descr="C:\Users\123\Desktop\一期\售楼部\微信图片_20210226164301.jpg微信图片_20210226164301"/>
                    <pic:cNvPicPr/>
                  </pic:nvPicPr>
                  <pic:blipFill>
                    <a:blip r:embed="rId14"/>
                    <a:srcRect/>
                    <a:stretch>
                      <a:fillRect/>
                    </a:stretch>
                  </pic:blipFill>
                  <pic:spPr>
                    <a:xfrm>
                      <a:off x="0" y="0"/>
                      <a:ext cx="2703830" cy="2080895"/>
                    </a:xfrm>
                    <a:prstGeom prst="rect">
                      <a:avLst/>
                    </a:prstGeom>
                  </pic:spPr>
                </pic:pic>
              </a:graphicData>
            </a:graphic>
          </wp:inline>
        </w:drawing>
      </w:r>
      <w:r>
        <w:rPr>
          <w:rFonts w:hint="eastAsia"/>
        </w:rPr>
        <w:t xml:space="preserve">       </w:t>
      </w:r>
      <w:r>
        <w:drawing>
          <wp:inline distT="0" distB="0" distL="0" distR="0">
            <wp:extent cx="2703830" cy="2080895"/>
            <wp:effectExtent l="0" t="0" r="8890" b="6985"/>
            <wp:docPr id="33" name="图片 33" descr="C:\Users\123\Desktop\一期\售楼部\微信图片_202102261643011.jpg微信图片_202102261643011"/>
            <wp:cNvGraphicFramePr/>
            <a:graphic xmlns:a="http://schemas.openxmlformats.org/drawingml/2006/main">
              <a:graphicData uri="http://schemas.openxmlformats.org/drawingml/2006/picture">
                <pic:pic xmlns:pic="http://schemas.openxmlformats.org/drawingml/2006/picture">
                  <pic:nvPicPr>
                    <pic:cNvPr id="33" name="图片 33" descr="C:\Users\123\Desktop\一期\售楼部\微信图片_202102261643011.jpg微信图片_202102261643011"/>
                    <pic:cNvPicPr/>
                  </pic:nvPicPr>
                  <pic:blipFill>
                    <a:blip r:embed="rId15"/>
                    <a:srcRect/>
                    <a:stretch>
                      <a:fillRect/>
                    </a:stretch>
                  </pic:blipFill>
                  <pic:spPr>
                    <a:xfrm>
                      <a:off x="0" y="0"/>
                      <a:ext cx="2703830" cy="2080895"/>
                    </a:xfrm>
                    <a:prstGeom prst="rect">
                      <a:avLst/>
                    </a:prstGeom>
                  </pic:spPr>
                </pic:pic>
              </a:graphicData>
            </a:graphic>
          </wp:inline>
        </w:drawing>
      </w:r>
    </w:p>
    <w:p>
      <w:pPr>
        <w:sectPr>
          <w:footerReference r:id="rId6" w:type="default"/>
          <w:pgSz w:w="11906" w:h="16838"/>
          <w:pgMar w:top="1843" w:right="1134" w:bottom="1134" w:left="1134" w:header="851" w:footer="992" w:gutter="340"/>
          <w:pgNumType w:start="6"/>
          <w:cols w:space="0" w:num="1"/>
          <w:docGrid w:type="lines" w:linePitch="315" w:charSpace="0"/>
        </w:sectPr>
      </w:pPr>
      <w:r>
        <w:rPr>
          <w:rFonts w:hint="eastAsia" w:cs="宋体"/>
          <w:sz w:val="18"/>
          <w:szCs w:val="18"/>
        </w:rPr>
        <w:t>售楼部                                                  售楼部</w:t>
      </w:r>
    </w:p>
    <w:bookmarkEnd w:id="47"/>
    <w:bookmarkEnd w:id="48"/>
    <w:bookmarkEnd w:id="49"/>
    <w:bookmarkEnd w:id="50"/>
    <w:bookmarkEnd w:id="51"/>
    <w:p>
      <w:pPr>
        <w:pStyle w:val="3"/>
        <w:spacing w:before="300" w:after="300" w:line="360" w:lineRule="exact"/>
        <w:rPr>
          <w:rFonts w:cs="Arial" w:eastAsiaTheme="majorEastAsia"/>
          <w:sz w:val="24"/>
          <w:szCs w:val="24"/>
        </w:rPr>
      </w:pPr>
      <w:bookmarkStart w:id="54" w:name="_Toc14110"/>
      <w:bookmarkStart w:id="55" w:name="_Toc8177"/>
      <w:bookmarkStart w:id="56" w:name="_Toc30654"/>
      <w:bookmarkStart w:id="57" w:name="_Toc28458"/>
      <w:bookmarkStart w:id="58" w:name="_Toc29572"/>
      <w:bookmarkStart w:id="59" w:name="_Toc20822"/>
      <w:r>
        <w:rPr>
          <w:rFonts w:cs="Arial" w:eastAsiaTheme="majorEastAsia"/>
          <w:sz w:val="24"/>
          <w:szCs w:val="24"/>
        </w:rPr>
        <w:t>3.4</w:t>
      </w:r>
      <w:r>
        <w:rPr>
          <w:rFonts w:hint="eastAsia" w:cs="Arial" w:eastAsiaTheme="majorEastAsia"/>
          <w:sz w:val="24"/>
          <w:szCs w:val="24"/>
        </w:rPr>
        <w:t xml:space="preserve"> 2021年03月工程施工进度计划</w:t>
      </w:r>
      <w:bookmarkEnd w:id="54"/>
      <w:bookmarkEnd w:id="55"/>
      <w:bookmarkEnd w:id="56"/>
      <w:bookmarkEnd w:id="57"/>
      <w:bookmarkEnd w:id="58"/>
      <w:bookmarkEnd w:id="59"/>
    </w:p>
    <w:tbl>
      <w:tblPr>
        <w:tblStyle w:val="13"/>
        <w:tblW w:w="92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1488"/>
        <w:gridCol w:w="5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trPr>
        <w:tc>
          <w:tcPr>
            <w:tcW w:w="2697" w:type="dxa"/>
            <w:vAlign w:val="center"/>
          </w:tcPr>
          <w:p>
            <w:pPr>
              <w:widowControl/>
              <w:jc w:val="center"/>
              <w:textAlignment w:val="center"/>
              <w:rPr>
                <w:rFonts w:ascii="Arial" w:hAnsi="Arial" w:cs="Arial"/>
                <w:b/>
                <w:bCs/>
                <w:color w:val="000000"/>
                <w:sz w:val="18"/>
                <w:szCs w:val="18"/>
                <w:lang w:bidi="ar"/>
              </w:rPr>
            </w:pPr>
            <w:bookmarkStart w:id="60" w:name="_Toc3374"/>
            <w:bookmarkStart w:id="61" w:name="_Toc37668496"/>
            <w:bookmarkStart w:id="62" w:name="_Toc24785"/>
            <w:bookmarkStart w:id="63" w:name="_Toc31216"/>
            <w:bookmarkStart w:id="64" w:name="_Toc2931"/>
            <w:bookmarkStart w:id="65" w:name="_Toc18100"/>
            <w:bookmarkStart w:id="66" w:name="_Toc15837"/>
            <w:r>
              <w:rPr>
                <w:rFonts w:ascii="Arial" w:hAnsi="Arial" w:cs="Arial"/>
                <w:b/>
                <w:bCs/>
                <w:color w:val="000000"/>
                <w:sz w:val="18"/>
                <w:szCs w:val="18"/>
                <w:lang w:bidi="ar"/>
              </w:rPr>
              <w:t>工程名称</w:t>
            </w:r>
          </w:p>
        </w:tc>
        <w:tc>
          <w:tcPr>
            <w:tcW w:w="1488" w:type="dxa"/>
            <w:vAlign w:val="center"/>
          </w:tcPr>
          <w:p>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工程名称</w:t>
            </w:r>
          </w:p>
        </w:tc>
        <w:tc>
          <w:tcPr>
            <w:tcW w:w="5048" w:type="dxa"/>
            <w:vAlign w:val="center"/>
          </w:tcPr>
          <w:p>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2697" w:type="dxa"/>
            <w:vMerge w:val="restart"/>
            <w:vAlign w:val="center"/>
          </w:tcPr>
          <w:p>
            <w:pPr>
              <w:widowControl/>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云锦一期</w:t>
            </w:r>
          </w:p>
          <w:p>
            <w:pPr>
              <w:widowControl/>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（ZB07-01地块）</w:t>
            </w:r>
          </w:p>
          <w:p>
            <w:pPr>
              <w:widowControl/>
              <w:jc w:val="center"/>
              <w:textAlignment w:val="center"/>
              <w:rPr>
                <w:rFonts w:ascii="Arial" w:hAnsi="Arial" w:cs="Arial"/>
                <w:color w:val="000000"/>
                <w:sz w:val="18"/>
                <w:szCs w:val="18"/>
                <w:lang w:bidi="ar"/>
              </w:rPr>
            </w:pPr>
          </w:p>
        </w:tc>
        <w:tc>
          <w:tcPr>
            <w:tcW w:w="148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w:t>
            </w:r>
            <w:r>
              <w:rPr>
                <w:rFonts w:ascii="Arial" w:hAnsi="Arial" w:cs="Arial"/>
                <w:color w:val="000000"/>
                <w:sz w:val="18"/>
                <w:szCs w:val="18"/>
                <w:lang w:bidi="ar"/>
              </w:rPr>
              <w:t>#楼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地上第9层完成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2697" w:type="dxa"/>
            <w:vMerge w:val="continue"/>
            <w:vAlign w:val="center"/>
          </w:tcPr>
          <w:p>
            <w:pPr>
              <w:widowControl/>
              <w:jc w:val="center"/>
              <w:textAlignment w:val="center"/>
              <w:rPr>
                <w:rFonts w:ascii="Arial" w:hAnsi="Arial" w:cs="Arial"/>
                <w:b/>
                <w:bCs/>
                <w:color w:val="000000"/>
                <w:sz w:val="18"/>
                <w:szCs w:val="18"/>
                <w:lang w:bidi="ar"/>
              </w:rPr>
            </w:pPr>
          </w:p>
        </w:tc>
        <w:tc>
          <w:tcPr>
            <w:tcW w:w="148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r>
              <w:rPr>
                <w:rFonts w:ascii="Arial" w:hAnsi="Arial" w:cs="Arial"/>
                <w:color w:val="000000"/>
                <w:sz w:val="18"/>
                <w:szCs w:val="18"/>
                <w:lang w:bidi="ar"/>
              </w:rPr>
              <w:t>#楼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地上第9层完成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97" w:type="dxa"/>
            <w:vMerge w:val="continue"/>
            <w:vAlign w:val="center"/>
          </w:tcPr>
          <w:p>
            <w:pPr>
              <w:widowControl/>
              <w:jc w:val="center"/>
              <w:textAlignment w:val="center"/>
              <w:rPr>
                <w:rFonts w:ascii="Arial" w:hAnsi="Arial" w:cs="Arial"/>
                <w:color w:val="000000"/>
                <w:sz w:val="18"/>
                <w:szCs w:val="18"/>
                <w:lang w:bidi="ar"/>
              </w:rPr>
            </w:pPr>
          </w:p>
        </w:tc>
        <w:tc>
          <w:tcPr>
            <w:tcW w:w="148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地上第9层完成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97" w:type="dxa"/>
            <w:vMerge w:val="continue"/>
            <w:vAlign w:val="center"/>
          </w:tcPr>
          <w:p>
            <w:pPr>
              <w:widowControl/>
              <w:jc w:val="center"/>
              <w:textAlignment w:val="center"/>
              <w:rPr>
                <w:rFonts w:ascii="Arial" w:hAnsi="Arial" w:cs="Arial"/>
                <w:color w:val="000000"/>
                <w:sz w:val="18"/>
                <w:szCs w:val="18"/>
                <w:lang w:bidi="ar"/>
              </w:rPr>
            </w:pPr>
          </w:p>
        </w:tc>
        <w:tc>
          <w:tcPr>
            <w:tcW w:w="148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r>
              <w:rPr>
                <w:rFonts w:ascii="Arial" w:hAnsi="Arial" w:cs="Arial"/>
                <w:color w:val="000000"/>
                <w:sz w:val="18"/>
                <w:szCs w:val="18"/>
                <w:lang w:bidi="ar"/>
              </w:rPr>
              <w:t>#楼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地上第9层完成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697" w:type="dxa"/>
            <w:vMerge w:val="continue"/>
            <w:vAlign w:val="center"/>
          </w:tcPr>
          <w:p>
            <w:pPr>
              <w:widowControl/>
              <w:jc w:val="center"/>
              <w:textAlignment w:val="center"/>
              <w:rPr>
                <w:rFonts w:ascii="Arial" w:hAnsi="Arial" w:cs="Arial"/>
                <w:color w:val="000000"/>
                <w:sz w:val="18"/>
                <w:szCs w:val="18"/>
                <w:lang w:bidi="ar"/>
              </w:rPr>
            </w:pPr>
          </w:p>
        </w:tc>
        <w:tc>
          <w:tcPr>
            <w:tcW w:w="148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w:t>
            </w:r>
            <w:r>
              <w:rPr>
                <w:rFonts w:ascii="Arial" w:hAnsi="Arial" w:cs="Arial"/>
                <w:color w:val="000000"/>
                <w:sz w:val="18"/>
                <w:szCs w:val="18"/>
                <w:lang w:bidi="ar"/>
              </w:rPr>
              <w:t>#楼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地上第9层完成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7" w:type="dxa"/>
            <w:vMerge w:val="continue"/>
            <w:vAlign w:val="center"/>
          </w:tcPr>
          <w:p>
            <w:pPr>
              <w:widowControl/>
              <w:jc w:val="center"/>
              <w:textAlignment w:val="center"/>
              <w:rPr>
                <w:rFonts w:ascii="Arial" w:hAnsi="Arial" w:cs="Arial"/>
                <w:color w:val="000000"/>
                <w:sz w:val="18"/>
                <w:szCs w:val="18"/>
                <w:lang w:bidi="ar"/>
              </w:rPr>
            </w:pPr>
          </w:p>
        </w:tc>
        <w:tc>
          <w:tcPr>
            <w:tcW w:w="148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6</w:t>
            </w:r>
            <w:r>
              <w:rPr>
                <w:rFonts w:ascii="Arial" w:hAnsi="Arial" w:cs="Arial"/>
                <w:color w:val="000000"/>
                <w:sz w:val="18"/>
                <w:szCs w:val="18"/>
                <w:lang w:bidi="ar"/>
              </w:rPr>
              <w:t>#楼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基础桩施工完毕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697" w:type="dxa"/>
            <w:vMerge w:val="continue"/>
            <w:vAlign w:val="center"/>
          </w:tcPr>
          <w:p>
            <w:pPr>
              <w:widowControl/>
              <w:jc w:val="center"/>
              <w:textAlignment w:val="center"/>
              <w:rPr>
                <w:rFonts w:ascii="Arial" w:hAnsi="Arial" w:cs="Arial"/>
                <w:color w:val="000000"/>
                <w:sz w:val="18"/>
                <w:szCs w:val="18"/>
                <w:lang w:bidi="ar"/>
              </w:rPr>
            </w:pPr>
          </w:p>
        </w:tc>
        <w:tc>
          <w:tcPr>
            <w:tcW w:w="148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7#楼</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基础桩施工完毕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697" w:type="dxa"/>
            <w:vMerge w:val="continue"/>
            <w:vAlign w:val="center"/>
          </w:tcPr>
          <w:p>
            <w:pPr>
              <w:widowControl/>
              <w:jc w:val="center"/>
              <w:textAlignment w:val="center"/>
              <w:rPr>
                <w:rFonts w:ascii="Arial" w:hAnsi="Arial" w:cs="Arial"/>
                <w:color w:val="000000"/>
                <w:sz w:val="18"/>
                <w:szCs w:val="18"/>
                <w:lang w:bidi="ar"/>
              </w:rPr>
            </w:pPr>
          </w:p>
        </w:tc>
        <w:tc>
          <w:tcPr>
            <w:tcW w:w="148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地下室</w:t>
            </w: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基础桩施工完毕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697" w:type="dxa"/>
            <w:vAlign w:val="center"/>
          </w:tcPr>
          <w:p>
            <w:pPr>
              <w:widowControl/>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云锦二期</w:t>
            </w:r>
          </w:p>
          <w:p>
            <w:pPr>
              <w:widowControl/>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（ZB07-08地块）</w:t>
            </w:r>
          </w:p>
        </w:tc>
        <w:tc>
          <w:tcPr>
            <w:tcW w:w="1488" w:type="dxa"/>
            <w:vAlign w:val="center"/>
          </w:tcPr>
          <w:p>
            <w:pPr>
              <w:widowControl/>
              <w:jc w:val="center"/>
              <w:textAlignment w:val="center"/>
              <w:rPr>
                <w:rFonts w:ascii="Arial" w:hAnsi="Arial" w:cs="Arial"/>
                <w:color w:val="000000"/>
                <w:sz w:val="18"/>
                <w:szCs w:val="18"/>
                <w:lang w:bidi="ar"/>
              </w:rPr>
            </w:pP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sz w:val="18"/>
                <w:szCs w:val="18"/>
              </w:rPr>
              <w:t>暂无施工计划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697" w:type="dxa"/>
            <w:vAlign w:val="center"/>
          </w:tcPr>
          <w:p>
            <w:pPr>
              <w:widowControl/>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云锦三期</w:t>
            </w:r>
          </w:p>
          <w:p>
            <w:pPr>
              <w:widowControl/>
              <w:jc w:val="center"/>
              <w:textAlignment w:val="center"/>
              <w:rPr>
                <w:rFonts w:ascii="Arial" w:hAnsi="Arial" w:cs="Arial"/>
                <w:color w:val="000000"/>
                <w:sz w:val="18"/>
                <w:szCs w:val="18"/>
                <w:lang w:bidi="ar"/>
              </w:rPr>
            </w:pPr>
            <w:r>
              <w:rPr>
                <w:rFonts w:hint="eastAsia" w:ascii="Arial" w:hAnsi="Arial" w:cs="Arial"/>
                <w:b/>
                <w:bCs/>
                <w:color w:val="000000"/>
                <w:sz w:val="18"/>
                <w:szCs w:val="18"/>
                <w:lang w:bidi="ar"/>
              </w:rPr>
              <w:t>（ZB07-04地块、ZB07-05地块、ZB07-06-02地块、ZB07-06-03地块）</w:t>
            </w:r>
          </w:p>
        </w:tc>
        <w:tc>
          <w:tcPr>
            <w:tcW w:w="1488" w:type="dxa"/>
            <w:vAlign w:val="center"/>
          </w:tcPr>
          <w:p>
            <w:pPr>
              <w:widowControl/>
              <w:jc w:val="center"/>
              <w:textAlignment w:val="center"/>
              <w:rPr>
                <w:rFonts w:ascii="Arial" w:hAnsi="Arial" w:cs="Arial"/>
                <w:color w:val="000000"/>
                <w:sz w:val="18"/>
                <w:szCs w:val="18"/>
                <w:lang w:bidi="ar"/>
              </w:rPr>
            </w:pPr>
          </w:p>
        </w:tc>
        <w:tc>
          <w:tcPr>
            <w:tcW w:w="5048" w:type="dxa"/>
            <w:vAlign w:val="center"/>
          </w:tcPr>
          <w:p>
            <w:pPr>
              <w:widowControl/>
              <w:jc w:val="center"/>
              <w:textAlignment w:val="center"/>
              <w:rPr>
                <w:rFonts w:ascii="Arial" w:hAnsi="Arial" w:cs="Arial"/>
                <w:color w:val="000000"/>
                <w:sz w:val="18"/>
                <w:szCs w:val="18"/>
                <w:lang w:bidi="ar"/>
              </w:rPr>
            </w:pPr>
            <w:r>
              <w:rPr>
                <w:rFonts w:hint="eastAsia" w:ascii="Arial" w:hAnsi="Arial" w:cs="Arial"/>
                <w:sz w:val="18"/>
                <w:szCs w:val="18"/>
              </w:rPr>
              <w:t>暂无施工计划</w:t>
            </w:r>
          </w:p>
        </w:tc>
      </w:tr>
    </w:tbl>
    <w:p>
      <w:pPr>
        <w:pStyle w:val="2"/>
        <w:keepNext w:val="0"/>
        <w:keepLines w:val="0"/>
        <w:spacing w:before="300" w:after="300" w:line="360" w:lineRule="exact"/>
        <w:jc w:val="left"/>
        <w:rPr>
          <w:rFonts w:asciiTheme="majorEastAsia" w:hAnsiTheme="majorEastAsia" w:eastAsiaTheme="majorEastAsia" w:cstheme="majorEastAsia"/>
          <w:color w:val="000000"/>
          <w:sz w:val="24"/>
        </w:rPr>
      </w:pPr>
      <w:bookmarkStart w:id="67" w:name="_Toc20142"/>
      <w:r>
        <w:rPr>
          <w:rFonts w:ascii="Arial" w:hAnsi="Arial" w:cs="Arial" w:eastAsiaTheme="majorEastAsia"/>
          <w:color w:val="000000"/>
          <w:sz w:val="24"/>
        </w:rPr>
        <w:t>4</w:t>
      </w:r>
      <w:r>
        <w:rPr>
          <w:rFonts w:hint="eastAsia" w:asciiTheme="majorEastAsia" w:hAnsiTheme="majorEastAsia" w:eastAsiaTheme="majorEastAsia" w:cstheme="majorEastAsia"/>
          <w:color w:val="000000"/>
          <w:sz w:val="24"/>
        </w:rPr>
        <w:t>印鉴使用情况</w:t>
      </w:r>
      <w:bookmarkEnd w:id="60"/>
      <w:bookmarkEnd w:id="61"/>
      <w:bookmarkEnd w:id="62"/>
      <w:bookmarkEnd w:id="63"/>
      <w:bookmarkEnd w:id="64"/>
      <w:bookmarkEnd w:id="65"/>
      <w:bookmarkEnd w:id="66"/>
      <w:bookmarkEnd w:id="67"/>
    </w:p>
    <w:p>
      <w:pPr>
        <w:spacing w:line="480" w:lineRule="auto"/>
        <w:ind w:firstLine="420" w:firstLineChars="200"/>
        <w:rPr>
          <w:rFonts w:ascii="宋体" w:hAnsi="宋体" w:cs="宋体"/>
          <w:b/>
          <w:sz w:val="24"/>
          <w:szCs w:val="28"/>
        </w:rPr>
      </w:pPr>
      <w:bookmarkStart w:id="68" w:name="_Toc535570754"/>
      <w:bookmarkStart w:id="69" w:name="_Toc535508640"/>
      <w:bookmarkStart w:id="70" w:name="_Toc37668497"/>
      <w:bookmarkStart w:id="71" w:name="_Toc23366"/>
      <w:bookmarkStart w:id="72" w:name="_Toc532281661"/>
      <w:bookmarkStart w:id="73" w:name="_Toc22811"/>
      <w:bookmarkStart w:id="74" w:name="_Toc607"/>
      <w:bookmarkStart w:id="75" w:name="_Toc29805"/>
      <w:bookmarkStart w:id="76" w:name="_Toc18848"/>
      <w:bookmarkStart w:id="77" w:name="_Toc535580095"/>
      <w:bookmarkStart w:id="78" w:name="_Toc13437"/>
      <w:bookmarkStart w:id="79" w:name="_Toc535580027"/>
      <w:r>
        <w:rPr>
          <w:rFonts w:hint="eastAsia" w:ascii="Arial" w:hAnsi="Arial" w:cs="Arial"/>
          <w:kern w:val="44"/>
          <w:szCs w:val="21"/>
        </w:rPr>
        <w:t>对于印章的使用，项目公司人员履行印章使用流程，填写印章使用登记表，因为无法事前获取用印文件进行审查，所以现场监管人员陈文丽无法进行用印事项监管。已将情况汇及时报给中航信托，中航信托领导表示目前正在协调项目公司，让现场监管人员陈文丽登记好用印台账，具体监管用印事宜等到重新交接后再进行。印章使用情况详见下表：</w:t>
      </w:r>
    </w:p>
    <w:p>
      <w:pPr>
        <w:spacing w:before="315" w:beforeLines="100"/>
        <w:jc w:val="center"/>
        <w:rPr>
          <w:rFonts w:ascii="Arial" w:hAnsi="Arial" w:cs="Arial" w:eastAsiaTheme="minorEastAsia"/>
          <w:b/>
          <w:bCs/>
          <w:sz w:val="24"/>
        </w:rPr>
      </w:pPr>
      <w:r>
        <w:rPr>
          <w:rFonts w:hint="eastAsia" w:ascii="Arial" w:hAnsi="Arial" w:cs="Arial" w:eastAsiaTheme="minorEastAsia"/>
          <w:b/>
          <w:bCs/>
          <w:sz w:val="24"/>
        </w:rPr>
        <w:t>印章使用情况表</w:t>
      </w:r>
    </w:p>
    <w:tbl>
      <w:tblPr>
        <w:tblStyle w:val="13"/>
        <w:tblW w:w="9286" w:type="dxa"/>
        <w:tblInd w:w="23" w:type="dxa"/>
        <w:tblLayout w:type="fixed"/>
        <w:tblCellMar>
          <w:top w:w="15" w:type="dxa"/>
          <w:left w:w="15" w:type="dxa"/>
          <w:bottom w:w="15" w:type="dxa"/>
          <w:right w:w="15" w:type="dxa"/>
        </w:tblCellMar>
      </w:tblPr>
      <w:tblGrid>
        <w:gridCol w:w="1030"/>
        <w:gridCol w:w="2021"/>
        <w:gridCol w:w="4215"/>
        <w:gridCol w:w="810"/>
        <w:gridCol w:w="596"/>
        <w:gridCol w:w="614"/>
      </w:tblGrid>
      <w:tr>
        <w:tblPrEx>
          <w:tblCellMar>
            <w:top w:w="15" w:type="dxa"/>
            <w:left w:w="15" w:type="dxa"/>
            <w:bottom w:w="15" w:type="dxa"/>
            <w:right w:w="15" w:type="dxa"/>
          </w:tblCellMar>
        </w:tblPrEx>
        <w:trPr>
          <w:trHeight w:val="260" w:hRule="atLeast"/>
          <w:tblHeader/>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rPr>
            </w:pPr>
            <w:r>
              <w:rPr>
                <w:rFonts w:hint="eastAsia" w:ascii="宋体" w:hAnsi="宋体" w:cs="宋体"/>
                <w:b/>
                <w:sz w:val="18"/>
                <w:szCs w:val="18"/>
                <w:lang w:bidi="ar"/>
              </w:rPr>
              <w:t>日期</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rPr>
            </w:pPr>
            <w:r>
              <w:rPr>
                <w:rFonts w:hint="eastAsia" w:ascii="宋体" w:hAnsi="宋体" w:cs="宋体"/>
                <w:b/>
                <w:sz w:val="18"/>
                <w:szCs w:val="18"/>
                <w:lang w:bidi="ar"/>
              </w:rPr>
              <w:t>事由</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rPr>
            </w:pPr>
            <w:r>
              <w:rPr>
                <w:rFonts w:hint="eastAsia" w:ascii="宋体" w:hAnsi="宋体" w:cs="宋体"/>
                <w:b/>
                <w:sz w:val="18"/>
                <w:szCs w:val="18"/>
                <w:lang w:bidi="ar"/>
              </w:rPr>
              <w:t>材料</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rPr>
            </w:pPr>
            <w:r>
              <w:rPr>
                <w:rFonts w:hint="eastAsia" w:ascii="宋体" w:hAnsi="宋体" w:cs="宋体"/>
                <w:b/>
                <w:sz w:val="18"/>
                <w:szCs w:val="18"/>
                <w:lang w:bidi="ar"/>
              </w:rPr>
              <w:t>印鉴名称</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rPr>
            </w:pPr>
            <w:r>
              <w:rPr>
                <w:rFonts w:hint="eastAsia" w:ascii="宋体" w:hAnsi="宋体" w:cs="宋体"/>
                <w:b/>
                <w:sz w:val="18"/>
                <w:szCs w:val="18"/>
                <w:lang w:bidi="ar"/>
              </w:rPr>
              <w:t>用印人</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2021-2-07</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成都信茂涵股东会决议</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1修改章程及选举董事会决议（2份）</w:t>
            </w:r>
            <w:r>
              <w:rPr>
                <w:rFonts w:hint="eastAsia" w:ascii="Arial" w:hAnsi="Arial" w:cs="Arial"/>
                <w:bCs/>
                <w:kern w:val="0"/>
                <w:sz w:val="18"/>
                <w:szCs w:val="18"/>
                <w:lang w:bidi="ar"/>
              </w:rPr>
              <w:br w:type="textWrapping"/>
            </w:r>
            <w:r>
              <w:rPr>
                <w:rFonts w:hint="eastAsia" w:ascii="Arial" w:hAnsi="Arial" w:cs="Arial"/>
                <w:bCs/>
                <w:kern w:val="0"/>
                <w:sz w:val="18"/>
                <w:szCs w:val="18"/>
                <w:lang w:bidi="ar"/>
              </w:rPr>
              <w:t>2增资扩股股东会决议（2份）</w:t>
            </w:r>
            <w:r>
              <w:rPr>
                <w:rFonts w:hint="eastAsia" w:ascii="Arial" w:hAnsi="Arial" w:cs="Arial"/>
                <w:bCs/>
                <w:kern w:val="0"/>
                <w:sz w:val="18"/>
                <w:szCs w:val="18"/>
                <w:lang w:bidi="ar"/>
              </w:rPr>
              <w:br w:type="textWrapping"/>
            </w:r>
            <w:r>
              <w:rPr>
                <w:rFonts w:hint="eastAsia" w:ascii="Arial" w:hAnsi="Arial" w:cs="Arial"/>
                <w:bCs/>
                <w:kern w:val="0"/>
                <w:sz w:val="18"/>
                <w:szCs w:val="18"/>
                <w:lang w:bidi="ar"/>
              </w:rPr>
              <w:t>3《增资协议》说明（2份）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财务部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2021-2-08</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签订购房合同</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购房合同（12份）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r>
              <w:rPr>
                <w:rFonts w:hint="eastAsia" w:ascii="Arial" w:hAnsi="Arial" w:cs="Arial"/>
                <w:bCs/>
                <w:kern w:val="0"/>
                <w:sz w:val="18"/>
                <w:szCs w:val="18"/>
                <w:lang w:bidi="ar"/>
              </w:rPr>
              <w:br w:type="textWrapping"/>
            </w:r>
            <w:r>
              <w:rPr>
                <w:rFonts w:hint="eastAsia" w:ascii="Arial" w:hAnsi="Arial" w:cs="Arial"/>
                <w:bCs/>
                <w:kern w:val="0"/>
                <w:sz w:val="18"/>
                <w:szCs w:val="18"/>
                <w:lang w:bidi="ar"/>
              </w:rPr>
              <w:t>法人章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2021-2-08</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签订贷款合同</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贷款合同（9份）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r>
              <w:rPr>
                <w:rFonts w:hint="eastAsia" w:ascii="Arial" w:hAnsi="Arial" w:cs="Arial"/>
                <w:bCs/>
                <w:kern w:val="0"/>
                <w:sz w:val="18"/>
                <w:szCs w:val="18"/>
                <w:lang w:bidi="ar"/>
              </w:rPr>
              <w:br w:type="textWrapping"/>
            </w:r>
            <w:r>
              <w:rPr>
                <w:rFonts w:hint="eastAsia" w:ascii="Arial" w:hAnsi="Arial" w:cs="Arial"/>
                <w:bCs/>
                <w:kern w:val="0"/>
                <w:sz w:val="18"/>
                <w:szCs w:val="18"/>
                <w:lang w:bidi="ar"/>
              </w:rPr>
              <w:t>法人章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2021-2-08</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备案登记</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商品房备案及资金监管申报表（2份）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2021-2-08</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变更网签合同申请</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变更网签合同申请（2份）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2021-2-08</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委托书（成都信茂涵资料）</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委托书（1份）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潘璐西</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财务部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2021-2-08</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成都信茂涵地址变更说明</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成都信茂涵地址变更说明（1份）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潘璐西</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财务部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2021-2-08</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签订股份收购合同（成都信茂涵资料）</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股份收购合同（3份）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r>
              <w:rPr>
                <w:rFonts w:hint="eastAsia" w:ascii="Arial" w:hAnsi="Arial" w:cs="Arial"/>
                <w:bCs/>
                <w:kern w:val="0"/>
                <w:sz w:val="18"/>
                <w:szCs w:val="18"/>
                <w:lang w:bidi="ar"/>
              </w:rPr>
              <w:br w:type="textWrapping"/>
            </w:r>
            <w:r>
              <w:rPr>
                <w:rFonts w:hint="eastAsia" w:ascii="Arial" w:hAnsi="Arial" w:cs="Arial"/>
                <w:bCs/>
                <w:kern w:val="0"/>
                <w:sz w:val="18"/>
                <w:szCs w:val="18"/>
                <w:lang w:bidi="ar"/>
              </w:rPr>
              <w:t>法人章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潘璐西</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财务部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2021-2-22</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签订购房合同</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购房合同（104份）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r>
              <w:rPr>
                <w:rFonts w:hint="eastAsia" w:ascii="Arial" w:hAnsi="Arial" w:cs="Arial"/>
                <w:bCs/>
                <w:kern w:val="0"/>
                <w:sz w:val="18"/>
                <w:szCs w:val="18"/>
                <w:lang w:bidi="ar"/>
              </w:rPr>
              <w:br w:type="textWrapping"/>
            </w:r>
            <w:r>
              <w:rPr>
                <w:rFonts w:hint="eastAsia" w:ascii="Arial" w:hAnsi="Arial" w:cs="Arial"/>
                <w:bCs/>
                <w:kern w:val="0"/>
                <w:sz w:val="18"/>
                <w:szCs w:val="18"/>
                <w:lang w:bidi="ar"/>
              </w:rPr>
              <w:t>法人章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2021-2-22</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签订贷款合同</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贷款合同（23份）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r>
              <w:rPr>
                <w:rFonts w:hint="eastAsia" w:ascii="Arial" w:hAnsi="Arial" w:cs="Arial"/>
                <w:bCs/>
                <w:kern w:val="0"/>
                <w:sz w:val="18"/>
                <w:szCs w:val="18"/>
                <w:lang w:bidi="ar"/>
              </w:rPr>
              <w:br w:type="textWrapping"/>
            </w:r>
            <w:r>
              <w:rPr>
                <w:rFonts w:hint="eastAsia" w:ascii="Arial" w:hAnsi="Arial" w:cs="Arial"/>
                <w:bCs/>
                <w:kern w:val="0"/>
                <w:sz w:val="18"/>
                <w:szCs w:val="18"/>
                <w:lang w:bidi="ar"/>
              </w:rPr>
              <w:t>法人章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2021-2-23</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用于结算总包合同</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项目展示区土建总承包工程结算审核报告（8份）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r>
              <w:rPr>
                <w:rFonts w:hint="eastAsia" w:ascii="Arial" w:hAnsi="Arial" w:cs="Arial"/>
                <w:bCs/>
                <w:kern w:val="0"/>
                <w:sz w:val="18"/>
                <w:szCs w:val="18"/>
                <w:lang w:bidi="ar"/>
              </w:rPr>
              <w:br w:type="textWrapping"/>
            </w:r>
            <w:r>
              <w:rPr>
                <w:rFonts w:hint="eastAsia" w:ascii="Arial" w:hAnsi="Arial" w:cs="Arial"/>
                <w:bCs/>
                <w:kern w:val="0"/>
                <w:sz w:val="18"/>
                <w:szCs w:val="18"/>
                <w:lang w:bidi="ar"/>
              </w:rPr>
              <w:t>法人章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余艳</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成本部</w:t>
            </w:r>
          </w:p>
        </w:tc>
      </w:tr>
      <w:tr>
        <w:tblPrEx>
          <w:tblCellMar>
            <w:top w:w="15" w:type="dxa"/>
            <w:left w:w="15" w:type="dxa"/>
            <w:bottom w:w="15" w:type="dxa"/>
            <w:right w:w="15" w:type="dxa"/>
          </w:tblCellMar>
        </w:tblPrEx>
        <w:trPr>
          <w:trHeight w:val="494" w:hRule="atLeast"/>
        </w:trPr>
        <w:tc>
          <w:tcPr>
            <w:tcW w:w="10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2021-2-23</w:t>
            </w:r>
          </w:p>
        </w:tc>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签订借款合同</w:t>
            </w:r>
          </w:p>
        </w:tc>
        <w:tc>
          <w:tcPr>
            <w:tcW w:w="42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个人住房借款合同（18份）</w:t>
            </w:r>
          </w:p>
        </w:tc>
        <w:tc>
          <w:tcPr>
            <w:tcW w:w="81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公章</w:t>
            </w:r>
            <w:r>
              <w:rPr>
                <w:rFonts w:hint="eastAsia" w:ascii="Arial" w:hAnsi="Arial" w:cs="Arial"/>
                <w:bCs/>
                <w:kern w:val="0"/>
                <w:sz w:val="18"/>
                <w:szCs w:val="18"/>
                <w:lang w:bidi="ar"/>
              </w:rPr>
              <w:br w:type="textWrapping"/>
            </w:r>
            <w:r>
              <w:rPr>
                <w:rFonts w:hint="eastAsia" w:ascii="Arial" w:hAnsi="Arial" w:cs="Arial"/>
                <w:bCs/>
                <w:kern w:val="0"/>
                <w:sz w:val="18"/>
                <w:szCs w:val="18"/>
                <w:lang w:bidi="ar"/>
              </w:rPr>
              <w:t>法人章</w:t>
            </w:r>
          </w:p>
        </w:tc>
        <w:tc>
          <w:tcPr>
            <w:tcW w:w="5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kern w:val="0"/>
                <w:sz w:val="18"/>
                <w:szCs w:val="18"/>
                <w:lang w:bidi="ar"/>
              </w:rPr>
              <w:t>营销部</w:t>
            </w:r>
          </w:p>
        </w:tc>
      </w:tr>
    </w:tbl>
    <w:p>
      <w:pPr>
        <w:spacing w:before="315" w:beforeLines="100"/>
        <w:jc w:val="center"/>
        <w:rPr>
          <w:rFonts w:ascii="Arial" w:hAnsi="Arial" w:cs="Arial" w:eastAsiaTheme="minorEastAsia"/>
          <w:b/>
          <w:bCs/>
          <w:sz w:val="24"/>
        </w:rPr>
      </w:pPr>
      <w:r>
        <w:rPr>
          <w:rFonts w:hint="eastAsia" w:ascii="Arial" w:hAnsi="Arial" w:cs="Arial" w:eastAsiaTheme="minorEastAsia"/>
          <w:b/>
          <w:bCs/>
          <w:sz w:val="24"/>
        </w:rPr>
        <w:t>印章证照外出使用情况表</w:t>
      </w:r>
    </w:p>
    <w:tbl>
      <w:tblPr>
        <w:tblStyle w:val="13"/>
        <w:tblW w:w="9286" w:type="dxa"/>
        <w:tblInd w:w="23" w:type="dxa"/>
        <w:tblLayout w:type="autofit"/>
        <w:tblCellMar>
          <w:top w:w="15" w:type="dxa"/>
          <w:left w:w="15" w:type="dxa"/>
          <w:bottom w:w="15" w:type="dxa"/>
          <w:right w:w="15" w:type="dxa"/>
        </w:tblCellMar>
      </w:tblPr>
      <w:tblGrid>
        <w:gridCol w:w="931"/>
        <w:gridCol w:w="2101"/>
        <w:gridCol w:w="2674"/>
        <w:gridCol w:w="2366"/>
        <w:gridCol w:w="594"/>
        <w:gridCol w:w="620"/>
      </w:tblGrid>
      <w:tr>
        <w:tblPrEx>
          <w:tblCellMar>
            <w:top w:w="15" w:type="dxa"/>
            <w:left w:w="15" w:type="dxa"/>
            <w:bottom w:w="15" w:type="dxa"/>
            <w:right w:w="15" w:type="dxa"/>
          </w:tblCellMar>
        </w:tblPrEx>
        <w:trPr>
          <w:trHeight w:val="226" w:hRule="atLeast"/>
          <w:tblHeader/>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外出日期</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事由</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印鉴证照名称</w:t>
            </w:r>
          </w:p>
        </w:tc>
        <w:tc>
          <w:tcPr>
            <w:tcW w:w="23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外出机构</w:t>
            </w:r>
          </w:p>
        </w:tc>
        <w:tc>
          <w:tcPr>
            <w:tcW w:w="5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经办人</w:t>
            </w:r>
          </w:p>
        </w:tc>
        <w:tc>
          <w:tcPr>
            <w:tcW w:w="6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143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2021-2-18</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成都信茂涵调档、查章真伪、查询已开立账户清单</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成都信茂涵公章、法人章、财务章、营业执照正副本、开户许可证</w:t>
            </w:r>
          </w:p>
        </w:tc>
        <w:tc>
          <w:tcPr>
            <w:tcW w:w="23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成都成华街工商管理局、成都蜀安印章有限公司、中国银行成都科华街支行</w:t>
            </w:r>
          </w:p>
        </w:tc>
        <w:tc>
          <w:tcPr>
            <w:tcW w:w="5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李晓敏</w:t>
            </w:r>
          </w:p>
        </w:tc>
        <w:tc>
          <w:tcPr>
            <w:tcW w:w="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财务部</w:t>
            </w:r>
          </w:p>
        </w:tc>
      </w:tr>
      <w:tr>
        <w:tblPrEx>
          <w:tblCellMar>
            <w:top w:w="15" w:type="dxa"/>
            <w:left w:w="15" w:type="dxa"/>
            <w:bottom w:w="15" w:type="dxa"/>
            <w:right w:w="15" w:type="dxa"/>
          </w:tblCellMar>
        </w:tblPrEx>
        <w:trPr>
          <w:trHeight w:val="143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更改中国银行和民生银行网银盾登录密码，查询网银盾开立情况，已开立银行账户清单</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宜宾骏继公章、法人章、财务章、营业执照正副本</w:t>
            </w:r>
          </w:p>
        </w:tc>
        <w:tc>
          <w:tcPr>
            <w:tcW w:w="23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中国银行宜宾翠柏支行、中国民生银行宜宾分行营业部、中信银行宜宾分行营业部、中国工商银行宜宾翠柏大道支行</w:t>
            </w:r>
          </w:p>
        </w:tc>
        <w:tc>
          <w:tcPr>
            <w:tcW w:w="5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潘麓西</w:t>
            </w:r>
          </w:p>
        </w:tc>
        <w:tc>
          <w:tcPr>
            <w:tcW w:w="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财务部</w:t>
            </w:r>
          </w:p>
        </w:tc>
      </w:tr>
      <w:tr>
        <w:tblPrEx>
          <w:tblCellMar>
            <w:top w:w="15" w:type="dxa"/>
            <w:left w:w="15" w:type="dxa"/>
            <w:bottom w:w="15" w:type="dxa"/>
            <w:right w:w="15" w:type="dxa"/>
          </w:tblCellMar>
        </w:tblPrEx>
        <w:trPr>
          <w:trHeight w:val="143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2021-2-23</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2#楼公积金准入</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宜宾骏继营业执照正副本、资质证书正副本、商品房预售许可证ZB07-01（2#）、建设工程规划许可证、建设用地规划许可证</w:t>
            </w:r>
          </w:p>
        </w:tc>
        <w:tc>
          <w:tcPr>
            <w:tcW w:w="236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公积金管理中心</w:t>
            </w:r>
          </w:p>
        </w:tc>
        <w:tc>
          <w:tcPr>
            <w:tcW w:w="5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陈洪进</w:t>
            </w:r>
          </w:p>
        </w:tc>
        <w:tc>
          <w:tcPr>
            <w:tcW w:w="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rPr>
              <w:t>财务部</w:t>
            </w:r>
          </w:p>
        </w:tc>
      </w:tr>
    </w:tbl>
    <w:p>
      <w:pPr>
        <w:rPr>
          <w:rFonts w:ascii="Arial" w:hAnsi="Arial" w:cs="Arial" w:eastAsiaTheme="majorEastAsia"/>
          <w:color w:val="000000"/>
          <w:sz w:val="24"/>
        </w:rPr>
      </w:pPr>
      <w:r>
        <w:rPr>
          <w:rFonts w:ascii="Arial" w:hAnsi="Arial" w:cs="Arial" w:eastAsiaTheme="majorEastAsia"/>
          <w:color w:val="000000"/>
          <w:sz w:val="24"/>
        </w:rPr>
        <w:br w:type="page"/>
      </w:r>
    </w:p>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80" w:name="_Toc13551"/>
      <w:r>
        <w:rPr>
          <w:rFonts w:ascii="Arial" w:hAnsi="Arial" w:cs="Arial" w:eastAsiaTheme="majorEastAsia"/>
          <w:color w:val="000000"/>
          <w:sz w:val="24"/>
        </w:rPr>
        <w:t>5</w:t>
      </w:r>
      <w:r>
        <w:rPr>
          <w:rFonts w:hint="eastAsia" w:asciiTheme="majorEastAsia" w:hAnsiTheme="majorEastAsia" w:eastAsiaTheme="majorEastAsia" w:cstheme="majorEastAsia"/>
          <w:color w:val="000000"/>
          <w:sz w:val="24"/>
        </w:rPr>
        <w:t>合同签订情况</w:t>
      </w:r>
      <w:bookmarkEnd w:id="68"/>
      <w:bookmarkEnd w:id="69"/>
      <w:bookmarkEnd w:id="70"/>
      <w:bookmarkEnd w:id="71"/>
      <w:bookmarkEnd w:id="72"/>
      <w:bookmarkEnd w:id="73"/>
      <w:bookmarkEnd w:id="74"/>
      <w:bookmarkEnd w:id="75"/>
      <w:bookmarkEnd w:id="76"/>
      <w:bookmarkEnd w:id="77"/>
      <w:bookmarkEnd w:id="78"/>
      <w:bookmarkEnd w:id="79"/>
      <w:bookmarkEnd w:id="80"/>
    </w:p>
    <w:p>
      <w:pPr>
        <w:spacing w:line="480" w:lineRule="auto"/>
        <w:ind w:firstLine="420" w:firstLineChars="200"/>
        <w:rPr>
          <w:rFonts w:ascii="Arial" w:hAnsi="Arial" w:cs="Arial"/>
          <w:kern w:val="44"/>
          <w:szCs w:val="21"/>
        </w:rPr>
      </w:pPr>
      <w:bookmarkStart w:id="81" w:name="_Toc14373"/>
      <w:bookmarkStart w:id="82" w:name="_Toc27316"/>
      <w:bookmarkStart w:id="83" w:name="_Toc37668498"/>
      <w:bookmarkStart w:id="84" w:name="_Toc15267"/>
      <w:bookmarkStart w:id="85" w:name="_Toc31470"/>
      <w:bookmarkStart w:id="86" w:name="_Toc3020"/>
      <w:bookmarkStart w:id="87" w:name="_Toc14480"/>
      <w:r>
        <w:rPr>
          <w:rFonts w:hint="eastAsia" w:ascii="Arial" w:hAnsi="Arial" w:cs="Arial"/>
          <w:kern w:val="44"/>
          <w:szCs w:val="21"/>
        </w:rPr>
        <w:t>2021年02月03日至2021年02月2</w:t>
      </w:r>
      <w:r>
        <w:rPr>
          <w:rFonts w:hint="eastAsia" w:ascii="Arial" w:hAnsi="Arial" w:cs="Arial"/>
          <w:kern w:val="44"/>
          <w:szCs w:val="21"/>
          <w:lang w:val="en-US" w:eastAsia="zh-CN"/>
        </w:rPr>
        <w:t>8</w:t>
      </w:r>
      <w:r>
        <w:rPr>
          <w:rFonts w:hint="eastAsia" w:ascii="Arial" w:hAnsi="Arial" w:cs="Arial"/>
          <w:kern w:val="44"/>
          <w:szCs w:val="21"/>
        </w:rPr>
        <w:t>日期间，现场监管人员陈文丽无法获取项目公司签订合同详细内容，只能粗略登记台账，已将情况及时汇报给中航信托。合同签订情况如下。</w:t>
      </w:r>
    </w:p>
    <w:tbl>
      <w:tblPr>
        <w:tblStyle w:val="13"/>
        <w:tblW w:w="9286" w:type="dxa"/>
        <w:tblInd w:w="23" w:type="dxa"/>
        <w:tblLayout w:type="autofit"/>
        <w:tblCellMar>
          <w:top w:w="15" w:type="dxa"/>
          <w:left w:w="15" w:type="dxa"/>
          <w:bottom w:w="15" w:type="dxa"/>
          <w:right w:w="15" w:type="dxa"/>
        </w:tblCellMar>
      </w:tblPr>
      <w:tblGrid>
        <w:gridCol w:w="931"/>
        <w:gridCol w:w="2101"/>
        <w:gridCol w:w="2674"/>
        <w:gridCol w:w="652"/>
        <w:gridCol w:w="1440"/>
        <w:gridCol w:w="1488"/>
      </w:tblGrid>
      <w:tr>
        <w:tblPrEx>
          <w:tblCellMar>
            <w:top w:w="15" w:type="dxa"/>
            <w:left w:w="15" w:type="dxa"/>
            <w:bottom w:w="15" w:type="dxa"/>
            <w:right w:w="15" w:type="dxa"/>
          </w:tblCellMar>
        </w:tblPrEx>
        <w:trPr>
          <w:trHeight w:val="226" w:hRule="atLeast"/>
          <w:tblHeader/>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用印日期</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客户名称</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合同名称</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份数</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经办人</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sz w:val="18"/>
                <w:szCs w:val="18"/>
                <w:lang w:bidi="ar"/>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2021-2-08</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张标元</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2021-2-08</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韩立新</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2021-2-08</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赵师梅/杨锐</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2021-2-08</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张莹莹/练刚</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2021-2-08</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韩立新</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2021-2-08</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中航信托领导表示不存档，所以没有客户名称</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成都信茂涵股份收购合同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潘麓西</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财务部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魏发红/田彩霞</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魏继林</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魏发红/田彩霞</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魏继林</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郑芳才/郑继王/王龙芳</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罗锦平/杨利萍</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贷款合同（农行）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范绍东</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王星</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于宗珍/查毅</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王婧瞳</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邹定琼</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杨强/唐玲</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肖长军/李洪</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查丽/刘刚</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周川</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杨敬/李顺军</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陈晓倩/肖波</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叶华峰/姚爽</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陈超/谢鸿</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郑芳才/郑继王/王龙芳</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罗锦平/杨利萍</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范绍东</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贷款合同（农行）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李万军/舒春梅</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2021-2-22</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张标元</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2021-2-23</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罗安洋</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2021-2-23</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王星</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2021-2-23</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王正雨</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2021-2-23</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李从洪</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2021-2-23</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查毅</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2021-2-23</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查丽</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2021-2-23</w:t>
            </w:r>
          </w:p>
        </w:tc>
        <w:tc>
          <w:tcPr>
            <w:tcW w:w="21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中建一局集团第三建筑有限公司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宜宾翠屏项目展示区宜宾站前广场项目展示区土建总承包工程结算审核报告</w:t>
            </w:r>
          </w:p>
        </w:tc>
        <w:tc>
          <w:tcPr>
            <w:tcW w:w="6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余艳</w:t>
            </w:r>
          </w:p>
        </w:tc>
        <w:tc>
          <w:tcPr>
            <w:tcW w:w="148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成本部</w:t>
            </w:r>
          </w:p>
        </w:tc>
      </w:tr>
    </w:tbl>
    <w:p>
      <w:pPr>
        <w:pStyle w:val="2"/>
        <w:keepNext w:val="0"/>
        <w:keepLines w:val="0"/>
        <w:spacing w:before="300" w:after="300" w:line="360" w:lineRule="exact"/>
        <w:rPr>
          <w:rFonts w:ascii="Arial" w:hAnsi="Arial" w:cs="Arial" w:eastAsiaTheme="majorEastAsia"/>
          <w:bCs/>
          <w:color w:val="000000"/>
          <w:sz w:val="24"/>
        </w:rPr>
      </w:pPr>
      <w:bookmarkStart w:id="88" w:name="_Toc10620"/>
      <w:r>
        <w:rPr>
          <w:rFonts w:ascii="Arial" w:hAnsi="Arial" w:cs="Arial" w:eastAsiaTheme="majorEastAsia"/>
          <w:bCs/>
          <w:color w:val="000000"/>
          <w:sz w:val="24"/>
        </w:rPr>
        <w:t>6</w:t>
      </w:r>
      <w:r>
        <w:rPr>
          <w:rFonts w:hint="eastAsia" w:ascii="Arial" w:hAnsi="Arial" w:cs="Arial" w:eastAsiaTheme="majorEastAsia"/>
          <w:bCs/>
          <w:color w:val="000000"/>
          <w:sz w:val="24"/>
        </w:rPr>
        <w:t>项目销售情况</w:t>
      </w:r>
      <w:bookmarkEnd w:id="81"/>
      <w:bookmarkEnd w:id="82"/>
      <w:bookmarkEnd w:id="83"/>
      <w:bookmarkEnd w:id="84"/>
      <w:bookmarkEnd w:id="85"/>
      <w:bookmarkEnd w:id="86"/>
      <w:bookmarkEnd w:id="87"/>
      <w:bookmarkEnd w:id="88"/>
    </w:p>
    <w:p>
      <w:pPr>
        <w:spacing w:line="480" w:lineRule="auto"/>
        <w:ind w:firstLine="420" w:firstLineChars="200"/>
        <w:rPr>
          <w:rFonts w:ascii="Arial" w:hAnsi="Arial" w:cs="Arial"/>
          <w:kern w:val="44"/>
          <w:szCs w:val="21"/>
        </w:rPr>
      </w:pPr>
      <w:bookmarkStart w:id="89" w:name="_Toc532281663"/>
      <w:bookmarkStart w:id="90" w:name="_Toc535580029"/>
      <w:bookmarkStart w:id="91" w:name="_Toc5965"/>
      <w:bookmarkStart w:id="92" w:name="_Toc28505"/>
      <w:bookmarkStart w:id="93" w:name="_Toc9971"/>
      <w:bookmarkStart w:id="94" w:name="_Toc535580097"/>
      <w:bookmarkStart w:id="95" w:name="_Toc1832"/>
      <w:bookmarkStart w:id="96" w:name="_Toc7229"/>
      <w:bookmarkStart w:id="97" w:name="_Toc535570756"/>
      <w:bookmarkStart w:id="98" w:name="_Toc535508642"/>
      <w:bookmarkStart w:id="99" w:name="_Toc1903"/>
      <w:bookmarkStart w:id="100" w:name="_Toc37668499"/>
      <w:r>
        <w:rPr>
          <w:rFonts w:hint="eastAsia" w:ascii="Arial" w:hAnsi="Arial" w:cs="Arial"/>
          <w:kern w:val="44"/>
          <w:szCs w:val="21"/>
        </w:rPr>
        <w:t>2021年02月03日至2021年02月2</w:t>
      </w:r>
      <w:r>
        <w:rPr>
          <w:rFonts w:hint="eastAsia" w:ascii="Arial" w:hAnsi="Arial" w:cs="Arial"/>
          <w:kern w:val="44"/>
          <w:szCs w:val="21"/>
          <w:lang w:val="en-US" w:eastAsia="zh-CN"/>
        </w:rPr>
        <w:t>8</w:t>
      </w:r>
      <w:r>
        <w:rPr>
          <w:rFonts w:hint="eastAsia" w:ascii="Arial" w:hAnsi="Arial" w:cs="Arial"/>
          <w:kern w:val="44"/>
          <w:szCs w:val="21"/>
        </w:rPr>
        <w:t>日期间，项目销售情况汇总如下：</w:t>
      </w:r>
    </w:p>
    <w:p>
      <w:pPr>
        <w:spacing w:line="480" w:lineRule="auto"/>
        <w:ind w:firstLine="420" w:firstLineChars="200"/>
        <w:rPr>
          <w:rFonts w:ascii="Arial" w:hAnsi="Arial" w:cs="Arial"/>
          <w:kern w:val="44"/>
          <w:szCs w:val="21"/>
        </w:rPr>
      </w:pPr>
      <w:r>
        <w:rPr>
          <w:rFonts w:hint="eastAsia" w:ascii="Arial" w:hAnsi="Arial" w:cs="Arial"/>
          <w:kern w:val="44"/>
          <w:szCs w:val="21"/>
        </w:rPr>
        <w:t>已签订认购协议15份，预测销售面积711.47㎡；</w:t>
      </w:r>
    </w:p>
    <w:p>
      <w:pPr>
        <w:spacing w:line="480" w:lineRule="auto"/>
        <w:ind w:firstLine="420" w:firstLineChars="200"/>
        <w:rPr>
          <w:rFonts w:ascii="Arial" w:hAnsi="Arial" w:cs="Arial"/>
          <w:kern w:val="44"/>
          <w:szCs w:val="21"/>
        </w:rPr>
      </w:pPr>
      <w:r>
        <w:rPr>
          <w:rFonts w:hint="eastAsia" w:ascii="Arial" w:hAnsi="Arial" w:cs="Arial"/>
          <w:kern w:val="44"/>
          <w:szCs w:val="21"/>
        </w:rPr>
        <w:t>已签订线下合同31份，预测销售面积2839.84㎡；</w:t>
      </w:r>
    </w:p>
    <w:p>
      <w:pPr>
        <w:spacing w:line="480" w:lineRule="auto"/>
        <w:ind w:firstLine="420" w:firstLineChars="200"/>
        <w:rPr>
          <w:rFonts w:ascii="Arial" w:hAnsi="Arial" w:cs="Arial"/>
          <w:kern w:val="44"/>
          <w:szCs w:val="21"/>
        </w:rPr>
      </w:pPr>
      <w:r>
        <w:rPr>
          <w:rFonts w:hint="eastAsia" w:ascii="Arial" w:hAnsi="Arial" w:cs="Arial"/>
          <w:kern w:val="44"/>
          <w:szCs w:val="21"/>
        </w:rPr>
        <w:t>已网签备案合同0份，预测销售面积0㎡；</w:t>
      </w:r>
    </w:p>
    <w:p>
      <w:pPr>
        <w:spacing w:line="480" w:lineRule="auto"/>
        <w:ind w:firstLine="420" w:firstLineChars="200"/>
        <w:rPr>
          <w:rFonts w:ascii="Arial" w:hAnsi="Arial" w:cs="Arial"/>
          <w:kern w:val="44"/>
          <w:szCs w:val="21"/>
        </w:rPr>
      </w:pPr>
      <w:r>
        <w:rPr>
          <w:rFonts w:hint="eastAsia" w:ascii="Arial" w:hAnsi="Arial" w:cs="Arial"/>
          <w:kern w:val="44"/>
          <w:szCs w:val="21"/>
        </w:rPr>
        <w:t>已网签未备案合同0份，预测销售面积0㎡；</w:t>
      </w:r>
    </w:p>
    <w:p>
      <w:pPr>
        <w:spacing w:line="480" w:lineRule="auto"/>
        <w:ind w:firstLine="420" w:firstLineChars="200"/>
        <w:rPr>
          <w:rFonts w:ascii="Arial" w:hAnsi="Arial" w:cs="Arial"/>
          <w:kern w:val="44"/>
          <w:szCs w:val="21"/>
        </w:rPr>
      </w:pPr>
      <w:r>
        <w:rPr>
          <w:rFonts w:hint="eastAsia" w:ascii="Arial" w:hAnsi="Arial" w:cs="Arial"/>
          <w:kern w:val="44"/>
          <w:szCs w:val="21"/>
        </w:rPr>
        <w:t>已收到销售资金17,978,882.00元。</w:t>
      </w:r>
    </w:p>
    <w:p>
      <w:pPr>
        <w:rPr>
          <w:rFonts w:ascii="Arial" w:hAnsi="Arial" w:cs="Arial" w:eastAsiaTheme="majorEastAsia"/>
          <w:color w:val="000000"/>
          <w:sz w:val="24"/>
        </w:rPr>
      </w:pPr>
      <w:r>
        <w:rPr>
          <w:rFonts w:ascii="Arial" w:hAnsi="Arial" w:cs="Arial" w:eastAsiaTheme="majorEastAsia"/>
          <w:color w:val="000000"/>
          <w:sz w:val="24"/>
        </w:rPr>
        <w:br w:type="page"/>
      </w:r>
    </w:p>
    <w:p>
      <w:pPr>
        <w:pStyle w:val="2"/>
        <w:keepNext w:val="0"/>
        <w:keepLines w:val="0"/>
        <w:spacing w:before="300" w:after="300" w:line="360" w:lineRule="exact"/>
        <w:rPr>
          <w:rFonts w:asciiTheme="majorEastAsia" w:hAnsiTheme="majorEastAsia" w:eastAsiaTheme="majorEastAsia" w:cstheme="majorEastAsia"/>
          <w:color w:val="000000"/>
          <w:sz w:val="24"/>
        </w:rPr>
      </w:pPr>
      <w:bookmarkStart w:id="101" w:name="_Toc20311"/>
      <w:r>
        <w:rPr>
          <w:rFonts w:ascii="Arial" w:hAnsi="Arial" w:cs="Arial" w:eastAsiaTheme="majorEastAsia"/>
          <w:color w:val="000000"/>
          <w:sz w:val="24"/>
        </w:rPr>
        <w:t>7</w:t>
      </w:r>
      <w:r>
        <w:rPr>
          <w:rFonts w:hint="eastAsia" w:asciiTheme="majorEastAsia" w:hAnsiTheme="majorEastAsia" w:eastAsiaTheme="majorEastAsia" w:cstheme="majorEastAsia"/>
          <w:color w:val="000000"/>
          <w:sz w:val="24"/>
        </w:rPr>
        <w:t>资金</w:t>
      </w:r>
      <w:bookmarkEnd w:id="89"/>
      <w:r>
        <w:rPr>
          <w:rFonts w:hint="eastAsia" w:asciiTheme="majorEastAsia" w:hAnsiTheme="majorEastAsia" w:eastAsiaTheme="majorEastAsia" w:cstheme="majorEastAsia"/>
          <w:color w:val="000000"/>
          <w:sz w:val="24"/>
        </w:rPr>
        <w:t>情况</w:t>
      </w:r>
      <w:bookmarkEnd w:id="90"/>
      <w:bookmarkEnd w:id="91"/>
      <w:bookmarkEnd w:id="92"/>
      <w:bookmarkEnd w:id="93"/>
      <w:bookmarkEnd w:id="94"/>
      <w:bookmarkEnd w:id="95"/>
      <w:bookmarkEnd w:id="96"/>
      <w:bookmarkEnd w:id="97"/>
      <w:bookmarkEnd w:id="98"/>
      <w:bookmarkEnd w:id="99"/>
      <w:bookmarkEnd w:id="100"/>
      <w:bookmarkEnd w:id="101"/>
    </w:p>
    <w:p>
      <w:pPr>
        <w:pStyle w:val="3"/>
        <w:keepNext w:val="0"/>
        <w:keepLines w:val="0"/>
        <w:spacing w:before="300" w:after="300" w:line="360" w:lineRule="exact"/>
        <w:rPr>
          <w:rFonts w:asciiTheme="majorEastAsia" w:hAnsiTheme="majorEastAsia" w:eastAsiaTheme="majorEastAsia" w:cstheme="majorEastAsia"/>
          <w:color w:val="000000"/>
          <w:sz w:val="24"/>
          <w:highlight w:val="yellow"/>
        </w:rPr>
      </w:pPr>
      <w:bookmarkStart w:id="102" w:name="_Toc535508643"/>
      <w:bookmarkStart w:id="103" w:name="_Toc28219"/>
      <w:bookmarkStart w:id="104" w:name="_Toc9970"/>
      <w:bookmarkStart w:id="105" w:name="_Toc16727"/>
      <w:bookmarkStart w:id="106" w:name="_Toc37668500"/>
      <w:bookmarkStart w:id="107" w:name="_Toc535580030"/>
      <w:bookmarkStart w:id="108" w:name="_Toc23864"/>
      <w:bookmarkStart w:id="109" w:name="_Toc5625"/>
      <w:bookmarkStart w:id="110" w:name="_Toc535580098"/>
      <w:bookmarkStart w:id="111" w:name="_Toc10072"/>
      <w:bookmarkStart w:id="112" w:name="_Toc535570757"/>
      <w:bookmarkStart w:id="113" w:name="_Toc284"/>
      <w:r>
        <w:rPr>
          <w:rFonts w:cs="Arial" w:eastAsiaTheme="majorEastAsia"/>
          <w:color w:val="000000"/>
          <w:sz w:val="24"/>
        </w:rPr>
        <w:t>7.1</w:t>
      </w:r>
      <w:r>
        <w:rPr>
          <w:rFonts w:hint="eastAsia" w:asciiTheme="majorEastAsia" w:hAnsiTheme="majorEastAsia" w:eastAsiaTheme="majorEastAsia" w:cstheme="majorEastAsia"/>
          <w:color w:val="000000"/>
          <w:sz w:val="24"/>
        </w:rPr>
        <w:t>资金流出情况</w:t>
      </w:r>
      <w:bookmarkEnd w:id="102"/>
      <w:bookmarkEnd w:id="103"/>
      <w:bookmarkEnd w:id="104"/>
      <w:bookmarkEnd w:id="105"/>
      <w:bookmarkEnd w:id="106"/>
      <w:bookmarkEnd w:id="107"/>
      <w:bookmarkEnd w:id="108"/>
      <w:bookmarkEnd w:id="109"/>
      <w:bookmarkEnd w:id="110"/>
      <w:bookmarkEnd w:id="111"/>
      <w:bookmarkEnd w:id="112"/>
      <w:bookmarkEnd w:id="113"/>
    </w:p>
    <w:p>
      <w:pPr>
        <w:spacing w:line="480" w:lineRule="auto"/>
        <w:ind w:firstLine="420" w:firstLineChars="200"/>
        <w:rPr>
          <w:rFonts w:asciiTheme="minorEastAsia" w:hAnsiTheme="minorEastAsia" w:eastAsiaTheme="minorEastAsia" w:cstheme="minorEastAsia"/>
          <w:bCs/>
          <w:kern w:val="44"/>
          <w:szCs w:val="21"/>
        </w:rPr>
      </w:pPr>
      <w:r>
        <w:rPr>
          <w:rFonts w:hint="eastAsia" w:ascii="Arial" w:hAnsi="Arial" w:cs="Arial"/>
          <w:kern w:val="44"/>
          <w:szCs w:val="21"/>
        </w:rPr>
        <w:t>2021年02月03日至2021年02月2</w:t>
      </w:r>
      <w:r>
        <w:rPr>
          <w:rFonts w:hint="eastAsia" w:ascii="Arial" w:hAnsi="Arial" w:cs="Arial"/>
          <w:kern w:val="44"/>
          <w:szCs w:val="21"/>
          <w:lang w:val="en-US" w:eastAsia="zh-CN"/>
        </w:rPr>
        <w:t>8</w:t>
      </w:r>
      <w:r>
        <w:rPr>
          <w:rFonts w:hint="eastAsia" w:ascii="Arial" w:hAnsi="Arial" w:cs="Arial"/>
          <w:kern w:val="44"/>
          <w:szCs w:val="21"/>
        </w:rPr>
        <w:t>日期间，项目公司资金流出总额为8,076,607.11元。</w:t>
      </w:r>
    </w:p>
    <w:p>
      <w:pPr>
        <w:spacing w:before="315" w:beforeLines="100"/>
        <w:jc w:val="center"/>
        <w:rPr>
          <w:rFonts w:ascii="Arial" w:hAnsi="Arial" w:cs="Arial" w:eastAsiaTheme="minorEastAsia"/>
          <w:b/>
          <w:bCs/>
          <w:sz w:val="24"/>
        </w:rPr>
      </w:pPr>
      <w:r>
        <w:rPr>
          <w:rFonts w:hint="eastAsia" w:ascii="Arial" w:hAnsi="Arial" w:cs="Arial" w:eastAsiaTheme="minorEastAsia"/>
          <w:b/>
          <w:bCs/>
          <w:sz w:val="24"/>
        </w:rPr>
        <w:t>2021年02月03日至2021年02月2</w:t>
      </w:r>
      <w:r>
        <w:rPr>
          <w:rFonts w:hint="eastAsia" w:ascii="Arial" w:hAnsi="Arial" w:cs="Arial" w:eastAsiaTheme="minorEastAsia"/>
          <w:b/>
          <w:bCs/>
          <w:sz w:val="24"/>
          <w:lang w:val="en-US" w:eastAsia="zh-CN"/>
        </w:rPr>
        <w:t>8</w:t>
      </w:r>
      <w:r>
        <w:rPr>
          <w:rFonts w:hint="eastAsia" w:ascii="Arial" w:hAnsi="Arial" w:cs="Arial" w:eastAsiaTheme="minorEastAsia"/>
          <w:b/>
          <w:bCs/>
          <w:sz w:val="24"/>
        </w:rPr>
        <w:t>日期间资金流出情况表:</w:t>
      </w:r>
    </w:p>
    <w:tbl>
      <w:tblPr>
        <w:tblStyle w:val="13"/>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65"/>
        <w:gridCol w:w="915"/>
        <w:gridCol w:w="1158"/>
        <w:gridCol w:w="1190"/>
        <w:gridCol w:w="1567"/>
        <w:gridCol w:w="1331"/>
        <w:gridCol w:w="915"/>
        <w:gridCol w:w="1335"/>
      </w:tblGrid>
      <w:tr>
        <w:tblPrEx>
          <w:tblCellMar>
            <w:top w:w="15" w:type="dxa"/>
            <w:left w:w="15" w:type="dxa"/>
            <w:bottom w:w="15" w:type="dxa"/>
            <w:right w:w="15" w:type="dxa"/>
          </w:tblCellMar>
        </w:tblPrEx>
        <w:trPr>
          <w:trHeight w:val="90" w:hRule="atLeast"/>
          <w:tblHeader/>
          <w:jc w:val="center"/>
        </w:trPr>
        <w:tc>
          <w:tcPr>
            <w:tcW w:w="865" w:type="dxa"/>
            <w:vAlign w:val="center"/>
          </w:tcPr>
          <w:p>
            <w:pPr>
              <w:widowControl/>
              <w:jc w:val="center"/>
              <w:textAlignment w:val="center"/>
              <w:rPr>
                <w:rFonts w:ascii="Arial" w:hAnsi="Arial" w:cs="Arial"/>
                <w:b/>
                <w:sz w:val="18"/>
                <w:szCs w:val="18"/>
              </w:rPr>
            </w:pPr>
            <w:r>
              <w:rPr>
                <w:rFonts w:ascii="Arial" w:hAnsi="Arial" w:cs="Arial"/>
                <w:b/>
                <w:sz w:val="18"/>
                <w:szCs w:val="18"/>
                <w:lang w:bidi="ar"/>
              </w:rPr>
              <w:t>支付日期</w:t>
            </w:r>
          </w:p>
        </w:tc>
        <w:tc>
          <w:tcPr>
            <w:tcW w:w="915" w:type="dxa"/>
            <w:vAlign w:val="center"/>
          </w:tcPr>
          <w:p>
            <w:pPr>
              <w:widowControl/>
              <w:jc w:val="center"/>
              <w:textAlignment w:val="center"/>
              <w:rPr>
                <w:rFonts w:ascii="Arial" w:hAnsi="Arial" w:cs="Arial"/>
                <w:b/>
                <w:sz w:val="18"/>
                <w:szCs w:val="18"/>
              </w:rPr>
            </w:pPr>
            <w:r>
              <w:rPr>
                <w:rFonts w:ascii="Arial" w:hAnsi="Arial" w:cs="Arial"/>
                <w:b/>
                <w:sz w:val="18"/>
                <w:szCs w:val="18"/>
                <w:lang w:bidi="ar"/>
              </w:rPr>
              <w:t>资金用途</w:t>
            </w:r>
          </w:p>
        </w:tc>
        <w:tc>
          <w:tcPr>
            <w:tcW w:w="1158" w:type="dxa"/>
            <w:vAlign w:val="center"/>
          </w:tcPr>
          <w:p>
            <w:pPr>
              <w:widowControl/>
              <w:jc w:val="center"/>
              <w:textAlignment w:val="center"/>
              <w:rPr>
                <w:rFonts w:ascii="Arial" w:hAnsi="Arial" w:cs="Arial"/>
                <w:b/>
                <w:sz w:val="18"/>
                <w:szCs w:val="18"/>
              </w:rPr>
            </w:pPr>
            <w:r>
              <w:rPr>
                <w:rFonts w:ascii="Arial" w:hAnsi="Arial" w:cs="Arial"/>
                <w:b/>
                <w:sz w:val="18"/>
                <w:szCs w:val="18"/>
                <w:lang w:bidi="ar"/>
              </w:rPr>
              <w:t>金额（元）</w:t>
            </w:r>
          </w:p>
        </w:tc>
        <w:tc>
          <w:tcPr>
            <w:tcW w:w="1190" w:type="dxa"/>
            <w:vAlign w:val="center"/>
          </w:tcPr>
          <w:p>
            <w:pPr>
              <w:widowControl/>
              <w:jc w:val="center"/>
              <w:textAlignment w:val="center"/>
              <w:rPr>
                <w:rFonts w:ascii="Arial" w:hAnsi="Arial" w:cs="Arial"/>
                <w:b/>
                <w:sz w:val="18"/>
                <w:szCs w:val="18"/>
              </w:rPr>
            </w:pPr>
            <w:r>
              <w:rPr>
                <w:rFonts w:ascii="Arial" w:hAnsi="Arial" w:cs="Arial"/>
                <w:b/>
                <w:sz w:val="18"/>
                <w:szCs w:val="18"/>
                <w:lang w:bidi="ar"/>
              </w:rPr>
              <w:t>收款方</w:t>
            </w:r>
          </w:p>
        </w:tc>
        <w:tc>
          <w:tcPr>
            <w:tcW w:w="1567" w:type="dxa"/>
            <w:vAlign w:val="center"/>
          </w:tcPr>
          <w:p>
            <w:pPr>
              <w:widowControl/>
              <w:jc w:val="center"/>
              <w:textAlignment w:val="center"/>
              <w:rPr>
                <w:rFonts w:ascii="Arial" w:hAnsi="Arial" w:cs="Arial"/>
                <w:b/>
                <w:sz w:val="18"/>
                <w:szCs w:val="18"/>
                <w:lang w:bidi="ar"/>
              </w:rPr>
            </w:pPr>
            <w:r>
              <w:rPr>
                <w:rFonts w:hint="eastAsia" w:ascii="Arial" w:hAnsi="Arial" w:cs="Arial"/>
                <w:b/>
                <w:sz w:val="18"/>
                <w:szCs w:val="18"/>
                <w:lang w:bidi="ar"/>
              </w:rPr>
              <w:t>收款方账户</w:t>
            </w:r>
          </w:p>
        </w:tc>
        <w:tc>
          <w:tcPr>
            <w:tcW w:w="1331" w:type="dxa"/>
            <w:vAlign w:val="center"/>
          </w:tcPr>
          <w:p>
            <w:pPr>
              <w:widowControl/>
              <w:jc w:val="center"/>
              <w:textAlignment w:val="center"/>
              <w:rPr>
                <w:rFonts w:ascii="Arial" w:hAnsi="Arial" w:cs="Arial"/>
                <w:b/>
                <w:sz w:val="18"/>
                <w:szCs w:val="18"/>
                <w:lang w:bidi="ar"/>
              </w:rPr>
            </w:pPr>
            <w:r>
              <w:rPr>
                <w:rFonts w:hint="eastAsia" w:ascii="Arial" w:hAnsi="Arial" w:cs="Arial"/>
                <w:b/>
                <w:sz w:val="18"/>
                <w:szCs w:val="18"/>
                <w:lang w:bidi="ar"/>
              </w:rPr>
              <w:t>收款方账号</w:t>
            </w:r>
          </w:p>
        </w:tc>
        <w:tc>
          <w:tcPr>
            <w:tcW w:w="915" w:type="dxa"/>
            <w:vAlign w:val="center"/>
          </w:tcPr>
          <w:p>
            <w:pPr>
              <w:widowControl/>
              <w:jc w:val="center"/>
              <w:textAlignment w:val="center"/>
              <w:rPr>
                <w:rFonts w:ascii="Arial" w:hAnsi="Arial" w:cs="Arial"/>
                <w:b/>
                <w:sz w:val="18"/>
                <w:szCs w:val="18"/>
              </w:rPr>
            </w:pPr>
            <w:r>
              <w:rPr>
                <w:rFonts w:ascii="Arial" w:hAnsi="Arial" w:cs="Arial"/>
                <w:b/>
                <w:sz w:val="18"/>
                <w:szCs w:val="18"/>
                <w:lang w:bidi="ar"/>
              </w:rPr>
              <w:t>用款类型</w:t>
            </w:r>
          </w:p>
        </w:tc>
        <w:tc>
          <w:tcPr>
            <w:tcW w:w="1335" w:type="dxa"/>
            <w:vAlign w:val="center"/>
          </w:tcPr>
          <w:p>
            <w:pPr>
              <w:widowControl/>
              <w:jc w:val="center"/>
              <w:textAlignment w:val="center"/>
              <w:rPr>
                <w:rFonts w:ascii="Arial" w:hAnsi="Arial" w:cs="Arial"/>
                <w:b/>
                <w:sz w:val="18"/>
                <w:szCs w:val="18"/>
                <w:lang w:bidi="ar"/>
              </w:rPr>
            </w:pPr>
            <w:r>
              <w:rPr>
                <w:rFonts w:ascii="Arial" w:hAnsi="Arial" w:cs="Arial"/>
                <w:b/>
                <w:sz w:val="18"/>
                <w:szCs w:val="18"/>
                <w:lang w:bidi="ar"/>
              </w:rPr>
              <w:t>流出账户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开立询证函费用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200.00</w:t>
            </w:r>
          </w:p>
        </w:tc>
        <w:tc>
          <w:tcPr>
            <w:tcW w:w="1190" w:type="dxa"/>
            <w:vAlign w:val="center"/>
          </w:tcPr>
          <w:p>
            <w:pPr>
              <w:widowControl/>
              <w:jc w:val="center"/>
              <w:textAlignment w:val="center"/>
              <w:rPr>
                <w:rFonts w:ascii="Arial" w:hAnsi="Arial" w:cs="Arial"/>
                <w:bCs/>
                <w:color w:val="000000"/>
                <w:sz w:val="18"/>
                <w:szCs w:val="18"/>
                <w:lang w:bidi="ar"/>
              </w:rPr>
            </w:pPr>
          </w:p>
        </w:tc>
        <w:tc>
          <w:tcPr>
            <w:tcW w:w="1567" w:type="dxa"/>
            <w:vAlign w:val="center"/>
          </w:tcPr>
          <w:p>
            <w:pPr>
              <w:widowControl/>
              <w:jc w:val="center"/>
              <w:textAlignment w:val="center"/>
              <w:rPr>
                <w:rFonts w:ascii="Arial" w:hAnsi="Arial" w:cs="Arial"/>
                <w:bCs/>
                <w:color w:val="000000"/>
                <w:sz w:val="18"/>
                <w:szCs w:val="18"/>
                <w:lang w:bidi="ar"/>
              </w:rPr>
            </w:pPr>
          </w:p>
        </w:tc>
        <w:tc>
          <w:tcPr>
            <w:tcW w:w="1331" w:type="dxa"/>
            <w:vAlign w:val="center"/>
          </w:tcPr>
          <w:p>
            <w:pPr>
              <w:widowControl/>
              <w:jc w:val="center"/>
              <w:textAlignment w:val="center"/>
              <w:rPr>
                <w:rFonts w:ascii="Arial" w:hAnsi="Arial" w:cs="Arial"/>
                <w:bCs/>
                <w:color w:val="000000"/>
                <w:sz w:val="18"/>
                <w:szCs w:val="18"/>
                <w:lang w:bidi="ar"/>
              </w:rPr>
            </w:pP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宜宾骏继中国银行</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115868581512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邮费-普通、快件、特快</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22.00</w:t>
            </w:r>
          </w:p>
        </w:tc>
        <w:tc>
          <w:tcPr>
            <w:tcW w:w="1190" w:type="dxa"/>
            <w:vAlign w:val="center"/>
          </w:tcPr>
          <w:p>
            <w:pPr>
              <w:widowControl/>
              <w:jc w:val="center"/>
              <w:textAlignment w:val="center"/>
              <w:rPr>
                <w:rFonts w:ascii="Arial" w:hAnsi="Arial" w:cs="Arial"/>
                <w:bCs/>
                <w:color w:val="000000"/>
                <w:sz w:val="18"/>
                <w:szCs w:val="18"/>
                <w:lang w:bidi="ar"/>
              </w:rPr>
            </w:pPr>
          </w:p>
        </w:tc>
        <w:tc>
          <w:tcPr>
            <w:tcW w:w="1567" w:type="dxa"/>
            <w:vAlign w:val="center"/>
          </w:tcPr>
          <w:p>
            <w:pPr>
              <w:widowControl/>
              <w:jc w:val="center"/>
              <w:textAlignment w:val="center"/>
              <w:rPr>
                <w:rFonts w:ascii="Arial" w:hAnsi="Arial" w:cs="Arial"/>
                <w:bCs/>
                <w:color w:val="000000"/>
                <w:sz w:val="18"/>
                <w:szCs w:val="18"/>
                <w:lang w:bidi="ar"/>
              </w:rPr>
            </w:pPr>
          </w:p>
        </w:tc>
        <w:tc>
          <w:tcPr>
            <w:tcW w:w="1331" w:type="dxa"/>
            <w:vAlign w:val="center"/>
          </w:tcPr>
          <w:p>
            <w:pPr>
              <w:widowControl/>
              <w:jc w:val="center"/>
              <w:textAlignment w:val="center"/>
              <w:rPr>
                <w:rFonts w:ascii="Arial" w:hAnsi="Arial" w:cs="Arial"/>
                <w:bCs/>
                <w:color w:val="000000"/>
                <w:sz w:val="18"/>
                <w:szCs w:val="18"/>
                <w:lang w:bidi="ar"/>
              </w:rPr>
            </w:pP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宜宾骏继中国银行</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115868581512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1,725.00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刘勋</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6214838611617046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1,725.00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阳琳</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6214838611645906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1,725.00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周楠</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招商银行股份有限公司上海新客站支行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6214838611648769</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184.00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何小亮</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宜宾莱茵支行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6212262314001551517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1,173.00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刘彤</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中国银行南充嘉陵支行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6217903100017864158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1,725.00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李新华</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6214838611616527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1,725.00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蒋翊明</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招商银行股份有限公司成都龙湖三千支行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6214832809371136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1,380.00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唐昌林</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中国银行股份有限公司成都东部新区支行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6216603100008615325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1,725.00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李玉兰</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宜宾叙州城北支行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6217212314003675876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368.00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杨楠</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中国银行股份有限公司宜宾翠柏支行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6215683100026527531</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1,725.00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肖颖</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6214838611645898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1,380.00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肖秋月</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中国银行成都龙泉驿恒大绿洲支行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6217903100032945800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1,725.00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杨泽连</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6214838611647753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1,725.00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陶欣</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6214838611648736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184.00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赵俊峰</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6214838610602411</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1,380.00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潘麓西</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招商银行股份有限公司泸州江阳支行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6214838611517972</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1,380.00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杨锋</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中国银行股份有限公司天府新区牧华支行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6217853100023122377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1,288.00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丁祥杰</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招商银行深圳南山支行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6214837879116352</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1,725.00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黄仕交</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成都龙泉洪河大道支行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6222024402054916998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460.00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余艳</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中国银行都江堰大道支行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6217903100027847565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1,380.00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龚成波</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中国银行股份有限公司宜宾南街支行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6215683100025485434</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1,380.00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王天一</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中国银行总行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6216603200001269524</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1,380.00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陈兴兰</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6214838611648751</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1,380.00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李金磊</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中国银行新都马超西路支行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6215683100024215659</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1,380.00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张武</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中国银行温江支行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6217253100007264472</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714.00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杨锋</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中国银行股份有限公司天府新区牧华支行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6217853100023122377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49.20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上海晨光科力普办公用品有限公司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工行上海分行业务处理中心</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1001120809000032550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871.80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谢程宜</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招商银行股份有限公司泸州江阳支行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6214838611711658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管理费30</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736.00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四川顺丰速运有限公司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工行成都分行业务处理中心</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4402237019006823281</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71.00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肖秋月</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中国银行成都龙泉驿恒大绿洲支行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6217903100032945800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710.00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杨锋</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中国银行股份有限公司天府新区牧华支行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6217853100023122377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1,380.00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朱莉蓉</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中国银行股份有限公司成都万科支行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6216693100002840078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工程款</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260,000.00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宜宾市建业工程质量检测有限责任公司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宜宾农村商业银行股份有限公司</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88150120063657869</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建筑工程费用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120,000.00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宜宾拓展广告有限公司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宜宾市商业银行大观楼支行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2010233102571</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工程款</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1,900,000.00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宜宾佳鑫建筑工程有限责任公司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宜宾农村商业银行股份有限公司</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88150120066960066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建筑工程费用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36,000.00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四川胜光广告传媒有限公司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宜宾市商业银行大观楼支行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2010233102455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33,600.00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宜宾凯盛文化传播有限公司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交通银行股份有限公司宜宾分行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592000490018800035178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27,633.00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宜宾市志兴广告有限公司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宜宾翠屏农村商业银行股份有限公司</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59820110000153793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工程款</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100,000.00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成都传美时代装饰设计有限公司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中国银行股份有限公司成都实业街支行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130673280524</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建筑工程费用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工程款</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100,000.00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上海峰雷实业有限公司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中国建设银行股份有限公司上海奉贤支行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31001930600055685334</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建筑工程费用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工程款</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212,300.00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四川天府辰安建设工程有限责任公司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中国建设银行股份有限公司成都金仙桥支行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51050144640800002675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建筑工程费用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工程款</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1,000,000.00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成都建工第八建筑工程有限公司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宜宾翠柏大道支行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2314506229100072915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建筑工程费用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工程款</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2,000,000.00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成都建工第八建筑工程有限公司宜宾分公司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中国建设银行股份有限公司宜宾财富广场支行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51050172004900000665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建筑工程费用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工程款</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49,400.00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宜宾旗嘉汽车服务有限公司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中国建设银行股份有限公司宜宾江北支行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51050172510800000856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建筑工程费用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工程款</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270,000.00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万隆建设工程咨询集团有限公司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平安银行股份有限公司上海市南支行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11012771410201</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建筑工程费用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69,906.00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四川蓝羚文化传播有限公司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工行成都分行业务处理中心</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4402005809100009088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工程款</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深圳奥雅设计股份有限公司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招商银行深圳新时代支行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755920124410201</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建筑工程费用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跨行汇款手续费</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460.00</w:t>
            </w:r>
          </w:p>
        </w:tc>
        <w:tc>
          <w:tcPr>
            <w:tcW w:w="1190" w:type="dxa"/>
            <w:vAlign w:val="center"/>
          </w:tcPr>
          <w:p>
            <w:pPr>
              <w:widowControl/>
              <w:jc w:val="center"/>
              <w:textAlignment w:val="center"/>
              <w:rPr>
                <w:rFonts w:ascii="Arial" w:hAnsi="Arial" w:cs="Arial"/>
                <w:bCs/>
                <w:color w:val="000000"/>
                <w:sz w:val="18"/>
                <w:szCs w:val="18"/>
                <w:lang w:bidi="ar"/>
              </w:rPr>
            </w:pPr>
          </w:p>
        </w:tc>
        <w:tc>
          <w:tcPr>
            <w:tcW w:w="1567" w:type="dxa"/>
            <w:vAlign w:val="center"/>
          </w:tcPr>
          <w:p>
            <w:pPr>
              <w:widowControl/>
              <w:jc w:val="center"/>
              <w:textAlignment w:val="center"/>
              <w:rPr>
                <w:rFonts w:ascii="Arial" w:hAnsi="Arial" w:cs="Arial"/>
                <w:bCs/>
                <w:color w:val="000000"/>
                <w:sz w:val="18"/>
                <w:szCs w:val="18"/>
                <w:lang w:bidi="ar"/>
              </w:rPr>
            </w:pPr>
          </w:p>
        </w:tc>
        <w:tc>
          <w:tcPr>
            <w:tcW w:w="1331" w:type="dxa"/>
            <w:vAlign w:val="center"/>
          </w:tcPr>
          <w:p>
            <w:pPr>
              <w:widowControl/>
              <w:jc w:val="center"/>
              <w:textAlignment w:val="center"/>
              <w:rPr>
                <w:rFonts w:ascii="Arial" w:hAnsi="Arial" w:cs="Arial"/>
                <w:bCs/>
                <w:color w:val="000000"/>
                <w:sz w:val="18"/>
                <w:szCs w:val="18"/>
                <w:lang w:bidi="ar"/>
              </w:rPr>
            </w:pP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财务费用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跨行快汇手续费</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6.00</w:t>
            </w:r>
          </w:p>
        </w:tc>
        <w:tc>
          <w:tcPr>
            <w:tcW w:w="1190" w:type="dxa"/>
            <w:vAlign w:val="center"/>
          </w:tcPr>
          <w:p>
            <w:pPr>
              <w:widowControl/>
              <w:jc w:val="center"/>
              <w:textAlignment w:val="center"/>
              <w:rPr>
                <w:rFonts w:ascii="Arial" w:hAnsi="Arial" w:cs="Arial"/>
                <w:bCs/>
                <w:color w:val="000000"/>
                <w:sz w:val="18"/>
                <w:szCs w:val="18"/>
                <w:lang w:bidi="ar"/>
              </w:rPr>
            </w:pPr>
          </w:p>
        </w:tc>
        <w:tc>
          <w:tcPr>
            <w:tcW w:w="1567" w:type="dxa"/>
            <w:vAlign w:val="center"/>
          </w:tcPr>
          <w:p>
            <w:pPr>
              <w:widowControl/>
              <w:jc w:val="center"/>
              <w:textAlignment w:val="center"/>
              <w:rPr>
                <w:rFonts w:ascii="Arial" w:hAnsi="Arial" w:cs="Arial"/>
                <w:bCs/>
                <w:color w:val="000000"/>
                <w:sz w:val="18"/>
                <w:szCs w:val="18"/>
                <w:lang w:bidi="ar"/>
              </w:rPr>
            </w:pPr>
          </w:p>
        </w:tc>
        <w:tc>
          <w:tcPr>
            <w:tcW w:w="1331" w:type="dxa"/>
            <w:vAlign w:val="center"/>
          </w:tcPr>
          <w:p>
            <w:pPr>
              <w:widowControl/>
              <w:jc w:val="center"/>
              <w:textAlignment w:val="center"/>
              <w:rPr>
                <w:rFonts w:ascii="Arial" w:hAnsi="Arial" w:cs="Arial"/>
                <w:bCs/>
                <w:color w:val="000000"/>
                <w:sz w:val="18"/>
                <w:szCs w:val="18"/>
                <w:lang w:bidi="ar"/>
              </w:rPr>
            </w:pP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财务费用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跨行汇款手续费</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93.60</w:t>
            </w:r>
          </w:p>
        </w:tc>
        <w:tc>
          <w:tcPr>
            <w:tcW w:w="1190" w:type="dxa"/>
            <w:vAlign w:val="center"/>
          </w:tcPr>
          <w:p>
            <w:pPr>
              <w:widowControl/>
              <w:jc w:val="center"/>
              <w:textAlignment w:val="center"/>
              <w:rPr>
                <w:rFonts w:ascii="Arial" w:hAnsi="Arial" w:cs="Arial"/>
                <w:bCs/>
                <w:color w:val="000000"/>
                <w:sz w:val="18"/>
                <w:szCs w:val="18"/>
                <w:lang w:bidi="ar"/>
              </w:rPr>
            </w:pPr>
          </w:p>
        </w:tc>
        <w:tc>
          <w:tcPr>
            <w:tcW w:w="1567" w:type="dxa"/>
            <w:vAlign w:val="center"/>
          </w:tcPr>
          <w:p>
            <w:pPr>
              <w:widowControl/>
              <w:jc w:val="center"/>
              <w:textAlignment w:val="center"/>
              <w:rPr>
                <w:rFonts w:ascii="Arial" w:hAnsi="Arial" w:cs="Arial"/>
                <w:bCs/>
                <w:color w:val="000000"/>
                <w:sz w:val="18"/>
                <w:szCs w:val="18"/>
                <w:lang w:bidi="ar"/>
              </w:rPr>
            </w:pPr>
          </w:p>
        </w:tc>
        <w:tc>
          <w:tcPr>
            <w:tcW w:w="1331" w:type="dxa"/>
            <w:vAlign w:val="center"/>
          </w:tcPr>
          <w:p>
            <w:pPr>
              <w:widowControl/>
              <w:jc w:val="center"/>
              <w:textAlignment w:val="center"/>
              <w:rPr>
                <w:rFonts w:ascii="Arial" w:hAnsi="Arial" w:cs="Arial"/>
                <w:bCs/>
                <w:color w:val="000000"/>
                <w:sz w:val="18"/>
                <w:szCs w:val="18"/>
                <w:lang w:bidi="ar"/>
              </w:rPr>
            </w:pP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财务费用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工行异地汇款手续费</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60.00</w:t>
            </w:r>
          </w:p>
        </w:tc>
        <w:tc>
          <w:tcPr>
            <w:tcW w:w="1190" w:type="dxa"/>
            <w:vAlign w:val="center"/>
          </w:tcPr>
          <w:p>
            <w:pPr>
              <w:widowControl/>
              <w:jc w:val="center"/>
              <w:textAlignment w:val="center"/>
              <w:rPr>
                <w:rFonts w:ascii="Arial" w:hAnsi="Arial" w:cs="Arial"/>
                <w:bCs/>
                <w:color w:val="000000"/>
                <w:sz w:val="18"/>
                <w:szCs w:val="18"/>
                <w:lang w:bidi="ar"/>
              </w:rPr>
            </w:pPr>
          </w:p>
        </w:tc>
        <w:tc>
          <w:tcPr>
            <w:tcW w:w="1567" w:type="dxa"/>
            <w:vAlign w:val="center"/>
          </w:tcPr>
          <w:p>
            <w:pPr>
              <w:widowControl/>
              <w:jc w:val="center"/>
              <w:textAlignment w:val="center"/>
              <w:rPr>
                <w:rFonts w:ascii="Arial" w:hAnsi="Arial" w:cs="Arial"/>
                <w:bCs/>
                <w:color w:val="000000"/>
                <w:sz w:val="18"/>
                <w:szCs w:val="18"/>
                <w:lang w:bidi="ar"/>
              </w:rPr>
            </w:pPr>
          </w:p>
        </w:tc>
        <w:tc>
          <w:tcPr>
            <w:tcW w:w="1331" w:type="dxa"/>
            <w:vAlign w:val="center"/>
          </w:tcPr>
          <w:p>
            <w:pPr>
              <w:widowControl/>
              <w:jc w:val="center"/>
              <w:textAlignment w:val="center"/>
              <w:rPr>
                <w:rFonts w:ascii="Arial" w:hAnsi="Arial" w:cs="Arial"/>
                <w:bCs/>
                <w:color w:val="000000"/>
                <w:sz w:val="18"/>
                <w:szCs w:val="18"/>
                <w:lang w:bidi="ar"/>
              </w:rPr>
            </w:pP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财务费用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2021-2-11</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短信费.</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w:t>
            </w:r>
          </w:p>
        </w:tc>
        <w:tc>
          <w:tcPr>
            <w:tcW w:w="1190" w:type="dxa"/>
            <w:vAlign w:val="center"/>
          </w:tcPr>
          <w:p>
            <w:pPr>
              <w:widowControl/>
              <w:jc w:val="center"/>
              <w:textAlignment w:val="center"/>
              <w:rPr>
                <w:rFonts w:ascii="Arial" w:hAnsi="Arial" w:cs="Arial"/>
                <w:bCs/>
                <w:color w:val="000000"/>
                <w:sz w:val="18"/>
                <w:szCs w:val="18"/>
                <w:lang w:bidi="ar"/>
              </w:rPr>
            </w:pP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全行资金清算专属行部</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22470201940050310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财务费用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宜宾骏继中国农业银行</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22470201040022852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2021-2-19</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余额变动提醒手续费</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60.00</w:t>
            </w:r>
          </w:p>
        </w:tc>
        <w:tc>
          <w:tcPr>
            <w:tcW w:w="1190" w:type="dxa"/>
            <w:vAlign w:val="center"/>
          </w:tcPr>
          <w:p>
            <w:pPr>
              <w:widowControl/>
              <w:jc w:val="center"/>
              <w:textAlignment w:val="center"/>
              <w:rPr>
                <w:rFonts w:ascii="Arial" w:hAnsi="Arial" w:cs="Arial"/>
                <w:bCs/>
                <w:color w:val="000000"/>
                <w:sz w:val="18"/>
                <w:szCs w:val="18"/>
                <w:lang w:bidi="ar"/>
              </w:rPr>
            </w:pPr>
          </w:p>
        </w:tc>
        <w:tc>
          <w:tcPr>
            <w:tcW w:w="1567" w:type="dxa"/>
            <w:vAlign w:val="center"/>
          </w:tcPr>
          <w:p>
            <w:pPr>
              <w:widowControl/>
              <w:jc w:val="center"/>
              <w:textAlignment w:val="center"/>
              <w:rPr>
                <w:rFonts w:ascii="Arial" w:hAnsi="Arial" w:cs="Arial"/>
                <w:bCs/>
                <w:color w:val="000000"/>
                <w:sz w:val="18"/>
                <w:szCs w:val="18"/>
                <w:lang w:bidi="ar"/>
              </w:rPr>
            </w:pPr>
          </w:p>
        </w:tc>
        <w:tc>
          <w:tcPr>
            <w:tcW w:w="1331" w:type="dxa"/>
            <w:vAlign w:val="center"/>
          </w:tcPr>
          <w:p>
            <w:pPr>
              <w:widowControl/>
              <w:jc w:val="center"/>
              <w:textAlignment w:val="center"/>
              <w:rPr>
                <w:rFonts w:ascii="Arial" w:hAnsi="Arial" w:cs="Arial"/>
                <w:bCs/>
                <w:color w:val="000000"/>
                <w:sz w:val="18"/>
                <w:szCs w:val="18"/>
                <w:lang w:bidi="ar"/>
              </w:rPr>
            </w:pP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财务费用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2021-2-19</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银行收费</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200.00</w:t>
            </w:r>
          </w:p>
        </w:tc>
        <w:tc>
          <w:tcPr>
            <w:tcW w:w="1190" w:type="dxa"/>
            <w:vAlign w:val="center"/>
          </w:tcPr>
          <w:p>
            <w:pPr>
              <w:widowControl/>
              <w:jc w:val="center"/>
              <w:textAlignment w:val="center"/>
              <w:rPr>
                <w:rFonts w:ascii="Arial" w:hAnsi="Arial" w:cs="Arial"/>
                <w:bCs/>
                <w:color w:val="000000"/>
                <w:sz w:val="18"/>
                <w:szCs w:val="18"/>
                <w:lang w:bidi="ar"/>
              </w:rPr>
            </w:pPr>
          </w:p>
        </w:tc>
        <w:tc>
          <w:tcPr>
            <w:tcW w:w="1567" w:type="dxa"/>
            <w:vAlign w:val="center"/>
          </w:tcPr>
          <w:p>
            <w:pPr>
              <w:widowControl/>
              <w:jc w:val="center"/>
              <w:textAlignment w:val="center"/>
              <w:rPr>
                <w:rFonts w:ascii="Arial" w:hAnsi="Arial" w:cs="Arial"/>
                <w:bCs/>
                <w:color w:val="000000"/>
                <w:sz w:val="18"/>
                <w:szCs w:val="18"/>
                <w:lang w:bidi="ar"/>
              </w:rPr>
            </w:pPr>
          </w:p>
        </w:tc>
        <w:tc>
          <w:tcPr>
            <w:tcW w:w="1331" w:type="dxa"/>
            <w:vAlign w:val="center"/>
          </w:tcPr>
          <w:p>
            <w:pPr>
              <w:widowControl/>
              <w:jc w:val="center"/>
              <w:textAlignment w:val="center"/>
              <w:rPr>
                <w:rFonts w:ascii="Arial" w:hAnsi="Arial" w:cs="Arial"/>
                <w:bCs/>
                <w:color w:val="000000"/>
                <w:sz w:val="18"/>
                <w:szCs w:val="18"/>
                <w:lang w:bidi="ar"/>
              </w:rPr>
            </w:pP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财务费用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宜宾骏继中信银行</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8111001012900684397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代理国库税收收缴</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3,694.75</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待报解预算收入-库税银</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四川宜宾分行运行服务保障中心</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2314501111200310135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税费</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2021-2-22</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代理国库税收收缴</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1,184,239.52</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待报解预算收入-库税银</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四川宜宾分行运行服务保障中心</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2314501111200310135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税费</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退房款215</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20,000.00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何剑</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宜宾三江支行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6215582314000641950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退房款</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退房款219</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249,886.00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吴小萍</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兴业银行总行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622908403068977917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退房款</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600.00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潘麓西</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招商银行股份有限公司泸州江阳支行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6214838611517972</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周楠</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招商银行股份有限公司上海新客站支行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6214838611648769</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蒋翊明</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招商银行股份有限公司成都龙湖三千支行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6214832809371136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1,500.00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张武</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中国银行温江支行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6217253100007264472</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销售佣金</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82,589.02</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四川方胜人力资源服务有限公司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工行成都分行业务处理中心</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4402207009006530377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阳琳</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6214838611645906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423.91</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何小亮</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宜宾莱茵支行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6212262314001551517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黄仕交</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成都龙泉洪河大道支行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6222024402054916998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782.61</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张孟霞</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中国银行股份有限公司成都大源支行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6217853100029703873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900.00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王天一</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中国银行总行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6216603200001269524</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8,437.00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王天一</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中国银行总行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6216603200001269524</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刘勋</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6214838611617046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423.91</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赵俊峰</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6214838610602411</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肖颖</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6214838611645898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杨泽连</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6214838611647753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2,250.00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丁祥杰</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招商银行深圳南山支行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6214837879116352</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李新华</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6214838611616527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8,000.00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朱莉蓉</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中国银行股份有限公司成都万科支行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6216693100002840078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李玉兰</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宜宾叙州城北支行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6217212314003675876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陶欣</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6214838611648736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管理费188</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7,650.00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成都三和新业科技有限公司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中国农业银行股份有限公司成都石人支行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22892201040000783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600.00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陈兴兰</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6214838611648751</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600.00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肖秋月</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中国银行成都龙泉驿恒大绿洲支行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6217903100032945800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肖颖</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6214838611645898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蒋翊明</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招商银行股份有限公司成都龙湖三千支行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6214832809371136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282.50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安映霞</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宜宾叙州城北支行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6215582314003132189</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160.00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潘麓西</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招商银行股份有限公司泸州江阳支行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6214838611517972</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销售佣金144</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45,566.64</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重庆市渝北区房友地产顾问有限公司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交通银行股份有限公司重庆新牌坊支行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500111072018000004116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销售佣金147</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92,104.39</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上海家和信息技术有限公司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工行上海分行业务处理中心</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1001036509006839213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营销费用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周楠</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招商银行股份有限公司上海新客站支行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6214838611648769</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阳琳</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6214838611645906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715.50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北京外企德科人力资源服务上海有限公司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招商银行上海分行南西支行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121907759010201188666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李新华</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成都龙泉洪河大道支行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6222024402054916998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陶欣</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招商银行上海分行南西支行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121907759010201188666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公积金</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85,271.76</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北京外企德科人力资源服务上海有限公司</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6214838611648736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86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158"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300.00</w:t>
            </w:r>
          </w:p>
        </w:tc>
        <w:tc>
          <w:tcPr>
            <w:tcW w:w="11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黄仕交</w:t>
            </w:r>
          </w:p>
        </w:tc>
        <w:tc>
          <w:tcPr>
            <w:tcW w:w="1567"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招商银行股份有限公司泸州分行</w:t>
            </w:r>
          </w:p>
        </w:tc>
        <w:tc>
          <w:tcPr>
            <w:tcW w:w="1331"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6214838611616527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管理费用</w:t>
            </w:r>
          </w:p>
        </w:tc>
        <w:tc>
          <w:tcPr>
            <w:tcW w:w="133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bl>
    <w:p>
      <w:pPr>
        <w:widowControl/>
        <w:ind w:firstLine="420" w:firstLineChars="200"/>
        <w:textAlignment w:val="center"/>
        <w:rPr>
          <w:rFonts w:asciiTheme="minorEastAsia" w:hAnsiTheme="minorEastAsia" w:eastAsiaTheme="minorEastAsia" w:cstheme="minorEastAsia"/>
          <w:bCs/>
          <w:kern w:val="44"/>
          <w:szCs w:val="21"/>
        </w:rPr>
      </w:pPr>
    </w:p>
    <w:p>
      <w:pPr>
        <w:pStyle w:val="3"/>
        <w:spacing w:before="300" w:after="300" w:line="360" w:lineRule="exact"/>
        <w:jc w:val="left"/>
        <w:rPr>
          <w:rFonts w:ascii="宋体" w:hAnsi="宋体" w:eastAsia="宋体" w:cs="宋体"/>
          <w:sz w:val="24"/>
          <w:szCs w:val="24"/>
        </w:rPr>
      </w:pPr>
      <w:bookmarkStart w:id="114" w:name="_Toc14711"/>
      <w:bookmarkStart w:id="115" w:name="_Toc535508644"/>
      <w:bookmarkStart w:id="116" w:name="_Toc17522"/>
      <w:bookmarkStart w:id="117" w:name="_Toc9899"/>
      <w:bookmarkStart w:id="118" w:name="_Toc2443"/>
      <w:bookmarkStart w:id="119" w:name="_Toc20874"/>
      <w:bookmarkStart w:id="120" w:name="_Toc535580099"/>
      <w:bookmarkStart w:id="121" w:name="_Toc535570758"/>
      <w:bookmarkStart w:id="122" w:name="_Toc535580031"/>
      <w:bookmarkStart w:id="123" w:name="_Toc7895"/>
      <w:bookmarkStart w:id="124" w:name="_Toc13384"/>
      <w:bookmarkStart w:id="125" w:name="_Toc37668501"/>
      <w:r>
        <w:rPr>
          <w:rFonts w:eastAsia="宋体" w:cs="Arial"/>
          <w:sz w:val="24"/>
          <w:szCs w:val="24"/>
        </w:rPr>
        <w:t>7.2</w:t>
      </w:r>
      <w:r>
        <w:rPr>
          <w:rFonts w:hint="eastAsia" w:ascii="宋体" w:hAnsi="宋体" w:eastAsia="宋体" w:cs="宋体"/>
          <w:sz w:val="24"/>
          <w:szCs w:val="24"/>
        </w:rPr>
        <w:t>资金流入情况</w:t>
      </w:r>
      <w:bookmarkEnd w:id="114"/>
      <w:bookmarkEnd w:id="115"/>
      <w:bookmarkEnd w:id="116"/>
      <w:bookmarkEnd w:id="117"/>
      <w:bookmarkEnd w:id="118"/>
      <w:bookmarkEnd w:id="119"/>
      <w:bookmarkEnd w:id="120"/>
      <w:bookmarkEnd w:id="121"/>
      <w:bookmarkEnd w:id="122"/>
      <w:bookmarkEnd w:id="123"/>
      <w:bookmarkEnd w:id="124"/>
      <w:bookmarkEnd w:id="125"/>
      <w:r>
        <w:rPr>
          <w:rFonts w:hint="eastAsia" w:ascii="宋体" w:hAnsi="宋体" w:eastAsia="宋体" w:cs="宋体"/>
          <w:sz w:val="24"/>
          <w:szCs w:val="24"/>
        </w:rPr>
        <w:t xml:space="preserve"> </w:t>
      </w:r>
    </w:p>
    <w:p>
      <w:pPr>
        <w:pStyle w:val="4"/>
        <w:spacing w:before="300" w:after="300" w:line="360" w:lineRule="exact"/>
        <w:jc w:val="left"/>
        <w:rPr>
          <w:rFonts w:asciiTheme="majorEastAsia" w:hAnsiTheme="majorEastAsia" w:eastAsiaTheme="majorEastAsia" w:cstheme="majorEastAsia"/>
          <w:bCs/>
          <w:sz w:val="24"/>
        </w:rPr>
      </w:pPr>
      <w:r>
        <w:rPr>
          <w:rFonts w:ascii="Arial" w:hAnsi="Arial" w:cs="Arial"/>
          <w:bCs/>
          <w:sz w:val="24"/>
        </w:rPr>
        <w:t>7.2.1</w:t>
      </w:r>
      <w:r>
        <w:rPr>
          <w:rFonts w:hint="eastAsia" w:asciiTheme="majorEastAsia" w:hAnsiTheme="majorEastAsia" w:eastAsiaTheme="majorEastAsia" w:cstheme="majorEastAsia"/>
          <w:bCs/>
          <w:sz w:val="24"/>
        </w:rPr>
        <w:t>销售回款流入</w:t>
      </w:r>
    </w:p>
    <w:p>
      <w:pPr>
        <w:spacing w:line="480" w:lineRule="auto"/>
        <w:ind w:firstLine="420" w:firstLineChars="200"/>
        <w:rPr>
          <w:rFonts w:ascii="Arial" w:hAnsi="Arial" w:cs="Arial"/>
          <w:kern w:val="44"/>
          <w:szCs w:val="21"/>
        </w:rPr>
      </w:pPr>
      <w:r>
        <w:rPr>
          <w:rFonts w:hint="eastAsia" w:ascii="Arial" w:hAnsi="Arial" w:cs="Arial"/>
          <w:kern w:val="44"/>
          <w:szCs w:val="21"/>
        </w:rPr>
        <w:t>2021年02月03日至2021年02月2</w:t>
      </w:r>
      <w:r>
        <w:rPr>
          <w:rFonts w:hint="eastAsia" w:ascii="Arial" w:hAnsi="Arial" w:cs="Arial"/>
          <w:kern w:val="44"/>
          <w:szCs w:val="21"/>
          <w:lang w:val="en-US" w:eastAsia="zh-CN"/>
        </w:rPr>
        <w:t>8</w:t>
      </w:r>
      <w:r>
        <w:rPr>
          <w:rFonts w:hint="eastAsia" w:ascii="Arial" w:hAnsi="Arial" w:cs="Arial"/>
          <w:kern w:val="44"/>
          <w:szCs w:val="21"/>
        </w:rPr>
        <w:t>日期间，项目公司销售回款总计17,978,882.00元。</w:t>
      </w:r>
    </w:p>
    <w:p>
      <w:pPr>
        <w:spacing w:before="315" w:beforeLines="100"/>
        <w:jc w:val="center"/>
        <w:rPr>
          <w:rFonts w:ascii="Arial" w:hAnsi="Arial" w:cs="Arial" w:eastAsiaTheme="minorEastAsia"/>
          <w:b/>
          <w:bCs/>
          <w:sz w:val="24"/>
        </w:rPr>
      </w:pPr>
      <w:r>
        <w:rPr>
          <w:rFonts w:hint="eastAsia" w:ascii="Arial" w:hAnsi="Arial" w:cs="Arial" w:eastAsiaTheme="minorEastAsia"/>
          <w:b/>
          <w:bCs/>
          <w:sz w:val="24"/>
        </w:rPr>
        <w:t>2021年02月03日至2021年02月2</w:t>
      </w:r>
      <w:r>
        <w:rPr>
          <w:rFonts w:hint="eastAsia" w:ascii="Arial" w:hAnsi="Arial" w:cs="Arial" w:eastAsiaTheme="minorEastAsia"/>
          <w:b/>
          <w:bCs/>
          <w:sz w:val="24"/>
          <w:lang w:val="en-US" w:eastAsia="zh-CN"/>
        </w:rPr>
        <w:t>8</w:t>
      </w:r>
      <w:r>
        <w:rPr>
          <w:rFonts w:hint="eastAsia" w:ascii="Arial" w:hAnsi="Arial" w:cs="Arial" w:eastAsiaTheme="minorEastAsia"/>
          <w:b/>
          <w:bCs/>
          <w:sz w:val="24"/>
        </w:rPr>
        <w:t>日期间销售回款清单</w:t>
      </w:r>
    </w:p>
    <w:tbl>
      <w:tblPr>
        <w:tblStyle w:val="13"/>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69"/>
        <w:gridCol w:w="915"/>
        <w:gridCol w:w="1140"/>
        <w:gridCol w:w="1125"/>
        <w:gridCol w:w="1650"/>
        <w:gridCol w:w="1290"/>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2" w:hRule="atLeast"/>
          <w:tblHeader/>
          <w:jc w:val="center"/>
        </w:trPr>
        <w:tc>
          <w:tcPr>
            <w:tcW w:w="869" w:type="dxa"/>
            <w:vAlign w:val="center"/>
          </w:tcPr>
          <w:p>
            <w:pPr>
              <w:widowControl/>
              <w:jc w:val="center"/>
              <w:textAlignment w:val="center"/>
              <w:rPr>
                <w:rFonts w:ascii="Arial" w:hAnsi="Arial" w:cs="Arial"/>
                <w:b/>
                <w:sz w:val="18"/>
                <w:szCs w:val="18"/>
              </w:rPr>
            </w:pPr>
            <w:r>
              <w:rPr>
                <w:rFonts w:ascii="Arial" w:hAnsi="Arial" w:cs="Arial"/>
                <w:b/>
                <w:sz w:val="18"/>
                <w:szCs w:val="18"/>
                <w:lang w:bidi="ar"/>
              </w:rPr>
              <w:t>收款日期</w:t>
            </w:r>
          </w:p>
        </w:tc>
        <w:tc>
          <w:tcPr>
            <w:tcW w:w="915" w:type="dxa"/>
            <w:vAlign w:val="center"/>
          </w:tcPr>
          <w:p>
            <w:pPr>
              <w:widowControl/>
              <w:jc w:val="center"/>
              <w:textAlignment w:val="center"/>
              <w:rPr>
                <w:rFonts w:ascii="Arial" w:hAnsi="Arial" w:cs="Arial"/>
                <w:b/>
                <w:sz w:val="18"/>
                <w:szCs w:val="18"/>
              </w:rPr>
            </w:pPr>
            <w:r>
              <w:rPr>
                <w:rFonts w:ascii="Arial" w:hAnsi="Arial" w:cs="Arial"/>
                <w:b/>
                <w:sz w:val="18"/>
                <w:szCs w:val="18"/>
                <w:lang w:bidi="ar"/>
              </w:rPr>
              <w:t>资金用途</w:t>
            </w:r>
          </w:p>
        </w:tc>
        <w:tc>
          <w:tcPr>
            <w:tcW w:w="1140" w:type="dxa"/>
            <w:vAlign w:val="center"/>
          </w:tcPr>
          <w:p>
            <w:pPr>
              <w:widowControl/>
              <w:jc w:val="center"/>
              <w:textAlignment w:val="center"/>
              <w:rPr>
                <w:rFonts w:ascii="Arial" w:hAnsi="Arial" w:cs="Arial"/>
                <w:b/>
                <w:sz w:val="18"/>
                <w:szCs w:val="18"/>
              </w:rPr>
            </w:pPr>
            <w:r>
              <w:rPr>
                <w:rFonts w:ascii="Arial" w:hAnsi="Arial" w:cs="Arial"/>
                <w:b/>
                <w:sz w:val="18"/>
                <w:szCs w:val="18"/>
                <w:lang w:bidi="ar"/>
              </w:rPr>
              <w:t>金额（元）</w:t>
            </w:r>
          </w:p>
        </w:tc>
        <w:tc>
          <w:tcPr>
            <w:tcW w:w="1125" w:type="dxa"/>
            <w:vAlign w:val="center"/>
          </w:tcPr>
          <w:p>
            <w:pPr>
              <w:widowControl/>
              <w:jc w:val="center"/>
              <w:textAlignment w:val="center"/>
              <w:rPr>
                <w:rFonts w:ascii="Arial" w:hAnsi="Arial" w:cs="Arial"/>
                <w:b/>
                <w:sz w:val="18"/>
                <w:szCs w:val="18"/>
              </w:rPr>
            </w:pPr>
            <w:r>
              <w:rPr>
                <w:rFonts w:ascii="Arial" w:hAnsi="Arial" w:cs="Arial"/>
                <w:b/>
                <w:sz w:val="18"/>
                <w:szCs w:val="18"/>
                <w:lang w:bidi="ar"/>
              </w:rPr>
              <w:t>付款方</w:t>
            </w:r>
          </w:p>
        </w:tc>
        <w:tc>
          <w:tcPr>
            <w:tcW w:w="1650" w:type="dxa"/>
            <w:vAlign w:val="center"/>
          </w:tcPr>
          <w:p>
            <w:pPr>
              <w:widowControl/>
              <w:jc w:val="center"/>
              <w:textAlignment w:val="center"/>
              <w:rPr>
                <w:rFonts w:ascii="Arial" w:hAnsi="Arial" w:cs="Arial"/>
                <w:b/>
                <w:sz w:val="18"/>
                <w:szCs w:val="18"/>
                <w:lang w:bidi="ar"/>
              </w:rPr>
            </w:pPr>
            <w:r>
              <w:rPr>
                <w:rFonts w:hint="eastAsia" w:ascii="Arial" w:hAnsi="Arial" w:cs="Arial"/>
                <w:b/>
                <w:sz w:val="18"/>
                <w:szCs w:val="18"/>
                <w:lang w:bidi="ar"/>
              </w:rPr>
              <w:t>付款方账户</w:t>
            </w:r>
          </w:p>
        </w:tc>
        <w:tc>
          <w:tcPr>
            <w:tcW w:w="1290" w:type="dxa"/>
            <w:vAlign w:val="center"/>
          </w:tcPr>
          <w:p>
            <w:pPr>
              <w:widowControl/>
              <w:jc w:val="center"/>
              <w:textAlignment w:val="center"/>
              <w:rPr>
                <w:rFonts w:ascii="Arial" w:hAnsi="Arial" w:cs="Arial"/>
                <w:b/>
                <w:sz w:val="18"/>
                <w:szCs w:val="18"/>
                <w:lang w:bidi="ar"/>
              </w:rPr>
            </w:pPr>
            <w:r>
              <w:rPr>
                <w:rFonts w:hint="eastAsia" w:ascii="Arial" w:hAnsi="Arial" w:cs="Arial"/>
                <w:b/>
                <w:sz w:val="18"/>
                <w:szCs w:val="18"/>
                <w:lang w:bidi="ar"/>
              </w:rPr>
              <w:t>付款方账号</w:t>
            </w:r>
          </w:p>
        </w:tc>
        <w:tc>
          <w:tcPr>
            <w:tcW w:w="2294" w:type="dxa"/>
            <w:vAlign w:val="center"/>
          </w:tcPr>
          <w:p>
            <w:pPr>
              <w:widowControl/>
              <w:jc w:val="center"/>
              <w:textAlignment w:val="center"/>
              <w:rPr>
                <w:rFonts w:ascii="Arial" w:hAnsi="Arial" w:cs="Arial"/>
                <w:b/>
                <w:sz w:val="18"/>
                <w:szCs w:val="18"/>
              </w:rPr>
            </w:pPr>
            <w:r>
              <w:rPr>
                <w:rFonts w:ascii="Arial" w:hAnsi="Arial" w:cs="Arial"/>
                <w:b/>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669,940.00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500,000.00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刘伟丽</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2314505198003284035</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2021-2-04</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400,000.00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郭平</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2314505198003290856</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2021-2-04</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510,000.00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刘毅</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2314505198003286087</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390,000.00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个贷系统平账专户</w:t>
            </w:r>
          </w:p>
        </w:tc>
        <w:tc>
          <w:tcPr>
            <w:tcW w:w="165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建行四川省分行营运管理部核算中心</w:t>
            </w: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510001708156313110000000001</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418,500.00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500,000.00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个贷系统平账专户</w:t>
            </w:r>
          </w:p>
        </w:tc>
        <w:tc>
          <w:tcPr>
            <w:tcW w:w="165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建行四川省分行营运管理部核算中心</w:t>
            </w: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510001708156313110000000001</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2021-2-07</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630,000.00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个贷系统平账专户</w:t>
            </w:r>
          </w:p>
        </w:tc>
        <w:tc>
          <w:tcPr>
            <w:tcW w:w="165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建行四川省分行营运管理部核算中心</w:t>
            </w: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510001708156313110000000001</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69,880.00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2021-2-09</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379,960.00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1,235,400.00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320,000.00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韩立新</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2314505198003299125</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1,563,308.00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2021-2-18</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570,000.00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个贷系统平账专户</w:t>
            </w:r>
          </w:p>
        </w:tc>
        <w:tc>
          <w:tcPr>
            <w:tcW w:w="165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建行四川省分行营运管理部核算中心</w:t>
            </w: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510001708156313110000000001</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2021-2-19</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935,840.00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2021-2-20</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778,262.00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2021-2-21</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200,000.00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张健</w:t>
            </w:r>
          </w:p>
        </w:tc>
        <w:tc>
          <w:tcPr>
            <w:tcW w:w="165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中国工商银行总行清算中心</w:t>
            </w: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6200583202000444635</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2021-2-22</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1,827,377.00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2021-2-22</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10,000.00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陈跃蓉</w:t>
            </w:r>
          </w:p>
        </w:tc>
        <w:tc>
          <w:tcPr>
            <w:tcW w:w="165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中国农业银行资金清算中心</w:t>
            </w: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6228232465214409365</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414,343.00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530,000.00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李顺军</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2314505198003311748</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500,000.00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周川</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2314505198003313277</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2021-2-23</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500,000.00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郑芳才</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2314505198003314330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2021-2-24</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743,920.00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2021-2-24</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560,000.00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魏继林</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2314505198003314605</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336,369.00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2021-2-25</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460,000.00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曹旭</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2314505198003315356</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560,000.00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魏发红</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2314505198003316134</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宜宾骏继洪工商银行基本户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2314506209100058473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jc w:val="center"/>
        </w:trPr>
        <w:tc>
          <w:tcPr>
            <w:tcW w:w="869"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2021-2-26</w:t>
            </w:r>
          </w:p>
        </w:tc>
        <w:tc>
          <w:tcPr>
            <w:tcW w:w="91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房款汇入</w:t>
            </w:r>
          </w:p>
        </w:tc>
        <w:tc>
          <w:tcPr>
            <w:tcW w:w="1140" w:type="dxa"/>
            <w:vAlign w:val="center"/>
          </w:tcPr>
          <w:p>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 xml:space="preserve">1,465,783.00 </w:t>
            </w:r>
          </w:p>
        </w:tc>
        <w:tc>
          <w:tcPr>
            <w:tcW w:w="1125"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广州合利宝支付科技有限公司备付金</w:t>
            </w:r>
          </w:p>
        </w:tc>
        <w:tc>
          <w:tcPr>
            <w:tcW w:w="1650" w:type="dxa"/>
            <w:vAlign w:val="center"/>
          </w:tcPr>
          <w:p>
            <w:pPr>
              <w:widowControl/>
              <w:jc w:val="center"/>
              <w:textAlignment w:val="center"/>
              <w:rPr>
                <w:rFonts w:ascii="Arial" w:hAnsi="Arial" w:cs="Arial"/>
                <w:bCs/>
                <w:color w:val="000000"/>
                <w:sz w:val="18"/>
                <w:szCs w:val="18"/>
                <w:lang w:bidi="ar"/>
              </w:rPr>
            </w:pPr>
          </w:p>
        </w:tc>
        <w:tc>
          <w:tcPr>
            <w:tcW w:w="1290"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0000300000000240</w:t>
            </w:r>
          </w:p>
        </w:tc>
        <w:tc>
          <w:tcPr>
            <w:tcW w:w="2294" w:type="dxa"/>
            <w:vAlign w:val="center"/>
          </w:tcPr>
          <w:p>
            <w:pPr>
              <w:widowControl/>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宜宾骏继建设银行预售账户</w:t>
            </w:r>
            <w:r>
              <w:rPr>
                <w:rFonts w:hint="eastAsia" w:ascii="Arial" w:hAnsi="Arial" w:cs="Arial"/>
                <w:bCs/>
                <w:color w:val="000000"/>
                <w:sz w:val="18"/>
                <w:szCs w:val="18"/>
                <w:lang w:bidi="ar"/>
              </w:rPr>
              <w:br w:type="textWrapping"/>
            </w:r>
            <w:r>
              <w:rPr>
                <w:rFonts w:hint="eastAsia" w:ascii="Arial" w:hAnsi="Arial" w:cs="Arial"/>
                <w:bCs/>
                <w:color w:val="000000"/>
                <w:sz w:val="18"/>
                <w:szCs w:val="18"/>
                <w:lang w:bidi="ar"/>
              </w:rPr>
              <w:t>51050172610800000904</w:t>
            </w:r>
          </w:p>
        </w:tc>
      </w:tr>
    </w:tbl>
    <w:p>
      <w:pPr>
        <w:pStyle w:val="4"/>
        <w:spacing w:before="300" w:after="300" w:line="360" w:lineRule="exact"/>
        <w:rPr>
          <w:rFonts w:ascii="Arial" w:hAnsi="Arial" w:cs="Arial" w:eastAsiaTheme="majorEastAsia"/>
          <w:sz w:val="24"/>
        </w:rPr>
      </w:pPr>
      <w:r>
        <w:rPr>
          <w:rFonts w:ascii="Arial" w:hAnsi="Arial" w:cs="Arial" w:eastAsiaTheme="majorEastAsia"/>
          <w:sz w:val="24"/>
        </w:rPr>
        <w:t>7.2.2</w:t>
      </w:r>
      <w:r>
        <w:rPr>
          <w:rFonts w:hint="eastAsia" w:ascii="Arial" w:hAnsi="Arial" w:cs="Arial" w:eastAsiaTheme="majorEastAsia"/>
          <w:sz w:val="24"/>
        </w:rPr>
        <w:t>其他资金流入</w:t>
      </w:r>
    </w:p>
    <w:p>
      <w:pPr>
        <w:spacing w:line="480" w:lineRule="auto"/>
        <w:ind w:firstLine="420" w:firstLineChars="200"/>
        <w:rPr>
          <w:rFonts w:ascii="Arial" w:hAnsi="Arial" w:cs="Arial"/>
          <w:kern w:val="44"/>
          <w:szCs w:val="21"/>
        </w:rPr>
      </w:pPr>
      <w:r>
        <w:rPr>
          <w:rFonts w:hint="eastAsia" w:ascii="Arial" w:hAnsi="Arial" w:cs="Arial"/>
          <w:kern w:val="44"/>
          <w:szCs w:val="21"/>
        </w:rPr>
        <w:t>2021年02月03日至2021年02月2</w:t>
      </w:r>
      <w:r>
        <w:rPr>
          <w:rFonts w:hint="eastAsia" w:ascii="Arial" w:hAnsi="Arial" w:cs="Arial"/>
          <w:kern w:val="44"/>
          <w:szCs w:val="21"/>
          <w:lang w:val="en-US" w:eastAsia="zh-CN"/>
        </w:rPr>
        <w:t>8</w:t>
      </w:r>
      <w:r>
        <w:rPr>
          <w:rFonts w:hint="eastAsia" w:ascii="Arial" w:hAnsi="Arial" w:cs="Arial"/>
          <w:kern w:val="44"/>
          <w:szCs w:val="21"/>
        </w:rPr>
        <w:t>日期间，项目公司其他资金流入总额共计0元。</w:t>
      </w:r>
    </w:p>
    <w:p>
      <w:pPr>
        <w:rPr>
          <w:rFonts w:cs="Arial"/>
          <w:sz w:val="24"/>
        </w:rPr>
      </w:pPr>
      <w:bookmarkStart w:id="126" w:name="_Toc24436"/>
      <w:bookmarkStart w:id="127" w:name="_Toc535580100"/>
      <w:bookmarkStart w:id="128" w:name="_Toc12419"/>
      <w:bookmarkStart w:id="129" w:name="_Toc535580032"/>
      <w:bookmarkStart w:id="130" w:name="_Toc2387"/>
      <w:bookmarkStart w:id="131" w:name="_Toc5849"/>
      <w:bookmarkStart w:id="132" w:name="_Toc29212"/>
      <w:bookmarkStart w:id="133" w:name="_Toc28136"/>
      <w:bookmarkStart w:id="134" w:name="_Toc37668502"/>
      <w:bookmarkStart w:id="135" w:name="_Toc535508645"/>
      <w:bookmarkStart w:id="136" w:name="_Toc535570759"/>
      <w:r>
        <w:rPr>
          <w:rFonts w:cs="Arial"/>
          <w:sz w:val="24"/>
        </w:rPr>
        <w:br w:type="page"/>
      </w:r>
    </w:p>
    <w:p>
      <w:pPr>
        <w:pStyle w:val="3"/>
        <w:spacing w:before="300" w:after="300" w:line="360" w:lineRule="exact"/>
        <w:rPr>
          <w:sz w:val="24"/>
          <w:szCs w:val="24"/>
        </w:rPr>
      </w:pPr>
      <w:bookmarkStart w:id="137" w:name="_Toc5810"/>
      <w:r>
        <w:rPr>
          <w:rFonts w:cs="Arial"/>
          <w:sz w:val="24"/>
          <w:szCs w:val="24"/>
        </w:rPr>
        <w:t>7.3</w:t>
      </w:r>
      <w:r>
        <w:rPr>
          <w:rFonts w:hint="eastAsia" w:asciiTheme="majorEastAsia" w:hAnsiTheme="majorEastAsia" w:eastAsiaTheme="majorEastAsia" w:cstheme="majorEastAsia"/>
          <w:sz w:val="24"/>
          <w:szCs w:val="24"/>
        </w:rPr>
        <w:t>资金结算</w:t>
      </w:r>
      <w:bookmarkEnd w:id="126"/>
      <w:bookmarkEnd w:id="127"/>
      <w:bookmarkEnd w:id="128"/>
      <w:bookmarkEnd w:id="129"/>
      <w:bookmarkEnd w:id="130"/>
      <w:bookmarkEnd w:id="131"/>
      <w:bookmarkEnd w:id="132"/>
      <w:bookmarkEnd w:id="133"/>
      <w:bookmarkEnd w:id="134"/>
      <w:bookmarkEnd w:id="135"/>
      <w:bookmarkEnd w:id="136"/>
      <w:bookmarkEnd w:id="137"/>
    </w:p>
    <w:p>
      <w:pPr>
        <w:pStyle w:val="4"/>
        <w:spacing w:before="300" w:after="300" w:line="360" w:lineRule="exact"/>
        <w:rPr>
          <w:rFonts w:asciiTheme="majorEastAsia" w:hAnsiTheme="majorEastAsia" w:eastAsiaTheme="majorEastAsia" w:cstheme="majorEastAsia"/>
          <w:sz w:val="24"/>
        </w:rPr>
      </w:pPr>
      <w:r>
        <w:rPr>
          <w:rFonts w:ascii="Arial" w:hAnsi="Arial" w:cs="Arial" w:eastAsiaTheme="majorEastAsia"/>
          <w:sz w:val="24"/>
        </w:rPr>
        <w:t>7.3.1</w:t>
      </w:r>
      <w:r>
        <w:rPr>
          <w:rFonts w:hint="eastAsia" w:asciiTheme="majorEastAsia" w:hAnsiTheme="majorEastAsia" w:eastAsiaTheme="majorEastAsia" w:cstheme="majorEastAsia"/>
          <w:sz w:val="24"/>
        </w:rPr>
        <w:t>各账户余额</w:t>
      </w:r>
    </w:p>
    <w:p>
      <w:pPr>
        <w:spacing w:line="480" w:lineRule="auto"/>
        <w:ind w:firstLine="420" w:firstLineChars="200"/>
        <w:rPr>
          <w:rFonts w:ascii="Arial" w:hAnsi="Arial" w:cs="Arial"/>
          <w:kern w:val="44"/>
          <w:szCs w:val="21"/>
        </w:rPr>
      </w:pPr>
      <w:r>
        <w:rPr>
          <w:rFonts w:hint="eastAsia" w:ascii="Arial" w:hAnsi="Arial" w:cs="Arial"/>
          <w:kern w:val="44"/>
          <w:szCs w:val="21"/>
        </w:rPr>
        <w:t>截至2021年02月28日，项目公司和SPV公司各资金账户余额总计123,662,308.75元，各账户余额见下表。</w:t>
      </w:r>
    </w:p>
    <w:p>
      <w:pPr>
        <w:spacing w:before="315" w:beforeLines="100"/>
        <w:jc w:val="center"/>
        <w:rPr>
          <w:rFonts w:ascii="Arial" w:hAnsi="Arial" w:cs="Arial" w:eastAsiaTheme="minorEastAsia"/>
          <w:b/>
          <w:bCs/>
          <w:sz w:val="24"/>
        </w:rPr>
      </w:pPr>
      <w:r>
        <w:rPr>
          <w:rFonts w:hint="eastAsia" w:ascii="Arial" w:hAnsi="Arial" w:cs="Arial" w:eastAsiaTheme="minorEastAsia"/>
          <w:b/>
          <w:bCs/>
          <w:sz w:val="24"/>
        </w:rPr>
        <w:t>截至2021年02月28日各银行账户余额表</w:t>
      </w:r>
    </w:p>
    <w:tbl>
      <w:tblPr>
        <w:tblStyle w:val="13"/>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441"/>
        <w:gridCol w:w="1752"/>
        <w:gridCol w:w="2352"/>
        <w:gridCol w:w="1368"/>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441" w:type="dxa"/>
            <w:vAlign w:val="center"/>
          </w:tcPr>
          <w:p>
            <w:pPr>
              <w:widowControl/>
              <w:jc w:val="center"/>
              <w:rPr>
                <w:rFonts w:ascii="Arial" w:hAnsi="Arial" w:cs="Arial"/>
                <w:b/>
                <w:sz w:val="18"/>
                <w:szCs w:val="18"/>
              </w:rPr>
            </w:pPr>
            <w:bookmarkStart w:id="138" w:name="_Toc20834"/>
            <w:bookmarkStart w:id="139" w:name="_Toc22309"/>
            <w:bookmarkStart w:id="140" w:name="_Toc31348"/>
            <w:bookmarkStart w:id="141" w:name="_Toc15740"/>
            <w:bookmarkStart w:id="142" w:name="_Toc19767"/>
            <w:r>
              <w:rPr>
                <w:rFonts w:ascii="Arial" w:hAnsi="Arial" w:cs="Arial"/>
                <w:b/>
                <w:sz w:val="18"/>
                <w:szCs w:val="18"/>
              </w:rPr>
              <w:t>公司名称</w:t>
            </w:r>
          </w:p>
        </w:tc>
        <w:tc>
          <w:tcPr>
            <w:tcW w:w="1752" w:type="dxa"/>
            <w:vAlign w:val="center"/>
          </w:tcPr>
          <w:p>
            <w:pPr>
              <w:widowControl/>
              <w:jc w:val="center"/>
              <w:rPr>
                <w:rFonts w:ascii="Arial" w:hAnsi="Arial" w:cs="Arial"/>
                <w:b/>
                <w:sz w:val="18"/>
                <w:szCs w:val="18"/>
              </w:rPr>
            </w:pPr>
            <w:r>
              <w:rPr>
                <w:rFonts w:ascii="Arial" w:hAnsi="Arial" w:cs="Arial"/>
                <w:b/>
                <w:sz w:val="18"/>
                <w:szCs w:val="18"/>
              </w:rPr>
              <w:t>开户银行名称</w:t>
            </w:r>
          </w:p>
        </w:tc>
        <w:tc>
          <w:tcPr>
            <w:tcW w:w="2352" w:type="dxa"/>
            <w:vAlign w:val="center"/>
          </w:tcPr>
          <w:p>
            <w:pPr>
              <w:widowControl/>
              <w:jc w:val="center"/>
              <w:rPr>
                <w:rFonts w:ascii="Arial" w:hAnsi="Arial" w:cs="Arial"/>
                <w:b/>
                <w:sz w:val="18"/>
                <w:szCs w:val="18"/>
              </w:rPr>
            </w:pPr>
            <w:r>
              <w:rPr>
                <w:rFonts w:ascii="Arial" w:hAnsi="Arial" w:cs="Arial"/>
                <w:b/>
                <w:sz w:val="18"/>
                <w:szCs w:val="18"/>
              </w:rPr>
              <w:t>账号</w:t>
            </w:r>
          </w:p>
        </w:tc>
        <w:tc>
          <w:tcPr>
            <w:tcW w:w="1368" w:type="dxa"/>
            <w:vAlign w:val="center"/>
          </w:tcPr>
          <w:p>
            <w:pPr>
              <w:widowControl/>
              <w:jc w:val="center"/>
              <w:rPr>
                <w:rFonts w:ascii="Arial" w:hAnsi="Arial" w:cs="Arial"/>
                <w:b/>
                <w:sz w:val="18"/>
                <w:szCs w:val="18"/>
              </w:rPr>
            </w:pPr>
            <w:r>
              <w:rPr>
                <w:rFonts w:ascii="Arial" w:hAnsi="Arial" w:cs="Arial"/>
                <w:b/>
                <w:sz w:val="18"/>
                <w:szCs w:val="18"/>
              </w:rPr>
              <w:t>账户性质</w:t>
            </w:r>
          </w:p>
        </w:tc>
        <w:tc>
          <w:tcPr>
            <w:tcW w:w="2032" w:type="dxa"/>
            <w:vAlign w:val="center"/>
          </w:tcPr>
          <w:p>
            <w:pPr>
              <w:widowControl/>
              <w:jc w:val="center"/>
              <w:textAlignment w:val="center"/>
              <w:rPr>
                <w:rFonts w:ascii="Arial" w:hAnsi="Arial" w:cs="Arial"/>
                <w:b/>
                <w:sz w:val="18"/>
                <w:szCs w:val="18"/>
                <w:lang w:bidi="ar"/>
              </w:rPr>
            </w:pPr>
            <w:r>
              <w:rPr>
                <w:rFonts w:ascii="Arial" w:hAnsi="Arial" w:cs="Arial"/>
                <w:b/>
                <w:sz w:val="18"/>
                <w:szCs w:val="18"/>
              </w:rPr>
              <w:t>账户余额(元)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restart"/>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宜宾骏继洪骥置业有限责任公司</w:t>
            </w:r>
          </w:p>
        </w:tc>
        <w:tc>
          <w:tcPr>
            <w:tcW w:w="17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中国工商银行</w:t>
            </w:r>
          </w:p>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宜宾翠柏大道支行</w:t>
            </w:r>
          </w:p>
        </w:tc>
        <w:tc>
          <w:tcPr>
            <w:tcW w:w="23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2314506209100058473</w:t>
            </w:r>
          </w:p>
        </w:tc>
        <w:tc>
          <w:tcPr>
            <w:tcW w:w="136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基本户</w:t>
            </w:r>
          </w:p>
        </w:tc>
        <w:tc>
          <w:tcPr>
            <w:tcW w:w="2032" w:type="dxa"/>
            <w:vAlign w:val="center"/>
          </w:tcPr>
          <w:p>
            <w:pPr>
              <w:widowControl/>
              <w:jc w:val="right"/>
              <w:textAlignment w:val="center"/>
              <w:rPr>
                <w:rFonts w:ascii="Arial" w:hAnsi="Arial" w:cs="Arial"/>
                <w:color w:val="000000"/>
                <w:sz w:val="18"/>
                <w:szCs w:val="18"/>
                <w:lang w:bidi="ar"/>
              </w:rPr>
            </w:pPr>
            <w:r>
              <w:rPr>
                <w:rFonts w:hint="eastAsia" w:ascii="Arial" w:hAnsi="Arial" w:cs="Arial"/>
                <w:color w:val="000000"/>
                <w:sz w:val="18"/>
                <w:szCs w:val="18"/>
                <w:lang w:bidi="ar"/>
              </w:rPr>
              <w:t>5,947,145.61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vAlign w:val="center"/>
          </w:tcPr>
          <w:p>
            <w:pPr>
              <w:widowControl/>
              <w:jc w:val="center"/>
              <w:textAlignment w:val="center"/>
              <w:rPr>
                <w:rFonts w:ascii="Arial" w:hAnsi="Arial" w:cs="Arial"/>
                <w:color w:val="000000"/>
                <w:sz w:val="18"/>
                <w:szCs w:val="18"/>
                <w:lang w:bidi="ar"/>
              </w:rPr>
            </w:pPr>
          </w:p>
        </w:tc>
        <w:tc>
          <w:tcPr>
            <w:tcW w:w="17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中国建设银行</w:t>
            </w:r>
          </w:p>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宜宾翠屏支行</w:t>
            </w:r>
          </w:p>
        </w:tc>
        <w:tc>
          <w:tcPr>
            <w:tcW w:w="23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51050172610800000904</w:t>
            </w:r>
          </w:p>
        </w:tc>
        <w:tc>
          <w:tcPr>
            <w:tcW w:w="136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预售资金</w:t>
            </w:r>
          </w:p>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监管账户</w:t>
            </w:r>
          </w:p>
        </w:tc>
        <w:tc>
          <w:tcPr>
            <w:tcW w:w="2032" w:type="dxa"/>
            <w:vAlign w:val="center"/>
          </w:tcPr>
          <w:p>
            <w:pPr>
              <w:widowControl/>
              <w:jc w:val="right"/>
              <w:textAlignment w:val="center"/>
              <w:rPr>
                <w:rFonts w:ascii="Arial" w:hAnsi="Arial" w:cs="Arial"/>
                <w:color w:val="000000"/>
                <w:sz w:val="18"/>
                <w:szCs w:val="18"/>
                <w:lang w:bidi="ar"/>
              </w:rPr>
            </w:pPr>
            <w:r>
              <w:rPr>
                <w:rFonts w:hint="eastAsia" w:ascii="Arial" w:hAnsi="Arial" w:cs="Arial"/>
                <w:color w:val="000000"/>
                <w:sz w:val="18"/>
                <w:szCs w:val="18"/>
                <w:lang w:bidi="ar"/>
              </w:rPr>
              <w:t>84,720,865.55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vAlign w:val="center"/>
          </w:tcPr>
          <w:p>
            <w:pPr>
              <w:widowControl/>
              <w:jc w:val="center"/>
              <w:textAlignment w:val="center"/>
              <w:rPr>
                <w:rFonts w:ascii="Arial" w:hAnsi="Arial" w:cs="Arial"/>
                <w:color w:val="000000"/>
                <w:sz w:val="18"/>
                <w:szCs w:val="18"/>
                <w:lang w:bidi="ar"/>
              </w:rPr>
            </w:pPr>
          </w:p>
        </w:tc>
        <w:tc>
          <w:tcPr>
            <w:tcW w:w="17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中国农业银行</w:t>
            </w:r>
          </w:p>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宜宾翠屏支行</w:t>
            </w:r>
          </w:p>
        </w:tc>
        <w:tc>
          <w:tcPr>
            <w:tcW w:w="23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22470201040022852</w:t>
            </w:r>
          </w:p>
        </w:tc>
        <w:tc>
          <w:tcPr>
            <w:tcW w:w="136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一般户</w:t>
            </w:r>
          </w:p>
        </w:tc>
        <w:tc>
          <w:tcPr>
            <w:tcW w:w="2032" w:type="dxa"/>
            <w:vAlign w:val="center"/>
          </w:tcPr>
          <w:p>
            <w:pPr>
              <w:widowControl/>
              <w:jc w:val="right"/>
              <w:textAlignment w:val="center"/>
              <w:rPr>
                <w:rFonts w:ascii="Arial" w:hAnsi="Arial" w:cs="Arial"/>
                <w:color w:val="000000"/>
                <w:sz w:val="18"/>
                <w:szCs w:val="18"/>
                <w:lang w:bidi="ar"/>
              </w:rPr>
            </w:pPr>
            <w:r>
              <w:rPr>
                <w:rFonts w:hint="eastAsia" w:ascii="Arial" w:hAnsi="Arial" w:cs="Arial"/>
                <w:color w:val="000000"/>
                <w:sz w:val="18"/>
                <w:szCs w:val="18"/>
                <w:lang w:bidi="ar"/>
              </w:rPr>
              <w:t>5,530,040.68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vAlign w:val="center"/>
          </w:tcPr>
          <w:p>
            <w:pPr>
              <w:widowControl/>
              <w:jc w:val="center"/>
              <w:textAlignment w:val="center"/>
              <w:rPr>
                <w:rFonts w:ascii="Arial" w:hAnsi="Arial" w:cs="Arial"/>
                <w:color w:val="000000"/>
                <w:sz w:val="18"/>
                <w:szCs w:val="18"/>
                <w:lang w:bidi="ar"/>
              </w:rPr>
            </w:pPr>
          </w:p>
        </w:tc>
        <w:tc>
          <w:tcPr>
            <w:tcW w:w="17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中国建设银行</w:t>
            </w:r>
          </w:p>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宜宾翠屏支行</w:t>
            </w:r>
          </w:p>
        </w:tc>
        <w:tc>
          <w:tcPr>
            <w:tcW w:w="23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51050172610800000895</w:t>
            </w:r>
          </w:p>
        </w:tc>
        <w:tc>
          <w:tcPr>
            <w:tcW w:w="136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一般户</w:t>
            </w:r>
          </w:p>
        </w:tc>
        <w:tc>
          <w:tcPr>
            <w:tcW w:w="2032" w:type="dxa"/>
            <w:vAlign w:val="center"/>
          </w:tcPr>
          <w:p>
            <w:pPr>
              <w:widowControl/>
              <w:jc w:val="right"/>
              <w:textAlignment w:val="center"/>
              <w:rPr>
                <w:rFonts w:ascii="Arial" w:hAnsi="Arial" w:cs="Arial"/>
                <w:color w:val="000000"/>
                <w:sz w:val="18"/>
                <w:szCs w:val="18"/>
                <w:lang w:bidi="ar"/>
              </w:rPr>
            </w:pPr>
            <w:r>
              <w:rPr>
                <w:rFonts w:hint="eastAsia" w:ascii="Arial" w:hAnsi="Arial" w:cs="Arial"/>
                <w:color w:val="000000"/>
                <w:sz w:val="18"/>
                <w:szCs w:val="18"/>
                <w:lang w:bidi="ar"/>
              </w:rPr>
              <w:t>23,930,524.97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vAlign w:val="center"/>
          </w:tcPr>
          <w:p>
            <w:pPr>
              <w:widowControl/>
              <w:jc w:val="center"/>
              <w:textAlignment w:val="center"/>
              <w:rPr>
                <w:rFonts w:ascii="Arial" w:hAnsi="Arial" w:cs="Arial"/>
                <w:color w:val="000000"/>
                <w:sz w:val="18"/>
                <w:szCs w:val="18"/>
                <w:lang w:bidi="ar"/>
              </w:rPr>
            </w:pPr>
          </w:p>
        </w:tc>
        <w:tc>
          <w:tcPr>
            <w:tcW w:w="17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中国银行宜</w:t>
            </w:r>
          </w:p>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宾翠柏支行</w:t>
            </w:r>
          </w:p>
        </w:tc>
        <w:tc>
          <w:tcPr>
            <w:tcW w:w="23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115868581512</w:t>
            </w:r>
          </w:p>
        </w:tc>
        <w:tc>
          <w:tcPr>
            <w:tcW w:w="136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一般户</w:t>
            </w:r>
          </w:p>
        </w:tc>
        <w:tc>
          <w:tcPr>
            <w:tcW w:w="2032" w:type="dxa"/>
            <w:vAlign w:val="center"/>
          </w:tcPr>
          <w:p>
            <w:pPr>
              <w:widowControl/>
              <w:jc w:val="right"/>
              <w:textAlignment w:val="center"/>
              <w:rPr>
                <w:rFonts w:ascii="Arial" w:hAnsi="Arial" w:cs="Arial"/>
                <w:color w:val="000000"/>
                <w:sz w:val="18"/>
                <w:szCs w:val="18"/>
                <w:lang w:bidi="ar"/>
              </w:rPr>
            </w:pPr>
            <w:r>
              <w:rPr>
                <w:rFonts w:hint="eastAsia" w:ascii="Arial" w:hAnsi="Arial" w:cs="Arial"/>
                <w:color w:val="000000"/>
                <w:sz w:val="18"/>
                <w:szCs w:val="18"/>
                <w:lang w:bidi="ar"/>
              </w:rPr>
              <w:t>2,778.00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vAlign w:val="center"/>
          </w:tcPr>
          <w:p>
            <w:pPr>
              <w:widowControl/>
              <w:jc w:val="center"/>
              <w:textAlignment w:val="center"/>
              <w:rPr>
                <w:rFonts w:ascii="Arial" w:hAnsi="Arial" w:cs="Arial"/>
                <w:color w:val="000000"/>
                <w:sz w:val="18"/>
                <w:szCs w:val="18"/>
                <w:lang w:bidi="ar"/>
              </w:rPr>
            </w:pPr>
          </w:p>
        </w:tc>
        <w:tc>
          <w:tcPr>
            <w:tcW w:w="17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中信银行</w:t>
            </w:r>
          </w:p>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宜宾分行营业部</w:t>
            </w:r>
          </w:p>
        </w:tc>
        <w:tc>
          <w:tcPr>
            <w:tcW w:w="23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8111001012900684397</w:t>
            </w:r>
          </w:p>
        </w:tc>
        <w:tc>
          <w:tcPr>
            <w:tcW w:w="136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一般户</w:t>
            </w:r>
          </w:p>
        </w:tc>
        <w:tc>
          <w:tcPr>
            <w:tcW w:w="2032" w:type="dxa"/>
            <w:vAlign w:val="center"/>
          </w:tcPr>
          <w:p>
            <w:pPr>
              <w:widowControl/>
              <w:jc w:val="right"/>
              <w:textAlignment w:val="center"/>
              <w:rPr>
                <w:rFonts w:ascii="Arial" w:hAnsi="Arial" w:cs="Arial"/>
                <w:color w:val="000000"/>
                <w:sz w:val="18"/>
                <w:szCs w:val="18"/>
                <w:lang w:bidi="ar"/>
              </w:rPr>
            </w:pPr>
            <w:r>
              <w:rPr>
                <w:rFonts w:hint="eastAsia" w:ascii="Arial" w:hAnsi="Arial" w:cs="Arial"/>
                <w:color w:val="000000"/>
                <w:sz w:val="18"/>
                <w:szCs w:val="18"/>
                <w:lang w:bidi="ar"/>
              </w:rPr>
              <w:t>3,519,910.60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vAlign w:val="center"/>
          </w:tcPr>
          <w:p>
            <w:pPr>
              <w:widowControl/>
              <w:jc w:val="center"/>
              <w:textAlignment w:val="center"/>
              <w:rPr>
                <w:rFonts w:ascii="Arial" w:hAnsi="Arial" w:cs="Arial"/>
                <w:color w:val="000000"/>
                <w:sz w:val="18"/>
                <w:szCs w:val="18"/>
                <w:lang w:bidi="ar"/>
              </w:rPr>
            </w:pPr>
          </w:p>
        </w:tc>
        <w:tc>
          <w:tcPr>
            <w:tcW w:w="17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中国民生银行</w:t>
            </w:r>
          </w:p>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宜宾分行营业部</w:t>
            </w:r>
          </w:p>
        </w:tc>
        <w:tc>
          <w:tcPr>
            <w:tcW w:w="23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632327658</w:t>
            </w:r>
          </w:p>
        </w:tc>
        <w:tc>
          <w:tcPr>
            <w:tcW w:w="136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一般户</w:t>
            </w:r>
          </w:p>
        </w:tc>
        <w:tc>
          <w:tcPr>
            <w:tcW w:w="2032" w:type="dxa"/>
            <w:vAlign w:val="center"/>
          </w:tcPr>
          <w:p>
            <w:pPr>
              <w:widowControl/>
              <w:jc w:val="right"/>
              <w:textAlignment w:val="center"/>
              <w:rPr>
                <w:rFonts w:ascii="Arial" w:hAnsi="Arial" w:cs="Arial"/>
                <w:color w:val="000000"/>
                <w:sz w:val="18"/>
                <w:szCs w:val="18"/>
                <w:lang w:bidi="ar"/>
              </w:rPr>
            </w:pPr>
            <w:r>
              <w:rPr>
                <w:rFonts w:hint="eastAsia" w:ascii="Arial" w:hAnsi="Arial" w:cs="Arial"/>
                <w:color w:val="000000"/>
                <w:sz w:val="18"/>
                <w:szCs w:val="18"/>
                <w:lang w:bidi="ar"/>
              </w:rPr>
              <w:t>2,800.00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Merge w:val="continue"/>
            <w:vAlign w:val="center"/>
          </w:tcPr>
          <w:p>
            <w:pPr>
              <w:widowControl/>
              <w:jc w:val="center"/>
              <w:textAlignment w:val="center"/>
              <w:rPr>
                <w:rFonts w:ascii="Arial" w:hAnsi="Arial" w:cs="Arial"/>
                <w:color w:val="000000"/>
                <w:sz w:val="18"/>
                <w:szCs w:val="18"/>
                <w:lang w:bidi="ar"/>
              </w:rPr>
            </w:pPr>
          </w:p>
        </w:tc>
        <w:tc>
          <w:tcPr>
            <w:tcW w:w="17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招商银行泸州分行</w:t>
            </w:r>
          </w:p>
        </w:tc>
        <w:tc>
          <w:tcPr>
            <w:tcW w:w="23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830900346010301</w:t>
            </w:r>
          </w:p>
        </w:tc>
        <w:tc>
          <w:tcPr>
            <w:tcW w:w="136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一般户</w:t>
            </w:r>
          </w:p>
        </w:tc>
        <w:tc>
          <w:tcPr>
            <w:tcW w:w="2032" w:type="dxa"/>
            <w:vAlign w:val="center"/>
          </w:tcPr>
          <w:p>
            <w:pPr>
              <w:widowControl/>
              <w:jc w:val="right"/>
              <w:textAlignment w:val="center"/>
              <w:rPr>
                <w:rFonts w:ascii="Arial" w:hAnsi="Arial" w:cs="Arial"/>
                <w:color w:val="000000"/>
                <w:sz w:val="18"/>
                <w:szCs w:val="18"/>
                <w:lang w:bidi="ar"/>
              </w:rPr>
            </w:pPr>
            <w:r>
              <w:rPr>
                <w:rFonts w:hint="eastAsia" w:ascii="Arial" w:hAnsi="Arial" w:cs="Arial"/>
                <w:color w:val="000000"/>
                <w:sz w:val="18"/>
                <w:szCs w:val="18"/>
                <w:lang w:bidi="ar"/>
              </w:rPr>
              <w:t>895.00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441"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成都信茂涵置业有限公司</w:t>
            </w:r>
          </w:p>
        </w:tc>
        <w:tc>
          <w:tcPr>
            <w:tcW w:w="17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中国银行</w:t>
            </w:r>
          </w:p>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成都科华街支行</w:t>
            </w:r>
          </w:p>
        </w:tc>
        <w:tc>
          <w:tcPr>
            <w:tcW w:w="2352"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130711887990</w:t>
            </w:r>
          </w:p>
        </w:tc>
        <w:tc>
          <w:tcPr>
            <w:tcW w:w="1368" w:type="dxa"/>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基本户</w:t>
            </w:r>
          </w:p>
        </w:tc>
        <w:tc>
          <w:tcPr>
            <w:tcW w:w="2032" w:type="dxa"/>
            <w:vAlign w:val="center"/>
          </w:tcPr>
          <w:p>
            <w:pPr>
              <w:widowControl/>
              <w:jc w:val="right"/>
              <w:textAlignment w:val="center"/>
              <w:rPr>
                <w:rFonts w:ascii="Arial" w:hAnsi="Arial" w:cs="Arial"/>
                <w:color w:val="000000"/>
                <w:sz w:val="18"/>
                <w:szCs w:val="18"/>
                <w:lang w:bidi="ar"/>
              </w:rPr>
            </w:pPr>
            <w:r>
              <w:rPr>
                <w:rFonts w:hint="eastAsia" w:ascii="Arial" w:hAnsi="Arial" w:cs="Arial"/>
                <w:color w:val="000000"/>
                <w:sz w:val="18"/>
                <w:szCs w:val="18"/>
                <w:lang w:bidi="ar"/>
              </w:rPr>
              <w:t>7,348.34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913" w:type="dxa"/>
            <w:gridSpan w:val="4"/>
            <w:vAlign w:val="center"/>
          </w:tcPr>
          <w:p>
            <w:pPr>
              <w:widowControl/>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合计</w:t>
            </w:r>
          </w:p>
        </w:tc>
        <w:tc>
          <w:tcPr>
            <w:tcW w:w="2032" w:type="dxa"/>
            <w:vAlign w:val="center"/>
          </w:tcPr>
          <w:p>
            <w:pPr>
              <w:widowControl/>
              <w:jc w:val="right"/>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123,662,308.75</w:t>
            </w:r>
          </w:p>
        </w:tc>
      </w:tr>
    </w:tbl>
    <w:p>
      <w:pPr>
        <w:pStyle w:val="3"/>
        <w:spacing w:before="300" w:after="300" w:line="360" w:lineRule="exact"/>
        <w:jc w:val="left"/>
        <w:rPr>
          <w:rFonts w:asciiTheme="majorEastAsia" w:hAnsiTheme="majorEastAsia" w:eastAsiaTheme="majorEastAsia" w:cstheme="majorEastAsia"/>
          <w:sz w:val="24"/>
          <w:szCs w:val="24"/>
        </w:rPr>
      </w:pPr>
      <w:bookmarkStart w:id="143" w:name="_Toc15579"/>
      <w:r>
        <w:rPr>
          <w:rFonts w:cs="Arial"/>
          <w:sz w:val="24"/>
          <w:szCs w:val="24"/>
        </w:rPr>
        <w:t>7.4</w:t>
      </w:r>
      <w:r>
        <w:rPr>
          <w:rFonts w:hint="eastAsia" w:asciiTheme="majorEastAsia" w:hAnsiTheme="majorEastAsia" w:eastAsiaTheme="majorEastAsia" w:cstheme="majorEastAsia"/>
          <w:sz w:val="24"/>
          <w:szCs w:val="24"/>
        </w:rPr>
        <w:t>负债情况</w:t>
      </w:r>
      <w:bookmarkEnd w:id="138"/>
      <w:bookmarkEnd w:id="139"/>
      <w:bookmarkEnd w:id="140"/>
      <w:bookmarkEnd w:id="141"/>
      <w:bookmarkEnd w:id="142"/>
      <w:bookmarkEnd w:id="143"/>
    </w:p>
    <w:p>
      <w:pPr>
        <w:spacing w:line="480" w:lineRule="auto"/>
        <w:ind w:firstLine="420" w:firstLineChars="200"/>
        <w:rPr>
          <w:rFonts w:ascii="Arial" w:hAnsi="Arial" w:cs="Arial"/>
          <w:kern w:val="44"/>
          <w:szCs w:val="21"/>
        </w:rPr>
      </w:pPr>
      <w:bookmarkStart w:id="144" w:name="_Toc32144"/>
      <w:bookmarkStart w:id="145" w:name="_Toc16896"/>
      <w:bookmarkStart w:id="146" w:name="_Toc27270"/>
      <w:bookmarkStart w:id="147" w:name="_Toc7945"/>
      <w:bookmarkStart w:id="148" w:name="_Toc30561"/>
      <w:bookmarkStart w:id="149" w:name="_Toc532281664"/>
      <w:bookmarkStart w:id="150" w:name="_Toc535580033"/>
      <w:bookmarkStart w:id="151" w:name="_Toc535580101"/>
      <w:bookmarkStart w:id="152" w:name="_Toc37668503"/>
      <w:bookmarkStart w:id="153" w:name="_Toc32370"/>
      <w:bookmarkStart w:id="154" w:name="_Toc535570760"/>
      <w:bookmarkStart w:id="155" w:name="_Toc535508646"/>
      <w:r>
        <w:rPr>
          <w:rFonts w:hint="eastAsia" w:ascii="Arial" w:hAnsi="Arial" w:cs="Arial"/>
          <w:kern w:val="44"/>
          <w:szCs w:val="21"/>
        </w:rPr>
        <w:t>2021年02月03日至2021年02月2</w:t>
      </w:r>
      <w:r>
        <w:rPr>
          <w:rFonts w:hint="eastAsia" w:ascii="Arial" w:hAnsi="Arial" w:cs="Arial"/>
          <w:kern w:val="44"/>
          <w:szCs w:val="21"/>
          <w:lang w:val="en-US" w:eastAsia="zh-CN"/>
        </w:rPr>
        <w:t>8</w:t>
      </w:r>
      <w:r>
        <w:rPr>
          <w:rFonts w:hint="eastAsia" w:ascii="Arial" w:hAnsi="Arial" w:cs="Arial"/>
          <w:kern w:val="44"/>
          <w:szCs w:val="21"/>
        </w:rPr>
        <w:t>日期间，项目公司共发生4笔商业承兑汇票，共计1,547,156.25元。因为项目公司没有移交最后一道复核盾，现场监管人员陈文丽使用复核盾复核的商票为支付给北京鱼禾光环境设计有限公司的80,000.00元，其他三笔商票均是项目公司直接通过最后一道复核盾支付出去的。</w:t>
      </w:r>
      <w:r>
        <w:rPr>
          <w:rFonts w:hint="eastAsia" w:ascii="Arial" w:hAnsi="Arial" w:cs="Arial"/>
          <w:kern w:val="44"/>
        </w:rPr>
        <w:t>已将情况及时汇报给中航信托，</w:t>
      </w:r>
      <w:r>
        <w:rPr>
          <w:rFonts w:hint="eastAsia" w:ascii="Arial" w:hAnsi="Arial" w:cs="Arial"/>
          <w:kern w:val="44"/>
          <w:szCs w:val="21"/>
        </w:rPr>
        <w:t>详见下表：</w:t>
      </w:r>
    </w:p>
    <w:p>
      <w:pPr>
        <w:spacing w:line="480" w:lineRule="auto"/>
        <w:ind w:firstLine="420" w:firstLineChars="200"/>
        <w:rPr>
          <w:rFonts w:ascii="Arial" w:hAnsi="Arial" w:cs="Arial"/>
          <w:kern w:val="44"/>
          <w:szCs w:val="21"/>
        </w:rPr>
        <w:sectPr>
          <w:pgSz w:w="11906" w:h="16838"/>
          <w:pgMar w:top="1843" w:right="1134" w:bottom="1134" w:left="1134" w:header="851" w:footer="992" w:gutter="340"/>
          <w:cols w:space="0" w:num="1"/>
          <w:docGrid w:type="lines" w:linePitch="315" w:charSpace="0"/>
        </w:sectPr>
      </w:pPr>
    </w:p>
    <w:p>
      <w:pPr>
        <w:spacing w:before="315" w:beforeLines="100"/>
        <w:jc w:val="center"/>
        <w:rPr>
          <w:rFonts w:ascii="Arial" w:hAnsi="Arial" w:cs="Arial" w:eastAsiaTheme="minorEastAsia"/>
          <w:b/>
          <w:bCs/>
          <w:sz w:val="24"/>
        </w:rPr>
      </w:pPr>
      <w:r>
        <w:rPr>
          <w:rFonts w:hint="eastAsia" w:ascii="Arial" w:hAnsi="Arial" w:cs="Arial" w:eastAsiaTheme="minorEastAsia"/>
          <w:b/>
          <w:bCs/>
          <w:sz w:val="24"/>
        </w:rPr>
        <w:t xml:space="preserve">2021年02月03日至2021年02月28日期间应付账款情况表  </w:t>
      </w:r>
      <w:r>
        <w:rPr>
          <w:rFonts w:ascii="Arial" w:hAnsi="Arial" w:cs="Arial" w:eastAsiaTheme="minorEastAsia"/>
          <w:b/>
          <w:bCs/>
          <w:sz w:val="24"/>
        </w:rPr>
        <w:t xml:space="preserve"> 单位：元</w:t>
      </w:r>
    </w:p>
    <w:tbl>
      <w:tblPr>
        <w:tblStyle w:val="13"/>
        <w:tblW w:w="9097" w:type="dxa"/>
        <w:jc w:val="center"/>
        <w:tblLayout w:type="fixed"/>
        <w:tblCellMar>
          <w:top w:w="0" w:type="dxa"/>
          <w:left w:w="0" w:type="dxa"/>
          <w:bottom w:w="0" w:type="dxa"/>
          <w:right w:w="0" w:type="dxa"/>
        </w:tblCellMar>
      </w:tblPr>
      <w:tblGrid>
        <w:gridCol w:w="622"/>
        <w:gridCol w:w="941"/>
        <w:gridCol w:w="3125"/>
        <w:gridCol w:w="1303"/>
        <w:gridCol w:w="1558"/>
        <w:gridCol w:w="1548"/>
      </w:tblGrid>
      <w:tr>
        <w:tblPrEx>
          <w:tblCellMar>
            <w:top w:w="0" w:type="dxa"/>
            <w:left w:w="0" w:type="dxa"/>
            <w:bottom w:w="0" w:type="dxa"/>
            <w:right w:w="0" w:type="dxa"/>
          </w:tblCellMar>
        </w:tblPrEx>
        <w:trPr>
          <w:trHeight w:val="227" w:hRule="atLeast"/>
          <w:tblHeader/>
          <w:jc w:val="center"/>
        </w:trPr>
        <w:tc>
          <w:tcPr>
            <w:tcW w:w="62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序号</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出票时间</w:t>
            </w:r>
          </w:p>
        </w:tc>
        <w:tc>
          <w:tcPr>
            <w:tcW w:w="3125"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收款方</w:t>
            </w:r>
          </w:p>
        </w:tc>
        <w:tc>
          <w:tcPr>
            <w:tcW w:w="130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金额（元）</w:t>
            </w:r>
          </w:p>
        </w:tc>
        <w:tc>
          <w:tcPr>
            <w:tcW w:w="15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用款类型</w:t>
            </w:r>
          </w:p>
        </w:tc>
        <w:tc>
          <w:tcPr>
            <w:tcW w:w="154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备注</w:t>
            </w:r>
          </w:p>
        </w:tc>
      </w:tr>
      <w:tr>
        <w:tblPrEx>
          <w:tblCellMar>
            <w:top w:w="0" w:type="dxa"/>
            <w:left w:w="0" w:type="dxa"/>
            <w:bottom w:w="0" w:type="dxa"/>
            <w:right w:w="0" w:type="dxa"/>
          </w:tblCellMar>
        </w:tblPrEx>
        <w:trPr>
          <w:trHeight w:val="238"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2021-2-4</w:t>
            </w:r>
          </w:p>
        </w:tc>
        <w:tc>
          <w:tcPr>
            <w:tcW w:w="312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北京鱼禾光环境设计有限公司</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80,000.00 </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商承（半年期）</w:t>
            </w:r>
          </w:p>
        </w:tc>
      </w:tr>
      <w:tr>
        <w:tblPrEx>
          <w:tblCellMar>
            <w:top w:w="0" w:type="dxa"/>
            <w:left w:w="0" w:type="dxa"/>
            <w:bottom w:w="0" w:type="dxa"/>
            <w:right w:w="0" w:type="dxa"/>
          </w:tblCellMar>
        </w:tblPrEx>
        <w:trPr>
          <w:trHeight w:val="238"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2021-2-7</w:t>
            </w:r>
          </w:p>
        </w:tc>
        <w:tc>
          <w:tcPr>
            <w:tcW w:w="312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弗思特工程咨询南京有限公司</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120,000.00</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商承（半年期）</w:t>
            </w:r>
          </w:p>
        </w:tc>
      </w:tr>
      <w:tr>
        <w:tblPrEx>
          <w:tblCellMar>
            <w:top w:w="0" w:type="dxa"/>
            <w:left w:w="0" w:type="dxa"/>
            <w:bottom w:w="0" w:type="dxa"/>
            <w:right w:w="0" w:type="dxa"/>
          </w:tblCellMar>
        </w:tblPrEx>
        <w:trPr>
          <w:trHeight w:val="238"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2021-2-7</w:t>
            </w:r>
          </w:p>
        </w:tc>
        <w:tc>
          <w:tcPr>
            <w:tcW w:w="312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上海骏地建筑设计事务所股份有限公司</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333,100.00</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商承（半年期）</w:t>
            </w:r>
          </w:p>
        </w:tc>
      </w:tr>
      <w:tr>
        <w:tblPrEx>
          <w:tblCellMar>
            <w:top w:w="0" w:type="dxa"/>
            <w:left w:w="0" w:type="dxa"/>
            <w:bottom w:w="0" w:type="dxa"/>
            <w:right w:w="0" w:type="dxa"/>
          </w:tblCellMar>
        </w:tblPrEx>
        <w:trPr>
          <w:trHeight w:val="238" w:hRule="atLeast"/>
          <w:jc w:val="center"/>
        </w:trPr>
        <w:tc>
          <w:tcPr>
            <w:tcW w:w="6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2021-2-7</w:t>
            </w:r>
          </w:p>
        </w:tc>
        <w:tc>
          <w:tcPr>
            <w:tcW w:w="312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上海水石建筑规划设计股份有限公司</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1,014,056.25</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建筑工程费用</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商承（半年期）</w:t>
            </w:r>
          </w:p>
        </w:tc>
      </w:tr>
      <w:bookmarkEnd w:id="144"/>
      <w:bookmarkEnd w:id="145"/>
      <w:bookmarkEnd w:id="146"/>
      <w:bookmarkEnd w:id="147"/>
      <w:bookmarkEnd w:id="148"/>
    </w:tbl>
    <w:p>
      <w:pPr>
        <w:pStyle w:val="2"/>
        <w:keepNext w:val="0"/>
        <w:keepLines w:val="0"/>
        <w:spacing w:before="300" w:after="300" w:line="360" w:lineRule="exact"/>
        <w:jc w:val="left"/>
        <w:rPr>
          <w:rFonts w:ascii="Arial" w:hAnsi="Arial" w:cs="Arial"/>
          <w:color w:val="000000"/>
          <w:sz w:val="24"/>
        </w:rPr>
      </w:pPr>
      <w:bookmarkStart w:id="156" w:name="_Toc23602"/>
      <w:bookmarkStart w:id="157" w:name="_Toc22718"/>
      <w:bookmarkStart w:id="158" w:name="_Toc26560"/>
      <w:r>
        <w:rPr>
          <w:rFonts w:hint="eastAsia" w:ascii="Arial" w:hAnsi="Arial" w:cs="Arial"/>
          <w:color w:val="000000"/>
          <w:sz w:val="24"/>
        </w:rPr>
        <w:t>8</w:t>
      </w:r>
      <w:r>
        <w:rPr>
          <w:rFonts w:ascii="Arial" w:hAnsi="Arial" w:cs="Arial"/>
          <w:color w:val="000000"/>
          <w:sz w:val="24"/>
        </w:rPr>
        <w:t>标的项目竞品市场分析</w:t>
      </w:r>
      <w:bookmarkEnd w:id="156"/>
      <w:bookmarkEnd w:id="157"/>
      <w:bookmarkEnd w:id="158"/>
    </w:p>
    <w:p>
      <w:pPr>
        <w:pStyle w:val="3"/>
        <w:keepNext w:val="0"/>
        <w:keepLines w:val="0"/>
        <w:spacing w:before="300" w:after="300" w:line="360" w:lineRule="exact"/>
        <w:jc w:val="left"/>
        <w:rPr>
          <w:rFonts w:cs="Arial"/>
          <w:color w:val="000000"/>
          <w:sz w:val="24"/>
          <w:szCs w:val="24"/>
        </w:rPr>
      </w:pPr>
      <w:bookmarkStart w:id="159" w:name="_Toc16534"/>
      <w:bookmarkStart w:id="160" w:name="_Toc16457"/>
      <w:bookmarkStart w:id="161" w:name="_Toc6308"/>
      <w:r>
        <w:rPr>
          <w:rFonts w:hint="eastAsia" w:eastAsia="宋体" w:cs="Arial"/>
          <w:color w:val="000000"/>
          <w:sz w:val="24"/>
          <w:szCs w:val="24"/>
        </w:rPr>
        <w:t>8.1</w:t>
      </w:r>
      <w:r>
        <w:rPr>
          <w:rFonts w:hint="eastAsia" w:ascii="宋体" w:hAnsi="宋体" w:eastAsia="宋体" w:cs="宋体"/>
          <w:color w:val="000000"/>
          <w:sz w:val="24"/>
          <w:szCs w:val="24"/>
        </w:rPr>
        <w:t>房地产政策</w:t>
      </w:r>
      <w:bookmarkEnd w:id="159"/>
      <w:bookmarkEnd w:id="160"/>
      <w:bookmarkEnd w:id="161"/>
    </w:p>
    <w:p>
      <w:pPr>
        <w:spacing w:line="360" w:lineRule="auto"/>
        <w:rPr>
          <w:rFonts w:ascii="Arial" w:hAnsi="Arial" w:cs="Arial"/>
          <w:b/>
          <w:kern w:val="44"/>
          <w:sz w:val="24"/>
        </w:rPr>
      </w:pPr>
      <w:r>
        <w:rPr>
          <w:rFonts w:hint="eastAsia" w:ascii="Arial" w:hAnsi="Arial" w:cs="Arial"/>
          <w:b/>
          <w:kern w:val="44"/>
          <w:sz w:val="24"/>
        </w:rPr>
        <w:t>8.1.1</w:t>
      </w:r>
      <w:r>
        <w:rPr>
          <w:rFonts w:ascii="Arial" w:hAnsi="Arial" w:cs="Arial"/>
          <w:b/>
          <w:kern w:val="44"/>
          <w:sz w:val="24"/>
        </w:rPr>
        <w:t>限售政策分析：</w:t>
      </w:r>
    </w:p>
    <w:p>
      <w:pPr>
        <w:spacing w:line="480" w:lineRule="auto"/>
        <w:ind w:firstLine="420" w:firstLineChars="200"/>
        <w:rPr>
          <w:rFonts w:ascii="Arial" w:hAnsi="Arial" w:cs="Arial"/>
          <w:kern w:val="44"/>
          <w:szCs w:val="21"/>
        </w:rPr>
      </w:pPr>
      <w:r>
        <w:rPr>
          <w:rFonts w:hint="eastAsia" w:ascii="Arial" w:hAnsi="Arial" w:cs="Arial"/>
          <w:kern w:val="44"/>
          <w:szCs w:val="21"/>
        </w:rPr>
        <w:t>不限售。</w:t>
      </w:r>
    </w:p>
    <w:p>
      <w:pPr>
        <w:spacing w:line="360" w:lineRule="auto"/>
        <w:rPr>
          <w:rFonts w:ascii="Arial" w:hAnsi="Arial" w:cs="Arial"/>
          <w:b/>
          <w:kern w:val="44"/>
          <w:sz w:val="24"/>
        </w:rPr>
      </w:pPr>
      <w:r>
        <w:rPr>
          <w:rFonts w:hint="eastAsia" w:ascii="Arial" w:hAnsi="Arial" w:cs="Arial"/>
          <w:b/>
          <w:kern w:val="44"/>
          <w:sz w:val="24"/>
        </w:rPr>
        <w:t>8.1.2宜宾</w:t>
      </w:r>
      <w:r>
        <w:rPr>
          <w:rFonts w:ascii="Arial" w:hAnsi="Arial" w:cs="Arial"/>
          <w:b/>
          <w:kern w:val="44"/>
          <w:sz w:val="24"/>
        </w:rPr>
        <w:t>市限购政策：</w:t>
      </w:r>
    </w:p>
    <w:p>
      <w:pPr>
        <w:spacing w:line="480" w:lineRule="auto"/>
        <w:ind w:firstLine="420" w:firstLineChars="200"/>
        <w:rPr>
          <w:rFonts w:ascii="Arial" w:hAnsi="Arial" w:cs="Arial"/>
          <w:kern w:val="44"/>
          <w:szCs w:val="21"/>
        </w:rPr>
      </w:pPr>
      <w:r>
        <w:rPr>
          <w:rFonts w:hint="eastAsia" w:ascii="Arial" w:hAnsi="Arial" w:cs="Arial"/>
          <w:kern w:val="44"/>
          <w:szCs w:val="21"/>
        </w:rPr>
        <w:t>不限购。</w:t>
      </w:r>
    </w:p>
    <w:p>
      <w:pPr>
        <w:spacing w:line="360" w:lineRule="auto"/>
        <w:rPr>
          <w:rFonts w:ascii="Arial" w:hAnsi="Arial" w:cs="Arial"/>
          <w:b/>
          <w:kern w:val="44"/>
          <w:sz w:val="24"/>
        </w:rPr>
      </w:pPr>
      <w:r>
        <w:rPr>
          <w:rFonts w:hint="eastAsia" w:ascii="Arial" w:hAnsi="Arial" w:cs="Arial"/>
          <w:b/>
          <w:kern w:val="44"/>
          <w:sz w:val="24"/>
        </w:rPr>
        <w:t>8.1.3</w:t>
      </w:r>
      <w:r>
        <w:rPr>
          <w:rFonts w:ascii="Arial" w:hAnsi="Arial" w:cs="Arial"/>
          <w:b/>
          <w:kern w:val="44"/>
          <w:sz w:val="24"/>
        </w:rPr>
        <w:t>申请预售许可证政策：</w:t>
      </w:r>
    </w:p>
    <w:p>
      <w:pPr>
        <w:spacing w:line="480" w:lineRule="auto"/>
        <w:ind w:firstLine="420" w:firstLineChars="200"/>
        <w:rPr>
          <w:rFonts w:ascii="Arial" w:hAnsi="Arial" w:cs="Arial"/>
          <w:kern w:val="44"/>
          <w:szCs w:val="21"/>
        </w:rPr>
      </w:pPr>
      <w:r>
        <w:rPr>
          <w:rFonts w:hint="eastAsia" w:ascii="Arial" w:hAnsi="Arial" w:cs="Arial"/>
          <w:kern w:val="44"/>
          <w:szCs w:val="21"/>
        </w:rPr>
        <w:t>高层达2层可开始预售。</w:t>
      </w:r>
    </w:p>
    <w:p>
      <w:pPr>
        <w:spacing w:line="360" w:lineRule="auto"/>
        <w:rPr>
          <w:rFonts w:ascii="Arial" w:hAnsi="Arial" w:cs="Arial"/>
          <w:b/>
          <w:kern w:val="44"/>
          <w:sz w:val="24"/>
        </w:rPr>
      </w:pPr>
      <w:r>
        <w:rPr>
          <w:rFonts w:hint="eastAsia" w:ascii="Arial" w:hAnsi="Arial" w:cs="Arial"/>
          <w:b/>
          <w:kern w:val="44"/>
          <w:sz w:val="24"/>
        </w:rPr>
        <w:t>8.1.4</w:t>
      </w:r>
      <w:r>
        <w:rPr>
          <w:rFonts w:ascii="Arial" w:hAnsi="Arial" w:cs="Arial"/>
          <w:b/>
          <w:kern w:val="44"/>
          <w:sz w:val="24"/>
        </w:rPr>
        <w:t>抵押政策：</w:t>
      </w:r>
    </w:p>
    <w:p>
      <w:pPr>
        <w:spacing w:line="480" w:lineRule="auto"/>
        <w:ind w:firstLine="420" w:firstLineChars="200"/>
        <w:rPr>
          <w:rFonts w:ascii="Arial" w:hAnsi="Arial" w:cs="Arial"/>
          <w:kern w:val="44"/>
          <w:szCs w:val="21"/>
        </w:rPr>
      </w:pPr>
      <w:r>
        <w:rPr>
          <w:rFonts w:hint="eastAsia" w:ascii="Arial" w:hAnsi="Arial" w:cs="Arial"/>
          <w:kern w:val="44"/>
          <w:szCs w:val="21"/>
        </w:rPr>
        <w:t>1）如有土地抵押，需出具同意预售函才可取预售证；</w:t>
      </w:r>
    </w:p>
    <w:p>
      <w:pPr>
        <w:spacing w:line="480" w:lineRule="auto"/>
        <w:ind w:firstLine="420" w:firstLineChars="200"/>
        <w:rPr>
          <w:rFonts w:ascii="Arial" w:hAnsi="Arial" w:cs="Arial"/>
          <w:kern w:val="44"/>
          <w:szCs w:val="21"/>
        </w:rPr>
      </w:pPr>
      <w:r>
        <w:rPr>
          <w:rFonts w:hint="eastAsia" w:ascii="Arial" w:hAnsi="Arial" w:cs="Arial"/>
          <w:kern w:val="44"/>
          <w:szCs w:val="21"/>
        </w:rPr>
        <w:t>2）后续办理他项权证的时候，也需要见同意预售函。</w:t>
      </w:r>
    </w:p>
    <w:p>
      <w:pPr>
        <w:spacing w:line="360" w:lineRule="auto"/>
        <w:rPr>
          <w:rFonts w:ascii="Arial" w:hAnsi="Arial" w:cs="Arial"/>
          <w:b/>
          <w:kern w:val="44"/>
          <w:sz w:val="24"/>
        </w:rPr>
      </w:pPr>
      <w:r>
        <w:rPr>
          <w:rFonts w:hint="eastAsia" w:ascii="Arial" w:hAnsi="Arial" w:cs="Arial"/>
          <w:b/>
          <w:kern w:val="44"/>
          <w:sz w:val="24"/>
        </w:rPr>
        <w:t>8.1.5</w:t>
      </w:r>
      <w:r>
        <w:rPr>
          <w:rFonts w:ascii="Arial" w:hAnsi="Arial" w:cs="Arial"/>
          <w:b/>
          <w:kern w:val="44"/>
          <w:sz w:val="24"/>
        </w:rPr>
        <w:t>银行按揭贷款政策：</w:t>
      </w:r>
    </w:p>
    <w:p>
      <w:pPr>
        <w:spacing w:line="480" w:lineRule="auto"/>
        <w:ind w:firstLine="420" w:firstLineChars="200"/>
        <w:rPr>
          <w:rFonts w:ascii="Arial" w:hAnsi="Arial" w:cs="Arial"/>
          <w:kern w:val="44"/>
          <w:szCs w:val="21"/>
        </w:rPr>
      </w:pPr>
      <w:r>
        <w:rPr>
          <w:rFonts w:hint="eastAsia" w:ascii="Arial" w:hAnsi="Arial" w:cs="Arial"/>
          <w:kern w:val="44"/>
          <w:szCs w:val="21"/>
        </w:rPr>
        <w:t>3套以上（含3套）。</w:t>
      </w:r>
    </w:p>
    <w:p>
      <w:pPr>
        <w:spacing w:line="360" w:lineRule="auto"/>
        <w:rPr>
          <w:rFonts w:ascii="Arial" w:hAnsi="Arial" w:cs="Arial"/>
          <w:b/>
          <w:kern w:val="44"/>
          <w:sz w:val="24"/>
        </w:rPr>
      </w:pPr>
      <w:r>
        <w:rPr>
          <w:rFonts w:hint="eastAsia" w:ascii="Arial" w:hAnsi="Arial" w:cs="Arial"/>
          <w:b/>
          <w:kern w:val="44"/>
          <w:sz w:val="24"/>
        </w:rPr>
        <w:t>8.1.6预售资金监管</w:t>
      </w:r>
      <w:r>
        <w:rPr>
          <w:rFonts w:ascii="Arial" w:hAnsi="Arial" w:cs="Arial"/>
          <w:b/>
          <w:kern w:val="44"/>
          <w:sz w:val="24"/>
        </w:rPr>
        <w:t>政策：</w:t>
      </w:r>
    </w:p>
    <w:p>
      <w:pPr>
        <w:spacing w:line="480" w:lineRule="auto"/>
        <w:ind w:firstLine="420" w:firstLineChars="200"/>
        <w:rPr>
          <w:rFonts w:ascii="Arial" w:hAnsi="Arial" w:cs="Arial"/>
          <w:kern w:val="44"/>
          <w:szCs w:val="21"/>
        </w:rPr>
      </w:pPr>
      <w:r>
        <w:rPr>
          <w:rFonts w:hint="eastAsia" w:ascii="Arial" w:hAnsi="Arial" w:cs="Arial"/>
          <w:kern w:val="44"/>
          <w:szCs w:val="21"/>
        </w:rPr>
        <w:t>严格执行商品房预售资金监管开户银行和账户设立标准(翠屏区为形式监管)。</w:t>
      </w:r>
    </w:p>
    <w:p>
      <w:pPr>
        <w:pStyle w:val="3"/>
        <w:keepNext w:val="0"/>
        <w:keepLines w:val="0"/>
        <w:spacing w:before="300" w:after="300" w:line="360" w:lineRule="exact"/>
        <w:jc w:val="left"/>
        <w:rPr>
          <w:rFonts w:eastAsia="宋体" w:cs="Arial"/>
          <w:bCs w:val="0"/>
          <w:kern w:val="44"/>
          <w:sz w:val="24"/>
          <w:szCs w:val="24"/>
        </w:rPr>
      </w:pPr>
      <w:bookmarkStart w:id="162" w:name="_Toc25627"/>
      <w:bookmarkStart w:id="163" w:name="_Toc12996"/>
      <w:r>
        <w:rPr>
          <w:rFonts w:hint="eastAsia" w:eastAsia="宋体" w:cs="Arial"/>
          <w:bCs w:val="0"/>
          <w:kern w:val="44"/>
          <w:sz w:val="24"/>
          <w:szCs w:val="24"/>
        </w:rPr>
        <w:t>8.2</w:t>
      </w:r>
      <w:r>
        <w:rPr>
          <w:rFonts w:eastAsia="宋体" w:cs="Arial"/>
          <w:bCs w:val="0"/>
          <w:kern w:val="44"/>
          <w:sz w:val="24"/>
          <w:szCs w:val="24"/>
        </w:rPr>
        <w:t>周边竞品市场分析</w:t>
      </w:r>
      <w:bookmarkEnd w:id="162"/>
      <w:bookmarkEnd w:id="163"/>
    </w:p>
    <w:p>
      <w:pPr>
        <w:spacing w:line="480" w:lineRule="auto"/>
        <w:ind w:firstLine="420" w:firstLineChars="200"/>
        <w:rPr>
          <w:rFonts w:ascii="Arial" w:hAnsi="Arial" w:cs="Arial"/>
          <w:kern w:val="44"/>
          <w:szCs w:val="21"/>
        </w:rPr>
      </w:pPr>
      <w:r>
        <w:rPr>
          <w:rFonts w:hint="eastAsia" w:ascii="Arial" w:hAnsi="Arial" w:cs="Arial"/>
          <w:kern w:val="44"/>
          <w:szCs w:val="21"/>
        </w:rPr>
        <w:t>项目位于老城区，目前无在售产品，根据中指数据项目周边二手房（理想城、江语城、金帝庄园等）价格为8700-9500元/㎡（毛坯），精装价格为1-1.1万/㎡。紧邻南岸区域价格9000-10000元/㎡，临港价格8000-9000元/㎡；南岸及临港片区在售高层项目价格8500-9200元/㎡，主力面积段为80-110㎡。在售公寓项目集中在三江主城、临港片区，均通气，5.1米LOFT为主，市场公寓价格集中在8100-9500元/㎡。基于项目区位，当前本项目在售商品房底单价为8371.52元/㎡，相对合理。</w:t>
      </w:r>
    </w:p>
    <w:p>
      <w:pPr>
        <w:pStyle w:val="2"/>
        <w:spacing w:before="300" w:after="300" w:line="360" w:lineRule="exact"/>
        <w:rPr>
          <w:rFonts w:asciiTheme="majorEastAsia" w:hAnsiTheme="majorEastAsia" w:eastAsiaTheme="majorEastAsia" w:cstheme="majorEastAsia"/>
          <w:sz w:val="24"/>
        </w:rPr>
      </w:pPr>
      <w:bookmarkStart w:id="164" w:name="_Toc20160"/>
      <w:r>
        <w:rPr>
          <w:rFonts w:hint="eastAsia" w:ascii="Arial" w:hAnsi="Arial" w:cs="Arial" w:eastAsiaTheme="majorEastAsia"/>
          <w:sz w:val="24"/>
        </w:rPr>
        <w:t>9</w:t>
      </w:r>
      <w:r>
        <w:rPr>
          <w:rFonts w:hint="eastAsia" w:asciiTheme="majorEastAsia" w:hAnsiTheme="majorEastAsia" w:eastAsiaTheme="majorEastAsia" w:cstheme="majorEastAsia"/>
          <w:sz w:val="24"/>
        </w:rPr>
        <w:t>月度监管总结及建议</w:t>
      </w:r>
      <w:bookmarkEnd w:id="164"/>
    </w:p>
    <w:p>
      <w:pPr>
        <w:spacing w:line="480" w:lineRule="auto"/>
        <w:ind w:firstLine="420" w:firstLineChars="200"/>
        <w:rPr>
          <w:rFonts w:ascii="Arial" w:hAnsi="Arial" w:cs="Arial"/>
          <w:kern w:val="44"/>
          <w:szCs w:val="21"/>
        </w:rPr>
      </w:pPr>
      <w:r>
        <w:rPr>
          <w:rFonts w:hint="eastAsia" w:ascii="Arial" w:hAnsi="Arial" w:cs="Arial"/>
          <w:kern w:val="44"/>
          <w:szCs w:val="21"/>
        </w:rPr>
        <w:t>我公司在2021年02月03日至2021年02月2</w:t>
      </w:r>
      <w:r>
        <w:rPr>
          <w:rFonts w:hint="eastAsia" w:ascii="Arial" w:hAnsi="Arial" w:cs="Arial"/>
          <w:kern w:val="44"/>
          <w:szCs w:val="21"/>
          <w:lang w:val="en-US" w:eastAsia="zh-CN"/>
        </w:rPr>
        <w:t>8</w:t>
      </w:r>
      <w:bookmarkStart w:id="187" w:name="_GoBack"/>
      <w:bookmarkEnd w:id="187"/>
      <w:r>
        <w:rPr>
          <w:rFonts w:hint="eastAsia" w:ascii="Arial" w:hAnsi="Arial" w:cs="Arial"/>
          <w:kern w:val="44"/>
          <w:szCs w:val="21"/>
        </w:rPr>
        <w:t>日对宜宾站前广场项目监管期间内，所监管的标的项目因项目公司和项目公司合作方没有积极配合，在成本、项目合同、工程进度、印鉴使用、资金收付等方面无法获取全部资料，未能实现全面监管任务。</w:t>
      </w:r>
    </w:p>
    <w:p>
      <w:pPr>
        <w:spacing w:line="480" w:lineRule="auto"/>
        <w:ind w:firstLine="420" w:firstLineChars="200"/>
        <w:rPr>
          <w:rFonts w:ascii="Arial" w:hAnsi="Arial" w:cs="Arial"/>
          <w:kern w:val="44"/>
          <w:szCs w:val="21"/>
        </w:rPr>
      </w:pPr>
      <w:r>
        <w:rPr>
          <w:rFonts w:hint="eastAsia" w:ascii="Arial" w:hAnsi="Arial" w:cs="Arial"/>
          <w:kern w:val="44"/>
          <w:szCs w:val="21"/>
        </w:rPr>
        <w:t>建议：</w:t>
      </w:r>
    </w:p>
    <w:p>
      <w:pPr>
        <w:spacing w:line="480" w:lineRule="auto"/>
        <w:ind w:firstLine="420" w:firstLineChars="200"/>
        <w:rPr>
          <w:rFonts w:ascii="Arial" w:hAnsi="Arial" w:cs="Arial"/>
          <w:kern w:val="44"/>
          <w:szCs w:val="21"/>
        </w:rPr>
      </w:pPr>
      <w:r>
        <w:rPr>
          <w:rFonts w:hint="eastAsia" w:ascii="Arial" w:hAnsi="Arial" w:cs="Arial"/>
          <w:kern w:val="44"/>
          <w:szCs w:val="21"/>
        </w:rPr>
        <w:t>（1）重新与成都信茂涵、项目公司进行入场交接，确保所有资料按照监管协议要求进行共管。</w:t>
      </w:r>
    </w:p>
    <w:p>
      <w:pPr>
        <w:spacing w:line="480" w:lineRule="auto"/>
        <w:ind w:firstLine="420" w:firstLineChars="200"/>
        <w:rPr>
          <w:rFonts w:ascii="Arial" w:hAnsi="Arial" w:cs="Arial"/>
          <w:kern w:val="44"/>
          <w:szCs w:val="21"/>
        </w:rPr>
      </w:pPr>
      <w:r>
        <w:rPr>
          <w:rFonts w:hint="eastAsia" w:ascii="Arial" w:hAnsi="Arial" w:cs="Arial"/>
          <w:kern w:val="44"/>
          <w:szCs w:val="21"/>
        </w:rPr>
        <w:t>（2）项目公司在成本、工程进度、印鉴使用、资金收付、销售、项目经营管理等指定专人负责按照监管协议要求及时提供完整资料。</w:t>
      </w:r>
    </w:p>
    <w:p>
      <w:pPr>
        <w:spacing w:line="480" w:lineRule="auto"/>
        <w:ind w:firstLine="420" w:firstLineChars="200"/>
        <w:rPr>
          <w:rFonts w:ascii="Arial" w:hAnsi="Arial" w:cs="Arial"/>
          <w:kern w:val="44"/>
          <w:szCs w:val="21"/>
        </w:rPr>
      </w:pPr>
    </w:p>
    <w:p>
      <w:pPr>
        <w:spacing w:line="480" w:lineRule="auto"/>
        <w:ind w:firstLine="420" w:firstLineChars="200"/>
        <w:rPr>
          <w:rFonts w:asciiTheme="minorEastAsia" w:hAnsiTheme="minorEastAsia" w:eastAsiaTheme="minorEastAsia" w:cstheme="minorEastAsia"/>
          <w:szCs w:val="21"/>
        </w:rPr>
      </w:pPr>
    </w:p>
    <w:p>
      <w:pPr>
        <w:tabs>
          <w:tab w:val="left" w:pos="426"/>
        </w:tabs>
        <w:spacing w:line="480" w:lineRule="auto"/>
        <w:ind w:firstLine="411" w:firstLineChars="196"/>
        <w:jc w:val="right"/>
        <w:rPr>
          <w:rFonts w:ascii="Arial" w:hAnsi="Arial" w:cs="Arial"/>
          <w:bCs/>
          <w:szCs w:val="21"/>
        </w:rPr>
      </w:pPr>
    </w:p>
    <w:p>
      <w:pPr>
        <w:tabs>
          <w:tab w:val="left" w:pos="426"/>
        </w:tabs>
        <w:spacing w:line="480" w:lineRule="auto"/>
        <w:ind w:firstLine="411" w:firstLineChars="196"/>
        <w:jc w:val="right"/>
        <w:rPr>
          <w:rFonts w:ascii="Arial" w:hAnsi="Arial" w:cs="Arial"/>
          <w:bCs/>
          <w:szCs w:val="21"/>
        </w:rPr>
      </w:pPr>
      <w:r>
        <w:rPr>
          <w:rFonts w:ascii="Arial" w:hAnsi="Arial" w:cs="Arial"/>
          <w:bCs/>
          <w:szCs w:val="21"/>
        </w:rPr>
        <w:t>北京</w:t>
      </w:r>
      <w:r>
        <w:rPr>
          <w:rFonts w:hint="eastAsia" w:ascii="Arial" w:hAnsi="Arial" w:cs="Arial"/>
          <w:bCs/>
          <w:szCs w:val="21"/>
        </w:rPr>
        <w:t>康信君安资产管理</w:t>
      </w:r>
      <w:r>
        <w:rPr>
          <w:rFonts w:ascii="Arial" w:hAnsi="Arial" w:cs="Arial"/>
          <w:bCs/>
          <w:szCs w:val="21"/>
        </w:rPr>
        <w:t>有限公司</w:t>
      </w:r>
    </w:p>
    <w:p>
      <w:pPr>
        <w:tabs>
          <w:tab w:val="left" w:pos="426"/>
        </w:tabs>
        <w:spacing w:line="480" w:lineRule="auto"/>
        <w:ind w:firstLine="411" w:firstLineChars="196"/>
        <w:jc w:val="right"/>
        <w:rPr>
          <w:rFonts w:ascii="Arial" w:hAnsi="Arial" w:cs="Arial"/>
          <w:bCs/>
          <w:szCs w:val="21"/>
        </w:rPr>
      </w:pPr>
      <w:r>
        <w:rPr>
          <w:rFonts w:ascii="Arial" w:hAnsi="Arial" w:cs="Arial"/>
          <w:bCs/>
          <w:szCs w:val="21"/>
        </w:rPr>
        <w:t>驻场监管：</w:t>
      </w:r>
      <w:r>
        <w:rPr>
          <w:rFonts w:hint="eastAsia" w:ascii="Arial" w:hAnsi="Arial" w:cs="Arial"/>
          <w:bCs/>
          <w:szCs w:val="21"/>
        </w:rPr>
        <w:t>陈文丽</w:t>
      </w:r>
    </w:p>
    <w:p>
      <w:pPr>
        <w:spacing w:line="480" w:lineRule="auto"/>
        <w:jc w:val="right"/>
      </w:pPr>
      <w:r>
        <w:rPr>
          <w:rFonts w:ascii="Arial" w:hAnsi="Arial" w:cs="Arial"/>
          <w:bCs/>
          <w:szCs w:val="21"/>
        </w:rPr>
        <w:tab/>
      </w:r>
      <w:r>
        <w:rPr>
          <w:rFonts w:ascii="Arial" w:hAnsi="Arial" w:cs="Arial"/>
          <w:bCs/>
          <w:szCs w:val="21"/>
        </w:rPr>
        <w:t xml:space="preserve"> </w:t>
      </w:r>
      <w:r>
        <w:rPr>
          <w:rFonts w:hint="eastAsia" w:ascii="Arial" w:hAnsi="Arial" w:cs="Arial"/>
          <w:bCs/>
          <w:szCs w:val="21"/>
        </w:rPr>
        <w:t xml:space="preserve">                                                           </w:t>
      </w:r>
      <w:r>
        <w:rPr>
          <w:rFonts w:ascii="Arial" w:hAnsi="Arial" w:cs="Arial"/>
          <w:bCs/>
          <w:szCs w:val="21"/>
        </w:rPr>
        <w:t xml:space="preserve"> </w:t>
      </w:r>
      <w:r>
        <w:rPr>
          <w:rFonts w:hint="eastAsia" w:ascii="Arial" w:hAnsi="Arial" w:cs="Arial"/>
          <w:bCs/>
          <w:szCs w:val="21"/>
        </w:rPr>
        <w:t xml:space="preserve"> 2021年03</w:t>
      </w:r>
      <w:r>
        <w:rPr>
          <w:rFonts w:ascii="Arial" w:hAnsi="Arial" w:cs="Arial"/>
          <w:bCs/>
          <w:szCs w:val="21"/>
        </w:rPr>
        <w:t>月</w:t>
      </w:r>
      <w:r>
        <w:rPr>
          <w:rFonts w:hint="eastAsia" w:ascii="Arial" w:hAnsi="Arial" w:cs="Arial"/>
          <w:bCs/>
          <w:szCs w:val="21"/>
        </w:rPr>
        <w:t>05</w:t>
      </w:r>
      <w:r>
        <w:rPr>
          <w:rFonts w:ascii="Arial" w:hAnsi="Arial" w:cs="Arial"/>
          <w:bCs/>
          <w:szCs w:val="21"/>
        </w:rPr>
        <w:t>日于</w:t>
      </w:r>
      <w:r>
        <w:rPr>
          <w:rFonts w:hint="eastAsia" w:ascii="Arial" w:hAnsi="Arial" w:cs="Arial"/>
          <w:bCs/>
          <w:szCs w:val="21"/>
        </w:rPr>
        <w:t>宜宾</w:t>
      </w:r>
    </w:p>
    <w:p>
      <w:pPr>
        <w:pStyle w:val="3"/>
        <w:keepNext w:val="0"/>
        <w:keepLines w:val="0"/>
        <w:spacing w:before="300" w:after="300" w:line="360" w:lineRule="exact"/>
        <w:rPr>
          <w:rFonts w:eastAsia="宋体"/>
          <w:sz w:val="24"/>
        </w:rPr>
      </w:pPr>
      <w:bookmarkStart w:id="165" w:name="_Toc1110"/>
      <w:bookmarkStart w:id="166" w:name="_Toc20905"/>
      <w:bookmarkStart w:id="167" w:name="_Toc8396"/>
      <w:bookmarkStart w:id="168" w:name="_Toc24391"/>
    </w:p>
    <w:bookmarkEnd w:id="149"/>
    <w:bookmarkEnd w:id="150"/>
    <w:bookmarkEnd w:id="151"/>
    <w:bookmarkEnd w:id="152"/>
    <w:bookmarkEnd w:id="153"/>
    <w:bookmarkEnd w:id="154"/>
    <w:bookmarkEnd w:id="155"/>
    <w:bookmarkEnd w:id="165"/>
    <w:bookmarkEnd w:id="166"/>
    <w:bookmarkEnd w:id="167"/>
    <w:bookmarkEnd w:id="168"/>
    <w:p>
      <w:pPr>
        <w:rPr>
          <w:rFonts w:ascii="Arial" w:hAnsi="Arial" w:cs="Arial"/>
          <w:sz w:val="24"/>
        </w:rPr>
      </w:pPr>
      <w:bookmarkStart w:id="169" w:name="_Toc26512"/>
      <w:r>
        <w:rPr>
          <w:rFonts w:ascii="Arial" w:hAnsi="Arial" w:cs="Arial"/>
          <w:sz w:val="24"/>
        </w:rPr>
        <w:br w:type="page"/>
      </w:r>
    </w:p>
    <w:bookmarkEnd w:id="169"/>
    <w:p>
      <w:pPr>
        <w:pStyle w:val="2"/>
        <w:spacing w:before="300" w:after="300" w:line="360" w:lineRule="exact"/>
        <w:rPr>
          <w:rFonts w:ascii="Arial" w:hAnsi="Arial" w:cs="Arial"/>
          <w:sz w:val="24"/>
        </w:rPr>
      </w:pPr>
      <w:bookmarkStart w:id="170" w:name="_Toc31078"/>
      <w:r>
        <w:rPr>
          <w:rFonts w:ascii="Arial" w:hAnsi="Arial" w:cs="Arial"/>
          <w:sz w:val="24"/>
        </w:rPr>
        <w:t>附件</w:t>
      </w:r>
      <w:bookmarkEnd w:id="170"/>
    </w:p>
    <w:p>
      <w:pPr>
        <w:pStyle w:val="3"/>
        <w:spacing w:before="300" w:after="300" w:line="360" w:lineRule="exact"/>
        <w:rPr>
          <w:rFonts w:eastAsia="宋体" w:cs="Arial"/>
          <w:sz w:val="24"/>
          <w:szCs w:val="24"/>
        </w:rPr>
      </w:pPr>
      <w:bookmarkStart w:id="171" w:name="_Toc11096"/>
      <w:bookmarkStart w:id="172" w:name="_Toc11462"/>
      <w:bookmarkStart w:id="173" w:name="_Toc1186"/>
      <w:r>
        <w:rPr>
          <w:rFonts w:eastAsia="宋体" w:cs="Arial"/>
          <w:sz w:val="24"/>
          <w:szCs w:val="24"/>
        </w:rPr>
        <w:t>各账户余额截图</w:t>
      </w:r>
      <w:bookmarkEnd w:id="171"/>
      <w:bookmarkEnd w:id="172"/>
      <w:bookmarkEnd w:id="173"/>
    </w:p>
    <w:p>
      <w:pPr>
        <w:jc w:val="center"/>
        <w:rPr>
          <w:rFonts w:ascii="宋体" w:hAnsi="宋体" w:cs="宋体"/>
          <w:b/>
          <w:bCs/>
          <w:sz w:val="24"/>
        </w:rPr>
      </w:pPr>
      <w:r>
        <w:rPr>
          <w:rFonts w:hint="eastAsia" w:ascii="宋体" w:hAnsi="宋体" w:cs="宋体"/>
          <w:b/>
          <w:bCs/>
          <w:sz w:val="24"/>
        </w:rPr>
        <w:t>宜宾骏继工商银行基本户     单位：元</w:t>
      </w:r>
      <w:bookmarkStart w:id="174" w:name="_Toc8196"/>
      <w:bookmarkStart w:id="175" w:name="_Toc22742"/>
      <w:bookmarkStart w:id="176" w:name="_Toc10321"/>
    </w:p>
    <w:p>
      <w:pPr>
        <w:jc w:val="center"/>
        <w:rPr>
          <w:rFonts w:ascii="宋体" w:hAnsi="宋体" w:cs="宋体"/>
          <w:b/>
          <w:bCs/>
          <w:sz w:val="24"/>
        </w:rPr>
      </w:pPr>
      <w:r>
        <w:rPr>
          <w:rFonts w:hint="eastAsia" w:ascii="宋体" w:hAnsi="宋体" w:cs="宋体"/>
          <w:b/>
          <w:bCs/>
          <w:sz w:val="24"/>
        </w:rPr>
        <w:drawing>
          <wp:inline distT="0" distB="0" distL="114300" distR="114300">
            <wp:extent cx="5133340" cy="2954020"/>
            <wp:effectExtent l="0" t="0" r="2540" b="2540"/>
            <wp:docPr id="34" name="图片 1" descr="C:\Users\123\Desktop\银行流水最新版本\骏继中国银行\52460e2b73f4f412d33d9a4fa5dda4c.png52460e2b73f4f412d33d9a4fa5dd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C:\Users\123\Desktop\银行流水最新版本\骏继中国银行\52460e2b73f4f412d33d9a4fa5dda4c.png52460e2b73f4f412d33d9a4fa5dda4c"/>
                    <pic:cNvPicPr>
                      <a:picLocks noChangeAspect="1"/>
                    </pic:cNvPicPr>
                  </pic:nvPicPr>
                  <pic:blipFill>
                    <a:blip r:embed="rId16"/>
                    <a:srcRect/>
                    <a:stretch>
                      <a:fillRect/>
                    </a:stretch>
                  </pic:blipFill>
                  <pic:spPr>
                    <a:xfrm>
                      <a:off x="0" y="0"/>
                      <a:ext cx="5133340" cy="2954020"/>
                    </a:xfrm>
                    <a:prstGeom prst="rect">
                      <a:avLst/>
                    </a:prstGeom>
                    <a:noFill/>
                    <a:ln>
                      <a:noFill/>
                    </a:ln>
                  </pic:spPr>
                </pic:pic>
              </a:graphicData>
            </a:graphic>
          </wp:inline>
        </w:drawing>
      </w: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r>
        <w:rPr>
          <w:rFonts w:hint="eastAsia" w:ascii="宋体" w:hAnsi="宋体" w:cs="宋体"/>
          <w:b/>
          <w:bCs/>
          <w:sz w:val="24"/>
        </w:rPr>
        <w:t>宜宾骏继建行预售资金监管账户    单位：元</w:t>
      </w:r>
      <w:bookmarkEnd w:id="174"/>
      <w:bookmarkEnd w:id="175"/>
      <w:bookmarkEnd w:id="176"/>
      <w:bookmarkStart w:id="177" w:name="_Toc27794"/>
      <w:bookmarkStart w:id="178" w:name="_Toc20294"/>
    </w:p>
    <w:p>
      <w:pPr>
        <w:jc w:val="center"/>
        <w:rPr>
          <w:rFonts w:ascii="宋体" w:hAnsi="宋体" w:cs="宋体"/>
          <w:b/>
          <w:bCs/>
          <w:sz w:val="24"/>
        </w:rPr>
      </w:pPr>
      <w:r>
        <w:rPr>
          <w:rFonts w:hint="eastAsia" w:ascii="宋体" w:hAnsi="宋体" w:cs="宋体"/>
          <w:b/>
          <w:bCs/>
          <w:sz w:val="24"/>
        </w:rPr>
        <w:drawing>
          <wp:inline distT="0" distB="0" distL="114300" distR="114300">
            <wp:extent cx="5135245" cy="2793365"/>
            <wp:effectExtent l="0" t="0" r="635" b="10795"/>
            <wp:docPr id="9" name="图片 2" descr="C:\Users\123\Desktop\银行流水最新版本\建设\4786ed373d801c01d8b3881026788c1.png4786ed373d801c01d8b388102678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123\Desktop\银行流水最新版本\建设\4786ed373d801c01d8b3881026788c1.png4786ed373d801c01d8b3881026788c1"/>
                    <pic:cNvPicPr>
                      <a:picLocks noChangeAspect="1"/>
                    </pic:cNvPicPr>
                  </pic:nvPicPr>
                  <pic:blipFill>
                    <a:blip r:embed="rId17"/>
                    <a:srcRect/>
                    <a:stretch>
                      <a:fillRect/>
                    </a:stretch>
                  </pic:blipFill>
                  <pic:spPr>
                    <a:xfrm>
                      <a:off x="0" y="0"/>
                      <a:ext cx="5135245" cy="2793365"/>
                    </a:xfrm>
                    <a:prstGeom prst="rect">
                      <a:avLst/>
                    </a:prstGeom>
                    <a:noFill/>
                    <a:ln>
                      <a:noFill/>
                    </a:ln>
                  </pic:spPr>
                </pic:pic>
              </a:graphicData>
            </a:graphic>
          </wp:inline>
        </w:drawing>
      </w:r>
    </w:p>
    <w:p>
      <w:pPr>
        <w:jc w:val="center"/>
        <w:rPr>
          <w:rFonts w:ascii="宋体" w:hAnsi="宋体" w:cs="宋体"/>
          <w:b/>
          <w:bCs/>
          <w:sz w:val="24"/>
        </w:rPr>
      </w:pPr>
    </w:p>
    <w:p>
      <w:pP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r>
        <w:rPr>
          <w:rFonts w:hint="eastAsia" w:ascii="宋体" w:hAnsi="宋体" w:cs="宋体"/>
          <w:b/>
          <w:bCs/>
          <w:sz w:val="24"/>
        </w:rPr>
        <w:t>宜宾骏继农业银行     单位：元</w:t>
      </w:r>
    </w:p>
    <w:p>
      <w:pPr>
        <w:jc w:val="center"/>
        <w:rPr>
          <w:rFonts w:ascii="宋体" w:hAnsi="宋体" w:cs="宋体"/>
          <w:b/>
          <w:bCs/>
          <w:sz w:val="24"/>
        </w:rPr>
      </w:pPr>
      <w:r>
        <w:rPr>
          <w:rFonts w:hint="eastAsia" w:ascii="宋体" w:hAnsi="宋体" w:cs="宋体"/>
          <w:b/>
          <w:bCs/>
          <w:sz w:val="24"/>
        </w:rPr>
        <w:drawing>
          <wp:inline distT="0" distB="0" distL="114300" distR="114300">
            <wp:extent cx="5260340" cy="2793365"/>
            <wp:effectExtent l="0" t="0" r="12700" b="10795"/>
            <wp:docPr id="5" name="图片 3" descr="C:\Users\123\Desktop\银行流水最新版本\农业\589043caca945bd508174b3e1a01254.png589043caca945bd508174b3e1a0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123\Desktop\银行流水最新版本\农业\589043caca945bd508174b3e1a01254.png589043caca945bd508174b3e1a01254"/>
                    <pic:cNvPicPr>
                      <a:picLocks noChangeAspect="1"/>
                    </pic:cNvPicPr>
                  </pic:nvPicPr>
                  <pic:blipFill>
                    <a:blip r:embed="rId18"/>
                    <a:srcRect/>
                    <a:stretch>
                      <a:fillRect/>
                    </a:stretch>
                  </pic:blipFill>
                  <pic:spPr>
                    <a:xfrm>
                      <a:off x="0" y="0"/>
                      <a:ext cx="5260340" cy="2793365"/>
                    </a:xfrm>
                    <a:prstGeom prst="rect">
                      <a:avLst/>
                    </a:prstGeom>
                    <a:noFill/>
                    <a:ln>
                      <a:noFill/>
                    </a:ln>
                  </pic:spPr>
                </pic:pic>
              </a:graphicData>
            </a:graphic>
          </wp:inline>
        </w:drawing>
      </w: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r>
        <w:rPr>
          <w:rFonts w:hint="eastAsia" w:ascii="宋体" w:hAnsi="宋体" w:cs="宋体"/>
          <w:b/>
          <w:bCs/>
          <w:sz w:val="24"/>
        </w:rPr>
        <w:t>宜宾骏继建设银行     单位：元</w:t>
      </w:r>
      <w:bookmarkEnd w:id="177"/>
      <w:bookmarkEnd w:id="178"/>
      <w:bookmarkStart w:id="179" w:name="_Toc31375"/>
      <w:bookmarkStart w:id="180" w:name="_Toc26511"/>
    </w:p>
    <w:p>
      <w:pPr>
        <w:jc w:val="center"/>
        <w:rPr>
          <w:rFonts w:ascii="宋体" w:hAnsi="宋体" w:cs="宋体"/>
          <w:b/>
          <w:bCs/>
          <w:sz w:val="24"/>
        </w:rPr>
      </w:pPr>
      <w:r>
        <w:rPr>
          <w:rFonts w:hint="eastAsia" w:ascii="宋体" w:hAnsi="宋体" w:cs="宋体"/>
          <w:b/>
          <w:bCs/>
          <w:sz w:val="24"/>
        </w:rPr>
        <w:drawing>
          <wp:inline distT="0" distB="0" distL="114300" distR="114300">
            <wp:extent cx="5133340" cy="2770505"/>
            <wp:effectExtent l="0" t="0" r="2540" b="3175"/>
            <wp:docPr id="10" name="图片 4" descr="C:\Users\123\Desktop\银行流水最新版本\建设\0895.png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123\Desktop\银行流水最新版本\建设\0895.png0895"/>
                    <pic:cNvPicPr>
                      <a:picLocks noChangeAspect="1"/>
                    </pic:cNvPicPr>
                  </pic:nvPicPr>
                  <pic:blipFill>
                    <a:blip r:embed="rId19"/>
                    <a:srcRect/>
                    <a:stretch>
                      <a:fillRect/>
                    </a:stretch>
                  </pic:blipFill>
                  <pic:spPr>
                    <a:xfrm>
                      <a:off x="0" y="0"/>
                      <a:ext cx="5133340" cy="2770505"/>
                    </a:xfrm>
                    <a:prstGeom prst="rect">
                      <a:avLst/>
                    </a:prstGeom>
                    <a:noFill/>
                    <a:ln>
                      <a:noFill/>
                    </a:ln>
                  </pic:spPr>
                </pic:pic>
              </a:graphicData>
            </a:graphic>
          </wp:inline>
        </w:drawing>
      </w: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rPr>
          <w:rFonts w:ascii="宋体" w:hAnsi="宋体" w:cs="宋体"/>
          <w:b/>
          <w:bCs/>
          <w:sz w:val="24"/>
        </w:rPr>
      </w:pPr>
      <w:r>
        <w:rPr>
          <w:rFonts w:hint="eastAsia" w:ascii="宋体" w:hAnsi="宋体" w:cs="宋体"/>
          <w:b/>
          <w:bCs/>
          <w:sz w:val="24"/>
        </w:rPr>
        <w:br w:type="page"/>
      </w:r>
    </w:p>
    <w:p>
      <w:pPr>
        <w:rPr>
          <w:rFonts w:ascii="宋体" w:hAnsi="宋体" w:cs="宋体"/>
          <w:b/>
          <w:bCs/>
          <w:sz w:val="24"/>
        </w:rPr>
      </w:pPr>
    </w:p>
    <w:p>
      <w:pPr>
        <w:jc w:val="center"/>
        <w:rPr>
          <w:rFonts w:ascii="宋体" w:hAnsi="宋体" w:cs="宋体"/>
          <w:b/>
          <w:bCs/>
          <w:sz w:val="24"/>
        </w:rPr>
      </w:pPr>
      <w:r>
        <w:rPr>
          <w:rFonts w:hint="eastAsia" w:ascii="宋体" w:hAnsi="宋体" w:cs="宋体"/>
          <w:b/>
          <w:bCs/>
          <w:sz w:val="24"/>
        </w:rPr>
        <w:t>宜宾骏继中国银行     单位：元</w:t>
      </w:r>
      <w:bookmarkEnd w:id="179"/>
      <w:bookmarkEnd w:id="180"/>
      <w:bookmarkStart w:id="181" w:name="_Toc6775"/>
      <w:bookmarkStart w:id="182" w:name="_Toc20042"/>
      <w:bookmarkStart w:id="183" w:name="_Toc2326"/>
    </w:p>
    <w:p>
      <w:pPr>
        <w:jc w:val="center"/>
        <w:rPr>
          <w:rFonts w:ascii="宋体" w:hAnsi="宋体" w:cs="宋体"/>
          <w:b/>
          <w:bCs/>
          <w:sz w:val="24"/>
        </w:rPr>
      </w:pPr>
      <w:r>
        <w:rPr>
          <w:rFonts w:hint="eastAsia" w:ascii="宋体" w:hAnsi="宋体" w:cs="宋体"/>
          <w:b/>
          <w:bCs/>
          <w:sz w:val="24"/>
        </w:rPr>
        <w:drawing>
          <wp:inline distT="0" distB="0" distL="114300" distR="114300">
            <wp:extent cx="5133340" cy="2954020"/>
            <wp:effectExtent l="0" t="0" r="2540" b="2540"/>
            <wp:docPr id="11" name="图片 5" descr="C:\Users\123\Desktop\银行流水最新版本\骏继中国银行\52460e2b73f4f412d33d9a4fa5dda4c.png52460e2b73f4f412d33d9a4fa5dd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123\Desktop\银行流水最新版本\骏继中国银行\52460e2b73f4f412d33d9a4fa5dda4c.png52460e2b73f4f412d33d9a4fa5dda4c"/>
                    <pic:cNvPicPr>
                      <a:picLocks noChangeAspect="1"/>
                    </pic:cNvPicPr>
                  </pic:nvPicPr>
                  <pic:blipFill>
                    <a:blip r:embed="rId16"/>
                    <a:srcRect/>
                    <a:stretch>
                      <a:fillRect/>
                    </a:stretch>
                  </pic:blipFill>
                  <pic:spPr>
                    <a:xfrm>
                      <a:off x="0" y="0"/>
                      <a:ext cx="5133340" cy="2954020"/>
                    </a:xfrm>
                    <a:prstGeom prst="rect">
                      <a:avLst/>
                    </a:prstGeom>
                    <a:noFill/>
                    <a:ln>
                      <a:noFill/>
                    </a:ln>
                  </pic:spPr>
                </pic:pic>
              </a:graphicData>
            </a:graphic>
          </wp:inline>
        </w:drawing>
      </w: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r>
        <w:rPr>
          <w:rFonts w:hint="eastAsia" w:ascii="宋体" w:hAnsi="宋体" w:cs="宋体"/>
          <w:b/>
          <w:bCs/>
          <w:sz w:val="24"/>
        </w:rPr>
        <w:t>宜宾骏继中信银行     单位：</w:t>
      </w:r>
      <w:bookmarkEnd w:id="181"/>
      <w:bookmarkEnd w:id="182"/>
      <w:bookmarkEnd w:id="183"/>
      <w:bookmarkStart w:id="184" w:name="_Toc17968"/>
      <w:r>
        <w:rPr>
          <w:rFonts w:hint="eastAsia" w:ascii="宋体" w:hAnsi="宋体" w:cs="宋体"/>
          <w:b/>
          <w:bCs/>
          <w:sz w:val="24"/>
        </w:rPr>
        <w:t>元</w:t>
      </w:r>
    </w:p>
    <w:p>
      <w:pPr>
        <w:jc w:val="center"/>
        <w:rPr>
          <w:rFonts w:ascii="宋体" w:hAnsi="宋体" w:cs="宋体"/>
          <w:b/>
          <w:bCs/>
          <w:sz w:val="24"/>
        </w:rPr>
      </w:pPr>
      <w:r>
        <w:rPr>
          <w:rFonts w:hint="eastAsia" w:ascii="宋体" w:hAnsi="宋体" w:cs="宋体"/>
          <w:b/>
          <w:bCs/>
          <w:sz w:val="24"/>
        </w:rPr>
        <w:drawing>
          <wp:inline distT="0" distB="0" distL="114300" distR="114300">
            <wp:extent cx="4946650" cy="2793365"/>
            <wp:effectExtent l="0" t="0" r="6350" b="10795"/>
            <wp:docPr id="7" name="图片 6" descr="C:\Users\123\Desktop\银行流水最新版本\中信\78344d8805d4a18a7b6a3c8596f91fe.png78344d8805d4a18a7b6a3c8596f9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123\Desktop\银行流水最新版本\中信\78344d8805d4a18a7b6a3c8596f91fe.png78344d8805d4a18a7b6a3c8596f91fe"/>
                    <pic:cNvPicPr>
                      <a:picLocks noChangeAspect="1"/>
                    </pic:cNvPicPr>
                  </pic:nvPicPr>
                  <pic:blipFill>
                    <a:blip r:embed="rId20"/>
                    <a:srcRect/>
                    <a:stretch>
                      <a:fillRect/>
                    </a:stretch>
                  </pic:blipFill>
                  <pic:spPr>
                    <a:xfrm>
                      <a:off x="0" y="0"/>
                      <a:ext cx="4946650" cy="2793365"/>
                    </a:xfrm>
                    <a:prstGeom prst="rect">
                      <a:avLst/>
                    </a:prstGeom>
                    <a:noFill/>
                    <a:ln>
                      <a:noFill/>
                    </a:ln>
                  </pic:spPr>
                </pic:pic>
              </a:graphicData>
            </a:graphic>
          </wp:inline>
        </w:drawing>
      </w: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rPr>
          <w:rFonts w:ascii="宋体" w:hAnsi="宋体" w:cs="宋体"/>
          <w:b/>
          <w:bCs/>
          <w:sz w:val="24"/>
        </w:rPr>
      </w:pPr>
    </w:p>
    <w:p>
      <w:pPr>
        <w:rPr>
          <w:rFonts w:ascii="宋体" w:hAnsi="宋体" w:cs="宋体"/>
          <w:b/>
          <w:bCs/>
          <w:sz w:val="24"/>
        </w:rPr>
      </w:pPr>
      <w:r>
        <w:rPr>
          <w:rFonts w:hint="eastAsia" w:ascii="宋体" w:hAnsi="宋体" w:cs="宋体"/>
          <w:b/>
          <w:bCs/>
          <w:sz w:val="24"/>
        </w:rPr>
        <w:br w:type="page"/>
      </w:r>
    </w:p>
    <w:p>
      <w:pPr>
        <w:jc w:val="center"/>
        <w:rPr>
          <w:rFonts w:ascii="宋体" w:hAnsi="宋体" w:cs="宋体"/>
          <w:b/>
          <w:bCs/>
          <w:sz w:val="24"/>
        </w:rPr>
      </w:pPr>
    </w:p>
    <w:p>
      <w:pPr>
        <w:jc w:val="center"/>
        <w:rPr>
          <w:rFonts w:ascii="宋体" w:hAnsi="宋体" w:cs="宋体"/>
          <w:b/>
          <w:bCs/>
          <w:sz w:val="24"/>
        </w:rPr>
      </w:pPr>
      <w:r>
        <w:rPr>
          <w:rFonts w:hint="eastAsia" w:ascii="宋体" w:hAnsi="宋体" w:cs="宋体"/>
          <w:b/>
          <w:bCs/>
          <w:sz w:val="24"/>
        </w:rPr>
        <w:t>宜宾骏继中国民生银行     单位：元</w:t>
      </w:r>
      <w:bookmarkEnd w:id="184"/>
    </w:p>
    <w:p>
      <w:pPr>
        <w:jc w:val="center"/>
        <w:rPr>
          <w:rFonts w:ascii="宋体" w:hAnsi="宋体" w:cs="宋体"/>
          <w:b/>
          <w:bCs/>
          <w:sz w:val="24"/>
        </w:rPr>
      </w:pPr>
      <w:r>
        <w:rPr>
          <w:rFonts w:hint="eastAsia" w:ascii="宋体" w:hAnsi="宋体" w:cs="宋体"/>
          <w:b/>
          <w:bCs/>
          <w:sz w:val="24"/>
        </w:rPr>
        <w:drawing>
          <wp:inline distT="0" distB="0" distL="114300" distR="114300">
            <wp:extent cx="5133340" cy="2679065"/>
            <wp:effectExtent l="0" t="0" r="2540" b="3175"/>
            <wp:docPr id="1" name="图片 7" descr="C:\Users\123\Desktop\银行流水最新版本\民生\76efb6204cfbe7796bb17e2c6b1445a.png76efb6204cfbe7796bb17e2c6b14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C:\Users\123\Desktop\银行流水最新版本\民生\76efb6204cfbe7796bb17e2c6b1445a.png76efb6204cfbe7796bb17e2c6b1445a"/>
                    <pic:cNvPicPr>
                      <a:picLocks noChangeAspect="1"/>
                    </pic:cNvPicPr>
                  </pic:nvPicPr>
                  <pic:blipFill>
                    <a:blip r:embed="rId21"/>
                    <a:srcRect/>
                    <a:stretch>
                      <a:fillRect/>
                    </a:stretch>
                  </pic:blipFill>
                  <pic:spPr>
                    <a:xfrm>
                      <a:off x="0" y="0"/>
                      <a:ext cx="5133340" cy="2679065"/>
                    </a:xfrm>
                    <a:prstGeom prst="rect">
                      <a:avLst/>
                    </a:prstGeom>
                    <a:noFill/>
                    <a:ln>
                      <a:noFill/>
                    </a:ln>
                  </pic:spPr>
                </pic:pic>
              </a:graphicData>
            </a:graphic>
          </wp:inline>
        </w:drawing>
      </w:r>
    </w:p>
    <w:p>
      <w:pPr>
        <w:jc w:val="center"/>
        <w:rPr>
          <w:rFonts w:ascii="宋体" w:hAnsi="宋体" w:cs="宋体"/>
          <w:b/>
          <w:bCs/>
          <w:sz w:val="24"/>
        </w:rPr>
      </w:pPr>
    </w:p>
    <w:p>
      <w:pPr>
        <w:jc w:val="center"/>
        <w:rPr>
          <w:rFonts w:ascii="宋体" w:hAnsi="宋体" w:cs="宋体"/>
          <w:b/>
          <w:bCs/>
          <w:sz w:val="24"/>
        </w:rPr>
      </w:pPr>
    </w:p>
    <w:p>
      <w:pP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r>
        <w:rPr>
          <w:rFonts w:hint="eastAsia" w:ascii="宋体" w:hAnsi="宋体" w:cs="宋体"/>
          <w:b/>
          <w:bCs/>
          <w:sz w:val="24"/>
        </w:rPr>
        <w:t>宜宾骏继招商银行     单位：元</w:t>
      </w:r>
    </w:p>
    <w:p>
      <w:pPr>
        <w:jc w:val="center"/>
        <w:rPr>
          <w:rFonts w:ascii="宋体" w:hAnsi="宋体" w:cs="宋体"/>
          <w:b/>
          <w:bCs/>
          <w:sz w:val="24"/>
        </w:rPr>
      </w:pPr>
      <w:r>
        <w:rPr>
          <w:rFonts w:hint="eastAsia" w:ascii="宋体" w:hAnsi="宋体" w:cs="宋体"/>
          <w:b/>
          <w:bCs/>
          <w:sz w:val="24"/>
        </w:rPr>
        <w:drawing>
          <wp:inline distT="0" distB="0" distL="114300" distR="114300">
            <wp:extent cx="5491480" cy="2793365"/>
            <wp:effectExtent l="0" t="0" r="10160" b="10795"/>
            <wp:docPr id="3" name="图片 8" descr="C:\Users\123\Desktop\银行流水最新版本\招商\0683d4c8714dbf10532d1588580bc00.png0683d4c8714dbf10532d1588580b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123\Desktop\银行流水最新版本\招商\0683d4c8714dbf10532d1588580bc00.png0683d4c8714dbf10532d1588580bc00"/>
                    <pic:cNvPicPr>
                      <a:picLocks noChangeAspect="1"/>
                    </pic:cNvPicPr>
                  </pic:nvPicPr>
                  <pic:blipFill>
                    <a:blip r:embed="rId22"/>
                    <a:srcRect/>
                    <a:stretch>
                      <a:fillRect/>
                    </a:stretch>
                  </pic:blipFill>
                  <pic:spPr>
                    <a:xfrm>
                      <a:off x="0" y="0"/>
                      <a:ext cx="5491480" cy="2793365"/>
                    </a:xfrm>
                    <a:prstGeom prst="rect">
                      <a:avLst/>
                    </a:prstGeom>
                    <a:noFill/>
                    <a:ln>
                      <a:noFill/>
                    </a:ln>
                  </pic:spPr>
                </pic:pic>
              </a:graphicData>
            </a:graphic>
          </wp:inline>
        </w:drawing>
      </w: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rPr>
          <w:rFonts w:ascii="宋体" w:hAnsi="宋体" w:cs="宋体"/>
          <w:b/>
          <w:bCs/>
          <w:sz w:val="24"/>
        </w:rPr>
      </w:pPr>
    </w:p>
    <w:p>
      <w:pPr>
        <w:jc w:val="center"/>
        <w:rPr>
          <w:rFonts w:ascii="宋体" w:hAnsi="宋体" w:cs="宋体"/>
          <w:b/>
          <w:bCs/>
          <w:sz w:val="24"/>
        </w:rPr>
      </w:pPr>
      <w:r>
        <w:rPr>
          <w:rFonts w:hint="eastAsia" w:ascii="宋体" w:hAnsi="宋体" w:cs="宋体"/>
          <w:b/>
          <w:bCs/>
          <w:sz w:val="24"/>
        </w:rPr>
        <w:br w:type="page"/>
      </w:r>
    </w:p>
    <w:p>
      <w:pPr>
        <w:jc w:val="center"/>
        <w:rPr>
          <w:rFonts w:ascii="宋体" w:hAnsi="宋体" w:cs="宋体"/>
          <w:b/>
          <w:bCs/>
          <w:sz w:val="24"/>
        </w:rPr>
      </w:pPr>
    </w:p>
    <w:p>
      <w:pPr>
        <w:jc w:val="center"/>
        <w:rPr>
          <w:rFonts w:ascii="Arial" w:hAnsi="Arial" w:cs="Arial"/>
          <w:sz w:val="24"/>
        </w:rPr>
      </w:pPr>
      <w:r>
        <w:rPr>
          <w:rFonts w:hint="eastAsia" w:ascii="宋体" w:hAnsi="宋体" w:cs="宋体"/>
          <w:b/>
          <w:bCs/>
          <w:sz w:val="24"/>
        </w:rPr>
        <w:t>成都信茂涵中国银行     单位：元</w:t>
      </w:r>
    </w:p>
    <w:p>
      <w:pPr>
        <w:jc w:val="center"/>
      </w:pPr>
      <w:r>
        <w:rPr>
          <w:rFonts w:hint="eastAsia" w:ascii="宋体" w:hAnsi="宋体" w:cs="宋体"/>
          <w:b/>
          <w:bCs/>
          <w:sz w:val="24"/>
        </w:rPr>
        <w:drawing>
          <wp:inline distT="0" distB="0" distL="114300" distR="114300">
            <wp:extent cx="5009515" cy="2793365"/>
            <wp:effectExtent l="0" t="0" r="4445" b="10795"/>
            <wp:docPr id="35" name="图片 8" descr="C:\Users\123\Desktop\银行流水最新版本\信茂中国银行\f08861f9ed4d487df3d72404aa2589a.pngf08861f9ed4d487df3d72404aa25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C:\Users\123\Desktop\银行流水最新版本\信茂中国银行\f08861f9ed4d487df3d72404aa2589a.pngf08861f9ed4d487df3d72404aa2589a"/>
                    <pic:cNvPicPr>
                      <a:picLocks noChangeAspect="1"/>
                    </pic:cNvPicPr>
                  </pic:nvPicPr>
                  <pic:blipFill>
                    <a:blip r:embed="rId23"/>
                    <a:srcRect/>
                    <a:stretch>
                      <a:fillRect/>
                    </a:stretch>
                  </pic:blipFill>
                  <pic:spPr>
                    <a:xfrm>
                      <a:off x="0" y="0"/>
                      <a:ext cx="5009515" cy="2793365"/>
                    </a:xfrm>
                    <a:prstGeom prst="rect">
                      <a:avLst/>
                    </a:prstGeom>
                    <a:noFill/>
                    <a:ln>
                      <a:noFill/>
                    </a:ln>
                  </pic:spPr>
                </pic:pic>
              </a:graphicData>
            </a:graphic>
          </wp:inline>
        </w:drawing>
      </w:r>
    </w:p>
    <w:p>
      <w:pPr>
        <w:rPr>
          <w:rFonts w:ascii="宋体" w:hAnsi="宋体" w:cs="宋体"/>
          <w:sz w:val="24"/>
        </w:rPr>
      </w:pPr>
      <w:bookmarkStart w:id="185" w:name="_Toc13220"/>
      <w:r>
        <w:rPr>
          <w:rFonts w:hint="eastAsia" w:ascii="宋体" w:hAnsi="宋体" w:cs="宋体"/>
          <w:sz w:val="24"/>
        </w:rPr>
        <w:br w:type="page"/>
      </w:r>
    </w:p>
    <w:p>
      <w:pPr>
        <w:pStyle w:val="3"/>
        <w:rPr>
          <w:rFonts w:ascii="宋体" w:hAnsi="宋体" w:eastAsia="宋体" w:cs="宋体"/>
          <w:sz w:val="24"/>
          <w:szCs w:val="24"/>
        </w:rPr>
      </w:pPr>
      <w:bookmarkStart w:id="186" w:name="_Toc8340"/>
      <w:r>
        <w:rPr>
          <w:rFonts w:hint="eastAsia" w:ascii="宋体" w:hAnsi="宋体" w:eastAsia="宋体" w:cs="宋体"/>
          <w:sz w:val="24"/>
          <w:szCs w:val="24"/>
        </w:rPr>
        <w:t>共管资料清单</w:t>
      </w:r>
      <w:bookmarkEnd w:id="185"/>
      <w:bookmarkEnd w:id="186"/>
    </w:p>
    <w:p>
      <w:pPr>
        <w:jc w:val="center"/>
        <w:rPr>
          <w:b/>
          <w:bCs/>
          <w:sz w:val="24"/>
        </w:rPr>
      </w:pPr>
      <w:r>
        <w:rPr>
          <w:rFonts w:hint="eastAsia"/>
          <w:b/>
          <w:bCs/>
          <w:sz w:val="24"/>
        </w:rPr>
        <w:t>宜宾骏继入场物品交接单</w:t>
      </w:r>
    </w:p>
    <w:p>
      <w:pPr>
        <w:spacing w:line="480" w:lineRule="auto"/>
        <w:ind w:firstLine="420" w:firstLineChars="200"/>
      </w:pPr>
      <w:r>
        <w:drawing>
          <wp:inline distT="0" distB="0" distL="114300" distR="114300">
            <wp:extent cx="4928870" cy="3517265"/>
            <wp:effectExtent l="0" t="0" r="8890" b="3175"/>
            <wp:docPr id="17" name="图片 10" descr="C:\Users\123\Desktop\交接\成都信茂\微信图片_20210206223648.png微信图片_202102062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123\Desktop\交接\成都信茂\微信图片_20210206223648.png微信图片_20210206223648"/>
                    <pic:cNvPicPr>
                      <a:picLocks noChangeAspect="1"/>
                    </pic:cNvPicPr>
                  </pic:nvPicPr>
                  <pic:blipFill>
                    <a:blip r:embed="rId24"/>
                    <a:srcRect/>
                    <a:stretch>
                      <a:fillRect/>
                    </a:stretch>
                  </pic:blipFill>
                  <pic:spPr>
                    <a:xfrm>
                      <a:off x="0" y="0"/>
                      <a:ext cx="4928870" cy="3517265"/>
                    </a:xfrm>
                    <a:prstGeom prst="rect">
                      <a:avLst/>
                    </a:prstGeom>
                    <a:noFill/>
                    <a:ln>
                      <a:noFill/>
                    </a:ln>
                  </pic:spPr>
                </pic:pic>
              </a:graphicData>
            </a:graphic>
          </wp:inline>
        </w:drawing>
      </w:r>
    </w:p>
    <w:p>
      <w:r>
        <w:rPr>
          <w:rFonts w:hint="eastAsia"/>
        </w:rPr>
        <w:t xml:space="preserve"> </w:t>
      </w:r>
    </w:p>
    <w:p>
      <w:r>
        <w:rPr>
          <w:rFonts w:hint="eastAsia"/>
        </w:rPr>
        <w:t xml:space="preserve">   </w:t>
      </w:r>
      <w:r>
        <w:drawing>
          <wp:inline distT="0" distB="0" distL="114300" distR="114300">
            <wp:extent cx="4961890" cy="3517265"/>
            <wp:effectExtent l="0" t="0" r="6350" b="3175"/>
            <wp:docPr id="18" name="图片 10" descr="C:\Users\123\Desktop\交接\成都信茂\微信图片_202102062236481.png微信图片_20210206223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C:\Users\123\Desktop\交接\成都信茂\微信图片_202102062236481.png微信图片_202102062236481"/>
                    <pic:cNvPicPr>
                      <a:picLocks noChangeAspect="1"/>
                    </pic:cNvPicPr>
                  </pic:nvPicPr>
                  <pic:blipFill>
                    <a:blip r:embed="rId25"/>
                    <a:srcRect/>
                    <a:stretch>
                      <a:fillRect/>
                    </a:stretch>
                  </pic:blipFill>
                  <pic:spPr>
                    <a:xfrm>
                      <a:off x="0" y="0"/>
                      <a:ext cx="4961890" cy="3517265"/>
                    </a:xfrm>
                    <a:prstGeom prst="rect">
                      <a:avLst/>
                    </a:prstGeom>
                    <a:noFill/>
                    <a:ln>
                      <a:noFill/>
                    </a:ln>
                  </pic:spPr>
                </pic:pic>
              </a:graphicData>
            </a:graphic>
          </wp:inline>
        </w:drawing>
      </w:r>
    </w:p>
    <w:p>
      <w:pPr>
        <w:rPr>
          <w:b/>
          <w:bCs/>
          <w:sz w:val="24"/>
        </w:rPr>
      </w:pPr>
      <w:r>
        <w:rPr>
          <w:rFonts w:hint="eastAsia"/>
          <w:b/>
          <w:bCs/>
          <w:sz w:val="24"/>
        </w:rPr>
        <w:br w:type="page"/>
      </w:r>
    </w:p>
    <w:p>
      <w:pPr>
        <w:jc w:val="center"/>
        <w:rPr>
          <w:b/>
          <w:bCs/>
          <w:sz w:val="24"/>
        </w:rPr>
      </w:pPr>
      <w:r>
        <w:rPr>
          <w:rFonts w:hint="eastAsia"/>
          <w:b/>
          <w:bCs/>
          <w:sz w:val="24"/>
        </w:rPr>
        <w:t>宜宾骏继印鉴交接单</w:t>
      </w:r>
    </w:p>
    <w:p>
      <w:pPr>
        <w:spacing w:line="480" w:lineRule="auto"/>
        <w:ind w:firstLine="420" w:firstLineChars="200"/>
      </w:pPr>
      <w:r>
        <w:drawing>
          <wp:inline distT="0" distB="0" distL="114300" distR="114300">
            <wp:extent cx="4960620" cy="6013450"/>
            <wp:effectExtent l="0" t="0" r="7620" b="6350"/>
            <wp:docPr id="23" name="图片 10" descr="C:\Users\123\Desktop\交接\c03802595dad033329cf89c3cf79269.pngc03802595dad033329cf89c3cf7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C:\Users\123\Desktop\交接\c03802595dad033329cf89c3cf79269.pngc03802595dad033329cf89c3cf79269"/>
                    <pic:cNvPicPr>
                      <a:picLocks noChangeAspect="1"/>
                    </pic:cNvPicPr>
                  </pic:nvPicPr>
                  <pic:blipFill>
                    <a:blip r:embed="rId26"/>
                    <a:srcRect/>
                    <a:stretch>
                      <a:fillRect/>
                    </a:stretch>
                  </pic:blipFill>
                  <pic:spPr>
                    <a:xfrm>
                      <a:off x="0" y="0"/>
                      <a:ext cx="4960620" cy="6013450"/>
                    </a:xfrm>
                    <a:prstGeom prst="rect">
                      <a:avLst/>
                    </a:prstGeom>
                    <a:noFill/>
                    <a:ln>
                      <a:noFill/>
                    </a:ln>
                  </pic:spPr>
                </pic:pic>
              </a:graphicData>
            </a:graphic>
          </wp:inline>
        </w:drawing>
      </w:r>
    </w:p>
    <w:p>
      <w:pPr>
        <w:rPr>
          <w:rFonts w:ascii="宋体" w:hAnsi="宋体" w:cs="宋体"/>
          <w:sz w:val="24"/>
        </w:rPr>
      </w:pPr>
      <w:r>
        <w:br w:type="page"/>
      </w:r>
    </w:p>
    <w:p>
      <w:pPr>
        <w:jc w:val="center"/>
        <w:rPr>
          <w:b/>
          <w:bCs/>
          <w:sz w:val="24"/>
        </w:rPr>
      </w:pPr>
      <w:r>
        <w:rPr>
          <w:rFonts w:hint="eastAsia"/>
          <w:b/>
          <w:bCs/>
          <w:sz w:val="24"/>
        </w:rPr>
        <w:t>成都信茂涵入场物品交接单</w:t>
      </w:r>
    </w:p>
    <w:p>
      <w:pPr>
        <w:spacing w:line="480" w:lineRule="auto"/>
        <w:ind w:firstLine="420" w:firstLineChars="200"/>
      </w:pPr>
      <w:r>
        <w:drawing>
          <wp:inline distT="0" distB="0" distL="114300" distR="114300">
            <wp:extent cx="4960620" cy="3030220"/>
            <wp:effectExtent l="0" t="0" r="7620" b="2540"/>
            <wp:docPr id="24" name="图片 10" descr="C:\Users\123\Desktop\交接\2b4ee350525330d44a61f9b7a08cfa6.png2b4ee350525330d44a61f9b7a08c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C:\Users\123\Desktop\交接\2b4ee350525330d44a61f9b7a08cfa6.png2b4ee350525330d44a61f9b7a08cfa6"/>
                    <pic:cNvPicPr>
                      <a:picLocks noChangeAspect="1"/>
                    </pic:cNvPicPr>
                  </pic:nvPicPr>
                  <pic:blipFill>
                    <a:blip r:embed="rId27"/>
                    <a:srcRect/>
                    <a:stretch>
                      <a:fillRect/>
                    </a:stretch>
                  </pic:blipFill>
                  <pic:spPr>
                    <a:xfrm>
                      <a:off x="0" y="0"/>
                      <a:ext cx="4960620" cy="3030220"/>
                    </a:xfrm>
                    <a:prstGeom prst="rect">
                      <a:avLst/>
                    </a:prstGeom>
                    <a:noFill/>
                    <a:ln>
                      <a:noFill/>
                    </a:ln>
                  </pic:spPr>
                </pic:pic>
              </a:graphicData>
            </a:graphic>
          </wp:inline>
        </w:drawing>
      </w:r>
    </w:p>
    <w:p>
      <w:r>
        <w:rPr>
          <w:rFonts w:hint="eastAsia"/>
        </w:rPr>
        <w:t xml:space="preserve"> </w:t>
      </w:r>
    </w:p>
    <w:p>
      <w:r>
        <w:rPr>
          <w:rFonts w:hint="eastAsia"/>
        </w:rPr>
        <w:t xml:space="preserve">   </w:t>
      </w:r>
    </w:p>
    <w:p>
      <w:pPr>
        <w:rPr>
          <w:b/>
          <w:bCs/>
          <w:sz w:val="24"/>
        </w:rPr>
      </w:pPr>
      <w:r>
        <w:rPr>
          <w:rFonts w:hint="eastAsia"/>
          <w:b/>
          <w:bCs/>
          <w:sz w:val="24"/>
        </w:rPr>
        <w:br w:type="page"/>
      </w:r>
    </w:p>
    <w:p>
      <w:pPr>
        <w:jc w:val="center"/>
        <w:rPr>
          <w:b/>
          <w:bCs/>
          <w:sz w:val="24"/>
        </w:rPr>
      </w:pPr>
      <w:r>
        <w:rPr>
          <w:rFonts w:hint="eastAsia"/>
          <w:b/>
          <w:bCs/>
          <w:sz w:val="24"/>
        </w:rPr>
        <w:t>成都信茂涵印鉴交接单</w:t>
      </w:r>
    </w:p>
    <w:p>
      <w:pPr>
        <w:jc w:val="center"/>
      </w:pPr>
      <w:r>
        <w:drawing>
          <wp:inline distT="0" distB="0" distL="114300" distR="114300">
            <wp:extent cx="4802505" cy="6013450"/>
            <wp:effectExtent l="0" t="0" r="13335" b="6350"/>
            <wp:docPr id="25" name="图片 10" descr="C:\Users\123\Desktop\交接\9a28d97b91b6b121385e7f48ef1ee9f.png9a28d97b91b6b121385e7f48ef1e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C:\Users\123\Desktop\交接\9a28d97b91b6b121385e7f48ef1ee9f.png9a28d97b91b6b121385e7f48ef1ee9f"/>
                    <pic:cNvPicPr>
                      <a:picLocks noChangeAspect="1"/>
                    </pic:cNvPicPr>
                  </pic:nvPicPr>
                  <pic:blipFill>
                    <a:blip r:embed="rId28"/>
                    <a:srcRect/>
                    <a:stretch>
                      <a:fillRect/>
                    </a:stretch>
                  </pic:blipFill>
                  <pic:spPr>
                    <a:xfrm>
                      <a:off x="0" y="0"/>
                      <a:ext cx="4802505" cy="6013450"/>
                    </a:xfrm>
                    <a:prstGeom prst="rect">
                      <a:avLst/>
                    </a:prstGeom>
                    <a:noFill/>
                    <a:ln>
                      <a:noFill/>
                    </a:ln>
                  </pic:spPr>
                </pic:pic>
              </a:graphicData>
            </a:graphic>
          </wp:inline>
        </w:drawing>
      </w:r>
    </w:p>
    <w:p>
      <w:r>
        <w:br w:type="page"/>
      </w:r>
    </w:p>
    <w:p>
      <w:pPr>
        <w:jc w:val="center"/>
        <w:rPr>
          <w:b/>
          <w:bCs/>
          <w:sz w:val="24"/>
        </w:rPr>
      </w:pPr>
      <w:r>
        <w:rPr>
          <w:rFonts w:hint="eastAsia"/>
          <w:b/>
          <w:bCs/>
          <w:sz w:val="24"/>
        </w:rPr>
        <w:t>成都信茂涵已开立银行结算账户清单</w:t>
      </w:r>
    </w:p>
    <w:p>
      <w:r>
        <w:rPr>
          <w:rFonts w:hint="eastAsia"/>
          <w:b/>
          <w:bCs/>
          <w:sz w:val="24"/>
        </w:rPr>
        <w:drawing>
          <wp:anchor distT="0" distB="0" distL="114300" distR="114300" simplePos="0" relativeHeight="251658240" behindDoc="0" locked="0" layoutInCell="1" allowOverlap="1">
            <wp:simplePos x="0" y="0"/>
            <wp:positionH relativeFrom="column">
              <wp:posOffset>606425</wp:posOffset>
            </wp:positionH>
            <wp:positionV relativeFrom="paragraph">
              <wp:posOffset>37465</wp:posOffset>
            </wp:positionV>
            <wp:extent cx="4787900" cy="1875155"/>
            <wp:effectExtent l="0" t="0" r="27940" b="29845"/>
            <wp:wrapNone/>
            <wp:docPr id="37" name="图片 37" descr="已开立其他银行账户清单（成都信茂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已开立其他银行账户清单（成都信茂涵）"/>
                    <pic:cNvPicPr>
                      <a:picLocks noChangeAspect="1"/>
                    </pic:cNvPicPr>
                  </pic:nvPicPr>
                  <pic:blipFill>
                    <a:blip r:embed="rId29"/>
                    <a:stretch>
                      <a:fillRect/>
                    </a:stretch>
                  </pic:blipFill>
                  <pic:spPr>
                    <a:xfrm>
                      <a:off x="0" y="0"/>
                      <a:ext cx="4787900" cy="1875155"/>
                    </a:xfrm>
                    <a:prstGeom prst="rect">
                      <a:avLst/>
                    </a:prstGeom>
                  </pic:spPr>
                </pic:pic>
              </a:graphicData>
            </a:graphic>
          </wp:anchor>
        </w:drawing>
      </w: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jc w:val="center"/>
      </w:pPr>
      <w:r>
        <w:drawing>
          <wp:anchor distT="0" distB="0" distL="114300" distR="114300" simplePos="0" relativeHeight="251659264" behindDoc="0" locked="0" layoutInCell="1" allowOverlap="1">
            <wp:simplePos x="0" y="0"/>
            <wp:positionH relativeFrom="column">
              <wp:posOffset>460375</wp:posOffset>
            </wp:positionH>
            <wp:positionV relativeFrom="paragraph">
              <wp:posOffset>262255</wp:posOffset>
            </wp:positionV>
            <wp:extent cx="5133340" cy="2717165"/>
            <wp:effectExtent l="0" t="0" r="2540" b="10795"/>
            <wp:wrapNone/>
            <wp:docPr id="14" name="图片 10" descr="D:\1.公司资料\1.项目\2.天启【2020】565号\2.交接\20210222项目公司基本户查询资料\工行U盾及开立账户清单\已开立银行结算账户清单.png已开立银行结算账户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D:\1.公司资料\1.项目\2.天启【2020】565号\2.交接\20210222项目公司基本户查询资料\工行U盾及开立账户清单\已开立银行结算账户清单.png已开立银行结算账户清单"/>
                    <pic:cNvPicPr>
                      <a:picLocks noChangeAspect="1"/>
                    </pic:cNvPicPr>
                  </pic:nvPicPr>
                  <pic:blipFill>
                    <a:blip r:embed="rId30"/>
                    <a:srcRect/>
                    <a:stretch>
                      <a:fillRect/>
                    </a:stretch>
                  </pic:blipFill>
                  <pic:spPr>
                    <a:xfrm>
                      <a:off x="0" y="0"/>
                      <a:ext cx="5133340" cy="2717165"/>
                    </a:xfrm>
                    <a:prstGeom prst="rect">
                      <a:avLst/>
                    </a:prstGeom>
                    <a:noFill/>
                    <a:ln>
                      <a:noFill/>
                    </a:ln>
                  </pic:spPr>
                </pic:pic>
              </a:graphicData>
            </a:graphic>
          </wp:anchor>
        </w:drawing>
      </w:r>
      <w:r>
        <w:rPr>
          <w:rFonts w:hint="eastAsia"/>
          <w:b/>
          <w:bCs/>
          <w:sz w:val="24"/>
        </w:rPr>
        <w:t>宜宾骏继已开立银行结算账户清单</w:t>
      </w:r>
    </w:p>
    <w:sectPr>
      <w:footerReference r:id="rId7" w:type="default"/>
      <w:pgSz w:w="11906" w:h="16838"/>
      <w:pgMar w:top="1843" w:right="1134" w:bottom="1134" w:left="1134" w:header="851" w:footer="992" w:gutter="340"/>
      <w:pgNumType w:start="24"/>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8240" behindDoc="0" locked="0" layoutInCell="1" allowOverlap="1">
              <wp:simplePos x="0" y="0"/>
              <wp:positionH relativeFrom="margin">
                <wp:posOffset>2920365</wp:posOffset>
              </wp:positionH>
              <wp:positionV relativeFrom="paragraph">
                <wp:posOffset>635</wp:posOffset>
              </wp:positionV>
              <wp:extent cx="15113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9.95pt;margin-top:0.05pt;height:144pt;width:11.9pt;mso-position-horizontal-relative:margin;z-index:251658240;mso-width-relative:page;mso-height-relative:page;" filled="f" stroked="f" coordsize="21600,21600"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wp3W1wAAAAgBAAAPAAAAAAAAAAEAIAAAACIAAABkcnMvZG93bnJl&#10;di54bWxQSwECFAAUAAAACACHTuJA3GeyRjcCAABmBAAADgAAAAAAAAABACAAAAAmAQAAZHJzL2Uy&#10;b0RvYy54bWxQSwUGAAAAAAYABgBZAQAAzwU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posOffset>2920365</wp:posOffset>
              </wp:positionH>
              <wp:positionV relativeFrom="paragraph">
                <wp:posOffset>635</wp:posOffset>
              </wp:positionV>
              <wp:extent cx="15113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9.95pt;margin-top:0.05pt;height:144pt;width:11.9pt;mso-position-horizontal-relative:margin;z-index:251659264;mso-width-relative:page;mso-height-relative:page;" filled="f" stroked="f" coordsize="21600,21600"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Kd1tcAAAAIAQAADwAAAAAAAAABACAAAAAiAAAAZHJzL2Rvd25y&#10;ZXYueG1sUEsBAhQAFAAAAAgAh07iQFa0xGI4AgAAZAQAAA4AAAAAAAAAAQAgAAAAJgEAAGRycy9l&#10;Mm9Eb2MueG1sUEsFBgAAAAAGAAYAWQEAANA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posOffset>2920365</wp:posOffset>
              </wp:positionH>
              <wp:positionV relativeFrom="paragraph">
                <wp:posOffset>635</wp:posOffset>
              </wp:positionV>
              <wp:extent cx="15113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9.95pt;margin-top:0.05pt;height:144pt;width:11.9pt;mso-position-horizontal-relative:margin;z-index:251661312;mso-width-relative:page;mso-height-relative:page;" filled="f" stroked="f" coordsize="21600,21600"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wp3W1wAAAAgBAAAPAAAAAAAAAAEAIAAAACIAAABkcnMvZG93bnJl&#10;di54bWxQSwECFAAUAAAACACHTuJAhlB3vDcCAABkBAAADgAAAAAAAAABACAAAAAmAQAAZHJzL2Uy&#10;b0RvYy54bWxQSwUGAAAAAAYABgBZAQAAzwU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rPr>
      <w:t>2021年02月03日至2021年2月28日监管月报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HorizontalSpacing w:val="210"/>
  <w:drawingGridVerticalSpacing w:val="160"/>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90D92"/>
    <w:rsid w:val="00083A5A"/>
    <w:rsid w:val="000870B8"/>
    <w:rsid w:val="00093479"/>
    <w:rsid w:val="000B5635"/>
    <w:rsid w:val="000D7FEB"/>
    <w:rsid w:val="00103D7F"/>
    <w:rsid w:val="00165662"/>
    <w:rsid w:val="001659B0"/>
    <w:rsid w:val="0017071C"/>
    <w:rsid w:val="0021184D"/>
    <w:rsid w:val="00261677"/>
    <w:rsid w:val="00294DF8"/>
    <w:rsid w:val="003732BD"/>
    <w:rsid w:val="00374DA6"/>
    <w:rsid w:val="003E1015"/>
    <w:rsid w:val="004420A8"/>
    <w:rsid w:val="004943FA"/>
    <w:rsid w:val="004A45D1"/>
    <w:rsid w:val="00532027"/>
    <w:rsid w:val="00583285"/>
    <w:rsid w:val="005A11B6"/>
    <w:rsid w:val="007829BB"/>
    <w:rsid w:val="007A7CD9"/>
    <w:rsid w:val="008008EE"/>
    <w:rsid w:val="008375CD"/>
    <w:rsid w:val="00865361"/>
    <w:rsid w:val="00995910"/>
    <w:rsid w:val="009977D7"/>
    <w:rsid w:val="009D4B3D"/>
    <w:rsid w:val="00A47622"/>
    <w:rsid w:val="00AB70CC"/>
    <w:rsid w:val="00AF28D3"/>
    <w:rsid w:val="00B91E7B"/>
    <w:rsid w:val="00BA7AA0"/>
    <w:rsid w:val="00C13DF2"/>
    <w:rsid w:val="00CF2A7C"/>
    <w:rsid w:val="00D5098B"/>
    <w:rsid w:val="00DB291D"/>
    <w:rsid w:val="00E02446"/>
    <w:rsid w:val="00E36D8F"/>
    <w:rsid w:val="00EA51AB"/>
    <w:rsid w:val="00F01CC8"/>
    <w:rsid w:val="00F748EA"/>
    <w:rsid w:val="00F84996"/>
    <w:rsid w:val="010C29A7"/>
    <w:rsid w:val="013A307E"/>
    <w:rsid w:val="017E2C47"/>
    <w:rsid w:val="019B572F"/>
    <w:rsid w:val="01C55987"/>
    <w:rsid w:val="01CF1B37"/>
    <w:rsid w:val="01EA0C34"/>
    <w:rsid w:val="02166EE5"/>
    <w:rsid w:val="021B2D9B"/>
    <w:rsid w:val="02315DC3"/>
    <w:rsid w:val="02320A19"/>
    <w:rsid w:val="023D6C9F"/>
    <w:rsid w:val="028C2894"/>
    <w:rsid w:val="033C6DB3"/>
    <w:rsid w:val="033D0563"/>
    <w:rsid w:val="03651A4A"/>
    <w:rsid w:val="038A7BB8"/>
    <w:rsid w:val="03BB72FE"/>
    <w:rsid w:val="03EE26F0"/>
    <w:rsid w:val="040D6C9F"/>
    <w:rsid w:val="04B53012"/>
    <w:rsid w:val="04E802A8"/>
    <w:rsid w:val="05196AE4"/>
    <w:rsid w:val="05220598"/>
    <w:rsid w:val="053A20DF"/>
    <w:rsid w:val="055929F4"/>
    <w:rsid w:val="05752262"/>
    <w:rsid w:val="059A1D16"/>
    <w:rsid w:val="05CA0C00"/>
    <w:rsid w:val="05E8030B"/>
    <w:rsid w:val="05E92E76"/>
    <w:rsid w:val="06201681"/>
    <w:rsid w:val="062F2AAE"/>
    <w:rsid w:val="06585EAC"/>
    <w:rsid w:val="066A78C3"/>
    <w:rsid w:val="06836B60"/>
    <w:rsid w:val="06910C29"/>
    <w:rsid w:val="06BF1498"/>
    <w:rsid w:val="06EE1A28"/>
    <w:rsid w:val="071E1D6F"/>
    <w:rsid w:val="07260265"/>
    <w:rsid w:val="0757704E"/>
    <w:rsid w:val="0794671E"/>
    <w:rsid w:val="07A22AA6"/>
    <w:rsid w:val="081201DA"/>
    <w:rsid w:val="083629A3"/>
    <w:rsid w:val="083E09FA"/>
    <w:rsid w:val="08700A4B"/>
    <w:rsid w:val="087C47C5"/>
    <w:rsid w:val="08945ABF"/>
    <w:rsid w:val="08BF2BA6"/>
    <w:rsid w:val="08CE0F3D"/>
    <w:rsid w:val="09361F12"/>
    <w:rsid w:val="093C61C7"/>
    <w:rsid w:val="0942735D"/>
    <w:rsid w:val="09A874B1"/>
    <w:rsid w:val="09BB5BAB"/>
    <w:rsid w:val="09BD1484"/>
    <w:rsid w:val="0A542E66"/>
    <w:rsid w:val="0A57276B"/>
    <w:rsid w:val="0A7E5073"/>
    <w:rsid w:val="0A91709D"/>
    <w:rsid w:val="0AB645C8"/>
    <w:rsid w:val="0ABE3C5A"/>
    <w:rsid w:val="0AD31D1E"/>
    <w:rsid w:val="0AF805D9"/>
    <w:rsid w:val="0B102C80"/>
    <w:rsid w:val="0B14356C"/>
    <w:rsid w:val="0B286806"/>
    <w:rsid w:val="0B8C4513"/>
    <w:rsid w:val="0C6849D6"/>
    <w:rsid w:val="0D1D61EF"/>
    <w:rsid w:val="0D1F7811"/>
    <w:rsid w:val="0D444E00"/>
    <w:rsid w:val="0D50236A"/>
    <w:rsid w:val="0D616C53"/>
    <w:rsid w:val="0D6C31D5"/>
    <w:rsid w:val="0DA0292C"/>
    <w:rsid w:val="0DAD1026"/>
    <w:rsid w:val="0DF33895"/>
    <w:rsid w:val="0E4906FC"/>
    <w:rsid w:val="0E522C8D"/>
    <w:rsid w:val="0E567032"/>
    <w:rsid w:val="0E657E1B"/>
    <w:rsid w:val="0E8F28BD"/>
    <w:rsid w:val="0EEA6CDA"/>
    <w:rsid w:val="0F734B82"/>
    <w:rsid w:val="0FD43490"/>
    <w:rsid w:val="10096D8A"/>
    <w:rsid w:val="10175421"/>
    <w:rsid w:val="101E6CFD"/>
    <w:rsid w:val="10362475"/>
    <w:rsid w:val="10A558D4"/>
    <w:rsid w:val="10DC52FA"/>
    <w:rsid w:val="11290B67"/>
    <w:rsid w:val="11535CBA"/>
    <w:rsid w:val="11552E27"/>
    <w:rsid w:val="1167304F"/>
    <w:rsid w:val="117935E7"/>
    <w:rsid w:val="119679B0"/>
    <w:rsid w:val="11AD6BCF"/>
    <w:rsid w:val="11C11E45"/>
    <w:rsid w:val="120C5198"/>
    <w:rsid w:val="1218589A"/>
    <w:rsid w:val="124662A0"/>
    <w:rsid w:val="129D3BF6"/>
    <w:rsid w:val="12A15873"/>
    <w:rsid w:val="12B76584"/>
    <w:rsid w:val="12CA48F8"/>
    <w:rsid w:val="12CF7E9E"/>
    <w:rsid w:val="130D74DA"/>
    <w:rsid w:val="13C66D14"/>
    <w:rsid w:val="14381A56"/>
    <w:rsid w:val="1448725F"/>
    <w:rsid w:val="14783ECD"/>
    <w:rsid w:val="147F0BD5"/>
    <w:rsid w:val="14962013"/>
    <w:rsid w:val="14A24278"/>
    <w:rsid w:val="14E51EBF"/>
    <w:rsid w:val="15104FD3"/>
    <w:rsid w:val="15122FBD"/>
    <w:rsid w:val="15155EEC"/>
    <w:rsid w:val="15CD59F3"/>
    <w:rsid w:val="15D70172"/>
    <w:rsid w:val="15DE2C6A"/>
    <w:rsid w:val="15E741AC"/>
    <w:rsid w:val="16192252"/>
    <w:rsid w:val="16440B30"/>
    <w:rsid w:val="165D3BC9"/>
    <w:rsid w:val="16AB1510"/>
    <w:rsid w:val="16B27BA2"/>
    <w:rsid w:val="16CE01BA"/>
    <w:rsid w:val="16DC505C"/>
    <w:rsid w:val="16DD16E0"/>
    <w:rsid w:val="16E66865"/>
    <w:rsid w:val="16EE0DC7"/>
    <w:rsid w:val="16FD49E0"/>
    <w:rsid w:val="1710132E"/>
    <w:rsid w:val="171113A8"/>
    <w:rsid w:val="172F67DB"/>
    <w:rsid w:val="174E0008"/>
    <w:rsid w:val="17AD10D5"/>
    <w:rsid w:val="17E950BE"/>
    <w:rsid w:val="18044130"/>
    <w:rsid w:val="181149F2"/>
    <w:rsid w:val="183670E1"/>
    <w:rsid w:val="18B56304"/>
    <w:rsid w:val="18D56AE5"/>
    <w:rsid w:val="18F1277D"/>
    <w:rsid w:val="18FF4DE2"/>
    <w:rsid w:val="19334AC5"/>
    <w:rsid w:val="19821213"/>
    <w:rsid w:val="19957E49"/>
    <w:rsid w:val="19C8324B"/>
    <w:rsid w:val="1A150276"/>
    <w:rsid w:val="1A1764EA"/>
    <w:rsid w:val="1A352297"/>
    <w:rsid w:val="1A7D331F"/>
    <w:rsid w:val="1AC7425F"/>
    <w:rsid w:val="1ADA0D03"/>
    <w:rsid w:val="1ADB45D0"/>
    <w:rsid w:val="1B093958"/>
    <w:rsid w:val="1B230206"/>
    <w:rsid w:val="1B2D1265"/>
    <w:rsid w:val="1B355C3B"/>
    <w:rsid w:val="1B511BE1"/>
    <w:rsid w:val="1B6263A2"/>
    <w:rsid w:val="1B821905"/>
    <w:rsid w:val="1B9705C1"/>
    <w:rsid w:val="1BE63143"/>
    <w:rsid w:val="1C5036B8"/>
    <w:rsid w:val="1C5D2E8D"/>
    <w:rsid w:val="1C764477"/>
    <w:rsid w:val="1C913EC9"/>
    <w:rsid w:val="1CB353D0"/>
    <w:rsid w:val="1CB36EF1"/>
    <w:rsid w:val="1CDA4C10"/>
    <w:rsid w:val="1CF7229F"/>
    <w:rsid w:val="1D26100F"/>
    <w:rsid w:val="1D5664D9"/>
    <w:rsid w:val="1D97682D"/>
    <w:rsid w:val="1DDA2C56"/>
    <w:rsid w:val="1DF331E4"/>
    <w:rsid w:val="1E246271"/>
    <w:rsid w:val="1E362BDF"/>
    <w:rsid w:val="1E3F3C23"/>
    <w:rsid w:val="1E4710E4"/>
    <w:rsid w:val="1E6A2573"/>
    <w:rsid w:val="1EAA6714"/>
    <w:rsid w:val="1EE1256C"/>
    <w:rsid w:val="1EE57770"/>
    <w:rsid w:val="1EF2692C"/>
    <w:rsid w:val="1F217C45"/>
    <w:rsid w:val="1F491095"/>
    <w:rsid w:val="1F7E2BC9"/>
    <w:rsid w:val="1F8C30CF"/>
    <w:rsid w:val="1FA001D4"/>
    <w:rsid w:val="1FDA19BA"/>
    <w:rsid w:val="1FF13C52"/>
    <w:rsid w:val="200F7A30"/>
    <w:rsid w:val="2015625A"/>
    <w:rsid w:val="2020222B"/>
    <w:rsid w:val="209D4F1D"/>
    <w:rsid w:val="20B24C2B"/>
    <w:rsid w:val="20C11509"/>
    <w:rsid w:val="20D7736E"/>
    <w:rsid w:val="20F42F4A"/>
    <w:rsid w:val="21B74056"/>
    <w:rsid w:val="21C86277"/>
    <w:rsid w:val="21E918BD"/>
    <w:rsid w:val="21F54CDA"/>
    <w:rsid w:val="21FE4897"/>
    <w:rsid w:val="223F5351"/>
    <w:rsid w:val="22827278"/>
    <w:rsid w:val="22A01DEE"/>
    <w:rsid w:val="22A66EBA"/>
    <w:rsid w:val="22AB78C8"/>
    <w:rsid w:val="22BD71A3"/>
    <w:rsid w:val="22BE66AF"/>
    <w:rsid w:val="22D8653A"/>
    <w:rsid w:val="2366253B"/>
    <w:rsid w:val="23A4762F"/>
    <w:rsid w:val="23C66452"/>
    <w:rsid w:val="23C81640"/>
    <w:rsid w:val="23CD6011"/>
    <w:rsid w:val="241620AC"/>
    <w:rsid w:val="24253466"/>
    <w:rsid w:val="24877E13"/>
    <w:rsid w:val="24940F3E"/>
    <w:rsid w:val="24BC2899"/>
    <w:rsid w:val="25014518"/>
    <w:rsid w:val="252C0867"/>
    <w:rsid w:val="254933B7"/>
    <w:rsid w:val="255E4F9C"/>
    <w:rsid w:val="256718B5"/>
    <w:rsid w:val="25854E57"/>
    <w:rsid w:val="2587337B"/>
    <w:rsid w:val="25BF4477"/>
    <w:rsid w:val="25E1304A"/>
    <w:rsid w:val="25FE5909"/>
    <w:rsid w:val="26331672"/>
    <w:rsid w:val="263A7F07"/>
    <w:rsid w:val="265F470B"/>
    <w:rsid w:val="26D6241A"/>
    <w:rsid w:val="272261BA"/>
    <w:rsid w:val="27FA0B5F"/>
    <w:rsid w:val="281A0CFC"/>
    <w:rsid w:val="28BD2DDD"/>
    <w:rsid w:val="28D112C8"/>
    <w:rsid w:val="29630369"/>
    <w:rsid w:val="298A0811"/>
    <w:rsid w:val="29974216"/>
    <w:rsid w:val="29B43DA5"/>
    <w:rsid w:val="29D028FB"/>
    <w:rsid w:val="29E85065"/>
    <w:rsid w:val="29EC3E5F"/>
    <w:rsid w:val="29FD608A"/>
    <w:rsid w:val="2A5E6627"/>
    <w:rsid w:val="2A8B10D1"/>
    <w:rsid w:val="2AAA1765"/>
    <w:rsid w:val="2AAC4A91"/>
    <w:rsid w:val="2ABB0F6A"/>
    <w:rsid w:val="2AEB3CCA"/>
    <w:rsid w:val="2AEF3CDD"/>
    <w:rsid w:val="2B3F5104"/>
    <w:rsid w:val="2B674A9B"/>
    <w:rsid w:val="2BD02DC0"/>
    <w:rsid w:val="2C055CC8"/>
    <w:rsid w:val="2C7509D2"/>
    <w:rsid w:val="2C8920CD"/>
    <w:rsid w:val="2CD402CF"/>
    <w:rsid w:val="2CE44275"/>
    <w:rsid w:val="2CE90260"/>
    <w:rsid w:val="2CFB2DBA"/>
    <w:rsid w:val="2D2F6547"/>
    <w:rsid w:val="2D551F66"/>
    <w:rsid w:val="2D8E05DB"/>
    <w:rsid w:val="2DAC4650"/>
    <w:rsid w:val="2DC10904"/>
    <w:rsid w:val="2DD10D8A"/>
    <w:rsid w:val="2E052C34"/>
    <w:rsid w:val="2E1F0386"/>
    <w:rsid w:val="2E665E90"/>
    <w:rsid w:val="2EA913F6"/>
    <w:rsid w:val="2EB06303"/>
    <w:rsid w:val="2EFA6722"/>
    <w:rsid w:val="2F006E87"/>
    <w:rsid w:val="2F0D0257"/>
    <w:rsid w:val="2F1D07AD"/>
    <w:rsid w:val="2F260B27"/>
    <w:rsid w:val="2F3653E9"/>
    <w:rsid w:val="2F914072"/>
    <w:rsid w:val="2F955AA0"/>
    <w:rsid w:val="2FA35503"/>
    <w:rsid w:val="2FE328B0"/>
    <w:rsid w:val="30400D46"/>
    <w:rsid w:val="305672F0"/>
    <w:rsid w:val="305829B3"/>
    <w:rsid w:val="30632575"/>
    <w:rsid w:val="30707B05"/>
    <w:rsid w:val="30787087"/>
    <w:rsid w:val="30E459C5"/>
    <w:rsid w:val="30F7674E"/>
    <w:rsid w:val="30F9223D"/>
    <w:rsid w:val="31826D41"/>
    <w:rsid w:val="31831A61"/>
    <w:rsid w:val="320E28CA"/>
    <w:rsid w:val="32345ABE"/>
    <w:rsid w:val="323D3A27"/>
    <w:rsid w:val="32634148"/>
    <w:rsid w:val="32A51025"/>
    <w:rsid w:val="32BF1556"/>
    <w:rsid w:val="32D525B4"/>
    <w:rsid w:val="330777A6"/>
    <w:rsid w:val="334F7BCF"/>
    <w:rsid w:val="337323D5"/>
    <w:rsid w:val="33B90D98"/>
    <w:rsid w:val="33F873D0"/>
    <w:rsid w:val="34392581"/>
    <w:rsid w:val="34605068"/>
    <w:rsid w:val="34E80493"/>
    <w:rsid w:val="34FB1BBD"/>
    <w:rsid w:val="34FD6485"/>
    <w:rsid w:val="35121199"/>
    <w:rsid w:val="353A0D3B"/>
    <w:rsid w:val="35CC22FE"/>
    <w:rsid w:val="35E61DAA"/>
    <w:rsid w:val="35EA531E"/>
    <w:rsid w:val="360C4478"/>
    <w:rsid w:val="36132E2D"/>
    <w:rsid w:val="36351C0A"/>
    <w:rsid w:val="36380B94"/>
    <w:rsid w:val="363C4175"/>
    <w:rsid w:val="36406931"/>
    <w:rsid w:val="366E0277"/>
    <w:rsid w:val="36E40CBA"/>
    <w:rsid w:val="37231EA5"/>
    <w:rsid w:val="37535CD6"/>
    <w:rsid w:val="37D83C1B"/>
    <w:rsid w:val="37EB2F6C"/>
    <w:rsid w:val="387F1BA7"/>
    <w:rsid w:val="390724AF"/>
    <w:rsid w:val="392A2814"/>
    <w:rsid w:val="39383609"/>
    <w:rsid w:val="398F5612"/>
    <w:rsid w:val="39CF595C"/>
    <w:rsid w:val="39DD71EF"/>
    <w:rsid w:val="39EC25B5"/>
    <w:rsid w:val="3A6363AA"/>
    <w:rsid w:val="3A7F32E6"/>
    <w:rsid w:val="3B521897"/>
    <w:rsid w:val="3B8275BA"/>
    <w:rsid w:val="3BBB7350"/>
    <w:rsid w:val="3BDF7A46"/>
    <w:rsid w:val="3BEE417D"/>
    <w:rsid w:val="3C36744D"/>
    <w:rsid w:val="3C4736A7"/>
    <w:rsid w:val="3C5549F3"/>
    <w:rsid w:val="3C6719E7"/>
    <w:rsid w:val="3C8E3DE0"/>
    <w:rsid w:val="3CAA23F7"/>
    <w:rsid w:val="3CD15835"/>
    <w:rsid w:val="3D857261"/>
    <w:rsid w:val="3DAF5B3C"/>
    <w:rsid w:val="3DB10B43"/>
    <w:rsid w:val="3DD02385"/>
    <w:rsid w:val="3DD817B8"/>
    <w:rsid w:val="3DF97B04"/>
    <w:rsid w:val="3E222D73"/>
    <w:rsid w:val="3EBB6878"/>
    <w:rsid w:val="3ED40526"/>
    <w:rsid w:val="3ED63F28"/>
    <w:rsid w:val="3ED94E49"/>
    <w:rsid w:val="3F40184C"/>
    <w:rsid w:val="3FB051C6"/>
    <w:rsid w:val="3FBB575D"/>
    <w:rsid w:val="3FD0219C"/>
    <w:rsid w:val="3FDC17EC"/>
    <w:rsid w:val="40477CDF"/>
    <w:rsid w:val="40902A29"/>
    <w:rsid w:val="40987BF4"/>
    <w:rsid w:val="40A40676"/>
    <w:rsid w:val="40B30F26"/>
    <w:rsid w:val="40C30487"/>
    <w:rsid w:val="40C65C85"/>
    <w:rsid w:val="40D36BB3"/>
    <w:rsid w:val="41100D3D"/>
    <w:rsid w:val="41472DBE"/>
    <w:rsid w:val="417A7B3F"/>
    <w:rsid w:val="42314DB0"/>
    <w:rsid w:val="42521640"/>
    <w:rsid w:val="42855C61"/>
    <w:rsid w:val="42E63350"/>
    <w:rsid w:val="43353F64"/>
    <w:rsid w:val="43684CAC"/>
    <w:rsid w:val="439D3C31"/>
    <w:rsid w:val="43D07772"/>
    <w:rsid w:val="43DC054A"/>
    <w:rsid w:val="43E81DCF"/>
    <w:rsid w:val="43FB252A"/>
    <w:rsid w:val="44331D73"/>
    <w:rsid w:val="44903884"/>
    <w:rsid w:val="44BA6043"/>
    <w:rsid w:val="44DA2CDE"/>
    <w:rsid w:val="454D1AF8"/>
    <w:rsid w:val="45517578"/>
    <w:rsid w:val="45534B2C"/>
    <w:rsid w:val="455F15BF"/>
    <w:rsid w:val="45B06014"/>
    <w:rsid w:val="45F12590"/>
    <w:rsid w:val="45FC4CEC"/>
    <w:rsid w:val="46333F7E"/>
    <w:rsid w:val="46581CAF"/>
    <w:rsid w:val="46603549"/>
    <w:rsid w:val="46646475"/>
    <w:rsid w:val="46660698"/>
    <w:rsid w:val="46BC7CB0"/>
    <w:rsid w:val="47057275"/>
    <w:rsid w:val="470D17B1"/>
    <w:rsid w:val="470E4C45"/>
    <w:rsid w:val="47241FF3"/>
    <w:rsid w:val="47454868"/>
    <w:rsid w:val="47682039"/>
    <w:rsid w:val="47BF2DC2"/>
    <w:rsid w:val="47C4478F"/>
    <w:rsid w:val="47DE106E"/>
    <w:rsid w:val="48454D45"/>
    <w:rsid w:val="48745D8C"/>
    <w:rsid w:val="48890D92"/>
    <w:rsid w:val="48971346"/>
    <w:rsid w:val="4897390F"/>
    <w:rsid w:val="489D03DE"/>
    <w:rsid w:val="48A93D4A"/>
    <w:rsid w:val="48AE23F1"/>
    <w:rsid w:val="48B16F13"/>
    <w:rsid w:val="48CF4393"/>
    <w:rsid w:val="48DC7F20"/>
    <w:rsid w:val="491A69B6"/>
    <w:rsid w:val="495922EE"/>
    <w:rsid w:val="49636ECA"/>
    <w:rsid w:val="49877780"/>
    <w:rsid w:val="49A73F0E"/>
    <w:rsid w:val="49B064A2"/>
    <w:rsid w:val="49E154C5"/>
    <w:rsid w:val="49E25AA9"/>
    <w:rsid w:val="4A105FFF"/>
    <w:rsid w:val="4A4366BA"/>
    <w:rsid w:val="4AB166C6"/>
    <w:rsid w:val="4AB54C8F"/>
    <w:rsid w:val="4ABA4C7D"/>
    <w:rsid w:val="4ACF3AC2"/>
    <w:rsid w:val="4ACF507B"/>
    <w:rsid w:val="4B070AE2"/>
    <w:rsid w:val="4B1470B2"/>
    <w:rsid w:val="4B4549E0"/>
    <w:rsid w:val="4B580AD6"/>
    <w:rsid w:val="4B832D06"/>
    <w:rsid w:val="4B9B4694"/>
    <w:rsid w:val="4B9D5A2D"/>
    <w:rsid w:val="4C011845"/>
    <w:rsid w:val="4C0A38D9"/>
    <w:rsid w:val="4C120893"/>
    <w:rsid w:val="4C576F62"/>
    <w:rsid w:val="4C64174A"/>
    <w:rsid w:val="4C8E4C09"/>
    <w:rsid w:val="4CA85A8C"/>
    <w:rsid w:val="4CBD741F"/>
    <w:rsid w:val="4CD81A15"/>
    <w:rsid w:val="4CDB6B8E"/>
    <w:rsid w:val="4CFF0FA9"/>
    <w:rsid w:val="4D5F5F16"/>
    <w:rsid w:val="4D912EE1"/>
    <w:rsid w:val="4DC02368"/>
    <w:rsid w:val="4DC4420C"/>
    <w:rsid w:val="4E5B7865"/>
    <w:rsid w:val="4E722E76"/>
    <w:rsid w:val="4E844596"/>
    <w:rsid w:val="4EB773CB"/>
    <w:rsid w:val="4EDD5208"/>
    <w:rsid w:val="4F124E4E"/>
    <w:rsid w:val="4F52769C"/>
    <w:rsid w:val="4F675497"/>
    <w:rsid w:val="4F7870C7"/>
    <w:rsid w:val="4F7D34CB"/>
    <w:rsid w:val="4F7E1483"/>
    <w:rsid w:val="4F9746D4"/>
    <w:rsid w:val="503E302E"/>
    <w:rsid w:val="50464620"/>
    <w:rsid w:val="504A5719"/>
    <w:rsid w:val="509953FA"/>
    <w:rsid w:val="51184F8B"/>
    <w:rsid w:val="511D4A3B"/>
    <w:rsid w:val="515A18E7"/>
    <w:rsid w:val="517344C2"/>
    <w:rsid w:val="51AF1CA5"/>
    <w:rsid w:val="527823BA"/>
    <w:rsid w:val="52847E60"/>
    <w:rsid w:val="530B0FED"/>
    <w:rsid w:val="53126824"/>
    <w:rsid w:val="5323477E"/>
    <w:rsid w:val="532B0A96"/>
    <w:rsid w:val="5367725C"/>
    <w:rsid w:val="53A85C2F"/>
    <w:rsid w:val="53D55C19"/>
    <w:rsid w:val="53D64FBC"/>
    <w:rsid w:val="53E16732"/>
    <w:rsid w:val="53FC193A"/>
    <w:rsid w:val="54063B34"/>
    <w:rsid w:val="543B005B"/>
    <w:rsid w:val="546A0527"/>
    <w:rsid w:val="547E5EFE"/>
    <w:rsid w:val="54972C59"/>
    <w:rsid w:val="54F61DD6"/>
    <w:rsid w:val="54FB15F8"/>
    <w:rsid w:val="55376399"/>
    <w:rsid w:val="554C6397"/>
    <w:rsid w:val="554C6FD0"/>
    <w:rsid w:val="556E4017"/>
    <w:rsid w:val="55F67F33"/>
    <w:rsid w:val="56285A2C"/>
    <w:rsid w:val="566626E8"/>
    <w:rsid w:val="56840263"/>
    <w:rsid w:val="56E262A5"/>
    <w:rsid w:val="57074657"/>
    <w:rsid w:val="570E4120"/>
    <w:rsid w:val="572800A6"/>
    <w:rsid w:val="57391C08"/>
    <w:rsid w:val="577E0F71"/>
    <w:rsid w:val="57913C91"/>
    <w:rsid w:val="57932768"/>
    <w:rsid w:val="57A03481"/>
    <w:rsid w:val="57BB4CCE"/>
    <w:rsid w:val="5814572D"/>
    <w:rsid w:val="582112FA"/>
    <w:rsid w:val="583478BD"/>
    <w:rsid w:val="586220E4"/>
    <w:rsid w:val="587A63AB"/>
    <w:rsid w:val="58D042A8"/>
    <w:rsid w:val="58DB479F"/>
    <w:rsid w:val="590A07A8"/>
    <w:rsid w:val="591359F5"/>
    <w:rsid w:val="594A146B"/>
    <w:rsid w:val="599928A8"/>
    <w:rsid w:val="599C2499"/>
    <w:rsid w:val="5A0064C5"/>
    <w:rsid w:val="5A2967DE"/>
    <w:rsid w:val="5A7C0E3C"/>
    <w:rsid w:val="5AAA5F2F"/>
    <w:rsid w:val="5AF75F94"/>
    <w:rsid w:val="5B66359B"/>
    <w:rsid w:val="5BB51C5E"/>
    <w:rsid w:val="5C1062BD"/>
    <w:rsid w:val="5C531FF4"/>
    <w:rsid w:val="5C545DD6"/>
    <w:rsid w:val="5C5736B5"/>
    <w:rsid w:val="5C790D79"/>
    <w:rsid w:val="5CAE745A"/>
    <w:rsid w:val="5CB668AA"/>
    <w:rsid w:val="5CBF6742"/>
    <w:rsid w:val="5CC25760"/>
    <w:rsid w:val="5CD31D5D"/>
    <w:rsid w:val="5D0E012C"/>
    <w:rsid w:val="5D197A04"/>
    <w:rsid w:val="5D574BAF"/>
    <w:rsid w:val="5D820EAB"/>
    <w:rsid w:val="5D866949"/>
    <w:rsid w:val="5E034C6A"/>
    <w:rsid w:val="5E4D4914"/>
    <w:rsid w:val="5E513A11"/>
    <w:rsid w:val="5EB15004"/>
    <w:rsid w:val="5EB4410A"/>
    <w:rsid w:val="5EB6332B"/>
    <w:rsid w:val="5F413254"/>
    <w:rsid w:val="5F48111D"/>
    <w:rsid w:val="5F542BDA"/>
    <w:rsid w:val="5F8D4DD5"/>
    <w:rsid w:val="5F9A0B2D"/>
    <w:rsid w:val="5FAE1DFB"/>
    <w:rsid w:val="5FD91DC4"/>
    <w:rsid w:val="603E1175"/>
    <w:rsid w:val="605909FC"/>
    <w:rsid w:val="60645724"/>
    <w:rsid w:val="609A227F"/>
    <w:rsid w:val="60B5622F"/>
    <w:rsid w:val="60C71ADD"/>
    <w:rsid w:val="6160734D"/>
    <w:rsid w:val="621653FF"/>
    <w:rsid w:val="6221354F"/>
    <w:rsid w:val="626E165E"/>
    <w:rsid w:val="629570DD"/>
    <w:rsid w:val="62A51D42"/>
    <w:rsid w:val="62CC4C09"/>
    <w:rsid w:val="63023035"/>
    <w:rsid w:val="63236FCB"/>
    <w:rsid w:val="63313733"/>
    <w:rsid w:val="635C1823"/>
    <w:rsid w:val="639858BE"/>
    <w:rsid w:val="63D65F21"/>
    <w:rsid w:val="63EB43E7"/>
    <w:rsid w:val="63EC2743"/>
    <w:rsid w:val="63F660B1"/>
    <w:rsid w:val="64226269"/>
    <w:rsid w:val="642D4CAA"/>
    <w:rsid w:val="643967C2"/>
    <w:rsid w:val="64935A44"/>
    <w:rsid w:val="6494069E"/>
    <w:rsid w:val="64F951FF"/>
    <w:rsid w:val="65002607"/>
    <w:rsid w:val="652278A6"/>
    <w:rsid w:val="652E2696"/>
    <w:rsid w:val="65327C34"/>
    <w:rsid w:val="65440AF5"/>
    <w:rsid w:val="65D612F9"/>
    <w:rsid w:val="65DA0542"/>
    <w:rsid w:val="65F50BAE"/>
    <w:rsid w:val="65FF427C"/>
    <w:rsid w:val="660042F0"/>
    <w:rsid w:val="66201E86"/>
    <w:rsid w:val="66331A67"/>
    <w:rsid w:val="667C0BBD"/>
    <w:rsid w:val="66B334A0"/>
    <w:rsid w:val="66BC35E5"/>
    <w:rsid w:val="67157540"/>
    <w:rsid w:val="672F48E2"/>
    <w:rsid w:val="67630D20"/>
    <w:rsid w:val="67AA25B3"/>
    <w:rsid w:val="67AE0E7A"/>
    <w:rsid w:val="67ED5E50"/>
    <w:rsid w:val="67F37BE8"/>
    <w:rsid w:val="680F58B4"/>
    <w:rsid w:val="68414DEA"/>
    <w:rsid w:val="686C6358"/>
    <w:rsid w:val="68784875"/>
    <w:rsid w:val="68853E97"/>
    <w:rsid w:val="68880596"/>
    <w:rsid w:val="689E6B3C"/>
    <w:rsid w:val="68BC77D1"/>
    <w:rsid w:val="68CC231E"/>
    <w:rsid w:val="690276BC"/>
    <w:rsid w:val="696E297A"/>
    <w:rsid w:val="696F5637"/>
    <w:rsid w:val="69762E36"/>
    <w:rsid w:val="6A081A42"/>
    <w:rsid w:val="6A1C6D62"/>
    <w:rsid w:val="6A5A647F"/>
    <w:rsid w:val="6ACF4367"/>
    <w:rsid w:val="6AD24527"/>
    <w:rsid w:val="6AD61432"/>
    <w:rsid w:val="6B014E7A"/>
    <w:rsid w:val="6BD419A2"/>
    <w:rsid w:val="6BE713B7"/>
    <w:rsid w:val="6C2815B2"/>
    <w:rsid w:val="6CF54099"/>
    <w:rsid w:val="6D550BFD"/>
    <w:rsid w:val="6D551685"/>
    <w:rsid w:val="6D5A254D"/>
    <w:rsid w:val="6D5E2AE8"/>
    <w:rsid w:val="6D8B5A68"/>
    <w:rsid w:val="6D8F189F"/>
    <w:rsid w:val="6D953E53"/>
    <w:rsid w:val="6D962DD9"/>
    <w:rsid w:val="6DB64F7C"/>
    <w:rsid w:val="6DD43BBB"/>
    <w:rsid w:val="6E0148B3"/>
    <w:rsid w:val="6E031251"/>
    <w:rsid w:val="6E4142B1"/>
    <w:rsid w:val="6E593129"/>
    <w:rsid w:val="6EDB6B60"/>
    <w:rsid w:val="6EEB1E9B"/>
    <w:rsid w:val="6F54325B"/>
    <w:rsid w:val="6F64237C"/>
    <w:rsid w:val="6F8079AB"/>
    <w:rsid w:val="6F963D08"/>
    <w:rsid w:val="6FD30EFB"/>
    <w:rsid w:val="6FFF3E93"/>
    <w:rsid w:val="702E0C02"/>
    <w:rsid w:val="704C6060"/>
    <w:rsid w:val="704E6133"/>
    <w:rsid w:val="70614264"/>
    <w:rsid w:val="70B11F8C"/>
    <w:rsid w:val="70C76292"/>
    <w:rsid w:val="70EE6FD7"/>
    <w:rsid w:val="71CC3BC2"/>
    <w:rsid w:val="72A96148"/>
    <w:rsid w:val="72B82F6D"/>
    <w:rsid w:val="73121083"/>
    <w:rsid w:val="73192526"/>
    <w:rsid w:val="731B7E5F"/>
    <w:rsid w:val="734635D6"/>
    <w:rsid w:val="73494B3A"/>
    <w:rsid w:val="738275F9"/>
    <w:rsid w:val="74143D54"/>
    <w:rsid w:val="74304B90"/>
    <w:rsid w:val="7498630D"/>
    <w:rsid w:val="753B1A05"/>
    <w:rsid w:val="75427B8A"/>
    <w:rsid w:val="755128AA"/>
    <w:rsid w:val="75625F61"/>
    <w:rsid w:val="75704CD3"/>
    <w:rsid w:val="75861A03"/>
    <w:rsid w:val="75AB6514"/>
    <w:rsid w:val="765B5425"/>
    <w:rsid w:val="76673B0F"/>
    <w:rsid w:val="769726D0"/>
    <w:rsid w:val="76E75C5E"/>
    <w:rsid w:val="77514124"/>
    <w:rsid w:val="77540B09"/>
    <w:rsid w:val="7770715E"/>
    <w:rsid w:val="777A0AA5"/>
    <w:rsid w:val="77CB5187"/>
    <w:rsid w:val="77E92B96"/>
    <w:rsid w:val="77F5032A"/>
    <w:rsid w:val="77FD0D00"/>
    <w:rsid w:val="77FF2424"/>
    <w:rsid w:val="782A3BA2"/>
    <w:rsid w:val="78415982"/>
    <w:rsid w:val="78607EA0"/>
    <w:rsid w:val="78AD3289"/>
    <w:rsid w:val="78AD5C8F"/>
    <w:rsid w:val="78C4617B"/>
    <w:rsid w:val="78FB7897"/>
    <w:rsid w:val="795530FC"/>
    <w:rsid w:val="796B4C93"/>
    <w:rsid w:val="797D0DAE"/>
    <w:rsid w:val="79A00B5F"/>
    <w:rsid w:val="79AC762A"/>
    <w:rsid w:val="79B26F55"/>
    <w:rsid w:val="79F733E6"/>
    <w:rsid w:val="7A5B0298"/>
    <w:rsid w:val="7A650814"/>
    <w:rsid w:val="7ABE263D"/>
    <w:rsid w:val="7B16253C"/>
    <w:rsid w:val="7BAC2841"/>
    <w:rsid w:val="7BDF1E78"/>
    <w:rsid w:val="7C115B2E"/>
    <w:rsid w:val="7C147B79"/>
    <w:rsid w:val="7C9E2421"/>
    <w:rsid w:val="7CB610BD"/>
    <w:rsid w:val="7CC72A7D"/>
    <w:rsid w:val="7CCE3A54"/>
    <w:rsid w:val="7CF10754"/>
    <w:rsid w:val="7CFB58AB"/>
    <w:rsid w:val="7D323129"/>
    <w:rsid w:val="7D4010FC"/>
    <w:rsid w:val="7D7C3268"/>
    <w:rsid w:val="7D806D24"/>
    <w:rsid w:val="7DB82310"/>
    <w:rsid w:val="7DDF2B76"/>
    <w:rsid w:val="7E416EFE"/>
    <w:rsid w:val="7E794027"/>
    <w:rsid w:val="7E8D3D04"/>
    <w:rsid w:val="7E9477C2"/>
    <w:rsid w:val="7EA3121C"/>
    <w:rsid w:val="7EA778EC"/>
    <w:rsid w:val="7EB019B8"/>
    <w:rsid w:val="7EBC3552"/>
    <w:rsid w:val="7F0A0AED"/>
    <w:rsid w:val="7F1A6A35"/>
    <w:rsid w:val="7F5F47E1"/>
    <w:rsid w:val="7F8C4447"/>
    <w:rsid w:val="7FE422A8"/>
    <w:rsid w:val="7FE44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Normal Indent"/>
    <w:basedOn w:val="1"/>
    <w:unhideWhenUsed/>
    <w:qFormat/>
    <w:uiPriority w:val="0"/>
    <w:pPr>
      <w:snapToGrid w:val="0"/>
      <w:ind w:firstLine="556"/>
    </w:pPr>
    <w:rPr>
      <w:rFonts w:ascii="仿宋_GB2312" w:eastAsia="仿宋_GB2312"/>
      <w:kern w:val="0"/>
      <w:szCs w:val="20"/>
      <w:lang w:val="zh-CN"/>
    </w:rPr>
  </w:style>
  <w:style w:type="paragraph" w:styleId="6">
    <w:name w:val="annotation text"/>
    <w:basedOn w:val="1"/>
    <w:link w:val="44"/>
    <w:qFormat/>
    <w:uiPriority w:val="0"/>
    <w:pPr>
      <w:jc w:val="left"/>
    </w:pPr>
  </w:style>
  <w:style w:type="paragraph" w:styleId="7">
    <w:name w:val="Balloon Text"/>
    <w:basedOn w:val="1"/>
    <w:link w:val="43"/>
    <w:qFormat/>
    <w:uiPriority w:val="0"/>
    <w:rPr>
      <w:sz w:val="18"/>
      <w:szCs w:val="18"/>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annotation subject"/>
    <w:basedOn w:val="6"/>
    <w:next w:val="6"/>
    <w:link w:val="45"/>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FollowedHyperlink"/>
    <w:basedOn w:val="15"/>
    <w:qFormat/>
    <w:uiPriority w:val="0"/>
    <w:rPr>
      <w:color w:val="333333"/>
      <w:u w:val="none"/>
    </w:rPr>
  </w:style>
  <w:style w:type="character" w:styleId="18">
    <w:name w:val="Emphasis"/>
    <w:basedOn w:val="15"/>
    <w:qFormat/>
    <w:uiPriority w:val="0"/>
  </w:style>
  <w:style w:type="character" w:styleId="19">
    <w:name w:val="HTML Definition"/>
    <w:basedOn w:val="15"/>
    <w:qFormat/>
    <w:uiPriority w:val="0"/>
    <w:rPr>
      <w:i/>
      <w:color w:val="CC0000"/>
    </w:rPr>
  </w:style>
  <w:style w:type="character" w:styleId="20">
    <w:name w:val="Hyperlink"/>
    <w:basedOn w:val="15"/>
    <w:qFormat/>
    <w:uiPriority w:val="0"/>
    <w:rPr>
      <w:color w:val="333333"/>
      <w:u w:val="none"/>
    </w:rPr>
  </w:style>
  <w:style w:type="character" w:styleId="21">
    <w:name w:val="HTML Code"/>
    <w:basedOn w:val="15"/>
    <w:qFormat/>
    <w:uiPriority w:val="0"/>
    <w:rPr>
      <w:rFonts w:hint="default" w:ascii="Consolas" w:hAnsi="Consolas" w:eastAsia="Consolas" w:cs="Consolas"/>
      <w:color w:val="C7254E"/>
      <w:sz w:val="21"/>
      <w:szCs w:val="21"/>
      <w:shd w:val="clear" w:color="auto" w:fill="F9F2F4"/>
    </w:rPr>
  </w:style>
  <w:style w:type="character" w:styleId="22">
    <w:name w:val="annotation reference"/>
    <w:basedOn w:val="15"/>
    <w:qFormat/>
    <w:uiPriority w:val="0"/>
    <w:rPr>
      <w:sz w:val="21"/>
      <w:szCs w:val="21"/>
    </w:rPr>
  </w:style>
  <w:style w:type="character" w:styleId="23">
    <w:name w:val="HTML Keyboard"/>
    <w:basedOn w:val="15"/>
    <w:qFormat/>
    <w:uiPriority w:val="0"/>
    <w:rPr>
      <w:rFonts w:ascii="Consolas" w:hAnsi="Consolas" w:eastAsia="Consolas" w:cs="Consolas"/>
      <w:color w:val="FFFFFF"/>
      <w:sz w:val="21"/>
      <w:szCs w:val="21"/>
      <w:shd w:val="clear" w:color="auto" w:fill="333333"/>
    </w:rPr>
  </w:style>
  <w:style w:type="character" w:styleId="24">
    <w:name w:val="HTML Sample"/>
    <w:basedOn w:val="15"/>
    <w:qFormat/>
    <w:uiPriority w:val="0"/>
    <w:rPr>
      <w:rFonts w:hint="default" w:ascii="Consolas" w:hAnsi="Consolas" w:eastAsia="Consolas" w:cs="Consolas"/>
      <w:sz w:val="21"/>
      <w:szCs w:val="21"/>
    </w:rPr>
  </w:style>
  <w:style w:type="character" w:customStyle="1" w:styleId="25">
    <w:name w:val="标题 1 Char"/>
    <w:link w:val="2"/>
    <w:qFormat/>
    <w:uiPriority w:val="0"/>
    <w:rPr>
      <w:b/>
      <w:kern w:val="44"/>
      <w:sz w:val="44"/>
    </w:rPr>
  </w:style>
  <w:style w:type="character" w:customStyle="1" w:styleId="26">
    <w:name w:val="font21"/>
    <w:basedOn w:val="15"/>
    <w:qFormat/>
    <w:uiPriority w:val="0"/>
    <w:rPr>
      <w:rFonts w:hint="eastAsia" w:ascii="宋体" w:hAnsi="宋体" w:eastAsia="宋体" w:cs="宋体"/>
      <w:color w:val="000000"/>
      <w:sz w:val="20"/>
      <w:szCs w:val="20"/>
      <w:u w:val="none"/>
    </w:rPr>
  </w:style>
  <w:style w:type="character" w:customStyle="1" w:styleId="27">
    <w:name w:val="font01"/>
    <w:basedOn w:val="15"/>
    <w:qFormat/>
    <w:uiPriority w:val="0"/>
    <w:rPr>
      <w:rFonts w:hint="eastAsia" w:ascii="宋体" w:hAnsi="宋体" w:eastAsia="宋体" w:cs="宋体"/>
      <w:color w:val="0C0C0C"/>
      <w:sz w:val="20"/>
      <w:szCs w:val="20"/>
      <w:u w:val="none"/>
    </w:rPr>
  </w:style>
  <w:style w:type="character" w:customStyle="1" w:styleId="28">
    <w:name w:val="font11"/>
    <w:basedOn w:val="15"/>
    <w:qFormat/>
    <w:uiPriority w:val="0"/>
    <w:rPr>
      <w:rFonts w:hint="eastAsia" w:ascii="宋体" w:hAnsi="宋体" w:eastAsia="宋体" w:cs="宋体"/>
      <w:color w:val="000000"/>
      <w:sz w:val="20"/>
      <w:szCs w:val="20"/>
      <w:u w:val="none"/>
    </w:rPr>
  </w:style>
  <w:style w:type="character" w:customStyle="1" w:styleId="29">
    <w:name w:val="jedateymchok"/>
    <w:basedOn w:val="15"/>
    <w:qFormat/>
    <w:uiPriority w:val="0"/>
    <w:rPr>
      <w:color w:val="FFFFFF"/>
      <w:sz w:val="18"/>
      <w:szCs w:val="18"/>
      <w:shd w:val="clear" w:color="auto" w:fill="D91600"/>
    </w:rPr>
  </w:style>
  <w:style w:type="character" w:customStyle="1" w:styleId="30">
    <w:name w:val="first-child"/>
    <w:basedOn w:val="15"/>
    <w:qFormat/>
    <w:uiPriority w:val="0"/>
  </w:style>
  <w:style w:type="character" w:customStyle="1" w:styleId="31">
    <w:name w:val="jedateymchle"/>
    <w:basedOn w:val="15"/>
    <w:qFormat/>
    <w:uiPriority w:val="0"/>
    <w:rPr>
      <w:color w:val="555555"/>
      <w:sz w:val="24"/>
      <w:szCs w:val="24"/>
      <w:shd w:val="clear" w:color="auto" w:fill="F0F0F0"/>
    </w:rPr>
  </w:style>
  <w:style w:type="character" w:customStyle="1" w:styleId="32">
    <w:name w:val="fl"/>
    <w:basedOn w:val="15"/>
    <w:qFormat/>
    <w:uiPriority w:val="0"/>
  </w:style>
  <w:style w:type="character" w:customStyle="1" w:styleId="33">
    <w:name w:val="jedateymchri"/>
    <w:basedOn w:val="15"/>
    <w:qFormat/>
    <w:uiPriority w:val="0"/>
    <w:rPr>
      <w:color w:val="555555"/>
      <w:sz w:val="24"/>
      <w:szCs w:val="24"/>
      <w:shd w:val="clear" w:color="auto" w:fill="F0F0F0"/>
    </w:rPr>
  </w:style>
  <w:style w:type="character" w:customStyle="1" w:styleId="34">
    <w:name w:val="jedateymchri1"/>
    <w:basedOn w:val="15"/>
    <w:qFormat/>
    <w:uiPriority w:val="0"/>
    <w:rPr>
      <w:color w:val="555555"/>
      <w:sz w:val="24"/>
      <w:szCs w:val="24"/>
      <w:shd w:val="clear" w:color="auto" w:fill="F0F0F0"/>
    </w:rPr>
  </w:style>
  <w:style w:type="character" w:customStyle="1" w:styleId="35">
    <w:name w:val="jedateymchri2"/>
    <w:basedOn w:val="15"/>
    <w:qFormat/>
    <w:uiPriority w:val="0"/>
    <w:rPr>
      <w:color w:val="555555"/>
      <w:sz w:val="24"/>
      <w:szCs w:val="24"/>
      <w:shd w:val="clear" w:color="auto" w:fill="F0F0F0"/>
    </w:rPr>
  </w:style>
  <w:style w:type="character" w:customStyle="1" w:styleId="36">
    <w:name w:val="jedateymchri3"/>
    <w:basedOn w:val="15"/>
    <w:qFormat/>
    <w:uiPriority w:val="0"/>
    <w:rPr>
      <w:color w:val="1F547E"/>
      <w:sz w:val="24"/>
      <w:szCs w:val="24"/>
      <w:shd w:val="clear" w:color="auto" w:fill="ECF4FB"/>
    </w:rPr>
  </w:style>
  <w:style w:type="character" w:customStyle="1" w:styleId="37">
    <w:name w:val="layui-layer-tabnow"/>
    <w:basedOn w:val="15"/>
    <w:qFormat/>
    <w:uiPriority w:val="0"/>
    <w:rPr>
      <w:bdr w:val="single" w:color="CCCCCC" w:sz="6" w:space="0"/>
      <w:shd w:val="clear" w:color="auto" w:fill="FFFFFF"/>
    </w:rPr>
  </w:style>
  <w:style w:type="character" w:customStyle="1" w:styleId="38">
    <w:name w:val="icon-cry"/>
    <w:basedOn w:val="15"/>
    <w:qFormat/>
    <w:uiPriority w:val="0"/>
  </w:style>
  <w:style w:type="character" w:customStyle="1" w:styleId="39">
    <w:name w:val="nav-icon22"/>
    <w:basedOn w:val="15"/>
    <w:qFormat/>
    <w:uiPriority w:val="0"/>
  </w:style>
  <w:style w:type="character" w:customStyle="1" w:styleId="40">
    <w:name w:val="list-item-name"/>
    <w:basedOn w:val="15"/>
    <w:qFormat/>
    <w:uiPriority w:val="0"/>
    <w:rPr>
      <w:color w:val="333333"/>
      <w:sz w:val="24"/>
      <w:szCs w:val="24"/>
    </w:rPr>
  </w:style>
  <w:style w:type="paragraph" w:customStyle="1" w:styleId="41">
    <w:name w:val="WPSOffice手动目录 1"/>
    <w:qFormat/>
    <w:uiPriority w:val="0"/>
    <w:rPr>
      <w:rFonts w:ascii="Times New Roman" w:hAnsi="Times New Roman" w:eastAsia="宋体" w:cs="Times New Roman"/>
      <w:lang w:val="en-US" w:eastAsia="zh-CN" w:bidi="ar-SA"/>
    </w:rPr>
  </w:style>
  <w:style w:type="paragraph" w:customStyle="1" w:styleId="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3">
    <w:name w:val="批注框文本 Char"/>
    <w:basedOn w:val="15"/>
    <w:link w:val="7"/>
    <w:qFormat/>
    <w:uiPriority w:val="0"/>
    <w:rPr>
      <w:kern w:val="2"/>
      <w:sz w:val="18"/>
      <w:szCs w:val="18"/>
    </w:rPr>
  </w:style>
  <w:style w:type="character" w:customStyle="1" w:styleId="44">
    <w:name w:val="批注文字 Char"/>
    <w:basedOn w:val="15"/>
    <w:link w:val="6"/>
    <w:qFormat/>
    <w:uiPriority w:val="0"/>
    <w:rPr>
      <w:kern w:val="2"/>
      <w:sz w:val="21"/>
      <w:szCs w:val="24"/>
    </w:rPr>
  </w:style>
  <w:style w:type="character" w:customStyle="1" w:styleId="45">
    <w:name w:val="批注主题 Char"/>
    <w:basedOn w:val="44"/>
    <w:link w:val="12"/>
    <w:qFormat/>
    <w:uiPriority w:val="0"/>
    <w:rPr>
      <w:b/>
      <w:bCs/>
      <w:kern w:val="2"/>
      <w:sz w:val="21"/>
      <w:szCs w:val="24"/>
    </w:rPr>
  </w:style>
  <w:style w:type="character" w:customStyle="1" w:styleId="46">
    <w:name w:val="font31"/>
    <w:basedOn w:val="15"/>
    <w:qFormat/>
    <w:uiPriority w:val="0"/>
    <w:rPr>
      <w:rFonts w:hint="eastAsia" w:ascii="宋体" w:hAnsi="宋体" w:eastAsia="宋体" w:cs="宋体"/>
      <w:color w:val="000000"/>
      <w:sz w:val="20"/>
      <w:szCs w:val="20"/>
      <w:u w:val="none"/>
    </w:rPr>
  </w:style>
  <w:style w:type="character" w:customStyle="1" w:styleId="47">
    <w:name w:val="font4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3368</Words>
  <Characters>19198</Characters>
  <Lines>159</Lines>
  <Paragraphs>45</Paragraphs>
  <TotalTime>12</TotalTime>
  <ScaleCrop>false</ScaleCrop>
  <LinksUpToDate>false</LinksUpToDate>
  <CharactersWithSpaces>22521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2021-03-09T08:02:00Z</dcterms:created>
  <dc:creator>刘涛</dc:creator>
  <cp:lastModifiedBy>冯望</cp:lastModifiedBy>
  <cp:lastPrinted>2020-07-22T09:25:00Z</cp:lastPrinted>
  <dcterms:modified xsi:type="dcterms:W3CDTF">2021-03-10T05:38:53Z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