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2020</w:t>
      </w:r>
      <w:r>
        <w:rPr>
          <w:rFonts w:hint="eastAsia" w:ascii="宋体" w:hAnsi="宋体" w:cs="宋体"/>
          <w:b/>
          <w:bCs/>
          <w:sz w:val="36"/>
          <w:szCs w:val="36"/>
        </w:rPr>
        <w:t>年</w:t>
      </w:r>
      <w:r>
        <w:rPr>
          <w:rFonts w:hint="eastAsia" w:cs="Arial" w:asciiTheme="minorEastAsia" w:hAnsiTheme="minorEastAsia" w:eastAsiaTheme="minorEastAsia"/>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12</w:t>
      </w:r>
      <w:r>
        <w:rPr>
          <w:rFonts w:ascii="宋体" w:hAnsi="宋体"/>
          <w:sz w:val="24"/>
          <w:szCs w:val="24"/>
        </w:rPr>
        <w:t>日</w:t>
      </w:r>
      <w:r>
        <w:rPr>
          <w:rFonts w:hint="eastAsia" w:ascii="宋体" w:hAnsi="宋体"/>
          <w:sz w:val="24"/>
          <w:szCs w:val="24"/>
        </w:rPr>
        <w:t>提交了2020年10月-12月《季度资金计划表》，我司对项目公司申报的资金计划进行了审核，审核结果如下：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项目公司2020年10月份资金汇总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12</w:t>
      </w:r>
      <w:r>
        <w:rPr>
          <w:rFonts w:ascii="宋体" w:hAnsi="宋体"/>
          <w:sz w:val="24"/>
          <w:szCs w:val="24"/>
        </w:rPr>
        <w:t>日</w:t>
      </w:r>
      <w:r>
        <w:rPr>
          <w:rFonts w:hint="eastAsia" w:ascii="宋体" w:hAnsi="宋体"/>
          <w:sz w:val="24"/>
          <w:szCs w:val="24"/>
        </w:rPr>
        <w:t>提交的2020年10月-12月资金支出计划，10月份的</w:t>
      </w:r>
      <w:r>
        <w:rPr>
          <w:rFonts w:ascii="宋体" w:hAnsi="宋体"/>
          <w:sz w:val="24"/>
          <w:szCs w:val="24"/>
        </w:rPr>
        <w:t>计划</w:t>
      </w:r>
      <w:r>
        <w:rPr>
          <w:rFonts w:hint="eastAsia" w:ascii="宋体" w:hAnsi="宋体"/>
          <w:sz w:val="24"/>
          <w:szCs w:val="24"/>
        </w:rPr>
        <w:t>资金支出共计22笔，合计1,017.83万元。其中：工程款支出761.01万元，销售费用29.82万元，管理费用27.00万元,不可预见费用200.00万元。10月份的</w:t>
      </w:r>
      <w:r>
        <w:rPr>
          <w:rFonts w:ascii="宋体" w:hAnsi="宋体"/>
          <w:sz w:val="24"/>
          <w:szCs w:val="24"/>
        </w:rPr>
        <w:t>计划</w:t>
      </w:r>
      <w:r>
        <w:rPr>
          <w:rFonts w:hint="eastAsia" w:ascii="宋体" w:hAnsi="宋体"/>
          <w:sz w:val="24"/>
          <w:szCs w:val="24"/>
        </w:rPr>
        <w:t>资金流入共计2笔，合计1,000.00万元，其中与融创集团内各公司往来470.00万元，区域公司与非融创股东往来530.00万元。</w:t>
      </w:r>
    </w:p>
    <w:tbl>
      <w:tblPr>
        <w:tblStyle w:val="11"/>
        <w:tblW w:w="9660" w:type="dxa"/>
        <w:tblInd w:w="-124" w:type="dxa"/>
        <w:tblLayout w:type="fixed"/>
        <w:tblCellMar>
          <w:top w:w="0" w:type="dxa"/>
          <w:left w:w="0" w:type="dxa"/>
          <w:bottom w:w="0" w:type="dxa"/>
          <w:right w:w="0" w:type="dxa"/>
        </w:tblCellMar>
      </w:tblPr>
      <w:tblGrid>
        <w:gridCol w:w="5688"/>
        <w:gridCol w:w="3972"/>
      </w:tblGrid>
      <w:tr>
        <w:tblPrEx>
          <w:tblCellMar>
            <w:top w:w="0" w:type="dxa"/>
            <w:left w:w="0" w:type="dxa"/>
            <w:bottom w:w="0" w:type="dxa"/>
            <w:right w:w="0" w:type="dxa"/>
          </w:tblCellMar>
        </w:tblPrEx>
        <w:trPr>
          <w:trHeight w:val="480" w:hRule="atLeast"/>
        </w:trPr>
        <w:tc>
          <w:tcPr>
            <w:tcW w:w="9660" w:type="dxa"/>
            <w:gridSpan w:val="2"/>
            <w:tcBorders>
              <w:top w:val="single" w:color="auto" w:sz="4" w:space="0"/>
              <w:left w:val="single" w:color="000000" w:sz="4" w:space="0"/>
              <w:bottom w:val="nil"/>
              <w:right w:val="single" w:color="auto" w:sz="4" w:space="0"/>
            </w:tcBorders>
            <w:shd w:val="clear" w:color="auto" w:fill="CCC0D9"/>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132" w:hRule="atLeast"/>
        </w:trPr>
        <w:tc>
          <w:tcPr>
            <w:tcW w:w="9660" w:type="dxa"/>
            <w:gridSpan w:val="2"/>
            <w:tcBorders>
              <w:top w:val="nil"/>
              <w:left w:val="single" w:color="000000" w:sz="4" w:space="0"/>
              <w:bottom w:val="nil"/>
              <w:right w:val="single" w:color="auto" w:sz="4" w:space="0"/>
            </w:tcBorders>
            <w:shd w:val="clear" w:color="auto" w:fill="CCC0D9"/>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福州首融房地产开发有限公司螺洲TOD项目2020年10月资金计划</w:t>
            </w:r>
          </w:p>
        </w:tc>
      </w:tr>
      <w:tr>
        <w:tblPrEx>
          <w:tblCellMar>
            <w:top w:w="0" w:type="dxa"/>
            <w:left w:w="0" w:type="dxa"/>
            <w:bottom w:w="0" w:type="dxa"/>
            <w:right w:w="0" w:type="dxa"/>
          </w:tblCellMar>
        </w:tblPrEx>
        <w:trPr>
          <w:trHeight w:val="206" w:hRule="atLeast"/>
        </w:trPr>
        <w:tc>
          <w:tcPr>
            <w:tcW w:w="9660" w:type="dxa"/>
            <w:gridSpan w:val="2"/>
            <w:tcBorders>
              <w:top w:val="nil"/>
              <w:left w:val="single" w:color="000000" w:sz="4" w:space="0"/>
              <w:bottom w:val="single" w:color="000000" w:sz="4" w:space="0"/>
              <w:right w:val="single" w:color="auto" w:sz="4" w:space="0"/>
            </w:tcBorders>
            <w:shd w:val="clear" w:color="auto" w:fill="CCC0D9"/>
            <w:tcMar>
              <w:top w:w="12" w:type="dxa"/>
              <w:left w:w="12" w:type="dxa"/>
              <w:right w:w="12" w:type="dxa"/>
            </w:tcMar>
            <w:vAlign w:val="center"/>
          </w:tcPr>
          <w:p>
            <w:pPr>
              <w:widowControl/>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256" w:hRule="atLeast"/>
        </w:trPr>
        <w:tc>
          <w:tcPr>
            <w:tcW w:w="5688"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3972"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10月计划金额</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宋体" w:hAnsi="宋体" w:cs="宋体"/>
                <w:color w:val="000000"/>
                <w:sz w:val="24"/>
                <w:szCs w:val="24"/>
              </w:rPr>
            </w:pPr>
            <w:r>
              <w:rPr>
                <w:rFonts w:hint="eastAsia" w:ascii="宋体" w:hAnsi="宋体" w:cs="宋体"/>
                <w:color w:val="000000"/>
                <w:sz w:val="24"/>
                <w:szCs w:val="24"/>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宋体" w:hAnsi="宋体" w:cs="宋体"/>
                <w:color w:val="000000"/>
                <w:sz w:val="24"/>
                <w:szCs w:val="24"/>
              </w:rPr>
            </w:pPr>
            <w:r>
              <w:rPr>
                <w:rFonts w:hint="eastAsia" w:ascii="宋体" w:hAnsi="宋体" w:cs="宋体"/>
                <w:color w:val="000000"/>
                <w:sz w:val="24"/>
                <w:szCs w:val="24"/>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Arial" w:hAnsi="Arial" w:cs="Arial"/>
                <w:color w:val="000000"/>
                <w:kern w:val="0"/>
                <w:sz w:val="18"/>
                <w:szCs w:val="18"/>
                <w:lang w:bidi="ar"/>
              </w:rPr>
              <w:t xml:space="preserve">761.01 </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bidi="ar"/>
              </w:rPr>
              <w:t>29</w:t>
            </w:r>
            <w:r>
              <w:rPr>
                <w:rFonts w:ascii="Arial" w:hAnsi="Arial" w:cs="Arial"/>
                <w:color w:val="000000"/>
                <w:kern w:val="0"/>
                <w:sz w:val="18"/>
                <w:szCs w:val="18"/>
                <w:lang w:bidi="ar"/>
              </w:rPr>
              <w:t>.</w:t>
            </w:r>
            <w:r>
              <w:rPr>
                <w:rFonts w:hint="eastAsia" w:ascii="Arial" w:hAnsi="Arial" w:cs="Arial"/>
                <w:color w:val="000000"/>
                <w:kern w:val="0"/>
                <w:sz w:val="18"/>
                <w:szCs w:val="18"/>
                <w:lang w:bidi="ar"/>
              </w:rPr>
              <w:t>82</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2</w:t>
            </w:r>
            <w:r>
              <w:rPr>
                <w:rFonts w:hint="eastAsia" w:ascii="Arial" w:hAnsi="Arial" w:cs="Arial"/>
                <w:color w:val="000000"/>
                <w:kern w:val="0"/>
                <w:sz w:val="18"/>
                <w:szCs w:val="18"/>
                <w:lang w:bidi="ar"/>
              </w:rPr>
              <w:t>7</w:t>
            </w:r>
            <w:r>
              <w:rPr>
                <w:rFonts w:ascii="Arial" w:hAnsi="Arial" w:cs="Arial"/>
                <w:color w:val="000000"/>
                <w:kern w:val="0"/>
                <w:sz w:val="18"/>
                <w:szCs w:val="18"/>
                <w:lang w:bidi="ar"/>
              </w:rPr>
              <w:t xml:space="preserve">.00 </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b/>
                <w:color w:val="000000"/>
                <w:sz w:val="18"/>
                <w:szCs w:val="18"/>
              </w:rPr>
            </w:pPr>
            <w:r>
              <w:rPr>
                <w:rFonts w:ascii="Arial" w:hAnsi="Arial" w:cs="Arial"/>
                <w:b/>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color w:val="000000"/>
                <w:kern w:val="0"/>
                <w:sz w:val="24"/>
                <w:szCs w:val="24"/>
                <w:lang w:bidi="ar"/>
              </w:rPr>
              <w:t>不可预见费</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ascii="Arial" w:hAnsi="Arial" w:cs="Arial"/>
                <w:bCs/>
                <w:color w:val="000000"/>
                <w:sz w:val="18"/>
                <w:szCs w:val="18"/>
              </w:rPr>
              <w:t>200.00</w:t>
            </w:r>
          </w:p>
        </w:tc>
      </w:tr>
      <w:tr>
        <w:tblPrEx>
          <w:tblCellMar>
            <w:top w:w="0" w:type="dxa"/>
            <w:left w:w="0" w:type="dxa"/>
            <w:bottom w:w="0" w:type="dxa"/>
            <w:right w:w="0" w:type="dxa"/>
          </w:tblCellMar>
        </w:tblPrEx>
        <w:trPr>
          <w:trHeight w:val="446"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ascii="Arial" w:hAnsi="Arial" w:cs="Arial"/>
                <w:b/>
                <w:color w:val="000000"/>
                <w:kern w:val="0"/>
                <w:sz w:val="18"/>
                <w:szCs w:val="18"/>
                <w:lang w:bidi="ar"/>
              </w:rPr>
              <w:t>1,</w:t>
            </w:r>
            <w:r>
              <w:rPr>
                <w:rFonts w:hint="eastAsia" w:ascii="Arial" w:hAnsi="Arial" w:cs="Arial"/>
                <w:b/>
                <w:color w:val="000000"/>
                <w:kern w:val="0"/>
                <w:sz w:val="18"/>
                <w:szCs w:val="18"/>
                <w:lang w:bidi="ar"/>
              </w:rPr>
              <w:t>01</w:t>
            </w:r>
            <w:r>
              <w:rPr>
                <w:rFonts w:ascii="Arial" w:hAnsi="Arial" w:cs="Arial"/>
                <w:b/>
                <w:color w:val="000000"/>
                <w:kern w:val="0"/>
                <w:sz w:val="18"/>
                <w:szCs w:val="18"/>
                <w:lang w:bidi="ar"/>
              </w:rPr>
              <w:t>7.8</w:t>
            </w:r>
            <w:r>
              <w:rPr>
                <w:rFonts w:hint="eastAsia" w:ascii="Arial" w:hAnsi="Arial" w:cs="Arial"/>
                <w:b/>
                <w:color w:val="000000"/>
                <w:kern w:val="0"/>
                <w:sz w:val="18"/>
                <w:szCs w:val="18"/>
                <w:lang w:bidi="ar"/>
              </w:rPr>
              <w:t>3</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470.00</w:t>
            </w:r>
          </w:p>
        </w:tc>
      </w:tr>
      <w:tr>
        <w:tblPrEx>
          <w:tblCellMar>
            <w:top w:w="0" w:type="dxa"/>
            <w:left w:w="0" w:type="dxa"/>
            <w:bottom w:w="0" w:type="dxa"/>
            <w:right w:w="0" w:type="dxa"/>
          </w:tblCellMar>
        </w:tblPrEx>
        <w:trPr>
          <w:trHeight w:val="434"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区域公司与非融创股东往来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530.00</w:t>
            </w:r>
          </w:p>
        </w:tc>
      </w:tr>
      <w:tr>
        <w:tblPrEx>
          <w:tblCellMar>
            <w:top w:w="0" w:type="dxa"/>
            <w:left w:w="0" w:type="dxa"/>
            <w:bottom w:w="0" w:type="dxa"/>
            <w:right w:w="0" w:type="dxa"/>
          </w:tblCellMar>
        </w:tblPrEx>
        <w:trPr>
          <w:trHeight w:val="540"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资金流入小计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ascii="Arial" w:hAnsi="Arial" w:cs="Arial"/>
                <w:b/>
                <w:color w:val="000000"/>
                <w:kern w:val="0"/>
                <w:sz w:val="18"/>
                <w:szCs w:val="18"/>
                <w:lang w:bidi="ar"/>
              </w:rPr>
              <w:t>1,000.00</w:t>
            </w:r>
          </w:p>
        </w:tc>
      </w:tr>
    </w:tbl>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项目公司在2020年10月工程款支出金额共计</w:t>
      </w:r>
      <w:r>
        <w:rPr>
          <w:rFonts w:hint="eastAsia" w:ascii="宋体" w:hAnsi="宋体" w:cs="宋体"/>
          <w:color w:val="000000"/>
          <w:kern w:val="0"/>
          <w:sz w:val="24"/>
          <w:szCs w:val="24"/>
          <w:lang w:bidi="ar"/>
        </w:rPr>
        <w:t xml:space="preserve">1,017.83 </w:t>
      </w:r>
      <w:r>
        <w:rPr>
          <w:rFonts w:hint="eastAsia" w:ascii="宋体" w:hAnsi="宋体"/>
          <w:bCs/>
          <w:color w:val="000000"/>
          <w:sz w:val="24"/>
          <w:szCs w:val="24"/>
          <w:lang w:bidi="zh-CN"/>
        </w:rPr>
        <w:t>万元，其中包含设计费用619.89万元，具体分析如下：</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9月份用印的福州市云洲郡项目装饰装修工程设计合同，项目公司委托上海卡纳建筑装饰设计工程有限公司为项目展示区提供装饰装修工程设计工作，合同总价款为138.06万元，根据合同第8条第一款规定第一阶段在双方签约并由甲方发出设计任务指令后需支付合同总金额的20%，第二阶段乙方按照甲方要求完成平面白图设计阶段最终成果，并经甲方书面确认支付合同总金额的20%，第三阶段为甲方书面确认电气点位图完成主要平、立面图，材料说明及概算，修改完成方案扩初设计阶段最终成果时支付合同总金额的20%，第四阶段为甲方书面确认施工图、材料样板阶段最终成果时支付合同总金额的30%，最后一个阶段为室内装修施工完成，并确认完成全部图纸变更单，工程完工并验收合格支付合同总金额的10%，10月计划完成工程设计的第三阶段即方案扩初设计后支付合同总金额的60%，即支付82.84万元，符合合同约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支付上海中房建筑设计有限公司的设计费286.08万元，合同尚未签订，</w:t>
      </w:r>
      <w:r>
        <w:rPr>
          <w:rFonts w:hint="eastAsia" w:ascii="宋体" w:hAnsi="宋体"/>
          <w:sz w:val="24"/>
          <w:szCs w:val="24"/>
        </w:rPr>
        <w:t>需待合同签订后根据合同条款确定是否合理</w:t>
      </w:r>
      <w:r>
        <w:rPr>
          <w:rFonts w:hint="eastAsia" w:ascii="宋体" w:hAnsi="宋体"/>
          <w:bCs/>
          <w:color w:val="000000"/>
          <w:sz w:val="24"/>
          <w:szCs w:val="24"/>
          <w:lang w:bidi="zh-CN"/>
        </w:rPr>
        <w:t>；</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支付给福建嘉博联合设计股份有限公司的设计费104.97万元，合同尚未签订，</w:t>
      </w:r>
      <w:r>
        <w:rPr>
          <w:rFonts w:hint="eastAsia" w:ascii="宋体" w:hAnsi="宋体"/>
          <w:sz w:val="24"/>
          <w:szCs w:val="24"/>
        </w:rPr>
        <w:t>需待合同签订后根据合同条款确定是否合理</w:t>
      </w:r>
      <w:r>
        <w:rPr>
          <w:rFonts w:hint="eastAsia" w:ascii="宋体" w:hAnsi="宋体"/>
          <w:bCs/>
          <w:color w:val="000000"/>
          <w:sz w:val="24"/>
          <w:szCs w:val="24"/>
          <w:lang w:bidi="zh-CN"/>
        </w:rPr>
        <w:t>；</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根据9月份项目公司提供的尚未用印的临电工程合同，由福建榕普电力工程有限公司为螺洲TOD项目提供临时用电工程，合同总金额为92.70元 ，合同无付款条件描述，项目公司计划10月份支付工程款19.00万元，需待出具正式临电合同后根据合同付款条款确定是否合理</w:t>
      </w:r>
      <w:r>
        <w:rPr>
          <w:rFonts w:hint="eastAsia"/>
        </w:rPr>
        <w:t>，并</w:t>
      </w:r>
      <w:r>
        <w:rPr>
          <w:rFonts w:hint="eastAsia" w:ascii="宋体" w:hAnsi="宋体"/>
          <w:bCs/>
          <w:color w:val="000000"/>
          <w:sz w:val="24"/>
          <w:szCs w:val="24"/>
          <w:lang w:bidi="zh-CN"/>
        </w:rPr>
        <w:t>根据实际发生金额进行支付；</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支付给深圳市筑地建筑设计咨询有限公司设计费146.00万元，涉及的云洲郡施项目设计咨询委托服务合同尚未签订，</w:t>
      </w:r>
      <w:r>
        <w:rPr>
          <w:rFonts w:hint="eastAsia" w:ascii="宋体" w:hAnsi="宋体"/>
          <w:sz w:val="24"/>
          <w:szCs w:val="24"/>
        </w:rPr>
        <w:t>需待合同签订后根据合同条款确定是否合理</w:t>
      </w:r>
      <w:r>
        <w:rPr>
          <w:rFonts w:hint="eastAsia" w:ascii="宋体" w:hAnsi="宋体"/>
          <w:bCs/>
          <w:color w:val="000000"/>
          <w:sz w:val="24"/>
          <w:szCs w:val="24"/>
          <w:lang w:bidi="zh-CN"/>
        </w:rPr>
        <w:t>；</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支付给福建岩土工程勘察研究院有限公司的工程款33.00万元，地勘工程合同尚未签订，具体支付金额以实际签订的协议为准；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color w:val="000000"/>
          <w:sz w:val="24"/>
          <w:szCs w:val="24"/>
          <w:lang w:bidi="zh-CN"/>
        </w:rPr>
        <w:t>根据项目公司2020年7月30日与福建榕桓建设有限公司签订的搬迁协议，合同总金额为132.09万元，根据合同第三条第2款规定，“(1)本协议签订后15 个工作日内，甲方向乙方支付人民币（15）万元；除施工大门外范围搬迁完毕、交付甲方且通过甲方验收后15个工作日内，甲方向乙方支付人民币90万元；施工大门范围搬迁完毕，交付甲方且通过甲方验收后15 个工作日内，甲方支付人民币（27.096）万元。”。项目公司已于2020年8月17日支付了第一笔工程款15.00万元，计划在10月份支付给福建榕桓建设有限公司第二笔工</w:t>
      </w:r>
      <w:r>
        <w:rPr>
          <w:rFonts w:hint="eastAsia" w:ascii="宋体" w:hAnsi="宋体"/>
          <w:bCs/>
          <w:sz w:val="24"/>
          <w:szCs w:val="24"/>
          <w:lang w:bidi="zh-CN"/>
        </w:rPr>
        <w:t>程款90.00万元，符合合同约定。</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sz w:val="24"/>
          <w:szCs w:val="24"/>
          <w:lang w:bidi="zh-CN"/>
        </w:rPr>
        <w:t>经审核，已签订合同部分的计划资金支付均符合合同的规定付款时间，剩余5笔未签订合同的工程款在资金计划表中的金额为预估金额，</w:t>
      </w:r>
      <w:r>
        <w:rPr>
          <w:rFonts w:hint="eastAsia" w:ascii="宋体" w:hAnsi="宋体"/>
          <w:sz w:val="24"/>
          <w:szCs w:val="24"/>
        </w:rPr>
        <w:t>需待合同签订后根据合同条款确定是否合理</w:t>
      </w:r>
      <w:r>
        <w:rPr>
          <w:rFonts w:hint="eastAsia" w:ascii="宋体" w:hAnsi="宋体"/>
          <w:sz w:val="24"/>
          <w:szCs w:val="24"/>
          <w:lang w:bidi="zh-CN"/>
        </w:rPr>
        <w:t>。</w:t>
      </w:r>
      <w:r>
        <w:rPr>
          <w:rFonts w:hint="eastAsia" w:ascii="宋体" w:hAnsi="宋体"/>
          <w:sz w:val="24"/>
          <w:szCs w:val="24"/>
        </w:rPr>
        <w:t>根据项目公司提供的《项目开发节奏表》，上述计划支付内容与计划进度相符，</w:t>
      </w:r>
      <w:r>
        <w:rPr>
          <w:rFonts w:hint="eastAsia" w:ascii="宋体" w:hAnsi="宋体"/>
          <w:sz w:val="24"/>
          <w:szCs w:val="24"/>
          <w:lang w:bidi="zh-CN"/>
        </w:rPr>
        <w:t>我司认为10月项目公司有关工程款支出的资金计划编制合理。后期我司会对合同签订严格把控，实际支付时，我司会对付款申请、发票、流程、工程合同、现场签证等依据进行审核、计算，根据实际申请情况该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项目公司在10月的销售费用支出共8笔，共计29.82万元，包括营销部员工的工资、奖金、福利及餐费报销以及广告宣传等费用，具体分析如下：</w:t>
      </w:r>
    </w:p>
    <w:p>
      <w:pPr>
        <w:pStyle w:val="14"/>
        <w:numPr>
          <w:ilvl w:val="0"/>
          <w:numId w:val="3"/>
        </w:numPr>
        <w:spacing w:before="156" w:beforeLines="50" w:after="156" w:afterLines="50" w:line="360" w:lineRule="auto"/>
        <w:ind w:left="1202" w:hanging="720" w:firstLineChars="0"/>
        <w:rPr>
          <w:rFonts w:ascii="宋体" w:hAnsi="宋体"/>
          <w:bCs/>
          <w:color w:val="000000"/>
          <w:sz w:val="24"/>
          <w:szCs w:val="24"/>
          <w:lang w:bidi="zh-CN"/>
        </w:rPr>
      </w:pPr>
      <w:r>
        <w:rPr>
          <w:rFonts w:hint="eastAsia" w:ascii="宋体" w:hAnsi="宋体"/>
          <w:bCs/>
          <w:color w:val="000000"/>
          <w:sz w:val="24"/>
          <w:szCs w:val="24"/>
          <w:lang w:bidi="zh-CN"/>
        </w:rPr>
        <w:t>10月的营销人员的工资4.30万元，具体的销售人员数额尚未确认，项目公司目前正在组织销售人员的招聘工作；</w:t>
      </w:r>
    </w:p>
    <w:p>
      <w:pPr>
        <w:pStyle w:val="14"/>
        <w:numPr>
          <w:ilvl w:val="0"/>
          <w:numId w:val="3"/>
        </w:numPr>
        <w:spacing w:before="156" w:beforeLines="50" w:after="156" w:afterLines="50" w:line="360" w:lineRule="auto"/>
        <w:ind w:left="1202" w:hanging="720" w:firstLineChars="0"/>
        <w:rPr>
          <w:rFonts w:ascii="宋体" w:hAnsi="宋体"/>
          <w:bCs/>
          <w:color w:val="000000"/>
          <w:sz w:val="24"/>
          <w:szCs w:val="24"/>
          <w:lang w:bidi="zh-CN"/>
        </w:rPr>
      </w:pPr>
      <w:r>
        <w:rPr>
          <w:rFonts w:hint="eastAsia" w:ascii="宋体" w:hAnsi="宋体"/>
          <w:bCs/>
          <w:color w:val="000000"/>
          <w:sz w:val="24"/>
          <w:szCs w:val="24"/>
          <w:lang w:bidi="zh-CN"/>
        </w:rPr>
        <w:t>人员报销费用预计3.52万元，包括差旅费、杂费、福利费、社会统筹、办公用品及外部接待等费用。</w:t>
      </w:r>
    </w:p>
    <w:p>
      <w:pPr>
        <w:pStyle w:val="14"/>
        <w:numPr>
          <w:ilvl w:val="0"/>
          <w:numId w:val="3"/>
        </w:numPr>
        <w:spacing w:before="156" w:beforeLines="50" w:after="156" w:afterLines="50" w:line="360" w:lineRule="auto"/>
        <w:ind w:left="1202" w:hanging="720" w:firstLineChars="0"/>
        <w:rPr>
          <w:rFonts w:ascii="宋体" w:hAnsi="宋体"/>
          <w:bCs/>
          <w:color w:val="000000"/>
          <w:sz w:val="24"/>
          <w:szCs w:val="24"/>
          <w:lang w:bidi="zh-CN"/>
        </w:rPr>
      </w:pPr>
      <w:r>
        <w:rPr>
          <w:rFonts w:hint="eastAsia" w:ascii="宋体" w:hAnsi="宋体"/>
          <w:bCs/>
          <w:color w:val="000000"/>
          <w:sz w:val="24"/>
          <w:szCs w:val="24"/>
          <w:lang w:bidi="zh-CN"/>
        </w:rPr>
        <w:t>10月份支付给广告公司月费22.</w:t>
      </w:r>
      <w:r>
        <w:rPr>
          <w:rFonts w:ascii="宋体" w:hAnsi="宋体"/>
          <w:bCs/>
          <w:color w:val="000000"/>
          <w:sz w:val="24"/>
          <w:szCs w:val="24"/>
          <w:lang w:bidi="zh-CN"/>
        </w:rPr>
        <w:t>00</w:t>
      </w:r>
      <w:r>
        <w:rPr>
          <w:rFonts w:hint="eastAsia" w:ascii="宋体" w:hAnsi="宋体"/>
          <w:bCs/>
          <w:color w:val="000000"/>
          <w:sz w:val="24"/>
          <w:szCs w:val="24"/>
          <w:lang w:bidi="zh-CN"/>
        </w:rPr>
        <w:t>万元，根据项目公司2020年8月1日签订的螺洲TOD项目2020年度广告服务合同，合同总金额为55.00万元,由杭州捷群广告有限公司为项目公司提供销售策略、推广策划、广告推广等服务，整合推广服务费用为每月11.00万元，10月份计划支付8月和9月两个月的费用共计22.00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项目公司在10月的管理费用支出共计7笔，共计27.00万元，包括月度招待费、水电物管和其他日常行政费用，具体分析如下：</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月度招待费在10月预计支付24.00万元，因为10月份涉及到两个节假日，所以该部分金额要高于9月份；</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水电物管10月份支付1.00万元，因为项目公司在10月会陆续增加办公人员，故水电费要高于9月份该部分资金支出；</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其他日常行政费用共计2.00万元。</w:t>
      </w:r>
    </w:p>
    <w:p>
      <w:pPr>
        <w:spacing w:before="156" w:beforeLines="50" w:after="156" w:afterLines="50" w:line="360" w:lineRule="auto"/>
        <w:ind w:firstLine="480" w:firstLineChars="20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项目公司10月份的管理费用资金支出计划表编制基本合理，</w:t>
      </w:r>
      <w:r>
        <w:rPr>
          <w:rFonts w:hint="eastAsia" w:ascii="宋体" w:hAnsi="宋体"/>
          <w:sz w:val="24"/>
          <w:szCs w:val="24"/>
          <w:lang w:val="en-US" w:eastAsia="zh-CN" w:bidi="zh-CN"/>
        </w:rPr>
        <w:t>招待费及</w:t>
      </w:r>
      <w:r>
        <w:rPr>
          <w:rFonts w:hint="eastAsia" w:ascii="宋体" w:hAnsi="宋体"/>
          <w:sz w:val="24"/>
          <w:szCs w:val="24"/>
          <w:lang w:bidi="zh-CN"/>
        </w:rPr>
        <w:t>水电物管费用的支出符合企业情况，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w:t>
      </w:r>
      <w:bookmarkStart w:id="0" w:name="_GoBack"/>
      <w:bookmarkEnd w:id="0"/>
      <w:r>
        <w:rPr>
          <w:rFonts w:ascii="宋体" w:hAnsi="宋体"/>
          <w:sz w:val="24"/>
          <w:szCs w:val="24"/>
          <w:lang w:bidi="zh-CN"/>
        </w:rPr>
        <w:t>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（四）不可预见费用资金支出计划说明</w:t>
      </w:r>
    </w:p>
    <w:p>
      <w:pPr>
        <w:spacing w:before="156" w:beforeLines="50" w:after="156" w:afterLines="50" w:line="360" w:lineRule="auto"/>
        <w:ind w:firstLine="480" w:firstLineChars="200"/>
        <w:rPr>
          <w:rFonts w:ascii="宋体" w:hAnsi="宋体"/>
          <w:b/>
          <w:bCs/>
          <w:sz w:val="24"/>
          <w:szCs w:val="24"/>
          <w:lang w:bidi="zh-CN"/>
        </w:rPr>
      </w:pPr>
      <w:r>
        <w:rPr>
          <w:rFonts w:hint="eastAsia" w:ascii="宋体" w:hAnsi="宋体"/>
          <w:sz w:val="24"/>
          <w:szCs w:val="24"/>
          <w:lang w:bidi="zh-CN"/>
        </w:rPr>
        <w:t>项目公司在</w:t>
      </w:r>
      <w:r>
        <w:rPr>
          <w:rFonts w:hint="eastAsia" w:ascii="宋体" w:hAnsi="宋体"/>
          <w:sz w:val="24"/>
          <w:szCs w:val="24"/>
          <w:lang w:val="en-US" w:bidi="zh-CN"/>
        </w:rPr>
        <w:t>10</w:t>
      </w:r>
      <w:r>
        <w:rPr>
          <w:rFonts w:hint="eastAsia" w:ascii="宋体" w:hAnsi="宋体"/>
          <w:sz w:val="24"/>
          <w:szCs w:val="24"/>
          <w:lang w:bidi="zh-CN"/>
        </w:rPr>
        <w:t>月份的不可预见费用为200.00万元，以备一些不可预测的资金支付。</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（五）资金流入计划审核说明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融创方、非融创方股东预计在10月份分别投入470</w:t>
      </w:r>
      <w:r>
        <w:rPr>
          <w:rFonts w:ascii="宋体" w:hAnsi="宋体"/>
          <w:sz w:val="24"/>
          <w:szCs w:val="24"/>
        </w:rPr>
        <w:t>.00</w:t>
      </w:r>
      <w:r>
        <w:rPr>
          <w:rFonts w:hint="eastAsia" w:ascii="宋体" w:hAnsi="宋体"/>
          <w:sz w:val="24"/>
          <w:szCs w:val="24"/>
        </w:rPr>
        <w:t>万元、530</w:t>
      </w:r>
      <w:r>
        <w:rPr>
          <w:rFonts w:ascii="宋体" w:hAnsi="宋体"/>
          <w:sz w:val="24"/>
          <w:szCs w:val="24"/>
        </w:rPr>
        <w:t>.00</w:t>
      </w:r>
      <w:r>
        <w:rPr>
          <w:rFonts w:hint="eastAsia" w:ascii="宋体" w:hAnsi="宋体"/>
          <w:sz w:val="24"/>
          <w:szCs w:val="24"/>
        </w:rPr>
        <w:t>万元，用于项目日常支出和工程款支付。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项目公司本次提交的2020年10-12月《季度资金计划表》中10月份的资金计划按款项类别分类，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付款申请、发票、流程、工程合同、现场签证等依据进行审核、计算，根据实际申请情况判断该付款的合理性、合规性。同时因为项目公司的资金计划是以滚动预算方法编制，即以3个月为一个周期，每个月都会出具本月和未来两个月的资金计划预算，故10月份项目公司新出的资金预算和前期提交的季度预算中10月份的金额会略有差别。</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我司拟同意项目公司2020年10月份的资金计划，并以此作为付款的依据。待实际支付时，我司人员将对相关付款资料的合理、合规性一一核实，据实支付，请审批。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rPr>
      </w:pP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年10</w:t>
      </w:r>
      <w:r>
        <w:rPr>
          <w:rFonts w:ascii="宋体" w:hAnsi="宋体"/>
          <w:color w:val="000000"/>
          <w:sz w:val="24"/>
          <w:lang w:bidi="zh-CN"/>
        </w:rPr>
        <w:t>月</w:t>
      </w:r>
      <w:r>
        <w:rPr>
          <w:rFonts w:hint="eastAsia" w:ascii="宋体" w:hAnsi="宋体"/>
          <w:color w:val="000000"/>
          <w:sz w:val="24"/>
          <w:lang w:bidi="zh-CN"/>
        </w:rPr>
        <w:t>12</w:t>
      </w:r>
      <w:r>
        <w:rPr>
          <w:rFonts w:ascii="宋体" w:hAnsi="宋体"/>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34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40F89"/>
    <w:rsid w:val="00065207"/>
    <w:rsid w:val="000E3789"/>
    <w:rsid w:val="00136E9B"/>
    <w:rsid w:val="00142260"/>
    <w:rsid w:val="00194BA4"/>
    <w:rsid w:val="00237492"/>
    <w:rsid w:val="002A26CB"/>
    <w:rsid w:val="002B4D97"/>
    <w:rsid w:val="002E58E2"/>
    <w:rsid w:val="00473EDB"/>
    <w:rsid w:val="0049374E"/>
    <w:rsid w:val="004B1C61"/>
    <w:rsid w:val="004D1D0F"/>
    <w:rsid w:val="00571659"/>
    <w:rsid w:val="005B4A9C"/>
    <w:rsid w:val="005B5D70"/>
    <w:rsid w:val="00634457"/>
    <w:rsid w:val="00644ECF"/>
    <w:rsid w:val="007A22DB"/>
    <w:rsid w:val="007E1386"/>
    <w:rsid w:val="00832436"/>
    <w:rsid w:val="008357D8"/>
    <w:rsid w:val="008610EA"/>
    <w:rsid w:val="00877846"/>
    <w:rsid w:val="008847E6"/>
    <w:rsid w:val="009A0579"/>
    <w:rsid w:val="00AF7AC5"/>
    <w:rsid w:val="00BA68DE"/>
    <w:rsid w:val="00C930E4"/>
    <w:rsid w:val="00C95AE7"/>
    <w:rsid w:val="00CF78C8"/>
    <w:rsid w:val="00D306E0"/>
    <w:rsid w:val="00D57591"/>
    <w:rsid w:val="00D76CDD"/>
    <w:rsid w:val="00E20E17"/>
    <w:rsid w:val="00E45716"/>
    <w:rsid w:val="00E568EC"/>
    <w:rsid w:val="00F01AF9"/>
    <w:rsid w:val="00F8220C"/>
    <w:rsid w:val="00FA3166"/>
    <w:rsid w:val="04143CD3"/>
    <w:rsid w:val="04982717"/>
    <w:rsid w:val="063D1761"/>
    <w:rsid w:val="07E03F89"/>
    <w:rsid w:val="08EE1EC1"/>
    <w:rsid w:val="0C5374A3"/>
    <w:rsid w:val="0DEB56BA"/>
    <w:rsid w:val="12EE54E0"/>
    <w:rsid w:val="1496684A"/>
    <w:rsid w:val="15311905"/>
    <w:rsid w:val="178873E1"/>
    <w:rsid w:val="27481FEB"/>
    <w:rsid w:val="28417CBE"/>
    <w:rsid w:val="2A9918BD"/>
    <w:rsid w:val="3142363D"/>
    <w:rsid w:val="31BC4B3E"/>
    <w:rsid w:val="341A1354"/>
    <w:rsid w:val="35826B17"/>
    <w:rsid w:val="391C2EA4"/>
    <w:rsid w:val="407961B2"/>
    <w:rsid w:val="437C7673"/>
    <w:rsid w:val="466923B3"/>
    <w:rsid w:val="4A3337C9"/>
    <w:rsid w:val="54BD1A39"/>
    <w:rsid w:val="59DE52E9"/>
    <w:rsid w:val="5A4A5B25"/>
    <w:rsid w:val="63591B2B"/>
    <w:rsid w:val="674E7F15"/>
    <w:rsid w:val="69704F03"/>
    <w:rsid w:val="6C9C7B61"/>
    <w:rsid w:val="6E3559C7"/>
    <w:rsid w:val="73F773CD"/>
    <w:rsid w:val="752437A3"/>
    <w:rsid w:val="7586575E"/>
    <w:rsid w:val="761B4740"/>
    <w:rsid w:val="78157365"/>
    <w:rsid w:val="79C755E3"/>
    <w:rsid w:val="7C395144"/>
    <w:rsid w:val="7C561823"/>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7"/>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Char"/>
    <w:basedOn w:val="12"/>
    <w:link w:val="6"/>
    <w:qFormat/>
    <w:uiPriority w:val="0"/>
    <w:rPr>
      <w:kern w:val="2"/>
      <w:sz w:val="18"/>
      <w:szCs w:val="18"/>
    </w:rPr>
  </w:style>
  <w:style w:type="character" w:customStyle="1" w:styleId="16">
    <w:name w:val="批注文字 Char"/>
    <w:basedOn w:val="12"/>
    <w:link w:val="4"/>
    <w:uiPriority w:val="0"/>
    <w:rPr>
      <w:kern w:val="2"/>
      <w:sz w:val="21"/>
      <w:szCs w:val="22"/>
    </w:rPr>
  </w:style>
  <w:style w:type="character" w:customStyle="1" w:styleId="17">
    <w:name w:val="批注主题 Char"/>
    <w:basedOn w:val="16"/>
    <w:link w:val="9"/>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514</Words>
  <Characters>2933</Characters>
  <Lines>24</Lines>
  <Paragraphs>6</Paragraphs>
  <TotalTime>18</TotalTime>
  <ScaleCrop>false</ScaleCrop>
  <LinksUpToDate>false</LinksUpToDate>
  <CharactersWithSpaces>3441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zhenny</cp:lastModifiedBy>
  <dcterms:modified xsi:type="dcterms:W3CDTF">2020-10-13T09:40:25Z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