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textAlignment w:val="baseline"/>
        <w:rPr>
          <w:rFonts w:ascii="宋体" w:hAnsi="宋体" w:cs="宋体"/>
          <w:b/>
          <w:bCs/>
          <w:sz w:val="32"/>
          <w:szCs w:val="32"/>
        </w:rPr>
      </w:pPr>
      <w:r>
        <w:rPr>
          <w:rFonts w:hint="eastAsia" w:ascii="宋体" w:hAnsi="宋体" w:cs="宋体"/>
          <w:b/>
          <w:bCs/>
          <w:sz w:val="32"/>
          <w:szCs w:val="32"/>
        </w:rPr>
        <w:t>关于项目公司申请向深圳恒大材料设备有限公司支付</w:t>
      </w:r>
    </w:p>
    <w:p>
      <w:pPr>
        <w:jc w:val="center"/>
        <w:textAlignment w:val="baseline"/>
        <w:rPr>
          <w:rFonts w:ascii="宋体" w:hAnsi="宋体" w:cs="宋体"/>
          <w:b/>
          <w:bCs/>
          <w:sz w:val="32"/>
          <w:szCs w:val="32"/>
        </w:rPr>
      </w:pPr>
      <w:r>
        <w:rPr>
          <w:rFonts w:hint="eastAsia" w:ascii="宋体" w:hAnsi="宋体" w:cs="宋体"/>
          <w:b/>
          <w:bCs/>
          <w:sz w:val="32"/>
          <w:szCs w:val="32"/>
        </w:rPr>
        <w:t>材料款5,405万元的审核说明</w:t>
      </w:r>
    </w:p>
    <w:p>
      <w:pPr>
        <w:jc w:val="center"/>
        <w:textAlignment w:val="baseline"/>
        <w:rPr>
          <w:rFonts w:ascii="宋体" w:hAnsi="宋体" w:cs="宋体"/>
          <w:b/>
          <w:bCs/>
          <w:sz w:val="32"/>
          <w:szCs w:val="32"/>
        </w:rPr>
      </w:pPr>
    </w:p>
    <w:p>
      <w:pPr>
        <w:spacing w:line="480" w:lineRule="auto"/>
        <w:ind w:firstLine="480" w:firstLineChars="200"/>
        <w:textAlignment w:val="baseline"/>
        <w:rPr>
          <w:rFonts w:ascii="宋体" w:hAnsi="宋体" w:cs="宋体"/>
          <w:sz w:val="24"/>
          <w:szCs w:val="24"/>
        </w:rPr>
      </w:pPr>
      <w:r>
        <w:rPr>
          <w:rFonts w:hint="eastAsia" w:ascii="宋体" w:hAnsi="宋体" w:cs="宋体"/>
          <w:sz w:val="24"/>
          <w:szCs w:val="24"/>
        </w:rPr>
        <w:t>项目公司于2021年3月9日提请《用款申请》，计划于2021年3月9日（以实际用款时间为准）使用浙商银行资金向江苏省苏中建设集团股份有限公司指定代收方深圳恒大材料设备有限公司支付工程款预付款5,405万元。我司对项目公司申报的用款材料及工程监理月报进行了形式审核，本次拟支付的工程预付款5,405万元为标的项目工程建设款项，资金用于标的项目工程建设，我司同意用款。具体审核结果如下：</w:t>
      </w:r>
    </w:p>
    <w:p>
      <w:pPr>
        <w:spacing w:line="480" w:lineRule="auto"/>
        <w:ind w:firstLine="480" w:firstLineChars="200"/>
        <w:textAlignment w:val="baseline"/>
        <w:rPr>
          <w:rFonts w:ascii="宋体" w:hAnsi="宋体" w:cs="宋体"/>
          <w:sz w:val="24"/>
          <w:szCs w:val="24"/>
        </w:rPr>
      </w:pPr>
      <w:r>
        <w:rPr>
          <w:rFonts w:hint="eastAsia" w:ascii="宋体" w:hAnsi="宋体" w:cs="宋体"/>
          <w:sz w:val="24"/>
          <w:szCs w:val="24"/>
        </w:rPr>
        <w:t>根据项目公司于2020年8月7日签订《江阴恒大华府主体及配套建设工程施工合同》，合同金额为7.9亿元。另，根据项目公司签订的</w:t>
      </w:r>
      <w:bookmarkStart w:id="0" w:name="_Hlk60261209"/>
      <w:r>
        <w:rPr>
          <w:rFonts w:hint="eastAsia" w:ascii="宋体" w:hAnsi="宋体" w:cs="宋体"/>
          <w:sz w:val="24"/>
          <w:szCs w:val="24"/>
        </w:rPr>
        <w:t>《代扣代付材料物资款三方协议》，合同金额为6.08亿元</w:t>
      </w:r>
      <w:bookmarkEnd w:id="0"/>
      <w:r>
        <w:rPr>
          <w:rFonts w:hint="eastAsia" w:ascii="宋体" w:hAnsi="宋体" w:cs="宋体"/>
          <w:sz w:val="24"/>
          <w:szCs w:val="24"/>
        </w:rPr>
        <w:t>。该协议于我方进场前签订，已于2021年1月6月进行追认备案。该合同第三条中规定“采购部分较大金额物资需预付采购款给乙方”。项目公司于2021年3月2日收到信托资金付款的</w:t>
      </w:r>
      <w:r>
        <w:rPr>
          <w:rFonts w:hint="eastAsia" w:ascii="宋体" w:hAnsi="宋体" w:cs="宋体"/>
          <w:color w:val="000000"/>
          <w:kern w:val="0"/>
          <w:sz w:val="24"/>
          <w:szCs w:val="24"/>
          <w:lang w:bidi="ar"/>
        </w:rPr>
        <w:t>1,346.40</w:t>
      </w:r>
      <w:r>
        <w:rPr>
          <w:rFonts w:hint="eastAsia" w:ascii="宋体" w:hAnsi="宋体" w:cs="宋体"/>
          <w:sz w:val="24"/>
          <w:szCs w:val="24"/>
        </w:rPr>
        <w:t>万元收据，截至2021年3月9日，该合同下信托资金累计付款七次，共计13,691.10万元；截至2021年3月9日，该合同累计付款八次，共计13,904.17万元，其中信托资金支付13,691.10万元，项目资金计划支付213.07万元。根据项目公司提供工地收货单显示，截至2021年3月9日收到材料共计约5</w:t>
      </w:r>
      <w:r>
        <w:rPr>
          <w:rFonts w:ascii="宋体" w:hAnsi="宋体" w:cs="宋体"/>
          <w:sz w:val="24"/>
          <w:szCs w:val="24"/>
        </w:rPr>
        <w:t>,</w:t>
      </w:r>
      <w:r>
        <w:rPr>
          <w:rFonts w:hint="eastAsia" w:ascii="宋体" w:hAnsi="宋体" w:cs="宋体"/>
          <w:sz w:val="24"/>
          <w:szCs w:val="24"/>
        </w:rPr>
        <w:t>466.22万元。</w:t>
      </w:r>
    </w:p>
    <w:p>
      <w:pPr>
        <w:spacing w:line="480" w:lineRule="auto"/>
        <w:ind w:firstLine="480" w:firstLineChars="200"/>
        <w:textAlignment w:val="baseline"/>
        <w:rPr>
          <w:rFonts w:ascii="宋体" w:hAnsi="宋体" w:cs="宋体"/>
          <w:sz w:val="24"/>
          <w:szCs w:val="24"/>
        </w:rPr>
      </w:pPr>
      <w:r>
        <w:rPr>
          <w:rFonts w:hint="eastAsia" w:ascii="宋体" w:hAnsi="宋体" w:cs="宋体"/>
          <w:sz w:val="24"/>
          <w:szCs w:val="24"/>
        </w:rPr>
        <w:t>以下为《江阴恒大华府主体及配套建设工程施工合同》及《代扣代付材料物资款三方协议》的付款统计情况表（截至</w:t>
      </w:r>
      <w:r>
        <w:rPr>
          <w:rFonts w:ascii="宋体" w:hAnsi="宋体" w:cs="宋体"/>
          <w:sz w:val="24"/>
          <w:szCs w:val="24"/>
        </w:rPr>
        <w:t>2021</w:t>
      </w:r>
      <w:r>
        <w:rPr>
          <w:rFonts w:hint="eastAsia" w:ascii="宋体" w:hAnsi="宋体" w:cs="宋体"/>
          <w:sz w:val="24"/>
          <w:szCs w:val="24"/>
        </w:rPr>
        <w:t>年3月9日）：</w:t>
      </w:r>
    </w:p>
    <w:tbl>
      <w:tblPr>
        <w:tblStyle w:val="12"/>
        <w:tblW w:w="85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1"/>
        <w:gridCol w:w="2179"/>
        <w:gridCol w:w="2368"/>
        <w:gridCol w:w="29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50" w:hRule="atLeast"/>
          <w:jc w:val="center"/>
        </w:trPr>
        <w:tc>
          <w:tcPr>
            <w:tcW w:w="1021" w:type="dxa"/>
            <w:vAlign w:val="center"/>
          </w:tcPr>
          <w:p>
            <w:pPr>
              <w:spacing w:line="480" w:lineRule="auto"/>
              <w:jc w:val="center"/>
              <w:textAlignment w:val="baseline"/>
              <w:rPr>
                <w:rFonts w:ascii="宋体" w:hAnsi="宋体" w:cs="宋体"/>
                <w:sz w:val="24"/>
                <w:szCs w:val="24"/>
              </w:rPr>
            </w:pPr>
            <w:r>
              <w:rPr>
                <w:rFonts w:hint="eastAsia" w:ascii="宋体" w:hAnsi="宋体" w:cs="宋体"/>
                <w:sz w:val="24"/>
                <w:szCs w:val="24"/>
              </w:rPr>
              <w:t>序号</w:t>
            </w:r>
          </w:p>
        </w:tc>
        <w:tc>
          <w:tcPr>
            <w:tcW w:w="2179" w:type="dxa"/>
            <w:vAlign w:val="center"/>
          </w:tcPr>
          <w:p>
            <w:pPr>
              <w:spacing w:line="480" w:lineRule="auto"/>
              <w:jc w:val="center"/>
              <w:textAlignment w:val="baseline"/>
              <w:rPr>
                <w:rFonts w:ascii="宋体" w:hAnsi="宋体" w:cs="宋体"/>
                <w:sz w:val="24"/>
                <w:szCs w:val="24"/>
              </w:rPr>
            </w:pPr>
            <w:r>
              <w:rPr>
                <w:rFonts w:hint="eastAsia" w:ascii="宋体" w:hAnsi="宋体" w:cs="宋体"/>
                <w:sz w:val="24"/>
                <w:szCs w:val="24"/>
              </w:rPr>
              <w:t>付款日期</w:t>
            </w:r>
          </w:p>
        </w:tc>
        <w:tc>
          <w:tcPr>
            <w:tcW w:w="2368" w:type="dxa"/>
            <w:vAlign w:val="center"/>
          </w:tcPr>
          <w:p>
            <w:pPr>
              <w:spacing w:line="480" w:lineRule="auto"/>
              <w:jc w:val="center"/>
              <w:textAlignment w:val="baseline"/>
              <w:rPr>
                <w:rFonts w:ascii="宋体" w:hAnsi="宋体" w:cs="宋体"/>
                <w:sz w:val="24"/>
                <w:szCs w:val="24"/>
              </w:rPr>
            </w:pPr>
            <w:r>
              <w:rPr>
                <w:rFonts w:hint="eastAsia" w:ascii="宋体" w:hAnsi="宋体" w:cs="宋体"/>
                <w:sz w:val="24"/>
                <w:szCs w:val="24"/>
              </w:rPr>
              <w:t>付款金额（万元）</w:t>
            </w:r>
          </w:p>
        </w:tc>
        <w:tc>
          <w:tcPr>
            <w:tcW w:w="2991" w:type="dxa"/>
            <w:vAlign w:val="center"/>
          </w:tcPr>
          <w:p>
            <w:pPr>
              <w:spacing w:line="480" w:lineRule="auto"/>
              <w:jc w:val="center"/>
              <w:textAlignment w:val="baseline"/>
              <w:rPr>
                <w:rFonts w:ascii="宋体" w:hAnsi="宋体" w:cs="宋体"/>
                <w:sz w:val="24"/>
                <w:szCs w:val="24"/>
              </w:rPr>
            </w:pPr>
            <w:r>
              <w:rPr>
                <w:rFonts w:hint="eastAsia" w:ascii="宋体" w:hAnsi="宋体" w:cs="宋体"/>
                <w:sz w:val="24"/>
                <w:szCs w:val="24"/>
              </w:rPr>
              <w:t>备注</w:t>
            </w:r>
          </w:p>
        </w:tc>
      </w:tr>
      <w:tr>
        <w:trPr>
          <w:cantSplit/>
          <w:trHeight w:val="340" w:hRule="atLeast"/>
          <w:jc w:val="center"/>
        </w:trPr>
        <w:tc>
          <w:tcPr>
            <w:tcW w:w="1021" w:type="dxa"/>
            <w:vAlign w:val="center"/>
          </w:tcPr>
          <w:p>
            <w:pPr>
              <w:spacing w:line="480" w:lineRule="auto"/>
              <w:jc w:val="center"/>
              <w:textAlignment w:val="baseline"/>
              <w:rPr>
                <w:rFonts w:ascii="宋体" w:hAnsi="宋体" w:cs="宋体"/>
                <w:sz w:val="24"/>
                <w:szCs w:val="24"/>
              </w:rPr>
            </w:pPr>
            <w:r>
              <w:rPr>
                <w:rFonts w:hint="eastAsia" w:ascii="宋体" w:hAnsi="宋体" w:cs="宋体"/>
                <w:sz w:val="24"/>
                <w:szCs w:val="24"/>
              </w:rPr>
              <w:t>1</w:t>
            </w:r>
          </w:p>
        </w:tc>
        <w:tc>
          <w:tcPr>
            <w:tcW w:w="2179" w:type="dxa"/>
            <w:vAlign w:val="center"/>
          </w:tcPr>
          <w:p>
            <w:pPr>
              <w:spacing w:line="480" w:lineRule="auto"/>
              <w:jc w:val="center"/>
              <w:textAlignment w:val="baseline"/>
              <w:rPr>
                <w:rFonts w:ascii="宋体" w:hAnsi="宋体" w:cs="宋体"/>
                <w:sz w:val="24"/>
                <w:szCs w:val="24"/>
              </w:rPr>
            </w:pPr>
            <w:r>
              <w:rPr>
                <w:rFonts w:hint="eastAsia" w:ascii="宋体" w:hAnsi="宋体" w:cs="宋体"/>
                <w:sz w:val="24"/>
                <w:szCs w:val="24"/>
              </w:rPr>
              <w:t>2021/1/6</w:t>
            </w:r>
          </w:p>
        </w:tc>
        <w:tc>
          <w:tcPr>
            <w:tcW w:w="2368" w:type="dxa"/>
            <w:vAlign w:val="center"/>
          </w:tcPr>
          <w:p>
            <w:pPr>
              <w:spacing w:line="480" w:lineRule="auto"/>
              <w:jc w:val="center"/>
              <w:textAlignment w:val="baseline"/>
              <w:rPr>
                <w:rFonts w:ascii="宋体" w:hAnsi="宋体" w:cs="宋体"/>
                <w:sz w:val="24"/>
                <w:szCs w:val="24"/>
              </w:rPr>
            </w:pPr>
            <w:r>
              <w:rPr>
                <w:rFonts w:hint="eastAsia" w:ascii="宋体" w:hAnsi="宋体" w:cs="宋体"/>
                <w:sz w:val="24"/>
                <w:szCs w:val="24"/>
              </w:rPr>
              <w:t>3,900.00</w:t>
            </w:r>
          </w:p>
        </w:tc>
        <w:tc>
          <w:tcPr>
            <w:tcW w:w="2991" w:type="dxa"/>
            <w:vAlign w:val="center"/>
          </w:tcPr>
          <w:p>
            <w:pPr>
              <w:spacing w:line="480" w:lineRule="auto"/>
              <w:jc w:val="center"/>
              <w:textAlignment w:val="baseline"/>
              <w:rPr>
                <w:rFonts w:ascii="宋体" w:hAnsi="宋体" w:cs="宋体"/>
                <w:sz w:val="24"/>
                <w:szCs w:val="24"/>
              </w:rPr>
            </w:pPr>
            <w:r>
              <w:rPr>
                <w:rFonts w:hint="eastAsia" w:ascii="宋体" w:hAnsi="宋体" w:cs="宋体"/>
                <w:sz w:val="24"/>
                <w:szCs w:val="24"/>
              </w:rPr>
              <w:t>信托监管账户付款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0" w:hRule="atLeast"/>
          <w:jc w:val="center"/>
        </w:trPr>
        <w:tc>
          <w:tcPr>
            <w:tcW w:w="1021" w:type="dxa"/>
            <w:vAlign w:val="center"/>
          </w:tcPr>
          <w:p>
            <w:pPr>
              <w:spacing w:line="480" w:lineRule="auto"/>
              <w:jc w:val="center"/>
              <w:textAlignment w:val="baseline"/>
              <w:rPr>
                <w:rFonts w:ascii="宋体" w:hAnsi="宋体" w:cs="宋体"/>
                <w:sz w:val="24"/>
                <w:szCs w:val="24"/>
              </w:rPr>
            </w:pPr>
            <w:r>
              <w:rPr>
                <w:rFonts w:hint="eastAsia" w:ascii="宋体" w:hAnsi="宋体" w:cs="宋体"/>
                <w:sz w:val="24"/>
                <w:szCs w:val="24"/>
              </w:rPr>
              <w:t>2</w:t>
            </w:r>
          </w:p>
        </w:tc>
        <w:tc>
          <w:tcPr>
            <w:tcW w:w="2179" w:type="dxa"/>
            <w:vAlign w:val="center"/>
          </w:tcPr>
          <w:p>
            <w:pPr>
              <w:spacing w:line="480" w:lineRule="auto"/>
              <w:jc w:val="center"/>
              <w:textAlignment w:val="baseline"/>
              <w:rPr>
                <w:rFonts w:ascii="宋体" w:hAnsi="宋体" w:cs="宋体"/>
                <w:sz w:val="24"/>
                <w:szCs w:val="24"/>
              </w:rPr>
            </w:pPr>
            <w:r>
              <w:rPr>
                <w:rFonts w:hint="eastAsia" w:ascii="宋体" w:hAnsi="宋体" w:cs="宋体"/>
                <w:sz w:val="24"/>
                <w:szCs w:val="24"/>
              </w:rPr>
              <w:t>2021/1/11</w:t>
            </w:r>
          </w:p>
        </w:tc>
        <w:tc>
          <w:tcPr>
            <w:tcW w:w="2368" w:type="dxa"/>
            <w:vAlign w:val="center"/>
          </w:tcPr>
          <w:p>
            <w:pPr>
              <w:spacing w:line="480" w:lineRule="auto"/>
              <w:jc w:val="center"/>
              <w:textAlignment w:val="baseline"/>
              <w:rPr>
                <w:rFonts w:ascii="宋体" w:hAnsi="宋体" w:cs="宋体"/>
                <w:sz w:val="24"/>
                <w:szCs w:val="24"/>
              </w:rPr>
            </w:pPr>
            <w:r>
              <w:rPr>
                <w:rFonts w:hint="eastAsia" w:ascii="宋体" w:hAnsi="宋体" w:cs="宋体"/>
                <w:sz w:val="24"/>
                <w:szCs w:val="24"/>
              </w:rPr>
              <w:t>1,386.00</w:t>
            </w:r>
          </w:p>
        </w:tc>
        <w:tc>
          <w:tcPr>
            <w:tcW w:w="2991" w:type="dxa"/>
            <w:vAlign w:val="center"/>
          </w:tcPr>
          <w:p>
            <w:pPr>
              <w:spacing w:line="480" w:lineRule="auto"/>
              <w:jc w:val="center"/>
              <w:textAlignment w:val="baseline"/>
              <w:rPr>
                <w:rFonts w:ascii="宋体" w:hAnsi="宋体" w:cs="宋体"/>
                <w:sz w:val="24"/>
                <w:szCs w:val="24"/>
              </w:rPr>
            </w:pPr>
            <w:r>
              <w:rPr>
                <w:rFonts w:hint="eastAsia" w:ascii="宋体" w:hAnsi="宋体" w:cs="宋体"/>
                <w:sz w:val="24"/>
                <w:szCs w:val="24"/>
              </w:rPr>
              <w:t>信托监管账户付款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0" w:hRule="atLeast"/>
          <w:jc w:val="center"/>
        </w:trPr>
        <w:tc>
          <w:tcPr>
            <w:tcW w:w="1021" w:type="dxa"/>
            <w:vAlign w:val="center"/>
          </w:tcPr>
          <w:p>
            <w:pPr>
              <w:spacing w:line="480" w:lineRule="auto"/>
              <w:jc w:val="center"/>
              <w:textAlignment w:val="baseline"/>
              <w:rPr>
                <w:rFonts w:ascii="宋体" w:hAnsi="宋体" w:cs="宋体"/>
                <w:sz w:val="24"/>
                <w:szCs w:val="24"/>
              </w:rPr>
            </w:pPr>
            <w:r>
              <w:rPr>
                <w:rFonts w:hint="eastAsia" w:ascii="宋体" w:hAnsi="宋体" w:cs="宋体"/>
                <w:sz w:val="24"/>
                <w:szCs w:val="24"/>
              </w:rPr>
              <w:t>3</w:t>
            </w:r>
          </w:p>
        </w:tc>
        <w:tc>
          <w:tcPr>
            <w:tcW w:w="2179" w:type="dxa"/>
            <w:vAlign w:val="center"/>
          </w:tcPr>
          <w:p>
            <w:pPr>
              <w:spacing w:line="480" w:lineRule="auto"/>
              <w:jc w:val="center"/>
              <w:textAlignment w:val="baseline"/>
              <w:rPr>
                <w:rFonts w:ascii="宋体" w:hAnsi="宋体" w:cs="宋体"/>
                <w:sz w:val="24"/>
                <w:szCs w:val="24"/>
              </w:rPr>
            </w:pPr>
            <w:r>
              <w:rPr>
                <w:rFonts w:hint="eastAsia" w:ascii="宋体" w:hAnsi="宋体" w:cs="宋体"/>
                <w:sz w:val="24"/>
                <w:szCs w:val="24"/>
              </w:rPr>
              <w:t>2021/1/13</w:t>
            </w:r>
          </w:p>
        </w:tc>
        <w:tc>
          <w:tcPr>
            <w:tcW w:w="2368" w:type="dxa"/>
            <w:vAlign w:val="center"/>
          </w:tcPr>
          <w:p>
            <w:pPr>
              <w:spacing w:line="480" w:lineRule="auto"/>
              <w:jc w:val="center"/>
              <w:textAlignment w:val="baseline"/>
              <w:rPr>
                <w:rFonts w:ascii="宋体" w:hAnsi="宋体" w:cs="宋体"/>
                <w:sz w:val="24"/>
                <w:szCs w:val="24"/>
              </w:rPr>
            </w:pPr>
            <w:r>
              <w:rPr>
                <w:rFonts w:hint="eastAsia" w:ascii="宋体" w:hAnsi="宋体" w:cs="宋体"/>
                <w:sz w:val="24"/>
                <w:szCs w:val="24"/>
              </w:rPr>
              <w:t>213.07</w:t>
            </w:r>
          </w:p>
        </w:tc>
        <w:tc>
          <w:tcPr>
            <w:tcW w:w="2991" w:type="dxa"/>
            <w:vAlign w:val="center"/>
          </w:tcPr>
          <w:p>
            <w:pPr>
              <w:spacing w:line="480" w:lineRule="auto"/>
              <w:jc w:val="center"/>
              <w:textAlignment w:val="baseline"/>
              <w:rPr>
                <w:rFonts w:ascii="宋体" w:hAnsi="宋体" w:cs="宋体"/>
                <w:sz w:val="24"/>
                <w:szCs w:val="24"/>
              </w:rPr>
            </w:pPr>
            <w:r>
              <w:rPr>
                <w:rFonts w:hint="eastAsia" w:ascii="宋体" w:hAnsi="宋体" w:cs="宋体"/>
                <w:sz w:val="24"/>
                <w:szCs w:val="24"/>
              </w:rPr>
              <w:t>根据资金支付计划付款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0" w:hRule="atLeast"/>
          <w:jc w:val="center"/>
        </w:trPr>
        <w:tc>
          <w:tcPr>
            <w:tcW w:w="1021" w:type="dxa"/>
            <w:vAlign w:val="center"/>
          </w:tcPr>
          <w:p>
            <w:pPr>
              <w:spacing w:line="480" w:lineRule="auto"/>
              <w:jc w:val="center"/>
              <w:textAlignment w:val="baseline"/>
              <w:rPr>
                <w:rFonts w:ascii="宋体" w:hAnsi="宋体" w:cs="宋体"/>
                <w:sz w:val="24"/>
                <w:szCs w:val="24"/>
              </w:rPr>
            </w:pPr>
            <w:r>
              <w:rPr>
                <w:rFonts w:hint="eastAsia" w:ascii="宋体" w:hAnsi="宋体" w:cs="宋体"/>
                <w:sz w:val="24"/>
                <w:szCs w:val="24"/>
              </w:rPr>
              <w:t>4</w:t>
            </w:r>
          </w:p>
        </w:tc>
        <w:tc>
          <w:tcPr>
            <w:tcW w:w="2179" w:type="dxa"/>
            <w:vAlign w:val="center"/>
          </w:tcPr>
          <w:p>
            <w:pPr>
              <w:spacing w:line="480" w:lineRule="auto"/>
              <w:jc w:val="center"/>
              <w:textAlignment w:val="baseline"/>
              <w:rPr>
                <w:rFonts w:ascii="宋体" w:hAnsi="宋体" w:cs="宋体"/>
                <w:sz w:val="24"/>
                <w:szCs w:val="24"/>
              </w:rPr>
            </w:pPr>
            <w:r>
              <w:rPr>
                <w:rFonts w:hint="eastAsia" w:ascii="宋体" w:hAnsi="宋体" w:cs="宋体"/>
                <w:sz w:val="24"/>
                <w:szCs w:val="24"/>
              </w:rPr>
              <w:t>2021/1/20</w:t>
            </w:r>
          </w:p>
        </w:tc>
        <w:tc>
          <w:tcPr>
            <w:tcW w:w="2368" w:type="dxa"/>
            <w:vAlign w:val="center"/>
          </w:tcPr>
          <w:p>
            <w:pPr>
              <w:spacing w:line="480" w:lineRule="auto"/>
              <w:jc w:val="center"/>
              <w:textAlignment w:val="baseline"/>
              <w:rPr>
                <w:rFonts w:ascii="宋体" w:hAnsi="宋体" w:cs="宋体"/>
                <w:sz w:val="24"/>
                <w:szCs w:val="24"/>
              </w:rPr>
            </w:pPr>
            <w:r>
              <w:rPr>
                <w:rFonts w:hint="eastAsia" w:ascii="宋体" w:hAnsi="宋体" w:cs="宋体"/>
                <w:sz w:val="24"/>
                <w:szCs w:val="24"/>
              </w:rPr>
              <w:t>990.00</w:t>
            </w:r>
          </w:p>
        </w:tc>
        <w:tc>
          <w:tcPr>
            <w:tcW w:w="2991" w:type="dxa"/>
            <w:vAlign w:val="center"/>
          </w:tcPr>
          <w:p>
            <w:pPr>
              <w:spacing w:line="480" w:lineRule="auto"/>
              <w:jc w:val="center"/>
              <w:textAlignment w:val="baseline"/>
              <w:rPr>
                <w:rFonts w:ascii="宋体" w:hAnsi="宋体" w:cs="宋体"/>
                <w:sz w:val="24"/>
                <w:szCs w:val="24"/>
              </w:rPr>
            </w:pPr>
            <w:r>
              <w:rPr>
                <w:rFonts w:hint="eastAsia" w:ascii="宋体" w:hAnsi="宋体" w:cs="宋体"/>
                <w:sz w:val="24"/>
                <w:szCs w:val="24"/>
              </w:rPr>
              <w:t>信托监管账户付款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0" w:hRule="atLeast"/>
          <w:jc w:val="center"/>
        </w:trPr>
        <w:tc>
          <w:tcPr>
            <w:tcW w:w="1021" w:type="dxa"/>
            <w:vAlign w:val="center"/>
          </w:tcPr>
          <w:p>
            <w:pPr>
              <w:spacing w:line="480" w:lineRule="auto"/>
              <w:jc w:val="center"/>
              <w:textAlignment w:val="baseline"/>
              <w:rPr>
                <w:rFonts w:ascii="宋体" w:hAnsi="宋体" w:cs="宋体"/>
                <w:sz w:val="24"/>
                <w:szCs w:val="24"/>
              </w:rPr>
            </w:pPr>
            <w:r>
              <w:rPr>
                <w:rFonts w:hint="eastAsia" w:ascii="宋体" w:hAnsi="宋体" w:cs="宋体"/>
                <w:sz w:val="24"/>
                <w:szCs w:val="24"/>
              </w:rPr>
              <w:t>5</w:t>
            </w:r>
          </w:p>
        </w:tc>
        <w:tc>
          <w:tcPr>
            <w:tcW w:w="2179" w:type="dxa"/>
            <w:vAlign w:val="center"/>
          </w:tcPr>
          <w:p>
            <w:pPr>
              <w:spacing w:line="480" w:lineRule="auto"/>
              <w:jc w:val="center"/>
              <w:textAlignment w:val="baseline"/>
              <w:rPr>
                <w:rFonts w:ascii="宋体" w:hAnsi="宋体" w:cs="宋体"/>
                <w:sz w:val="24"/>
                <w:szCs w:val="24"/>
              </w:rPr>
            </w:pPr>
            <w:r>
              <w:rPr>
                <w:rFonts w:hint="eastAsia" w:ascii="宋体" w:hAnsi="宋体" w:cs="宋体"/>
                <w:sz w:val="24"/>
                <w:szCs w:val="24"/>
              </w:rPr>
              <w:t>2021/2/2</w:t>
            </w:r>
          </w:p>
        </w:tc>
        <w:tc>
          <w:tcPr>
            <w:tcW w:w="2368" w:type="dxa"/>
            <w:vAlign w:val="center"/>
          </w:tcPr>
          <w:p>
            <w:pPr>
              <w:spacing w:line="480" w:lineRule="auto"/>
              <w:jc w:val="center"/>
              <w:textAlignment w:val="baseline"/>
              <w:rPr>
                <w:rFonts w:ascii="宋体" w:hAnsi="宋体" w:cs="宋体"/>
                <w:sz w:val="24"/>
                <w:szCs w:val="24"/>
              </w:rPr>
            </w:pPr>
            <w:r>
              <w:rPr>
                <w:rFonts w:hint="eastAsia" w:ascii="宋体" w:hAnsi="宋体" w:cs="宋体"/>
                <w:sz w:val="24"/>
                <w:szCs w:val="24"/>
              </w:rPr>
              <w:t>990.00</w:t>
            </w:r>
          </w:p>
        </w:tc>
        <w:tc>
          <w:tcPr>
            <w:tcW w:w="2991" w:type="dxa"/>
            <w:vAlign w:val="center"/>
          </w:tcPr>
          <w:p>
            <w:pPr>
              <w:spacing w:line="480" w:lineRule="auto"/>
              <w:jc w:val="center"/>
              <w:textAlignment w:val="baseline"/>
              <w:rPr>
                <w:rFonts w:ascii="宋体" w:hAnsi="宋体" w:cs="宋体"/>
                <w:sz w:val="24"/>
                <w:szCs w:val="24"/>
              </w:rPr>
            </w:pPr>
            <w:r>
              <w:rPr>
                <w:rFonts w:hint="eastAsia" w:ascii="宋体" w:hAnsi="宋体" w:cs="宋体"/>
                <w:sz w:val="24"/>
                <w:szCs w:val="24"/>
              </w:rPr>
              <w:t>信托监管账户付款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0" w:hRule="atLeast"/>
          <w:jc w:val="center"/>
        </w:trPr>
        <w:tc>
          <w:tcPr>
            <w:tcW w:w="1021" w:type="dxa"/>
            <w:vAlign w:val="center"/>
          </w:tcPr>
          <w:p>
            <w:pPr>
              <w:spacing w:line="480" w:lineRule="auto"/>
              <w:jc w:val="center"/>
              <w:textAlignment w:val="baseline"/>
              <w:rPr>
                <w:rFonts w:ascii="宋体" w:hAnsi="宋体" w:cs="宋体"/>
                <w:sz w:val="24"/>
                <w:szCs w:val="24"/>
              </w:rPr>
            </w:pPr>
            <w:r>
              <w:rPr>
                <w:rFonts w:hint="eastAsia" w:ascii="宋体" w:hAnsi="宋体" w:cs="宋体"/>
                <w:sz w:val="24"/>
                <w:szCs w:val="24"/>
              </w:rPr>
              <w:t>6</w:t>
            </w:r>
          </w:p>
        </w:tc>
        <w:tc>
          <w:tcPr>
            <w:tcW w:w="2179" w:type="dxa"/>
            <w:vAlign w:val="center"/>
          </w:tcPr>
          <w:p>
            <w:pPr>
              <w:spacing w:line="480" w:lineRule="auto"/>
              <w:jc w:val="center"/>
              <w:textAlignment w:val="baseline"/>
              <w:rPr>
                <w:rFonts w:ascii="宋体" w:hAnsi="宋体" w:cs="宋体"/>
                <w:sz w:val="24"/>
                <w:szCs w:val="24"/>
              </w:rPr>
            </w:pPr>
            <w:r>
              <w:rPr>
                <w:rFonts w:hint="eastAsia" w:ascii="宋体" w:hAnsi="宋体" w:cs="宋体"/>
                <w:sz w:val="24"/>
                <w:szCs w:val="24"/>
              </w:rPr>
              <w:t>2021/2/8</w:t>
            </w:r>
          </w:p>
        </w:tc>
        <w:tc>
          <w:tcPr>
            <w:tcW w:w="2368" w:type="dxa"/>
            <w:vAlign w:val="center"/>
          </w:tcPr>
          <w:p>
            <w:pPr>
              <w:spacing w:line="480" w:lineRule="auto"/>
              <w:jc w:val="center"/>
              <w:textAlignment w:val="baseline"/>
              <w:rPr>
                <w:rFonts w:ascii="宋体" w:hAnsi="宋体" w:cs="宋体"/>
                <w:sz w:val="24"/>
                <w:szCs w:val="24"/>
              </w:rPr>
            </w:pPr>
            <w:r>
              <w:rPr>
                <w:rFonts w:hint="eastAsia" w:ascii="宋体" w:hAnsi="宋体" w:cs="宋体"/>
                <w:sz w:val="24"/>
                <w:szCs w:val="24"/>
              </w:rPr>
              <w:t>1,366.20</w:t>
            </w:r>
          </w:p>
        </w:tc>
        <w:tc>
          <w:tcPr>
            <w:tcW w:w="2991" w:type="dxa"/>
            <w:vAlign w:val="center"/>
          </w:tcPr>
          <w:p>
            <w:pPr>
              <w:spacing w:line="480" w:lineRule="auto"/>
              <w:jc w:val="center"/>
              <w:textAlignment w:val="baseline"/>
              <w:rPr>
                <w:rFonts w:ascii="宋体" w:hAnsi="宋体" w:cs="宋体"/>
                <w:sz w:val="24"/>
                <w:szCs w:val="24"/>
              </w:rPr>
            </w:pPr>
            <w:r>
              <w:rPr>
                <w:rFonts w:hint="eastAsia" w:ascii="宋体" w:hAnsi="宋体" w:cs="宋体"/>
                <w:sz w:val="24"/>
                <w:szCs w:val="24"/>
              </w:rPr>
              <w:t>信托监管账户付款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0" w:hRule="atLeast"/>
          <w:jc w:val="center"/>
        </w:trPr>
        <w:tc>
          <w:tcPr>
            <w:tcW w:w="1021" w:type="dxa"/>
            <w:vAlign w:val="center"/>
          </w:tcPr>
          <w:p>
            <w:pPr>
              <w:spacing w:line="480" w:lineRule="auto"/>
              <w:jc w:val="center"/>
              <w:textAlignment w:val="baseline"/>
              <w:rPr>
                <w:rFonts w:ascii="宋体" w:hAnsi="宋体" w:cs="宋体"/>
                <w:sz w:val="24"/>
                <w:szCs w:val="24"/>
              </w:rPr>
            </w:pPr>
            <w:r>
              <w:rPr>
                <w:rFonts w:hint="eastAsia" w:ascii="宋体" w:hAnsi="宋体" w:cs="宋体"/>
                <w:sz w:val="24"/>
                <w:szCs w:val="24"/>
              </w:rPr>
              <w:t>7</w:t>
            </w:r>
          </w:p>
        </w:tc>
        <w:tc>
          <w:tcPr>
            <w:tcW w:w="2179" w:type="dxa"/>
            <w:vAlign w:val="center"/>
          </w:tcPr>
          <w:p>
            <w:pPr>
              <w:spacing w:line="480" w:lineRule="auto"/>
              <w:jc w:val="center"/>
              <w:textAlignment w:val="baseline"/>
              <w:rPr>
                <w:rFonts w:ascii="宋体" w:hAnsi="宋体" w:cs="宋体"/>
                <w:sz w:val="24"/>
                <w:szCs w:val="24"/>
              </w:rPr>
            </w:pPr>
            <w:r>
              <w:rPr>
                <w:rFonts w:hint="eastAsia" w:ascii="宋体" w:hAnsi="宋体" w:cs="宋体"/>
                <w:sz w:val="24"/>
                <w:szCs w:val="24"/>
              </w:rPr>
              <w:t>2021/2/23</w:t>
            </w:r>
          </w:p>
        </w:tc>
        <w:tc>
          <w:tcPr>
            <w:tcW w:w="2368" w:type="dxa"/>
            <w:vAlign w:val="center"/>
          </w:tcPr>
          <w:p>
            <w:pPr>
              <w:spacing w:line="480" w:lineRule="auto"/>
              <w:jc w:val="center"/>
              <w:textAlignment w:val="baseline"/>
              <w:rPr>
                <w:rFonts w:ascii="宋体" w:hAnsi="宋体" w:cs="宋体"/>
                <w:sz w:val="24"/>
                <w:szCs w:val="24"/>
              </w:rPr>
            </w:pPr>
            <w:r>
              <w:rPr>
                <w:rFonts w:hint="eastAsia" w:ascii="宋体" w:hAnsi="宋体" w:cs="宋体"/>
                <w:sz w:val="24"/>
                <w:szCs w:val="24"/>
              </w:rPr>
              <w:t>3,712.50</w:t>
            </w:r>
          </w:p>
        </w:tc>
        <w:tc>
          <w:tcPr>
            <w:tcW w:w="2991" w:type="dxa"/>
            <w:vAlign w:val="center"/>
          </w:tcPr>
          <w:p>
            <w:pPr>
              <w:spacing w:line="480" w:lineRule="auto"/>
              <w:jc w:val="center"/>
              <w:textAlignment w:val="baseline"/>
              <w:rPr>
                <w:rFonts w:ascii="宋体" w:hAnsi="宋体" w:cs="宋体"/>
                <w:sz w:val="24"/>
                <w:szCs w:val="24"/>
              </w:rPr>
            </w:pPr>
            <w:r>
              <w:rPr>
                <w:rFonts w:hint="eastAsia" w:ascii="宋体" w:hAnsi="宋体" w:cs="宋体"/>
                <w:sz w:val="24"/>
                <w:szCs w:val="24"/>
              </w:rPr>
              <w:t>信托监管账户付款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0" w:hRule="atLeast"/>
          <w:jc w:val="center"/>
        </w:trPr>
        <w:tc>
          <w:tcPr>
            <w:tcW w:w="1021" w:type="dxa"/>
            <w:vAlign w:val="center"/>
          </w:tcPr>
          <w:p>
            <w:pPr>
              <w:spacing w:line="480" w:lineRule="auto"/>
              <w:jc w:val="center"/>
              <w:textAlignment w:val="baseline"/>
              <w:rPr>
                <w:rFonts w:ascii="宋体" w:hAnsi="宋体" w:cs="宋体"/>
                <w:sz w:val="24"/>
                <w:szCs w:val="24"/>
              </w:rPr>
            </w:pPr>
            <w:r>
              <w:rPr>
                <w:rFonts w:hint="eastAsia" w:ascii="宋体" w:hAnsi="宋体" w:cs="宋体"/>
                <w:sz w:val="24"/>
                <w:szCs w:val="24"/>
              </w:rPr>
              <w:t>8</w:t>
            </w:r>
          </w:p>
        </w:tc>
        <w:tc>
          <w:tcPr>
            <w:tcW w:w="2179" w:type="dxa"/>
            <w:vAlign w:val="center"/>
          </w:tcPr>
          <w:p>
            <w:pPr>
              <w:spacing w:line="480" w:lineRule="auto"/>
              <w:jc w:val="center"/>
              <w:textAlignment w:val="baseline"/>
              <w:rPr>
                <w:rFonts w:ascii="宋体" w:hAnsi="宋体" w:cs="宋体"/>
                <w:sz w:val="24"/>
                <w:szCs w:val="24"/>
              </w:rPr>
            </w:pPr>
            <w:r>
              <w:rPr>
                <w:rFonts w:hint="eastAsia" w:ascii="宋体" w:hAnsi="宋体" w:cs="宋体"/>
                <w:sz w:val="24"/>
                <w:szCs w:val="24"/>
              </w:rPr>
              <w:t>2021/3/1</w:t>
            </w:r>
          </w:p>
        </w:tc>
        <w:tc>
          <w:tcPr>
            <w:tcW w:w="2368" w:type="dxa"/>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1,346.40</w:t>
            </w:r>
          </w:p>
        </w:tc>
        <w:tc>
          <w:tcPr>
            <w:tcW w:w="2991" w:type="dxa"/>
            <w:vAlign w:val="center"/>
          </w:tcPr>
          <w:p>
            <w:pPr>
              <w:spacing w:line="480" w:lineRule="auto"/>
              <w:jc w:val="center"/>
              <w:textAlignment w:val="baseline"/>
              <w:rPr>
                <w:rFonts w:ascii="宋体" w:hAnsi="宋体" w:cs="宋体"/>
                <w:sz w:val="24"/>
                <w:szCs w:val="24"/>
              </w:rPr>
            </w:pPr>
            <w:r>
              <w:rPr>
                <w:rFonts w:hint="eastAsia" w:ascii="宋体" w:hAnsi="宋体" w:cs="宋体"/>
                <w:sz w:val="24"/>
                <w:szCs w:val="24"/>
              </w:rPr>
              <w:t>信托监管账户付款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0" w:hRule="atLeast"/>
          <w:jc w:val="center"/>
        </w:trPr>
        <w:tc>
          <w:tcPr>
            <w:tcW w:w="3200" w:type="dxa"/>
            <w:gridSpan w:val="2"/>
            <w:vAlign w:val="center"/>
          </w:tcPr>
          <w:p>
            <w:pPr>
              <w:spacing w:line="480" w:lineRule="auto"/>
              <w:jc w:val="center"/>
              <w:textAlignment w:val="baseline"/>
              <w:rPr>
                <w:rFonts w:ascii="宋体" w:hAnsi="宋体" w:cs="宋体"/>
                <w:sz w:val="24"/>
                <w:szCs w:val="24"/>
              </w:rPr>
            </w:pPr>
            <w:r>
              <w:rPr>
                <w:rFonts w:hint="eastAsia" w:ascii="宋体" w:hAnsi="宋体" w:cs="宋体"/>
                <w:sz w:val="24"/>
                <w:szCs w:val="24"/>
              </w:rPr>
              <w:t>合计</w:t>
            </w:r>
          </w:p>
        </w:tc>
        <w:tc>
          <w:tcPr>
            <w:tcW w:w="2368" w:type="dxa"/>
            <w:vAlign w:val="center"/>
          </w:tcPr>
          <w:p>
            <w:pPr>
              <w:widowControl/>
              <w:jc w:val="center"/>
              <w:textAlignment w:val="center"/>
              <w:rPr>
                <w:rFonts w:ascii="宋体" w:hAnsi="宋体" w:cs="宋体"/>
                <w:color w:val="000000"/>
                <w:sz w:val="22"/>
              </w:rPr>
            </w:pPr>
            <w:r>
              <w:rPr>
                <w:rFonts w:hint="eastAsia" w:ascii="宋体" w:hAnsi="宋体" w:cs="宋体"/>
                <w:sz w:val="24"/>
                <w:szCs w:val="24"/>
              </w:rPr>
              <w:t>13,904.17</w:t>
            </w:r>
          </w:p>
        </w:tc>
        <w:tc>
          <w:tcPr>
            <w:tcW w:w="2991" w:type="dxa"/>
            <w:vAlign w:val="center"/>
          </w:tcPr>
          <w:p>
            <w:pPr>
              <w:spacing w:line="480" w:lineRule="auto"/>
              <w:jc w:val="center"/>
              <w:textAlignment w:val="baseline"/>
              <w:rPr>
                <w:rFonts w:ascii="宋体" w:hAnsi="宋体" w:cs="宋体"/>
                <w:sz w:val="24"/>
                <w:szCs w:val="24"/>
              </w:rPr>
            </w:pPr>
          </w:p>
        </w:tc>
      </w:tr>
    </w:tbl>
    <w:p>
      <w:pPr>
        <w:spacing w:line="480" w:lineRule="auto"/>
        <w:ind w:firstLine="480" w:firstLineChars="200"/>
        <w:textAlignment w:val="baseline"/>
        <w:rPr>
          <w:rFonts w:hint="eastAsia" w:ascii="宋体" w:hAnsi="宋体" w:cs="宋体"/>
          <w:sz w:val="24"/>
          <w:szCs w:val="24"/>
          <w:lang w:eastAsia="zh-Hans"/>
        </w:rPr>
      </w:pPr>
      <w:r>
        <w:rPr>
          <w:rFonts w:hint="eastAsia" w:ascii="宋体" w:hAnsi="宋体" w:cs="宋体"/>
          <w:sz w:val="24"/>
          <w:szCs w:val="24"/>
        </w:rPr>
        <w:t>就本次申请付款5,405万元，项目公司提供</w:t>
      </w:r>
      <w:r>
        <w:rPr>
          <w:rFonts w:hint="eastAsia" w:ascii="宋体" w:hAnsi="宋体" w:cs="宋体"/>
          <w:sz w:val="24"/>
          <w:szCs w:val="24"/>
          <w:lang w:eastAsia="zh-Hans"/>
        </w:rPr>
        <w:t>了现场进度</w:t>
      </w:r>
      <w:r>
        <w:rPr>
          <w:rFonts w:hint="eastAsia" w:ascii="宋体" w:hAnsi="宋体" w:cs="宋体"/>
          <w:sz w:val="24"/>
          <w:szCs w:val="24"/>
        </w:rPr>
        <w:t>资料</w:t>
      </w:r>
      <w:r>
        <w:rPr>
          <w:rFonts w:hint="eastAsia" w:ascii="宋体" w:hAnsi="宋体" w:cs="宋体"/>
          <w:sz w:val="24"/>
          <w:szCs w:val="24"/>
          <w:lang w:eastAsia="zh-Hans"/>
        </w:rPr>
        <w:t>及监理报告，我司依据提供材料同意付款。</w:t>
      </w:r>
    </w:p>
    <w:p>
      <w:pPr>
        <w:spacing w:line="480" w:lineRule="auto"/>
        <w:ind w:firstLine="480" w:firstLineChars="200"/>
        <w:textAlignment w:val="baseline"/>
        <w:rPr>
          <w:rFonts w:ascii="宋体" w:hAnsi="宋体" w:cs="宋体"/>
          <w:sz w:val="24"/>
          <w:szCs w:val="24"/>
        </w:rPr>
      </w:pPr>
      <w:bookmarkStart w:id="1" w:name="_GoBack"/>
      <w:r>
        <w:rPr>
          <w:rFonts w:hint="eastAsia" w:ascii="宋体" w:hAnsi="宋体" w:cs="宋体"/>
          <w:sz w:val="24"/>
          <w:szCs w:val="24"/>
        </w:rPr>
        <w:drawing>
          <wp:anchor distT="0" distB="0" distL="0" distR="0" simplePos="0" relativeHeight="1024" behindDoc="0" locked="0" layoutInCell="1" allowOverlap="1">
            <wp:simplePos x="0" y="0"/>
            <wp:positionH relativeFrom="page">
              <wp:posOffset>1788160</wp:posOffset>
            </wp:positionH>
            <wp:positionV relativeFrom="page">
              <wp:posOffset>4395470</wp:posOffset>
            </wp:positionV>
            <wp:extent cx="3843655" cy="4048125"/>
            <wp:effectExtent l="0" t="0" r="17145" b="15875"/>
            <wp:wrapTopAndBottom/>
            <wp:docPr id="1026" name="图片 1"/>
            <wp:cNvGraphicFramePr/>
            <a:graphic xmlns:a="http://schemas.openxmlformats.org/drawingml/2006/main">
              <a:graphicData uri="http://schemas.openxmlformats.org/drawingml/2006/picture">
                <pic:pic xmlns:pic="http://schemas.openxmlformats.org/drawingml/2006/picture">
                  <pic:nvPicPr>
                    <pic:cNvPr id="1026" name="图片 1"/>
                    <pic:cNvPicPr/>
                  </pic:nvPicPr>
                  <pic:blipFill>
                    <a:blip r:embed="rId6" cstate="print"/>
                    <a:srcRect/>
                    <a:stretch>
                      <a:fillRect/>
                    </a:stretch>
                  </pic:blipFill>
                  <pic:spPr>
                    <a:xfrm>
                      <a:off x="0" y="0"/>
                      <a:ext cx="3843655" cy="4048125"/>
                    </a:xfrm>
                    <a:prstGeom prst="rect">
                      <a:avLst/>
                    </a:prstGeom>
                    <a:ln>
                      <a:noFill/>
                    </a:ln>
                  </pic:spPr>
                </pic:pic>
              </a:graphicData>
            </a:graphic>
          </wp:anchor>
        </w:drawing>
      </w:r>
      <w:bookmarkEnd w:id="1"/>
      <w:r>
        <w:rPr>
          <w:rFonts w:hint="eastAsia" w:ascii="宋体" w:hAnsi="宋体" w:cs="宋体"/>
          <w:sz w:val="24"/>
          <w:szCs w:val="24"/>
        </w:rPr>
        <w:t>另，经查询，深圳恒大材料设备有限公司为恒大地产集团子公司，为项目公司的关联企业，我司将依据材料到货单对后期到货的材料进行抽查，并请我司后台支持研发部审核到场材料价格单进行询价比对，以做到对材料成本的严格把控。</w:t>
      </w:r>
    </w:p>
    <w:p>
      <w:pPr>
        <w:spacing w:line="480" w:lineRule="auto"/>
        <w:ind w:firstLine="480" w:firstLineChars="200"/>
        <w:textAlignment w:val="baseline"/>
        <w:rPr>
          <w:rFonts w:ascii="宋体" w:hAnsi="宋体" w:cs="宋体"/>
          <w:color w:val="000000"/>
          <w:sz w:val="24"/>
          <w:szCs w:val="24"/>
          <w:lang w:bidi="zh-CN"/>
        </w:rPr>
      </w:pPr>
      <w:r>
        <w:rPr>
          <w:rFonts w:hint="eastAsia" w:ascii="宋体" w:hAnsi="宋体" w:cs="宋体"/>
          <w:sz w:val="24"/>
          <w:szCs w:val="24"/>
        </w:rPr>
        <w:t>综上，我司同意本次付款申请，拟同意向深圳恒大材料设备有限公司支付工程预付款5,405万元的用款申请，并且做好后期跟踪把控。该事项审批结果以贵司具体意见为准，我司及驻场人员将积极执行。</w:t>
      </w:r>
    </w:p>
    <w:p>
      <w:pPr>
        <w:spacing w:line="360" w:lineRule="auto"/>
        <w:ind w:firstLine="5526" w:firstLineChars="2300"/>
        <w:textAlignment w:val="baseline"/>
        <w:rPr>
          <w:rFonts w:ascii="宋体" w:hAnsi="宋体" w:cs="宋体"/>
          <w:b/>
          <w:color w:val="000000"/>
          <w:sz w:val="24"/>
          <w:szCs w:val="24"/>
          <w:lang w:bidi="zh-CN"/>
        </w:rPr>
      </w:pPr>
    </w:p>
    <w:p>
      <w:pPr>
        <w:spacing w:line="360" w:lineRule="auto"/>
        <w:ind w:firstLine="5526" w:firstLineChars="2300"/>
        <w:textAlignment w:val="baseline"/>
        <w:rPr>
          <w:rFonts w:ascii="宋体" w:hAnsi="宋体" w:cs="宋体"/>
          <w:b/>
          <w:color w:val="000000"/>
          <w:sz w:val="24"/>
          <w:szCs w:val="24"/>
          <w:lang w:bidi="zh-CN"/>
        </w:rPr>
      </w:pPr>
    </w:p>
    <w:p>
      <w:pPr>
        <w:spacing w:line="360" w:lineRule="auto"/>
        <w:ind w:firstLine="5526" w:firstLineChars="2300"/>
        <w:textAlignment w:val="baseline"/>
        <w:rPr>
          <w:rFonts w:ascii="宋体" w:hAnsi="宋体" w:cs="宋体"/>
          <w:b/>
          <w:color w:val="000000"/>
          <w:sz w:val="24"/>
          <w:szCs w:val="24"/>
          <w:lang w:bidi="zh-CN"/>
        </w:rPr>
      </w:pPr>
    </w:p>
    <w:p>
      <w:pPr>
        <w:spacing w:line="360" w:lineRule="auto"/>
        <w:ind w:firstLine="5526" w:firstLineChars="2300"/>
        <w:textAlignment w:val="baseline"/>
        <w:rPr>
          <w:rFonts w:ascii="宋体" w:hAnsi="宋体" w:cs="宋体"/>
          <w:b/>
          <w:color w:val="000000"/>
          <w:sz w:val="24"/>
          <w:szCs w:val="24"/>
          <w:lang w:bidi="zh-CN"/>
        </w:rPr>
      </w:pPr>
    </w:p>
    <w:p>
      <w:pPr>
        <w:spacing w:line="360" w:lineRule="auto"/>
        <w:ind w:firstLine="5526" w:firstLineChars="2300"/>
        <w:textAlignment w:val="baseline"/>
        <w:rPr>
          <w:rFonts w:ascii="宋体" w:hAnsi="宋体" w:cs="宋体"/>
          <w:b/>
          <w:color w:val="000000"/>
          <w:sz w:val="24"/>
          <w:szCs w:val="24"/>
          <w:lang w:bidi="zh-CN"/>
        </w:rPr>
      </w:pPr>
    </w:p>
    <w:p>
      <w:pPr>
        <w:spacing w:line="360" w:lineRule="auto"/>
        <w:ind w:firstLine="5526" w:firstLineChars="2300"/>
        <w:textAlignment w:val="baseline"/>
        <w:rPr>
          <w:rFonts w:ascii="宋体" w:hAnsi="宋体" w:cs="宋体"/>
          <w:b/>
          <w:color w:val="000000"/>
          <w:sz w:val="24"/>
          <w:szCs w:val="24"/>
          <w:lang w:bidi="zh-CN"/>
        </w:rPr>
      </w:pPr>
      <w:r>
        <w:rPr>
          <w:rFonts w:hint="eastAsia" w:ascii="宋体" w:hAnsi="宋体" w:cs="宋体"/>
          <w:b/>
          <w:color w:val="000000"/>
          <w:sz w:val="24"/>
          <w:szCs w:val="24"/>
          <w:lang w:bidi="zh-CN"/>
        </w:rPr>
        <w:t>北京康信君安资产管理有限公司</w:t>
      </w:r>
    </w:p>
    <w:p>
      <w:pPr>
        <w:spacing w:line="360" w:lineRule="auto"/>
        <w:ind w:firstLine="6006" w:firstLineChars="2500"/>
        <w:textAlignment w:val="baseline"/>
        <w:rPr>
          <w:rFonts w:ascii="宋体" w:hAnsi="宋体" w:cs="宋体"/>
          <w:b/>
          <w:color w:val="000000"/>
          <w:sz w:val="24"/>
          <w:szCs w:val="24"/>
          <w:lang w:bidi="zh-CN"/>
        </w:rPr>
      </w:pPr>
      <w:r>
        <w:rPr>
          <w:rFonts w:hint="eastAsia" w:ascii="宋体" w:hAnsi="宋体" w:cs="宋体"/>
          <w:b/>
          <w:color w:val="000000"/>
          <w:sz w:val="24"/>
          <w:szCs w:val="24"/>
          <w:lang w:bidi="zh-CN"/>
        </w:rPr>
        <w:t xml:space="preserve">中粮江阴恒大华府项目组  </w:t>
      </w:r>
    </w:p>
    <w:p>
      <w:pPr>
        <w:spacing w:line="360" w:lineRule="auto"/>
        <w:ind w:left="420" w:leftChars="200" w:firstLine="480" w:firstLineChars="200"/>
        <w:textAlignment w:val="baseline"/>
        <w:rPr>
          <w:rFonts w:ascii="宋体" w:hAnsi="宋体" w:cs="宋体"/>
          <w:b/>
          <w:bCs/>
          <w:sz w:val="24"/>
          <w:szCs w:val="24"/>
        </w:rPr>
      </w:pPr>
      <w:r>
        <w:rPr>
          <w:rFonts w:hint="eastAsia" w:ascii="宋体" w:hAnsi="宋体" w:cs="宋体"/>
          <w:color w:val="000000"/>
          <w:sz w:val="24"/>
          <w:szCs w:val="24"/>
          <w:lang w:bidi="zh-CN"/>
        </w:rPr>
        <w:t xml:space="preserve">                                              </w:t>
      </w:r>
      <w:r>
        <w:rPr>
          <w:rFonts w:hint="eastAsia" w:ascii="宋体" w:hAnsi="宋体" w:cs="宋体"/>
          <w:b/>
          <w:bCs/>
          <w:color w:val="000000"/>
          <w:sz w:val="24"/>
          <w:szCs w:val="24"/>
          <w:lang w:bidi="zh-CN"/>
        </w:rPr>
        <w:t>2021年3月9日</w:t>
      </w:r>
    </w:p>
    <w:sectPr>
      <w:headerReference r:id="rId3" w:type="default"/>
      <w:footerReference r:id="rId4" w:type="default"/>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0" distR="0" simplePos="0" relativeHeight="102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8" name="文本框 1027"/>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7"/>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wrap="none" lIns="0" tIns="0" rIns="0" bIns="0">
                      <a:spAutoFit/>
                    </wps:bodyPr>
                  </wps:wsp>
                </a:graphicData>
              </a:graphic>
            </wp:anchor>
          </w:drawing>
        </mc:Choice>
        <mc:Fallback>
          <w:pict>
            <v:rect id="文本框 1027" o:spid="_x0000_s1026" o:spt="1" style="position:absolute;left:0pt;margin-top:0pt;height:144pt;width:144pt;mso-position-horizontal:center;mso-position-horizontal-relative:margin;mso-wrap-style:none;z-index:1024;mso-width-relative:page;mso-height-relative:page;" filled="f" stroked="f" coordsize="21600,21600" o:gfxdata="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WAAAAZHJzL1BLAQIUABQAAAAIAIdO4kC5&#10;dblS0AAAAAUBAAAPAAAAAAAAAAEAIAAAADgAAABkcnMvZG93bnJldi54bWxQSwECFAAUAAAACACH&#10;TuJAFEF386QBAAAwAwAADgAAAAAAAAABACAAAAA1AQAAZHJzL2Uyb0RvYy54bWxQSwUGAAAAAAYA&#10;BgBZAQAASwUAAAAA&#10;">
              <v:fill on="f" focussize="0,0"/>
              <v:stroke on="f"/>
              <v:imagedata o:title=""/>
              <o:lock v:ext="edit" aspectratio="f"/>
              <v:textbox inset="0mm,0mm,0mm,0mm" style="mso-fit-shape-to-text:t;">
                <w:txbxContent>
                  <w:p>
                    <w:pPr>
                      <w:pStyle w:val="7"/>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both"/>
    </w:pPr>
    <w:r>
      <w:drawing>
        <wp:inline distT="0" distB="0" distL="0" distR="0">
          <wp:extent cx="5922645" cy="407670"/>
          <wp:effectExtent l="0" t="0" r="1905" b="11430"/>
          <wp:docPr id="4097" name="图片 3" descr="E:\！！！张津夷\工作\08公司宣传\公司VI设计&amp;名片\20200907康信君安报告封面\康信君安信纸20200906-简4.png"/>
          <wp:cNvGraphicFramePr/>
          <a:graphic xmlns:a="http://schemas.openxmlformats.org/drawingml/2006/main">
            <a:graphicData uri="http://schemas.openxmlformats.org/drawingml/2006/picture">
              <pic:pic xmlns:pic="http://schemas.openxmlformats.org/drawingml/2006/picture">
                <pic:nvPicPr>
                  <pic:cNvPr id="4097" name="图片 3" descr="E:\！！！张津夷\工作\08公司宣传\公司VI设计&amp;名片\20200907康信君安报告封面\康信君安信纸20200906-简4.png"/>
                  <pic:cNvPicPr/>
                </pic:nvPicPr>
                <pic:blipFill>
                  <a:blip r:embed="rId1" cstate="print"/>
                  <a:srcRect/>
                  <a:stretch>
                    <a:fillRect/>
                  </a:stretch>
                </pic:blipFill>
                <pic:spPr>
                  <a:xfrm>
                    <a:off x="0" y="0"/>
                    <a:ext cx="5922645" cy="407670"/>
                  </a:xfrm>
                  <a:prstGeom prst="rect">
                    <a:avLst/>
                  </a:prstGeom>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55A4"/>
    <w:rsid w:val="000755A4"/>
    <w:rsid w:val="00206856"/>
    <w:rsid w:val="002F067F"/>
    <w:rsid w:val="00463B0A"/>
    <w:rsid w:val="004D711A"/>
    <w:rsid w:val="005E5A26"/>
    <w:rsid w:val="006B3E29"/>
    <w:rsid w:val="00795E33"/>
    <w:rsid w:val="00B64384"/>
    <w:rsid w:val="058A7B53"/>
    <w:rsid w:val="164129F7"/>
    <w:rsid w:val="34F51AA2"/>
    <w:rsid w:val="3E806FA2"/>
    <w:rsid w:val="47574983"/>
    <w:rsid w:val="5CDF09BF"/>
    <w:rsid w:val="64AB5B37"/>
    <w:rsid w:val="6C4C7B66"/>
    <w:rsid w:val="7BEF25D3"/>
    <w:rsid w:val="7EF34638"/>
    <w:rsid w:val="FBF1B8C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9">
    <w:name w:val="Default Paragraph Font"/>
    <w:unhideWhenUsed/>
    <w:uiPriority w:val="1"/>
  </w:style>
  <w:style w:type="table" w:default="1" w:styleId="11">
    <w:name w:val="Normal Table"/>
    <w:unhideWhenUsed/>
    <w:uiPriority w:val="99"/>
    <w:tblPr>
      <w:tblCellMar>
        <w:top w:w="0" w:type="dxa"/>
        <w:left w:w="108" w:type="dxa"/>
        <w:bottom w:w="0" w:type="dxa"/>
        <w:right w:w="108" w:type="dxa"/>
      </w:tblCellMar>
    </w:tblPr>
  </w:style>
  <w:style w:type="paragraph" w:styleId="2">
    <w:name w:val="annotation subject"/>
    <w:basedOn w:val="3"/>
    <w:next w:val="3"/>
    <w:link w:val="17"/>
    <w:qFormat/>
    <w:uiPriority w:val="99"/>
    <w:rPr>
      <w:b/>
      <w:bCs/>
    </w:rPr>
  </w:style>
  <w:style w:type="paragraph" w:styleId="3">
    <w:name w:val="annotation text"/>
    <w:basedOn w:val="1"/>
    <w:link w:val="15"/>
    <w:qFormat/>
    <w:uiPriority w:val="99"/>
    <w:pPr>
      <w:jc w:val="left"/>
    </w:pPr>
  </w:style>
  <w:style w:type="paragraph" w:styleId="4">
    <w:name w:val="Body Text First Indent"/>
    <w:basedOn w:val="5"/>
    <w:qFormat/>
    <w:uiPriority w:val="99"/>
    <w:pPr>
      <w:ind w:firstLine="420" w:firstLineChars="100"/>
    </w:pPr>
    <w:rPr>
      <w:szCs w:val="24"/>
    </w:rPr>
  </w:style>
  <w:style w:type="paragraph" w:styleId="5">
    <w:name w:val="Body Text"/>
    <w:basedOn w:val="1"/>
    <w:qFormat/>
    <w:uiPriority w:val="99"/>
    <w:pPr>
      <w:spacing w:after="120"/>
    </w:pPr>
  </w:style>
  <w:style w:type="paragraph" w:styleId="6">
    <w:name w:val="Balloon Text"/>
    <w:basedOn w:val="1"/>
    <w:link w:val="13"/>
    <w:qFormat/>
    <w:uiPriority w:val="99"/>
    <w:rPr>
      <w:kern w:val="0"/>
      <w:sz w:val="18"/>
      <w:szCs w:val="18"/>
    </w:rPr>
  </w:style>
  <w:style w:type="paragraph" w:styleId="7">
    <w:name w:val="footer"/>
    <w:basedOn w:val="1"/>
    <w:link w:val="14"/>
    <w:qFormat/>
    <w:uiPriority w:val="99"/>
    <w:pPr>
      <w:tabs>
        <w:tab w:val="center" w:pos="4153"/>
        <w:tab w:val="right" w:pos="8306"/>
      </w:tabs>
      <w:snapToGrid w:val="0"/>
      <w:jc w:val="left"/>
    </w:pPr>
    <w:rPr>
      <w:kern w:val="0"/>
      <w:sz w:val="18"/>
      <w:szCs w:val="18"/>
    </w:rPr>
  </w:style>
  <w:style w:type="paragraph" w:styleId="8">
    <w:name w:val="header"/>
    <w:basedOn w:val="1"/>
    <w:link w:val="16"/>
    <w:qFormat/>
    <w:uiPriority w:val="99"/>
    <w:pPr>
      <w:pBdr>
        <w:bottom w:val="single" w:color="auto" w:sz="6" w:space="1"/>
      </w:pBdr>
      <w:tabs>
        <w:tab w:val="center" w:pos="4153"/>
        <w:tab w:val="right" w:pos="8306"/>
      </w:tabs>
      <w:snapToGrid w:val="0"/>
      <w:jc w:val="center"/>
    </w:pPr>
    <w:rPr>
      <w:kern w:val="0"/>
      <w:sz w:val="18"/>
      <w:szCs w:val="18"/>
    </w:rPr>
  </w:style>
  <w:style w:type="character" w:styleId="10">
    <w:name w:val="annotation reference"/>
    <w:qFormat/>
    <w:uiPriority w:val="99"/>
    <w:rPr>
      <w:sz w:val="21"/>
      <w:szCs w:val="21"/>
    </w:r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
    <w:name w:val="批注框文本 字符"/>
    <w:link w:val="6"/>
    <w:qFormat/>
    <w:uiPriority w:val="99"/>
    <w:rPr>
      <w:sz w:val="18"/>
      <w:szCs w:val="18"/>
    </w:rPr>
  </w:style>
  <w:style w:type="character" w:customStyle="1" w:styleId="14">
    <w:name w:val="页脚 字符"/>
    <w:link w:val="7"/>
    <w:qFormat/>
    <w:uiPriority w:val="99"/>
    <w:rPr>
      <w:sz w:val="18"/>
      <w:szCs w:val="18"/>
    </w:rPr>
  </w:style>
  <w:style w:type="character" w:customStyle="1" w:styleId="15">
    <w:name w:val="批注文字 字符"/>
    <w:link w:val="3"/>
    <w:qFormat/>
    <w:uiPriority w:val="99"/>
    <w:rPr>
      <w:kern w:val="2"/>
      <w:sz w:val="21"/>
      <w:szCs w:val="22"/>
    </w:rPr>
  </w:style>
  <w:style w:type="character" w:customStyle="1" w:styleId="16">
    <w:name w:val="页眉 字符"/>
    <w:link w:val="8"/>
    <w:qFormat/>
    <w:uiPriority w:val="99"/>
    <w:rPr>
      <w:sz w:val="18"/>
      <w:szCs w:val="18"/>
    </w:rPr>
  </w:style>
  <w:style w:type="character" w:customStyle="1" w:styleId="17">
    <w:name w:val="批注主题 字符"/>
    <w:link w:val="2"/>
    <w:qFormat/>
    <w:uiPriority w:val="99"/>
    <w:rPr>
      <w:b/>
      <w:bCs/>
      <w:kern w:val="2"/>
      <w:sz w:val="21"/>
      <w:szCs w:val="22"/>
    </w:rPr>
  </w:style>
  <w:style w:type="paragraph" w:customStyle="1" w:styleId="18">
    <w:name w:val="列出段落1"/>
    <w:basedOn w:val="1"/>
    <w:qFormat/>
    <w:uiPriority w:val="99"/>
    <w:pPr>
      <w:ind w:firstLine="420" w:firstLineChars="200"/>
    </w:pPr>
  </w:style>
  <w:style w:type="paragraph" w:customStyle="1" w:styleId="19">
    <w:name w:val="列出段落2"/>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Pages>
  <Words>187</Words>
  <Characters>1067</Characters>
  <Lines>8</Lines>
  <Paragraphs>2</Paragraphs>
  <TotalTime>0</TotalTime>
  <ScaleCrop>false</ScaleCrop>
  <LinksUpToDate>false</LinksUpToDate>
  <CharactersWithSpaces>1252</CharactersWithSpaces>
  <Application>WPS Office_3.3.1.5149_F1E327BC-269C-435d-A152-05C5408002CA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2021-01-07T05:36:00Z</dcterms:created>
  <dc:creator>qian gao</dc:creator>
  <cp:lastModifiedBy>吴国军</cp:lastModifiedBy>
  <cp:lastPrinted>2020-11-08T08:26:00Z</cp:lastPrinted>
  <dcterms:modified xsi:type="dcterms:W3CDTF">2021-03-09T13:06:25Z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2052-3.3.1.5149</vt:lpwstr>
  </property>
</Properties>
</file>