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0B" w:rsidRPr="004E3DE2" w:rsidRDefault="00EE554A" w:rsidP="001D4C1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E3DE2">
        <w:rPr>
          <w:rFonts w:asciiTheme="majorEastAsia" w:eastAsiaTheme="majorEastAsia" w:hAnsiTheme="majorEastAsia"/>
          <w:b/>
          <w:sz w:val="32"/>
          <w:szCs w:val="32"/>
        </w:rPr>
        <w:t>北京市海淀区北洼路32号1号楼13层1305</w:t>
      </w:r>
      <w:r w:rsidRPr="004E3DE2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Pr="004E3DE2">
        <w:rPr>
          <w:rFonts w:asciiTheme="majorEastAsia" w:eastAsiaTheme="majorEastAsia" w:hAnsiTheme="majorEastAsia"/>
          <w:b/>
          <w:sz w:val="32"/>
          <w:szCs w:val="32"/>
        </w:rPr>
        <w:t>3层304号住宅用房房地产市场价值评估</w:t>
      </w:r>
      <w:r w:rsidR="001D4C18" w:rsidRPr="004E3DE2">
        <w:rPr>
          <w:rFonts w:asciiTheme="majorEastAsia" w:eastAsiaTheme="majorEastAsia" w:hAnsiTheme="majorEastAsia" w:hint="eastAsia"/>
          <w:b/>
          <w:sz w:val="32"/>
          <w:szCs w:val="32"/>
        </w:rPr>
        <w:t>报告</w:t>
      </w:r>
      <w:r w:rsidR="001D4C18" w:rsidRPr="004E3DE2">
        <w:rPr>
          <w:rFonts w:asciiTheme="majorEastAsia" w:eastAsiaTheme="majorEastAsia" w:hAnsiTheme="majorEastAsia"/>
          <w:b/>
          <w:sz w:val="32"/>
          <w:szCs w:val="32"/>
        </w:rPr>
        <w:t>审核意见</w:t>
      </w:r>
    </w:p>
    <w:p w:rsidR="001D4C18" w:rsidRDefault="001D4C18" w:rsidP="001D4C18">
      <w:pPr>
        <w:jc w:val="center"/>
        <w:rPr>
          <w:rFonts w:eastAsia="楷体"/>
          <w:sz w:val="32"/>
          <w:szCs w:val="32"/>
        </w:rPr>
      </w:pPr>
    </w:p>
    <w:p w:rsidR="001D4C18" w:rsidRPr="001D4C18" w:rsidRDefault="001D4C18" w:rsidP="00BC2268">
      <w:pPr>
        <w:rPr>
          <w:sz w:val="28"/>
          <w:szCs w:val="28"/>
        </w:rPr>
      </w:pPr>
      <w:r w:rsidRPr="001D4C18">
        <w:rPr>
          <w:rFonts w:hint="eastAsia"/>
          <w:sz w:val="28"/>
          <w:szCs w:val="28"/>
        </w:rPr>
        <w:t>一、</w:t>
      </w:r>
      <w:r w:rsidR="004E3DE2">
        <w:rPr>
          <w:rFonts w:hint="eastAsia"/>
          <w:sz w:val="28"/>
          <w:szCs w:val="28"/>
        </w:rPr>
        <w:t>估价</w:t>
      </w:r>
      <w:r w:rsidRPr="001D4C18">
        <w:rPr>
          <w:sz w:val="28"/>
          <w:szCs w:val="28"/>
        </w:rPr>
        <w:t>结果报告</w:t>
      </w:r>
    </w:p>
    <w:p w:rsidR="001D4C18" w:rsidRDefault="001D4C18" w:rsidP="00BC2268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1D4C18">
        <w:rPr>
          <w:rFonts w:hint="eastAsia"/>
          <w:sz w:val="28"/>
          <w:szCs w:val="28"/>
        </w:rPr>
        <w:t>P</w:t>
      </w:r>
      <w:r w:rsidR="00EE554A"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“</w:t>
      </w:r>
      <w:r w:rsidR="00EE554A" w:rsidRPr="00EE554A">
        <w:rPr>
          <w:sz w:val="28"/>
          <w:szCs w:val="28"/>
        </w:rPr>
        <w:t>为估价委托人了解估价对象房地产市场价值提供参考依据</w:t>
      </w:r>
      <w:r w:rsidRPr="001D4C18">
        <w:rPr>
          <w:sz w:val="28"/>
          <w:szCs w:val="28"/>
        </w:rPr>
        <w:t>”</w:t>
      </w:r>
    </w:p>
    <w:p w:rsidR="001D4C18" w:rsidRDefault="00EE554A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本次估价是否有经济行为批复，估价目的和经济行为批复是否一致，请核实</w:t>
      </w:r>
      <w:r w:rsidR="001D4C18">
        <w:rPr>
          <w:sz w:val="28"/>
          <w:szCs w:val="28"/>
        </w:rPr>
        <w:t>。</w:t>
      </w:r>
    </w:p>
    <w:p w:rsidR="001D4C18" w:rsidRDefault="00205D8C" w:rsidP="00BC2268">
      <w:pPr>
        <w:rPr>
          <w:b/>
          <w:sz w:val="28"/>
          <w:szCs w:val="28"/>
        </w:rPr>
      </w:pPr>
      <w:r w:rsidRPr="00205D8C">
        <w:rPr>
          <w:rFonts w:hint="eastAsia"/>
          <w:b/>
          <w:sz w:val="28"/>
          <w:szCs w:val="28"/>
        </w:rPr>
        <w:t>根据估价委托人提供的《中粮面业（秦皇岛）鹏泰有限公司“三供一业”推进及非核心资产处置专题会议》，本次评估目</w:t>
      </w:r>
      <w:r w:rsidR="00666046" w:rsidRPr="00666046">
        <w:rPr>
          <w:rFonts w:hint="eastAsia"/>
          <w:b/>
          <w:sz w:val="28"/>
          <w:szCs w:val="28"/>
        </w:rPr>
        <w:t>为估价委托人了解估价对象房地产市场价值提供参考依据</w:t>
      </w:r>
      <w:r w:rsidRPr="00205D8C">
        <w:rPr>
          <w:rFonts w:hint="eastAsia"/>
          <w:b/>
          <w:sz w:val="28"/>
          <w:szCs w:val="28"/>
        </w:rPr>
        <w:t>。</w:t>
      </w:r>
    </w:p>
    <w:p w:rsidR="00F02FF9" w:rsidRPr="00F02FF9" w:rsidRDefault="00F02FF9" w:rsidP="00BC2268">
      <w:pPr>
        <w:rPr>
          <w:b/>
          <w:color w:val="0070C0"/>
          <w:sz w:val="28"/>
          <w:szCs w:val="28"/>
        </w:rPr>
      </w:pPr>
      <w:r w:rsidRPr="00F02FF9">
        <w:rPr>
          <w:rFonts w:hint="eastAsia"/>
          <w:b/>
          <w:color w:val="0070C0"/>
          <w:sz w:val="28"/>
          <w:szCs w:val="28"/>
        </w:rPr>
        <w:t>复审意见：估价目的请与经济行为文件保持一致。</w:t>
      </w:r>
    </w:p>
    <w:p w:rsidR="00F02FF9" w:rsidRDefault="00CB6719" w:rsidP="00BC2268">
      <w:pPr>
        <w:rPr>
          <w:b/>
          <w:sz w:val="28"/>
          <w:szCs w:val="28"/>
        </w:rPr>
      </w:pPr>
      <w:r w:rsidRPr="00CB6719">
        <w:rPr>
          <w:rFonts w:hint="eastAsia"/>
          <w:b/>
          <w:sz w:val="28"/>
          <w:szCs w:val="28"/>
        </w:rPr>
        <w:t>估价目的：根据估价委托人提供的《中粮面业（秦皇岛）鹏泰有限公司“三供一业”推进及非核心资产处置专题会议》，本次评估目为估价委托人处置估价对象房地产提供参考依据。</w:t>
      </w:r>
    </w:p>
    <w:p w:rsidR="00F22C6E" w:rsidRPr="002547BE" w:rsidRDefault="00F22C6E" w:rsidP="002547BE">
      <w:pPr>
        <w:rPr>
          <w:b/>
          <w:sz w:val="28"/>
          <w:szCs w:val="28"/>
        </w:rPr>
      </w:pPr>
      <w:r w:rsidRPr="002547BE">
        <w:rPr>
          <w:rFonts w:hint="eastAsia"/>
          <w:b/>
          <w:sz w:val="28"/>
          <w:szCs w:val="28"/>
        </w:rPr>
        <w:t>已在报告中做相应调整。</w:t>
      </w:r>
    </w:p>
    <w:p w:rsidR="00AB516E" w:rsidRPr="00F22C6E" w:rsidRDefault="00AB516E" w:rsidP="00F22C6E">
      <w:pPr>
        <w:spacing w:line="480" w:lineRule="exact"/>
        <w:rPr>
          <w:rFonts w:eastAsia="仿宋"/>
          <w:b/>
          <w:sz w:val="28"/>
        </w:rPr>
      </w:pPr>
    </w:p>
    <w:p w:rsidR="001D4C18" w:rsidRPr="001D4C18" w:rsidRDefault="001D4C18" w:rsidP="00BC2268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1D4C18">
        <w:rPr>
          <w:rFonts w:hint="eastAsia"/>
          <w:sz w:val="28"/>
          <w:szCs w:val="28"/>
        </w:rPr>
        <w:t>P</w:t>
      </w:r>
      <w:r w:rsidR="00EE554A">
        <w:rPr>
          <w:rFonts w:hint="eastAsia"/>
          <w:sz w:val="28"/>
          <w:szCs w:val="28"/>
        </w:rPr>
        <w:t>11</w:t>
      </w:r>
      <w:r>
        <w:rPr>
          <w:sz w:val="28"/>
          <w:szCs w:val="28"/>
        </w:rPr>
        <w:t>“</w:t>
      </w:r>
      <w:r w:rsidR="00EE554A" w:rsidRPr="00EE554A">
        <w:rPr>
          <w:sz w:val="28"/>
          <w:szCs w:val="28"/>
        </w:rPr>
        <w:t>实物状况</w:t>
      </w:r>
      <w:r w:rsidRPr="001D4C18">
        <w:rPr>
          <w:rFonts w:hint="eastAsia"/>
          <w:sz w:val="28"/>
          <w:szCs w:val="28"/>
        </w:rPr>
        <w:t>”</w:t>
      </w:r>
    </w:p>
    <w:p w:rsidR="00C37A96" w:rsidRDefault="001D4C18" w:rsidP="00BC2268">
      <w:pPr>
        <w:rPr>
          <w:sz w:val="28"/>
          <w:szCs w:val="28"/>
        </w:rPr>
      </w:pPr>
      <w:r w:rsidRPr="001D4C18">
        <w:rPr>
          <w:rFonts w:hint="eastAsia"/>
          <w:sz w:val="28"/>
          <w:szCs w:val="28"/>
        </w:rPr>
        <w:t>请</w:t>
      </w:r>
      <w:r w:rsidR="00EE554A">
        <w:rPr>
          <w:rFonts w:hint="eastAsia"/>
          <w:sz w:val="28"/>
          <w:szCs w:val="28"/>
        </w:rPr>
        <w:t>对两套住宅估价对象分别说明其实物状况</w:t>
      </w:r>
      <w:r w:rsidR="00C37A96">
        <w:rPr>
          <w:rFonts w:hint="eastAsia"/>
          <w:sz w:val="28"/>
          <w:szCs w:val="28"/>
        </w:rPr>
        <w:t>；</w:t>
      </w:r>
    </w:p>
    <w:p w:rsidR="001D4C18" w:rsidRDefault="00C37A96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</w:t>
      </w:r>
      <w:r w:rsidR="00EE554A">
        <w:rPr>
          <w:rFonts w:hint="eastAsia"/>
          <w:sz w:val="28"/>
          <w:szCs w:val="28"/>
        </w:rPr>
        <w:t>补充说明户型、平面布置、朝向</w:t>
      </w:r>
      <w:r>
        <w:rPr>
          <w:rFonts w:hint="eastAsia"/>
          <w:sz w:val="28"/>
          <w:szCs w:val="28"/>
        </w:rPr>
        <w:t>、层高</w:t>
      </w:r>
      <w:r w:rsidR="00EE554A">
        <w:rPr>
          <w:rFonts w:hint="eastAsia"/>
          <w:sz w:val="28"/>
          <w:szCs w:val="28"/>
        </w:rPr>
        <w:t>等基本条件</w:t>
      </w:r>
      <w:r w:rsidR="001D4C18" w:rsidRPr="001D4C18">
        <w:rPr>
          <w:rFonts w:hint="eastAsia"/>
          <w:sz w:val="28"/>
          <w:szCs w:val="28"/>
        </w:rPr>
        <w:t>。</w:t>
      </w:r>
    </w:p>
    <w:p w:rsidR="00C37A96" w:rsidRDefault="00AD702F" w:rsidP="00BC2268">
      <w:pPr>
        <w:rPr>
          <w:b/>
          <w:sz w:val="28"/>
          <w:szCs w:val="28"/>
        </w:rPr>
      </w:pPr>
      <w:r w:rsidRPr="0050559D">
        <w:rPr>
          <w:rFonts w:hint="eastAsia"/>
          <w:b/>
          <w:sz w:val="28"/>
          <w:szCs w:val="28"/>
        </w:rPr>
        <w:t>已补充，</w:t>
      </w:r>
      <w:proofErr w:type="gramStart"/>
      <w:r w:rsidR="00744E33">
        <w:rPr>
          <w:rFonts w:hint="eastAsia"/>
          <w:b/>
          <w:sz w:val="28"/>
          <w:szCs w:val="28"/>
        </w:rPr>
        <w:t>见结果</w:t>
      </w:r>
      <w:proofErr w:type="gramEnd"/>
      <w:r w:rsidR="00744E33">
        <w:rPr>
          <w:rFonts w:hint="eastAsia"/>
          <w:b/>
          <w:sz w:val="28"/>
          <w:szCs w:val="28"/>
        </w:rPr>
        <w:t>报告</w:t>
      </w:r>
      <w:r w:rsidRPr="0050559D">
        <w:rPr>
          <w:rFonts w:hint="eastAsia"/>
          <w:b/>
          <w:sz w:val="28"/>
          <w:szCs w:val="28"/>
        </w:rPr>
        <w:t>P</w:t>
      </w:r>
      <w:r w:rsidR="002C73D1">
        <w:rPr>
          <w:rFonts w:hint="eastAsia"/>
          <w:b/>
          <w:sz w:val="28"/>
          <w:szCs w:val="28"/>
        </w:rPr>
        <w:t>9</w:t>
      </w:r>
      <w:r w:rsidR="00744E33">
        <w:rPr>
          <w:rFonts w:hint="eastAsia"/>
          <w:b/>
          <w:sz w:val="28"/>
          <w:szCs w:val="28"/>
        </w:rPr>
        <w:t>页</w:t>
      </w:r>
      <w:r w:rsidRPr="0050559D">
        <w:rPr>
          <w:rFonts w:hint="eastAsia"/>
          <w:b/>
          <w:sz w:val="28"/>
          <w:szCs w:val="28"/>
        </w:rPr>
        <w:t>“房地产基本状况”</w:t>
      </w:r>
    </w:p>
    <w:p w:rsidR="00666046" w:rsidRPr="00ED4317" w:rsidRDefault="00666046" w:rsidP="00BC2268">
      <w:pPr>
        <w:rPr>
          <w:b/>
          <w:sz w:val="28"/>
          <w:szCs w:val="28"/>
        </w:rPr>
      </w:pPr>
      <w:r w:rsidRPr="00ED4317">
        <w:rPr>
          <w:rFonts w:ascii="Arial" w:hAnsi="Arial" w:cs="Arial"/>
          <w:b/>
          <w:bCs/>
          <w:szCs w:val="21"/>
        </w:rPr>
        <w:t>估价对象</w:t>
      </w:r>
      <w:r w:rsidRPr="00ED4317">
        <w:rPr>
          <w:rFonts w:ascii="Arial" w:hAnsi="Arial" w:cs="Arial"/>
          <w:b/>
          <w:bCs/>
          <w:szCs w:val="21"/>
        </w:rPr>
        <w:t>1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276"/>
        <w:gridCol w:w="1843"/>
        <w:gridCol w:w="2778"/>
      </w:tblGrid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证号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X</w:t>
            </w:r>
            <w:proofErr w:type="gramStart"/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京房权证</w:t>
            </w:r>
            <w:proofErr w:type="gramEnd"/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海字第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329423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号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房屋性质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商品房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房屋所有权人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中粮面业（秦皇岛）鹏泰有限公司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共有情况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单独所有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lastRenderedPageBreak/>
              <w:t>坐落</w:t>
            </w:r>
          </w:p>
        </w:tc>
        <w:tc>
          <w:tcPr>
            <w:tcW w:w="7456" w:type="dxa"/>
            <w:gridSpan w:val="4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海淀区北洼路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32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号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1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号楼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13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层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1305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proofErr w:type="gramStart"/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楼号或幢号</w:t>
            </w:r>
            <w:proofErr w:type="gramEnd"/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房号及部位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1305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房屋总层数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16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（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-2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）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所在层数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13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户型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三室一厅二卫</w:t>
            </w:r>
            <w:proofErr w:type="gramStart"/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一</w:t>
            </w:r>
            <w:proofErr w:type="gramEnd"/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厨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朝向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西北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(m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  <w:vertAlign w:val="superscript"/>
              </w:rPr>
              <w:t>2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129.43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房屋结构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钢混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——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住宅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9299" w:type="dxa"/>
            <w:gridSpan w:val="5"/>
            <w:noWrap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土地使用情况摘要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权属性质</w:t>
            </w:r>
          </w:p>
        </w:tc>
        <w:tc>
          <w:tcPr>
            <w:tcW w:w="1559" w:type="dxa"/>
            <w:noWrap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出让</w:t>
            </w:r>
          </w:p>
        </w:tc>
        <w:tc>
          <w:tcPr>
            <w:tcW w:w="1276" w:type="dxa"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使用年限</w:t>
            </w:r>
          </w:p>
        </w:tc>
        <w:tc>
          <w:tcPr>
            <w:tcW w:w="4621" w:type="dxa"/>
            <w:gridSpan w:val="2"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未作注记</w:t>
            </w:r>
          </w:p>
        </w:tc>
      </w:tr>
    </w:tbl>
    <w:p w:rsidR="00666046" w:rsidRPr="00ED4317" w:rsidRDefault="00666046" w:rsidP="00ED4317">
      <w:pPr>
        <w:wordWrap w:val="0"/>
        <w:overflowPunct w:val="0"/>
        <w:spacing w:line="480" w:lineRule="auto"/>
        <w:ind w:firstLineChars="200" w:firstLine="422"/>
        <w:rPr>
          <w:rFonts w:ascii="Arial" w:hAnsi="Arial" w:cs="Arial"/>
          <w:b/>
          <w:szCs w:val="21"/>
        </w:rPr>
      </w:pPr>
      <w:r w:rsidRPr="00ED4317">
        <w:rPr>
          <w:rFonts w:ascii="Arial" w:hAnsi="Arial" w:cs="Arial"/>
          <w:b/>
          <w:szCs w:val="21"/>
        </w:rPr>
        <w:t>估价对象</w:t>
      </w:r>
      <w:r w:rsidRPr="00ED4317">
        <w:rPr>
          <w:rFonts w:ascii="Arial" w:hAnsi="Arial" w:cs="Arial"/>
          <w:b/>
          <w:szCs w:val="21"/>
        </w:rPr>
        <w:t>2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276"/>
        <w:gridCol w:w="1843"/>
        <w:gridCol w:w="2778"/>
      </w:tblGrid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证号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X</w:t>
            </w:r>
            <w:proofErr w:type="gramStart"/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京房权证</w:t>
            </w:r>
            <w:proofErr w:type="gramEnd"/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海字第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329424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号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房屋性质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商品房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房屋所有权人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中粮面业（秦皇岛）鹏泰有限公司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共有情况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单独所有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7456" w:type="dxa"/>
            <w:gridSpan w:val="4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海淀区北洼路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32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号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1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号楼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3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层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304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proofErr w:type="gramStart"/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楼号或幢号</w:t>
            </w:r>
            <w:proofErr w:type="gramEnd"/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房号及部位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304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房屋总层数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16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（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-2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）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所在层数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3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户型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两室一厅</w:t>
            </w:r>
            <w:proofErr w:type="gramStart"/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一</w:t>
            </w:r>
            <w:proofErr w:type="gramEnd"/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卫</w:t>
            </w:r>
            <w:proofErr w:type="gramStart"/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一</w:t>
            </w:r>
            <w:proofErr w:type="gramEnd"/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厨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朝向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 w:hint="eastAsia"/>
                <w:b/>
                <w:sz w:val="18"/>
                <w:szCs w:val="18"/>
              </w:rPr>
              <w:t>西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(m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  <w:vertAlign w:val="superscript"/>
              </w:rPr>
              <w:t>2</w:t>
            </w: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71.53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房屋结构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钢混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——</w:t>
            </w:r>
          </w:p>
        </w:tc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778" w:type="dxa"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住宅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9299" w:type="dxa"/>
            <w:gridSpan w:val="5"/>
            <w:noWrap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土地使用情况摘要</w:t>
            </w:r>
          </w:p>
        </w:tc>
      </w:tr>
      <w:tr w:rsidR="00666046" w:rsidRPr="00ED4317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666046" w:rsidRPr="00ED4317" w:rsidRDefault="00666046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权属性质</w:t>
            </w:r>
          </w:p>
        </w:tc>
        <w:tc>
          <w:tcPr>
            <w:tcW w:w="1559" w:type="dxa"/>
            <w:noWrap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出让</w:t>
            </w:r>
          </w:p>
        </w:tc>
        <w:tc>
          <w:tcPr>
            <w:tcW w:w="1276" w:type="dxa"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使用年限</w:t>
            </w:r>
          </w:p>
        </w:tc>
        <w:tc>
          <w:tcPr>
            <w:tcW w:w="4621" w:type="dxa"/>
            <w:gridSpan w:val="2"/>
            <w:vAlign w:val="center"/>
          </w:tcPr>
          <w:p w:rsidR="00666046" w:rsidRPr="00ED4317" w:rsidRDefault="00666046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ED4317">
              <w:rPr>
                <w:rFonts w:ascii="Arial" w:eastAsia="华文细黑" w:hAnsi="Arial" w:cs="Arial"/>
                <w:b/>
                <w:sz w:val="18"/>
                <w:szCs w:val="18"/>
              </w:rPr>
              <w:t>未作注记</w:t>
            </w:r>
          </w:p>
        </w:tc>
      </w:tr>
    </w:tbl>
    <w:p w:rsidR="00666046" w:rsidRDefault="00666046" w:rsidP="00666046">
      <w:pPr>
        <w:wordWrap w:val="0"/>
        <w:overflowPunct w:val="0"/>
        <w:ind w:firstLineChars="200" w:firstLine="420"/>
        <w:rPr>
          <w:rFonts w:ascii="Arial" w:hAnsi="Arial" w:cs="Arial"/>
          <w:szCs w:val="21"/>
        </w:rPr>
      </w:pPr>
    </w:p>
    <w:p w:rsidR="00C37A96" w:rsidRPr="001D4C18" w:rsidRDefault="00C37A96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1D4C18">
        <w:rPr>
          <w:rFonts w:hint="eastAsia"/>
          <w:sz w:val="28"/>
          <w:szCs w:val="28"/>
        </w:rPr>
        <w:t>P</w:t>
      </w:r>
      <w:r>
        <w:rPr>
          <w:rFonts w:hint="eastAsia"/>
          <w:sz w:val="28"/>
          <w:szCs w:val="28"/>
        </w:rPr>
        <w:t>16</w:t>
      </w:r>
      <w:r>
        <w:rPr>
          <w:sz w:val="28"/>
          <w:szCs w:val="28"/>
        </w:rPr>
        <w:t>“</w:t>
      </w:r>
      <w:r w:rsidRPr="00C37A96">
        <w:rPr>
          <w:sz w:val="28"/>
          <w:szCs w:val="28"/>
        </w:rPr>
        <w:t>估价方法</w:t>
      </w:r>
      <w:r w:rsidRPr="001D4C18">
        <w:rPr>
          <w:rFonts w:hint="eastAsia"/>
          <w:sz w:val="28"/>
          <w:szCs w:val="28"/>
        </w:rPr>
        <w:t>”</w:t>
      </w:r>
    </w:p>
    <w:p w:rsidR="00C37A96" w:rsidRDefault="00C37A96" w:rsidP="00BC2268">
      <w:pPr>
        <w:rPr>
          <w:sz w:val="28"/>
          <w:szCs w:val="28"/>
        </w:rPr>
      </w:pPr>
      <w:r>
        <w:rPr>
          <w:sz w:val="28"/>
          <w:szCs w:val="28"/>
        </w:rPr>
        <w:t xml:space="preserve"> “</w:t>
      </w:r>
      <w:r w:rsidRPr="00C37A96">
        <w:rPr>
          <w:sz w:val="28"/>
          <w:szCs w:val="28"/>
        </w:rPr>
        <w:t>然后依据各方法的估价结果，算术平均确定估价对象房地产市场价值。</w:t>
      </w:r>
      <w:r w:rsidRPr="001D4C18">
        <w:rPr>
          <w:sz w:val="28"/>
          <w:szCs w:val="28"/>
        </w:rPr>
        <w:t>”</w:t>
      </w:r>
    </w:p>
    <w:p w:rsidR="00C37A96" w:rsidRDefault="00C37A96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请核实和本项目确定估价结果方式是否一致</w:t>
      </w:r>
      <w:r w:rsidRPr="001D4C18">
        <w:rPr>
          <w:rFonts w:hint="eastAsia"/>
          <w:sz w:val="28"/>
          <w:szCs w:val="28"/>
        </w:rPr>
        <w:t>。</w:t>
      </w:r>
    </w:p>
    <w:p w:rsidR="00BB7061" w:rsidRPr="00BB7061" w:rsidRDefault="00BB7061" w:rsidP="00BC2268">
      <w:pPr>
        <w:rPr>
          <w:b/>
          <w:sz w:val="28"/>
          <w:szCs w:val="28"/>
        </w:rPr>
      </w:pPr>
      <w:r w:rsidRPr="00BB7061">
        <w:rPr>
          <w:rFonts w:hint="eastAsia"/>
          <w:b/>
          <w:sz w:val="28"/>
          <w:szCs w:val="28"/>
        </w:rPr>
        <w:t>由于本次评估是</w:t>
      </w:r>
      <w:r w:rsidR="006201D3" w:rsidRPr="00CB6719">
        <w:rPr>
          <w:rFonts w:hint="eastAsia"/>
          <w:b/>
          <w:sz w:val="28"/>
          <w:szCs w:val="28"/>
        </w:rPr>
        <w:t>本次评估目为估价委托人处置估价对象房地产提供参考依据</w:t>
      </w:r>
      <w:r w:rsidRPr="00BB7061">
        <w:rPr>
          <w:rFonts w:hint="eastAsia"/>
          <w:b/>
          <w:sz w:val="28"/>
          <w:szCs w:val="28"/>
        </w:rPr>
        <w:t>，因此评估专业人员在认真分析研究估价对象的相关资料，并通过对邻近地区同类物业调查的基础上，确定如下技术路线：</w:t>
      </w:r>
    </w:p>
    <w:p w:rsidR="00BB7061" w:rsidRPr="00BB7061" w:rsidRDefault="00BB7061" w:rsidP="00BC2268">
      <w:pPr>
        <w:rPr>
          <w:b/>
          <w:sz w:val="28"/>
          <w:szCs w:val="28"/>
        </w:rPr>
      </w:pPr>
      <w:r w:rsidRPr="00BB7061">
        <w:rPr>
          <w:rFonts w:hint="eastAsia"/>
          <w:b/>
          <w:sz w:val="28"/>
          <w:szCs w:val="28"/>
        </w:rPr>
        <w:lastRenderedPageBreak/>
        <w:t>首先，根据《房地产估价规范》（</w:t>
      </w:r>
      <w:r w:rsidRPr="00BB7061">
        <w:rPr>
          <w:rFonts w:hint="eastAsia"/>
          <w:b/>
          <w:sz w:val="28"/>
          <w:szCs w:val="28"/>
        </w:rPr>
        <w:t>GB/T 50291-2015</w:t>
      </w:r>
      <w:r w:rsidRPr="00BB7061">
        <w:rPr>
          <w:rFonts w:hint="eastAsia"/>
          <w:b/>
          <w:sz w:val="28"/>
          <w:szCs w:val="28"/>
        </w:rPr>
        <w:t>）的估价程序采用比较法、成本法为主方法求取估价对象</w:t>
      </w:r>
      <w:r w:rsidRPr="00BB7061">
        <w:rPr>
          <w:rFonts w:hint="eastAsia"/>
          <w:b/>
          <w:sz w:val="28"/>
          <w:szCs w:val="28"/>
        </w:rPr>
        <w:t>1</w:t>
      </w:r>
      <w:r w:rsidRPr="00BB7061">
        <w:rPr>
          <w:rFonts w:hint="eastAsia"/>
          <w:b/>
          <w:sz w:val="28"/>
          <w:szCs w:val="28"/>
        </w:rPr>
        <w:t>房地产价值。</w:t>
      </w:r>
      <w:r w:rsidRPr="00BB7061">
        <w:rPr>
          <w:rFonts w:hint="eastAsia"/>
          <w:b/>
          <w:sz w:val="28"/>
          <w:szCs w:val="28"/>
        </w:rPr>
        <w:t xml:space="preserve"> </w:t>
      </w:r>
    </w:p>
    <w:p w:rsidR="00C655D2" w:rsidRPr="00BB7061" w:rsidRDefault="00BB7061" w:rsidP="00BC2268">
      <w:pPr>
        <w:rPr>
          <w:b/>
          <w:sz w:val="28"/>
          <w:szCs w:val="28"/>
        </w:rPr>
      </w:pPr>
      <w:r w:rsidRPr="00BB7061">
        <w:rPr>
          <w:rFonts w:hint="eastAsia"/>
          <w:b/>
          <w:sz w:val="28"/>
          <w:szCs w:val="28"/>
        </w:rPr>
        <w:t>然后，依据各方法的估价结果，</w:t>
      </w:r>
      <w:r w:rsidR="00577486">
        <w:rPr>
          <w:rFonts w:hint="eastAsia"/>
          <w:b/>
          <w:sz w:val="28"/>
          <w:szCs w:val="28"/>
        </w:rPr>
        <w:t>加权</w:t>
      </w:r>
      <w:r w:rsidRPr="00BB7061">
        <w:rPr>
          <w:rFonts w:hint="eastAsia"/>
          <w:b/>
          <w:sz w:val="28"/>
          <w:szCs w:val="28"/>
        </w:rPr>
        <w:t>算术平均确定估价对象</w:t>
      </w:r>
      <w:r w:rsidRPr="00BB7061">
        <w:rPr>
          <w:rFonts w:hint="eastAsia"/>
          <w:b/>
          <w:sz w:val="28"/>
          <w:szCs w:val="28"/>
        </w:rPr>
        <w:t>1</w:t>
      </w:r>
      <w:r w:rsidRPr="00BB7061">
        <w:rPr>
          <w:rFonts w:hint="eastAsia"/>
          <w:b/>
          <w:sz w:val="28"/>
          <w:szCs w:val="28"/>
        </w:rPr>
        <w:t>房地产市场价值。</w:t>
      </w:r>
    </w:p>
    <w:p w:rsidR="00BB7061" w:rsidRDefault="00BB7061" w:rsidP="00BC2268">
      <w:pPr>
        <w:rPr>
          <w:b/>
          <w:sz w:val="28"/>
          <w:szCs w:val="28"/>
        </w:rPr>
      </w:pPr>
      <w:r w:rsidRPr="00BB7061">
        <w:rPr>
          <w:rFonts w:hint="eastAsia"/>
          <w:b/>
          <w:sz w:val="28"/>
          <w:szCs w:val="28"/>
        </w:rPr>
        <w:t>最后，再以其为基准、通过建筑面积、楼层、朝向的调整求取估价对象</w:t>
      </w:r>
      <w:r w:rsidRPr="00BB7061">
        <w:rPr>
          <w:rFonts w:hint="eastAsia"/>
          <w:b/>
          <w:sz w:val="28"/>
          <w:szCs w:val="28"/>
        </w:rPr>
        <w:t>2</w:t>
      </w:r>
      <w:r w:rsidRPr="00BB7061">
        <w:rPr>
          <w:rFonts w:hint="eastAsia"/>
          <w:b/>
          <w:sz w:val="28"/>
          <w:szCs w:val="28"/>
        </w:rPr>
        <w:t>房地产价值。</w:t>
      </w:r>
    </w:p>
    <w:p w:rsidR="00AB516E" w:rsidRPr="00BB7061" w:rsidRDefault="00AB516E" w:rsidP="00BC2268">
      <w:pPr>
        <w:rPr>
          <w:b/>
          <w:sz w:val="28"/>
          <w:szCs w:val="28"/>
        </w:rPr>
      </w:pPr>
    </w:p>
    <w:p w:rsidR="00C37A96" w:rsidRPr="001D4C18" w:rsidRDefault="00C37A96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1D4C18">
        <w:rPr>
          <w:rFonts w:hint="eastAsia"/>
          <w:sz w:val="28"/>
          <w:szCs w:val="28"/>
        </w:rPr>
        <w:t>P</w:t>
      </w:r>
      <w:r>
        <w:rPr>
          <w:rFonts w:hint="eastAsia"/>
          <w:sz w:val="28"/>
          <w:szCs w:val="28"/>
        </w:rPr>
        <w:t>16</w:t>
      </w:r>
      <w:r>
        <w:rPr>
          <w:sz w:val="28"/>
          <w:szCs w:val="28"/>
        </w:rPr>
        <w:t>“</w:t>
      </w:r>
      <w:r w:rsidRPr="00C37A96">
        <w:rPr>
          <w:sz w:val="28"/>
          <w:szCs w:val="28"/>
        </w:rPr>
        <w:t>估价</w:t>
      </w:r>
      <w:r>
        <w:rPr>
          <w:rFonts w:hint="eastAsia"/>
          <w:sz w:val="28"/>
          <w:szCs w:val="28"/>
        </w:rPr>
        <w:t>结果</w:t>
      </w:r>
      <w:r w:rsidRPr="001D4C18">
        <w:rPr>
          <w:rFonts w:hint="eastAsia"/>
          <w:sz w:val="28"/>
          <w:szCs w:val="28"/>
        </w:rPr>
        <w:t>”</w:t>
      </w:r>
    </w:p>
    <w:p w:rsidR="001D4C18" w:rsidRDefault="00C37A96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请说明估价结果是否含税。</w:t>
      </w:r>
    </w:p>
    <w:p w:rsidR="00C37A96" w:rsidRDefault="00D26273" w:rsidP="00BC2268">
      <w:pPr>
        <w:rPr>
          <w:b/>
          <w:sz w:val="28"/>
          <w:szCs w:val="28"/>
        </w:rPr>
      </w:pPr>
      <w:r w:rsidRPr="00D26273">
        <w:rPr>
          <w:rFonts w:hint="eastAsia"/>
          <w:b/>
          <w:sz w:val="28"/>
          <w:szCs w:val="28"/>
        </w:rPr>
        <w:t>估价结果</w:t>
      </w:r>
      <w:r w:rsidR="0050559D" w:rsidRPr="002F0366">
        <w:rPr>
          <w:rFonts w:hint="eastAsia"/>
          <w:b/>
          <w:sz w:val="28"/>
          <w:szCs w:val="28"/>
        </w:rPr>
        <w:t>含增值税</w:t>
      </w:r>
    </w:p>
    <w:p w:rsidR="00F02FF9" w:rsidRDefault="00F02FF9" w:rsidP="00F02FF9">
      <w:pPr>
        <w:rPr>
          <w:b/>
          <w:color w:val="0070C0"/>
          <w:sz w:val="28"/>
          <w:szCs w:val="28"/>
        </w:rPr>
      </w:pPr>
      <w:r w:rsidRPr="00F02FF9">
        <w:rPr>
          <w:rFonts w:hint="eastAsia"/>
          <w:b/>
          <w:color w:val="0070C0"/>
          <w:sz w:val="28"/>
          <w:szCs w:val="28"/>
        </w:rPr>
        <w:t>复审意见：</w:t>
      </w:r>
      <w:r>
        <w:rPr>
          <w:rFonts w:hint="eastAsia"/>
          <w:b/>
          <w:color w:val="0070C0"/>
          <w:sz w:val="28"/>
          <w:szCs w:val="28"/>
        </w:rPr>
        <w:t>请核实估价测算结果是否含税</w:t>
      </w:r>
      <w:r w:rsidRPr="00F02FF9">
        <w:rPr>
          <w:rFonts w:hint="eastAsia"/>
          <w:b/>
          <w:color w:val="0070C0"/>
          <w:sz w:val="28"/>
          <w:szCs w:val="28"/>
        </w:rPr>
        <w:t>。</w:t>
      </w:r>
    </w:p>
    <w:p w:rsidR="00AB516E" w:rsidRDefault="001B4625" w:rsidP="00F02FF9">
      <w:pPr>
        <w:rPr>
          <w:b/>
          <w:sz w:val="28"/>
          <w:szCs w:val="28"/>
        </w:rPr>
      </w:pPr>
      <w:r w:rsidRPr="001B4625">
        <w:rPr>
          <w:rFonts w:hint="eastAsia"/>
          <w:b/>
          <w:sz w:val="28"/>
          <w:szCs w:val="28"/>
        </w:rPr>
        <w:t>本次估价“房地产价值”为正常情况下公开市场价值</w:t>
      </w:r>
      <w:r w:rsidR="007E6FDA">
        <w:rPr>
          <w:rFonts w:hint="eastAsia"/>
          <w:b/>
          <w:sz w:val="28"/>
          <w:szCs w:val="28"/>
        </w:rPr>
        <w:t>，未考虑估价对象处置时需缴纳</w:t>
      </w:r>
      <w:r>
        <w:rPr>
          <w:rFonts w:hint="eastAsia"/>
          <w:b/>
          <w:sz w:val="28"/>
          <w:szCs w:val="28"/>
        </w:rPr>
        <w:t>的税费</w:t>
      </w:r>
      <w:r w:rsidR="007E6FDA" w:rsidRPr="007E6FDA">
        <w:rPr>
          <w:rFonts w:hint="eastAsia"/>
          <w:b/>
          <w:sz w:val="28"/>
          <w:szCs w:val="28"/>
        </w:rPr>
        <w:t>。</w:t>
      </w:r>
      <w:r w:rsidRPr="001B4625">
        <w:rPr>
          <w:rFonts w:hint="eastAsia"/>
          <w:b/>
          <w:sz w:val="28"/>
          <w:szCs w:val="28"/>
        </w:rPr>
        <w:t>处置估价对象过程中所涉及的费用及税金种类主要包括：增值税金及附加、印花税、土地增值税等。</w:t>
      </w:r>
      <w:r>
        <w:rPr>
          <w:rFonts w:hint="eastAsia"/>
          <w:b/>
          <w:sz w:val="28"/>
          <w:szCs w:val="28"/>
        </w:rPr>
        <w:t>上述</w:t>
      </w:r>
      <w:r w:rsidR="008C03FB">
        <w:rPr>
          <w:rFonts w:hint="eastAsia"/>
          <w:b/>
          <w:sz w:val="28"/>
          <w:szCs w:val="28"/>
        </w:rPr>
        <w:t>需缴纳的税费以当地税务部门审定的结果为准。</w:t>
      </w:r>
    </w:p>
    <w:p w:rsidR="00FB2951" w:rsidRPr="002547BE" w:rsidRDefault="00FB2951" w:rsidP="00FB2951">
      <w:pPr>
        <w:rPr>
          <w:b/>
          <w:sz w:val="28"/>
          <w:szCs w:val="28"/>
        </w:rPr>
      </w:pPr>
      <w:r w:rsidRPr="002547BE">
        <w:rPr>
          <w:rFonts w:hint="eastAsia"/>
          <w:b/>
          <w:sz w:val="28"/>
          <w:szCs w:val="28"/>
        </w:rPr>
        <w:t>已在报告中做相应调整</w:t>
      </w:r>
      <w:r>
        <w:rPr>
          <w:rFonts w:hint="eastAsia"/>
          <w:b/>
          <w:sz w:val="28"/>
          <w:szCs w:val="28"/>
        </w:rPr>
        <w:t>，详见估价一览表备注。</w:t>
      </w:r>
    </w:p>
    <w:p w:rsidR="001D4C18" w:rsidRPr="001D4C18" w:rsidRDefault="001D4C18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Pr="001D4C18">
        <w:rPr>
          <w:rFonts w:hint="eastAsia"/>
          <w:sz w:val="28"/>
          <w:szCs w:val="28"/>
        </w:rPr>
        <w:t>、</w:t>
      </w:r>
      <w:r w:rsidR="004E3DE2">
        <w:rPr>
          <w:rFonts w:hint="eastAsia"/>
          <w:sz w:val="28"/>
          <w:szCs w:val="28"/>
        </w:rPr>
        <w:t>估价</w:t>
      </w:r>
      <w:r>
        <w:rPr>
          <w:rFonts w:hint="eastAsia"/>
          <w:sz w:val="28"/>
          <w:szCs w:val="28"/>
        </w:rPr>
        <w:t>技术</w:t>
      </w:r>
      <w:r w:rsidRPr="001D4C18">
        <w:rPr>
          <w:sz w:val="28"/>
          <w:szCs w:val="28"/>
        </w:rPr>
        <w:t>报告</w:t>
      </w:r>
    </w:p>
    <w:p w:rsidR="001D4C18" w:rsidRDefault="00BE599B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C37A96" w:rsidRPr="001D4C18">
        <w:rPr>
          <w:rFonts w:hint="eastAsia"/>
          <w:sz w:val="28"/>
          <w:szCs w:val="28"/>
        </w:rPr>
        <w:t>P</w:t>
      </w:r>
      <w:r w:rsidR="00C37A96">
        <w:rPr>
          <w:rFonts w:hint="eastAsia"/>
          <w:sz w:val="28"/>
          <w:szCs w:val="28"/>
        </w:rPr>
        <w:t>16</w:t>
      </w:r>
      <w:r w:rsidR="00C37A96">
        <w:rPr>
          <w:rFonts w:hint="eastAsia"/>
          <w:sz w:val="28"/>
          <w:szCs w:val="28"/>
        </w:rPr>
        <w:t>“</w:t>
      </w:r>
      <w:r w:rsidR="00C37A96" w:rsidRPr="00C37A96">
        <w:rPr>
          <w:sz w:val="28"/>
          <w:szCs w:val="28"/>
        </w:rPr>
        <w:t>实物状况分析</w:t>
      </w:r>
      <w:r>
        <w:rPr>
          <w:sz w:val="28"/>
          <w:szCs w:val="28"/>
        </w:rPr>
        <w:t>。</w:t>
      </w:r>
      <w:r w:rsidR="00C37A96">
        <w:rPr>
          <w:rFonts w:hint="eastAsia"/>
          <w:sz w:val="28"/>
          <w:szCs w:val="28"/>
        </w:rPr>
        <w:t>”</w:t>
      </w:r>
    </w:p>
    <w:p w:rsidR="00C37A96" w:rsidRDefault="00C37A96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请补充说明户型、平面布置、朝向、层高等基本条件</w:t>
      </w:r>
      <w:r w:rsidRPr="001D4C18">
        <w:rPr>
          <w:rFonts w:hint="eastAsia"/>
          <w:sz w:val="28"/>
          <w:szCs w:val="28"/>
        </w:rPr>
        <w:t>。</w:t>
      </w:r>
    </w:p>
    <w:p w:rsidR="00744E33" w:rsidRDefault="00744E33" w:rsidP="00BC2268">
      <w:pPr>
        <w:rPr>
          <w:b/>
          <w:sz w:val="28"/>
          <w:szCs w:val="28"/>
        </w:rPr>
      </w:pPr>
      <w:r w:rsidRPr="0050559D">
        <w:rPr>
          <w:rFonts w:hint="eastAsia"/>
          <w:b/>
          <w:sz w:val="28"/>
          <w:szCs w:val="28"/>
        </w:rPr>
        <w:t>已补充，</w:t>
      </w:r>
      <w:r>
        <w:rPr>
          <w:rFonts w:hint="eastAsia"/>
          <w:b/>
          <w:sz w:val="28"/>
          <w:szCs w:val="28"/>
        </w:rPr>
        <w:t>见结果报告</w:t>
      </w:r>
      <w:r w:rsidRPr="0050559D">
        <w:rPr>
          <w:rFonts w:hint="eastAsia"/>
          <w:b/>
          <w:sz w:val="28"/>
          <w:szCs w:val="28"/>
        </w:rPr>
        <w:t>P</w:t>
      </w:r>
      <w:r w:rsidR="002C73D1">
        <w:rPr>
          <w:rFonts w:hint="eastAsia"/>
          <w:b/>
          <w:sz w:val="28"/>
          <w:szCs w:val="28"/>
        </w:rPr>
        <w:t>9</w:t>
      </w:r>
      <w:bookmarkStart w:id="0" w:name="_GoBack"/>
      <w:bookmarkEnd w:id="0"/>
      <w:r>
        <w:rPr>
          <w:rFonts w:hint="eastAsia"/>
          <w:b/>
          <w:sz w:val="28"/>
          <w:szCs w:val="28"/>
        </w:rPr>
        <w:t>页</w:t>
      </w:r>
      <w:r w:rsidRPr="0050559D">
        <w:rPr>
          <w:rFonts w:hint="eastAsia"/>
          <w:b/>
          <w:sz w:val="28"/>
          <w:szCs w:val="28"/>
        </w:rPr>
        <w:t>“房地产基本状况”</w:t>
      </w:r>
    </w:p>
    <w:p w:rsidR="001E032B" w:rsidRPr="00744E33" w:rsidRDefault="001E032B" w:rsidP="00BC2268">
      <w:pPr>
        <w:rPr>
          <w:b/>
          <w:sz w:val="28"/>
          <w:szCs w:val="28"/>
        </w:rPr>
      </w:pPr>
      <w:r w:rsidRPr="00744E33">
        <w:rPr>
          <w:rFonts w:ascii="Arial" w:hAnsi="Arial" w:cs="Arial"/>
          <w:b/>
          <w:bCs/>
          <w:szCs w:val="21"/>
        </w:rPr>
        <w:t>估价对象</w:t>
      </w:r>
      <w:r w:rsidRPr="00744E33">
        <w:rPr>
          <w:rFonts w:ascii="Arial" w:hAnsi="Arial" w:cs="Arial"/>
          <w:b/>
          <w:bCs/>
          <w:szCs w:val="21"/>
        </w:rPr>
        <w:t>1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276"/>
        <w:gridCol w:w="1843"/>
        <w:gridCol w:w="2778"/>
      </w:tblGrid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证号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X</w:t>
            </w:r>
            <w:proofErr w:type="gramStart"/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京房权证</w:t>
            </w:r>
            <w:proofErr w:type="gramEnd"/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海字第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329423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号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房屋性质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商品房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房屋所有权人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中粮面业（秦皇岛）鹏泰有限公司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共有情况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单独所有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lastRenderedPageBreak/>
              <w:t>坐落</w:t>
            </w:r>
          </w:p>
        </w:tc>
        <w:tc>
          <w:tcPr>
            <w:tcW w:w="7456" w:type="dxa"/>
            <w:gridSpan w:val="4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海淀区北洼路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32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号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1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号楼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13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层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1305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proofErr w:type="gramStart"/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楼号或幢号</w:t>
            </w:r>
            <w:proofErr w:type="gramEnd"/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房号及部位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1305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房屋总层数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16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（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-2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）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所在层数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13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户型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三室一厅二卫</w:t>
            </w:r>
            <w:proofErr w:type="gramStart"/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一</w:t>
            </w:r>
            <w:proofErr w:type="gramEnd"/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厨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朝向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西北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(m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  <w:vertAlign w:val="superscript"/>
              </w:rPr>
              <w:t>2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129.43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房屋结构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钢混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——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住宅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9299" w:type="dxa"/>
            <w:gridSpan w:val="5"/>
            <w:noWrap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土地使用情况摘要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权属性质</w:t>
            </w:r>
          </w:p>
        </w:tc>
        <w:tc>
          <w:tcPr>
            <w:tcW w:w="1559" w:type="dxa"/>
            <w:noWrap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出让</w:t>
            </w:r>
          </w:p>
        </w:tc>
        <w:tc>
          <w:tcPr>
            <w:tcW w:w="1276" w:type="dxa"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使用年限</w:t>
            </w:r>
          </w:p>
        </w:tc>
        <w:tc>
          <w:tcPr>
            <w:tcW w:w="4621" w:type="dxa"/>
            <w:gridSpan w:val="2"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未作注记</w:t>
            </w:r>
          </w:p>
        </w:tc>
      </w:tr>
    </w:tbl>
    <w:p w:rsidR="001E032B" w:rsidRPr="00744E33" w:rsidRDefault="001E032B" w:rsidP="00744E33">
      <w:pPr>
        <w:wordWrap w:val="0"/>
        <w:overflowPunct w:val="0"/>
        <w:spacing w:line="480" w:lineRule="auto"/>
        <w:ind w:firstLineChars="200" w:firstLine="422"/>
        <w:rPr>
          <w:rFonts w:ascii="Arial" w:hAnsi="Arial" w:cs="Arial"/>
          <w:b/>
          <w:szCs w:val="21"/>
        </w:rPr>
      </w:pPr>
      <w:r w:rsidRPr="00744E33">
        <w:rPr>
          <w:rFonts w:ascii="Arial" w:hAnsi="Arial" w:cs="Arial"/>
          <w:b/>
          <w:szCs w:val="21"/>
        </w:rPr>
        <w:t>估价对象</w:t>
      </w:r>
      <w:r w:rsidRPr="00744E33">
        <w:rPr>
          <w:rFonts w:ascii="Arial" w:hAnsi="Arial" w:cs="Arial"/>
          <w:b/>
          <w:szCs w:val="21"/>
        </w:rPr>
        <w:t>2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276"/>
        <w:gridCol w:w="1843"/>
        <w:gridCol w:w="2778"/>
      </w:tblGrid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证号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X</w:t>
            </w:r>
            <w:proofErr w:type="gramStart"/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京房权证</w:t>
            </w:r>
            <w:proofErr w:type="gramEnd"/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海字第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329424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号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房屋性质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商品房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房屋所有权人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中粮面业（秦皇岛）鹏泰有限公司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共有情况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单独所有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7456" w:type="dxa"/>
            <w:gridSpan w:val="4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海淀区北洼路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32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号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1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号楼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3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层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304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proofErr w:type="gramStart"/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楼号或幢号</w:t>
            </w:r>
            <w:proofErr w:type="gramEnd"/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 xml:space="preserve">1 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房号及部位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304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房屋总层数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16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（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-2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）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所在层数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3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户型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两室一厅</w:t>
            </w:r>
            <w:proofErr w:type="gramStart"/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一</w:t>
            </w:r>
            <w:proofErr w:type="gramEnd"/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卫</w:t>
            </w:r>
            <w:proofErr w:type="gramStart"/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一</w:t>
            </w:r>
            <w:proofErr w:type="gramEnd"/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厨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朝向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 w:hint="eastAsia"/>
                <w:b/>
                <w:sz w:val="18"/>
                <w:szCs w:val="18"/>
              </w:rPr>
              <w:t>西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(m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  <w:vertAlign w:val="superscript"/>
              </w:rPr>
              <w:t>2</w:t>
            </w: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71.53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房屋结构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钢混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——</w:t>
            </w:r>
          </w:p>
        </w:tc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778" w:type="dxa"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住宅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9299" w:type="dxa"/>
            <w:gridSpan w:val="5"/>
            <w:noWrap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土地使用情况摘要</w:t>
            </w:r>
          </w:p>
        </w:tc>
      </w:tr>
      <w:tr w:rsidR="001E032B" w:rsidRPr="00744E33" w:rsidTr="007A5364">
        <w:trPr>
          <w:cantSplit/>
          <w:jc w:val="center"/>
        </w:trPr>
        <w:tc>
          <w:tcPr>
            <w:tcW w:w="1843" w:type="dxa"/>
            <w:noWrap/>
            <w:vAlign w:val="center"/>
          </w:tcPr>
          <w:p w:rsidR="001E032B" w:rsidRPr="00744E33" w:rsidRDefault="001E032B" w:rsidP="007A5364">
            <w:pPr>
              <w:widowControl/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权属性质</w:t>
            </w:r>
          </w:p>
        </w:tc>
        <w:tc>
          <w:tcPr>
            <w:tcW w:w="1559" w:type="dxa"/>
            <w:noWrap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出让</w:t>
            </w:r>
          </w:p>
        </w:tc>
        <w:tc>
          <w:tcPr>
            <w:tcW w:w="1276" w:type="dxa"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使用年限</w:t>
            </w:r>
          </w:p>
        </w:tc>
        <w:tc>
          <w:tcPr>
            <w:tcW w:w="4621" w:type="dxa"/>
            <w:gridSpan w:val="2"/>
            <w:vAlign w:val="center"/>
          </w:tcPr>
          <w:p w:rsidR="001E032B" w:rsidRPr="00744E33" w:rsidRDefault="001E032B" w:rsidP="007A5364">
            <w:pPr>
              <w:overflowPunct w:val="0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744E33">
              <w:rPr>
                <w:rFonts w:ascii="Arial" w:eastAsia="华文细黑" w:hAnsi="Arial" w:cs="Arial"/>
                <w:b/>
                <w:sz w:val="18"/>
                <w:szCs w:val="18"/>
              </w:rPr>
              <w:t>未作注记</w:t>
            </w:r>
          </w:p>
        </w:tc>
      </w:tr>
    </w:tbl>
    <w:p w:rsidR="00AB516E" w:rsidRDefault="00AB516E" w:rsidP="00BC2268">
      <w:pPr>
        <w:rPr>
          <w:sz w:val="28"/>
          <w:szCs w:val="28"/>
        </w:rPr>
      </w:pPr>
    </w:p>
    <w:p w:rsidR="00BE599B" w:rsidRPr="00BE599B" w:rsidRDefault="00BE599B" w:rsidP="00BC2268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E30159" w:rsidRPr="001D4C18">
        <w:rPr>
          <w:rFonts w:hint="eastAsia"/>
          <w:sz w:val="28"/>
          <w:szCs w:val="28"/>
        </w:rPr>
        <w:t>P</w:t>
      </w:r>
      <w:r w:rsidR="00E30159">
        <w:rPr>
          <w:rFonts w:hint="eastAsia"/>
          <w:sz w:val="28"/>
          <w:szCs w:val="28"/>
        </w:rPr>
        <w:t xml:space="preserve">31 </w:t>
      </w:r>
      <w:r>
        <w:rPr>
          <w:rFonts w:hint="eastAsia"/>
          <w:sz w:val="28"/>
          <w:szCs w:val="28"/>
        </w:rPr>
        <w:t>“</w:t>
      </w:r>
      <w:r w:rsidR="00E30159" w:rsidRPr="00E30159">
        <w:rPr>
          <w:sz w:val="28"/>
          <w:szCs w:val="28"/>
        </w:rPr>
        <w:t>选取案例并作因素条件说明</w:t>
      </w:r>
      <w:r w:rsidRPr="00BE599B">
        <w:rPr>
          <w:rFonts w:hint="eastAsia"/>
          <w:sz w:val="28"/>
          <w:szCs w:val="28"/>
        </w:rPr>
        <w:t>”</w:t>
      </w:r>
    </w:p>
    <w:p w:rsidR="00BE599B" w:rsidRDefault="00BE599B" w:rsidP="00BC2268">
      <w:pPr>
        <w:rPr>
          <w:sz w:val="28"/>
          <w:szCs w:val="28"/>
        </w:rPr>
      </w:pPr>
      <w:r w:rsidRPr="00BE599B">
        <w:rPr>
          <w:rFonts w:hint="eastAsia"/>
          <w:sz w:val="28"/>
          <w:szCs w:val="28"/>
        </w:rPr>
        <w:t>请</w:t>
      </w:r>
      <w:r w:rsidRPr="00BE599B">
        <w:rPr>
          <w:sz w:val="28"/>
          <w:szCs w:val="28"/>
        </w:rPr>
        <w:t>补充</w:t>
      </w:r>
      <w:r w:rsidR="00E30159">
        <w:rPr>
          <w:rFonts w:hint="eastAsia"/>
          <w:sz w:val="28"/>
          <w:szCs w:val="28"/>
        </w:rPr>
        <w:t>案例交易税</w:t>
      </w:r>
      <w:proofErr w:type="gramStart"/>
      <w:r w:rsidR="00E30159">
        <w:rPr>
          <w:rFonts w:hint="eastAsia"/>
          <w:sz w:val="28"/>
          <w:szCs w:val="28"/>
        </w:rPr>
        <w:t>费水平</w:t>
      </w:r>
      <w:proofErr w:type="gramEnd"/>
      <w:r w:rsidR="00E30159">
        <w:rPr>
          <w:rFonts w:hint="eastAsia"/>
          <w:sz w:val="28"/>
          <w:szCs w:val="28"/>
        </w:rPr>
        <w:t>及负担情况</w:t>
      </w:r>
      <w:r w:rsidRPr="00BE599B">
        <w:rPr>
          <w:sz w:val="28"/>
          <w:szCs w:val="28"/>
        </w:rPr>
        <w:t>。</w:t>
      </w:r>
    </w:p>
    <w:p w:rsidR="005A675C" w:rsidRDefault="001D29DA" w:rsidP="00BC22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本次评估选取案例</w:t>
      </w:r>
      <w:r w:rsidR="006974D3">
        <w:rPr>
          <w:rFonts w:hint="eastAsia"/>
          <w:b/>
          <w:sz w:val="28"/>
          <w:szCs w:val="28"/>
        </w:rPr>
        <w:t>均为“满五”，</w:t>
      </w:r>
      <w:r w:rsidR="00BB7061">
        <w:rPr>
          <w:rFonts w:hint="eastAsia"/>
          <w:b/>
          <w:sz w:val="28"/>
          <w:szCs w:val="28"/>
        </w:rPr>
        <w:t>成交价格为房屋所有权人净得</w:t>
      </w:r>
      <w:r w:rsidR="00577486">
        <w:rPr>
          <w:rFonts w:hint="eastAsia"/>
          <w:b/>
          <w:sz w:val="28"/>
          <w:szCs w:val="28"/>
        </w:rPr>
        <w:t>价格</w:t>
      </w:r>
      <w:r w:rsidR="001B0B90">
        <w:rPr>
          <w:rFonts w:hint="eastAsia"/>
          <w:b/>
          <w:sz w:val="28"/>
          <w:szCs w:val="28"/>
        </w:rPr>
        <w:t>。</w:t>
      </w:r>
      <w:r w:rsidR="005A675C">
        <w:rPr>
          <w:rFonts w:hint="eastAsia"/>
          <w:b/>
          <w:sz w:val="28"/>
          <w:szCs w:val="28"/>
        </w:rPr>
        <w:t>本次评估为</w:t>
      </w:r>
      <w:r w:rsidR="005A675C" w:rsidRPr="005A675C">
        <w:rPr>
          <w:rFonts w:hint="eastAsia"/>
          <w:b/>
          <w:sz w:val="28"/>
          <w:szCs w:val="28"/>
        </w:rPr>
        <w:t>房地产市场价值评估</w:t>
      </w:r>
      <w:r w:rsidR="005A675C">
        <w:rPr>
          <w:rFonts w:hint="eastAsia"/>
          <w:b/>
          <w:sz w:val="28"/>
          <w:szCs w:val="28"/>
        </w:rPr>
        <w:t>，未考虑</w:t>
      </w:r>
      <w:r w:rsidR="005A675C" w:rsidRPr="005A675C">
        <w:rPr>
          <w:rFonts w:hint="eastAsia"/>
          <w:b/>
          <w:sz w:val="28"/>
          <w:szCs w:val="28"/>
        </w:rPr>
        <w:t>房地产</w:t>
      </w:r>
      <w:r w:rsidR="005A675C">
        <w:rPr>
          <w:rFonts w:hint="eastAsia"/>
          <w:b/>
          <w:sz w:val="28"/>
          <w:szCs w:val="28"/>
        </w:rPr>
        <w:t>处置时需要缴纳的税费，</w:t>
      </w:r>
      <w:r w:rsidR="001B0B90">
        <w:rPr>
          <w:rFonts w:hint="eastAsia"/>
          <w:b/>
          <w:sz w:val="28"/>
          <w:szCs w:val="28"/>
        </w:rPr>
        <w:t>估价对象房屋所有权人为企业，购买满五年非唯一住宅，处置时需缴纳增值税及附加、土地增值税及印花税。</w:t>
      </w:r>
    </w:p>
    <w:p w:rsidR="00F02FF9" w:rsidRDefault="00F02FF9" w:rsidP="00F02FF9">
      <w:pPr>
        <w:rPr>
          <w:b/>
          <w:color w:val="0070C0"/>
          <w:sz w:val="28"/>
          <w:szCs w:val="28"/>
        </w:rPr>
      </w:pPr>
      <w:r w:rsidRPr="00F02FF9">
        <w:rPr>
          <w:rFonts w:hint="eastAsia"/>
          <w:b/>
          <w:color w:val="0070C0"/>
          <w:sz w:val="28"/>
          <w:szCs w:val="28"/>
        </w:rPr>
        <w:lastRenderedPageBreak/>
        <w:t>复审意见：</w:t>
      </w:r>
      <w:r>
        <w:rPr>
          <w:rFonts w:hint="eastAsia"/>
          <w:b/>
          <w:color w:val="0070C0"/>
          <w:sz w:val="28"/>
          <w:szCs w:val="28"/>
        </w:rPr>
        <w:t>比较案例成交价格为房屋所有权人净得价，请分析</w:t>
      </w:r>
      <w:r w:rsidR="004A1BC8">
        <w:rPr>
          <w:rFonts w:hint="eastAsia"/>
          <w:b/>
          <w:color w:val="0070C0"/>
          <w:sz w:val="28"/>
          <w:szCs w:val="28"/>
        </w:rPr>
        <w:t>说明采用净得价作为比较价格的合理性</w:t>
      </w:r>
      <w:r>
        <w:rPr>
          <w:rFonts w:hint="eastAsia"/>
          <w:b/>
          <w:color w:val="0070C0"/>
          <w:sz w:val="28"/>
          <w:szCs w:val="28"/>
        </w:rPr>
        <w:t>。</w:t>
      </w:r>
    </w:p>
    <w:p w:rsidR="00F02FF9" w:rsidRPr="00F02FF9" w:rsidRDefault="00F02FF9" w:rsidP="00F02FF9">
      <w:pPr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比较案例成交价格为净得价，比较法测算结果是否含税，请核实</w:t>
      </w:r>
      <w:r w:rsidRPr="00F02FF9">
        <w:rPr>
          <w:rFonts w:hint="eastAsia"/>
          <w:b/>
          <w:color w:val="0070C0"/>
          <w:sz w:val="28"/>
          <w:szCs w:val="28"/>
        </w:rPr>
        <w:t>。</w:t>
      </w:r>
    </w:p>
    <w:p w:rsidR="00F02FF9" w:rsidRDefault="00CB6719" w:rsidP="00BC226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本次评估选取案例均为“个人房产满五唯一住宅”，房屋所有权人实际应缴纳税费免征，</w:t>
      </w:r>
      <w:r w:rsidR="004F79A8">
        <w:rPr>
          <w:rFonts w:hint="eastAsia"/>
          <w:b/>
          <w:sz w:val="28"/>
          <w:szCs w:val="28"/>
        </w:rPr>
        <w:t>即成交含税价格等于房屋所有权人净得价格</w:t>
      </w:r>
      <w:r>
        <w:rPr>
          <w:rFonts w:hint="eastAsia"/>
          <w:b/>
          <w:sz w:val="28"/>
          <w:szCs w:val="28"/>
        </w:rPr>
        <w:t>，</w:t>
      </w:r>
      <w:r w:rsidR="006F4888">
        <w:rPr>
          <w:rFonts w:hint="eastAsia"/>
          <w:b/>
          <w:sz w:val="28"/>
          <w:szCs w:val="28"/>
        </w:rPr>
        <w:t>本次评估</w:t>
      </w:r>
      <w:r>
        <w:rPr>
          <w:rFonts w:hint="eastAsia"/>
          <w:b/>
          <w:sz w:val="28"/>
          <w:szCs w:val="28"/>
        </w:rPr>
        <w:t>估价对象房屋所有权人为企业，</w:t>
      </w:r>
      <w:r w:rsidR="004F79A8">
        <w:rPr>
          <w:rFonts w:hint="eastAsia"/>
          <w:b/>
          <w:sz w:val="28"/>
          <w:szCs w:val="28"/>
        </w:rPr>
        <w:t>购房</w:t>
      </w:r>
      <w:r>
        <w:rPr>
          <w:rFonts w:hint="eastAsia"/>
          <w:b/>
          <w:sz w:val="28"/>
          <w:szCs w:val="28"/>
        </w:rPr>
        <w:t>满五年非唯一住宅，处置时需缴纳增值税及附加、土地增值税及印花税。</w:t>
      </w:r>
    </w:p>
    <w:p w:rsidR="00AB516E" w:rsidRPr="002B6205" w:rsidRDefault="00AB516E" w:rsidP="00BC2268">
      <w:pPr>
        <w:rPr>
          <w:b/>
          <w:sz w:val="28"/>
          <w:szCs w:val="28"/>
        </w:rPr>
      </w:pPr>
    </w:p>
    <w:p w:rsidR="008752FD" w:rsidRPr="00BE599B" w:rsidRDefault="00A565A5" w:rsidP="00BC2268">
      <w:pPr>
        <w:rPr>
          <w:sz w:val="28"/>
          <w:szCs w:val="28"/>
        </w:rPr>
      </w:pPr>
      <w:r w:rsidRPr="008752FD">
        <w:rPr>
          <w:rFonts w:hint="eastAsia"/>
          <w:sz w:val="28"/>
          <w:szCs w:val="28"/>
        </w:rPr>
        <w:t>3</w:t>
      </w:r>
      <w:r w:rsidRPr="008752FD">
        <w:rPr>
          <w:rFonts w:hint="eastAsia"/>
          <w:sz w:val="28"/>
          <w:szCs w:val="28"/>
        </w:rPr>
        <w:t>、</w:t>
      </w:r>
      <w:r w:rsidR="008752FD" w:rsidRPr="001D4C18">
        <w:rPr>
          <w:rFonts w:hint="eastAsia"/>
          <w:sz w:val="28"/>
          <w:szCs w:val="28"/>
        </w:rPr>
        <w:t>P</w:t>
      </w:r>
      <w:r w:rsidR="008752FD">
        <w:rPr>
          <w:rFonts w:hint="eastAsia"/>
          <w:sz w:val="28"/>
          <w:szCs w:val="28"/>
        </w:rPr>
        <w:t xml:space="preserve">39 </w:t>
      </w:r>
      <w:r w:rsidR="008752FD">
        <w:rPr>
          <w:rFonts w:hint="eastAsia"/>
          <w:sz w:val="28"/>
          <w:szCs w:val="28"/>
        </w:rPr>
        <w:t>“</w:t>
      </w:r>
      <w:r w:rsidR="008752FD" w:rsidRPr="008752FD">
        <w:rPr>
          <w:sz w:val="28"/>
          <w:szCs w:val="28"/>
        </w:rPr>
        <w:t>比较因素条件指数表</w:t>
      </w:r>
      <w:r w:rsidR="008752FD" w:rsidRPr="00BE599B">
        <w:rPr>
          <w:rFonts w:hint="eastAsia"/>
          <w:sz w:val="28"/>
          <w:szCs w:val="28"/>
        </w:rPr>
        <w:t>”</w:t>
      </w:r>
    </w:p>
    <w:p w:rsidR="008752FD" w:rsidRDefault="008752FD" w:rsidP="00BC2268">
      <w:pPr>
        <w:rPr>
          <w:sz w:val="28"/>
          <w:szCs w:val="28"/>
        </w:rPr>
      </w:pPr>
      <w:r w:rsidRPr="00BE599B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>说明案例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装修情况和使用年限，并核实指数“</w:t>
      </w:r>
      <w:r>
        <w:rPr>
          <w:rFonts w:hint="eastAsia"/>
          <w:sz w:val="28"/>
          <w:szCs w:val="28"/>
        </w:rPr>
        <w:t>104</w:t>
      </w:r>
      <w:r>
        <w:rPr>
          <w:rFonts w:hint="eastAsia"/>
          <w:sz w:val="28"/>
          <w:szCs w:val="28"/>
        </w:rPr>
        <w:t>”的合理性</w:t>
      </w:r>
      <w:r w:rsidRPr="00BE599B">
        <w:rPr>
          <w:sz w:val="28"/>
          <w:szCs w:val="28"/>
        </w:rPr>
        <w:t>。</w:t>
      </w:r>
    </w:p>
    <w:p w:rsidR="00A565A5" w:rsidRPr="002547BE" w:rsidRDefault="00BC2268" w:rsidP="002547BE">
      <w:pPr>
        <w:rPr>
          <w:b/>
          <w:sz w:val="28"/>
          <w:szCs w:val="28"/>
        </w:rPr>
      </w:pPr>
      <w:r w:rsidRPr="002547BE">
        <w:rPr>
          <w:rFonts w:hint="eastAsia"/>
          <w:b/>
          <w:sz w:val="28"/>
          <w:szCs w:val="28"/>
        </w:rPr>
        <w:t>本次评估报告</w:t>
      </w:r>
      <w:r w:rsidR="001D29DA" w:rsidRPr="002547BE">
        <w:rPr>
          <w:rFonts w:hint="eastAsia"/>
          <w:b/>
          <w:sz w:val="28"/>
          <w:szCs w:val="28"/>
        </w:rPr>
        <w:t>案例</w:t>
      </w:r>
      <w:r w:rsidR="001D29DA" w:rsidRPr="002547BE">
        <w:rPr>
          <w:rFonts w:hint="eastAsia"/>
          <w:b/>
          <w:sz w:val="28"/>
          <w:szCs w:val="28"/>
        </w:rPr>
        <w:t>C</w:t>
      </w:r>
      <w:r w:rsidRPr="002547BE">
        <w:rPr>
          <w:rFonts w:hint="eastAsia"/>
          <w:b/>
          <w:sz w:val="28"/>
          <w:szCs w:val="28"/>
        </w:rPr>
        <w:t>装修情况修正系数调整为“</w:t>
      </w:r>
      <w:r w:rsidRPr="002547BE">
        <w:rPr>
          <w:rFonts w:hint="eastAsia"/>
          <w:b/>
          <w:sz w:val="28"/>
          <w:szCs w:val="28"/>
        </w:rPr>
        <w:t>103</w:t>
      </w:r>
      <w:r w:rsidRPr="002547BE">
        <w:rPr>
          <w:rFonts w:hint="eastAsia"/>
          <w:b/>
          <w:sz w:val="28"/>
          <w:szCs w:val="28"/>
        </w:rPr>
        <w:t>”，案例</w:t>
      </w:r>
      <w:r w:rsidRPr="002547BE">
        <w:rPr>
          <w:rFonts w:hint="eastAsia"/>
          <w:b/>
          <w:sz w:val="28"/>
          <w:szCs w:val="28"/>
        </w:rPr>
        <w:t>C</w:t>
      </w:r>
      <w:r w:rsidR="001D29DA" w:rsidRPr="002547BE">
        <w:rPr>
          <w:rFonts w:hint="eastAsia"/>
          <w:b/>
          <w:sz w:val="28"/>
          <w:szCs w:val="28"/>
        </w:rPr>
        <w:t>成交价格为</w:t>
      </w:r>
      <w:r w:rsidR="001D29DA" w:rsidRPr="002547BE">
        <w:rPr>
          <w:b/>
          <w:sz w:val="28"/>
          <w:szCs w:val="28"/>
        </w:rPr>
        <w:t>78794</w:t>
      </w:r>
      <w:r w:rsidR="001D29DA" w:rsidRPr="002547BE">
        <w:rPr>
          <w:rFonts w:hint="eastAsia"/>
          <w:b/>
          <w:sz w:val="28"/>
          <w:szCs w:val="28"/>
        </w:rPr>
        <w:t>元</w:t>
      </w:r>
      <w:r w:rsidR="001D29DA" w:rsidRPr="002547BE">
        <w:rPr>
          <w:rFonts w:hint="eastAsia"/>
          <w:b/>
          <w:sz w:val="28"/>
          <w:szCs w:val="28"/>
        </w:rPr>
        <w:t>/</w:t>
      </w:r>
      <w:r w:rsidR="001D29DA" w:rsidRPr="002547BE">
        <w:rPr>
          <w:rFonts w:hint="eastAsia"/>
          <w:b/>
          <w:sz w:val="28"/>
          <w:szCs w:val="28"/>
        </w:rPr>
        <w:t>平方米</w:t>
      </w:r>
      <w:r w:rsidR="002F0366" w:rsidRPr="002547BE">
        <w:rPr>
          <w:rFonts w:hint="eastAsia"/>
          <w:b/>
          <w:sz w:val="28"/>
          <w:szCs w:val="28"/>
        </w:rPr>
        <w:t>，</w:t>
      </w:r>
      <w:r w:rsidRPr="002547BE">
        <w:rPr>
          <w:rFonts w:hint="eastAsia"/>
          <w:b/>
          <w:sz w:val="28"/>
          <w:szCs w:val="28"/>
        </w:rPr>
        <w:t>即，</w:t>
      </w:r>
      <w:r w:rsidR="001D29DA" w:rsidRPr="002547BE">
        <w:rPr>
          <w:rFonts w:hint="eastAsia"/>
          <w:b/>
          <w:sz w:val="28"/>
          <w:szCs w:val="28"/>
        </w:rPr>
        <w:t>本次评估设定</w:t>
      </w:r>
      <w:r w:rsidR="002F0366" w:rsidRPr="002547BE">
        <w:rPr>
          <w:rFonts w:hint="eastAsia"/>
          <w:b/>
          <w:sz w:val="28"/>
          <w:szCs w:val="28"/>
        </w:rPr>
        <w:t>简单装修与精装修单价差距约为</w:t>
      </w:r>
      <w:r w:rsidR="00527206" w:rsidRPr="002547BE">
        <w:rPr>
          <w:rFonts w:hint="eastAsia"/>
          <w:b/>
          <w:sz w:val="28"/>
          <w:szCs w:val="28"/>
        </w:rPr>
        <w:t>2300</w:t>
      </w:r>
      <w:r w:rsidR="002F0366" w:rsidRPr="002547BE">
        <w:rPr>
          <w:rFonts w:hint="eastAsia"/>
          <w:b/>
          <w:sz w:val="28"/>
          <w:szCs w:val="28"/>
        </w:rPr>
        <w:t>元</w:t>
      </w:r>
      <w:r w:rsidR="002F0366" w:rsidRPr="002547BE">
        <w:rPr>
          <w:rFonts w:hint="eastAsia"/>
          <w:b/>
          <w:sz w:val="28"/>
          <w:szCs w:val="28"/>
        </w:rPr>
        <w:t>/</w:t>
      </w:r>
      <w:r w:rsidR="002F0366" w:rsidRPr="002547BE">
        <w:rPr>
          <w:rFonts w:hint="eastAsia"/>
          <w:b/>
          <w:sz w:val="28"/>
          <w:szCs w:val="28"/>
        </w:rPr>
        <w:t>平方米</w:t>
      </w:r>
      <w:r w:rsidR="002D3FF0" w:rsidRPr="002547BE">
        <w:rPr>
          <w:rFonts w:hint="eastAsia"/>
          <w:b/>
          <w:sz w:val="28"/>
          <w:szCs w:val="28"/>
        </w:rPr>
        <w:t>，与市场价格</w:t>
      </w:r>
      <w:r w:rsidR="001D29DA" w:rsidRPr="002547BE">
        <w:rPr>
          <w:rFonts w:hint="eastAsia"/>
          <w:b/>
          <w:sz w:val="28"/>
          <w:szCs w:val="28"/>
        </w:rPr>
        <w:t>水平相符</w:t>
      </w:r>
      <w:r w:rsidRPr="002547BE">
        <w:rPr>
          <w:rFonts w:hint="eastAsia"/>
          <w:b/>
          <w:sz w:val="28"/>
          <w:szCs w:val="28"/>
        </w:rPr>
        <w:t>。</w:t>
      </w:r>
    </w:p>
    <w:p w:rsidR="00AB516E" w:rsidRPr="003A6FC8" w:rsidRDefault="00AB516E" w:rsidP="00BC2268">
      <w:pPr>
        <w:spacing w:line="480" w:lineRule="exact"/>
        <w:rPr>
          <w:rFonts w:eastAsia="仿宋"/>
          <w:b/>
          <w:sz w:val="28"/>
        </w:rPr>
      </w:pPr>
    </w:p>
    <w:p w:rsidR="008752FD" w:rsidRPr="00BE599B" w:rsidRDefault="008752FD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8752FD">
        <w:rPr>
          <w:rFonts w:hint="eastAsia"/>
          <w:sz w:val="28"/>
          <w:szCs w:val="28"/>
        </w:rPr>
        <w:t>、</w:t>
      </w:r>
      <w:r w:rsidRPr="001D4C18">
        <w:rPr>
          <w:rFonts w:hint="eastAsia"/>
          <w:sz w:val="28"/>
          <w:szCs w:val="28"/>
        </w:rPr>
        <w:t>P</w:t>
      </w:r>
      <w:r>
        <w:rPr>
          <w:rFonts w:hint="eastAsia"/>
          <w:sz w:val="28"/>
          <w:szCs w:val="28"/>
        </w:rPr>
        <w:t xml:space="preserve">43 </w:t>
      </w:r>
      <w:r>
        <w:rPr>
          <w:rFonts w:hint="eastAsia"/>
          <w:sz w:val="28"/>
          <w:szCs w:val="28"/>
        </w:rPr>
        <w:t>“</w:t>
      </w:r>
      <w:r w:rsidRPr="008752FD">
        <w:rPr>
          <w:rFonts w:hint="eastAsia"/>
          <w:sz w:val="28"/>
          <w:szCs w:val="28"/>
        </w:rPr>
        <w:t>比较法取权重为</w:t>
      </w:r>
      <w:r w:rsidRPr="008752FD">
        <w:rPr>
          <w:rFonts w:hint="eastAsia"/>
          <w:sz w:val="28"/>
          <w:szCs w:val="28"/>
        </w:rPr>
        <w:t>80%</w:t>
      </w:r>
      <w:r w:rsidRPr="008752FD">
        <w:rPr>
          <w:rFonts w:hint="eastAsia"/>
          <w:sz w:val="28"/>
          <w:szCs w:val="28"/>
        </w:rPr>
        <w:t>，收益法取权重为</w:t>
      </w:r>
      <w:r w:rsidRPr="008752FD">
        <w:rPr>
          <w:rFonts w:hint="eastAsia"/>
          <w:sz w:val="28"/>
          <w:szCs w:val="28"/>
        </w:rPr>
        <w:t>20%</w:t>
      </w:r>
      <w:r w:rsidRPr="00BE599B">
        <w:rPr>
          <w:rFonts w:hint="eastAsia"/>
          <w:sz w:val="28"/>
          <w:szCs w:val="28"/>
        </w:rPr>
        <w:t>”</w:t>
      </w:r>
    </w:p>
    <w:p w:rsidR="008752FD" w:rsidRDefault="008752FD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收益法和比较法估价结果差异巨大，请解释说明收益法估价结果是否具有合理性；</w:t>
      </w:r>
    </w:p>
    <w:p w:rsidR="008752FD" w:rsidRDefault="008752FD" w:rsidP="00BC226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请核实说明收益法权重</w:t>
      </w:r>
      <w:r>
        <w:rPr>
          <w:rFonts w:hint="eastAsia"/>
          <w:sz w:val="28"/>
          <w:szCs w:val="28"/>
        </w:rPr>
        <w:t>20%</w:t>
      </w:r>
      <w:r>
        <w:rPr>
          <w:rFonts w:hint="eastAsia"/>
          <w:sz w:val="28"/>
          <w:szCs w:val="28"/>
        </w:rPr>
        <w:t>的合理性。</w:t>
      </w:r>
    </w:p>
    <w:p w:rsidR="00577486" w:rsidRPr="002547BE" w:rsidRDefault="00BC2268" w:rsidP="002547BE">
      <w:pPr>
        <w:rPr>
          <w:b/>
          <w:sz w:val="28"/>
          <w:szCs w:val="28"/>
        </w:rPr>
      </w:pPr>
      <w:r w:rsidRPr="002547BE">
        <w:rPr>
          <w:rFonts w:hint="eastAsia"/>
          <w:b/>
          <w:sz w:val="28"/>
          <w:szCs w:val="28"/>
        </w:rPr>
        <w:t>由于收益法测算结果与市场实际成交价格差异较大，</w:t>
      </w:r>
      <w:r w:rsidR="00577486" w:rsidRPr="002547BE">
        <w:rPr>
          <w:rFonts w:hint="eastAsia"/>
          <w:b/>
          <w:sz w:val="28"/>
          <w:szCs w:val="28"/>
        </w:rPr>
        <w:t>本次评估采用成本法与比较法两种方法测算，综合分析成本法与比较法两种方法测算的结果，采用加权算术平均法求取估价对象的房地产价值。由于估价对象周边房地产市场交易活跃，比较法中选取的可比案例均为市场真</w:t>
      </w:r>
      <w:r w:rsidR="00577486" w:rsidRPr="002547BE">
        <w:rPr>
          <w:rFonts w:hint="eastAsia"/>
          <w:b/>
          <w:sz w:val="28"/>
          <w:szCs w:val="28"/>
        </w:rPr>
        <w:lastRenderedPageBreak/>
        <w:t>实成交案例，体现的是房地产市场的实际销售价格状况，在方法代表性以及现势性上均优于成本法。故本次评估比较法取权重为</w:t>
      </w:r>
      <w:r w:rsidR="00577486" w:rsidRPr="002547BE">
        <w:rPr>
          <w:rFonts w:hint="eastAsia"/>
          <w:b/>
          <w:sz w:val="28"/>
          <w:szCs w:val="28"/>
        </w:rPr>
        <w:t>60%</w:t>
      </w:r>
      <w:r w:rsidR="00577486" w:rsidRPr="002547BE">
        <w:rPr>
          <w:rFonts w:hint="eastAsia"/>
          <w:b/>
          <w:sz w:val="28"/>
          <w:szCs w:val="28"/>
        </w:rPr>
        <w:t>，成本法取权重为</w:t>
      </w:r>
      <w:r w:rsidR="00577486" w:rsidRPr="002547BE">
        <w:rPr>
          <w:rFonts w:hint="eastAsia"/>
          <w:b/>
          <w:sz w:val="28"/>
          <w:szCs w:val="28"/>
        </w:rPr>
        <w:t>40%</w:t>
      </w:r>
      <w:r w:rsidR="00577486" w:rsidRPr="002547BE">
        <w:rPr>
          <w:rFonts w:hint="eastAsia"/>
          <w:b/>
          <w:sz w:val="28"/>
          <w:szCs w:val="28"/>
        </w:rPr>
        <w:t>。</w:t>
      </w:r>
    </w:p>
    <w:p w:rsidR="00F86087" w:rsidRDefault="00F86087" w:rsidP="00F86087">
      <w:pPr>
        <w:rPr>
          <w:b/>
          <w:color w:val="0070C0"/>
          <w:sz w:val="28"/>
          <w:szCs w:val="28"/>
        </w:rPr>
      </w:pPr>
      <w:r w:rsidRPr="00F02FF9">
        <w:rPr>
          <w:rFonts w:hint="eastAsia"/>
          <w:b/>
          <w:color w:val="0070C0"/>
          <w:sz w:val="28"/>
          <w:szCs w:val="28"/>
        </w:rPr>
        <w:t>复审意见：</w:t>
      </w:r>
      <w:r w:rsidR="001E0169">
        <w:rPr>
          <w:rFonts w:hint="eastAsia"/>
          <w:b/>
          <w:color w:val="0070C0"/>
          <w:sz w:val="28"/>
          <w:szCs w:val="28"/>
        </w:rPr>
        <w:t>“</w:t>
      </w:r>
      <w:r w:rsidR="001E0169" w:rsidRPr="001E0169">
        <w:rPr>
          <w:rFonts w:hint="eastAsia"/>
          <w:b/>
          <w:color w:val="0070C0"/>
          <w:sz w:val="28"/>
          <w:szCs w:val="28"/>
        </w:rPr>
        <w:t>由于估价对象周边房地产市场交易活跃，比较法中选取的可比案例均为市场真实成交案例，体现的是房地产市场的实际销售价格</w:t>
      </w:r>
      <w:r w:rsidR="001E0169">
        <w:rPr>
          <w:rFonts w:hint="eastAsia"/>
          <w:b/>
          <w:color w:val="0070C0"/>
          <w:sz w:val="28"/>
          <w:szCs w:val="28"/>
        </w:rPr>
        <w:t>”，比较法完全能反应估价对象市场价格</w:t>
      </w:r>
      <w:r>
        <w:rPr>
          <w:rFonts w:hint="eastAsia"/>
          <w:b/>
          <w:color w:val="0070C0"/>
          <w:sz w:val="28"/>
          <w:szCs w:val="28"/>
        </w:rPr>
        <w:t>。</w:t>
      </w:r>
      <w:r w:rsidR="001E0169">
        <w:rPr>
          <w:rFonts w:hint="eastAsia"/>
          <w:b/>
          <w:color w:val="0070C0"/>
          <w:sz w:val="28"/>
          <w:szCs w:val="28"/>
        </w:rPr>
        <w:t>对于二手住宅，成本法</w:t>
      </w:r>
      <w:r w:rsidR="003538B8">
        <w:rPr>
          <w:rFonts w:hint="eastAsia"/>
          <w:b/>
          <w:color w:val="0070C0"/>
          <w:sz w:val="28"/>
          <w:szCs w:val="28"/>
        </w:rPr>
        <w:t>估价结果不应采信</w:t>
      </w:r>
      <w:r w:rsidR="008C2E15">
        <w:rPr>
          <w:rFonts w:hint="eastAsia"/>
          <w:b/>
          <w:color w:val="0070C0"/>
          <w:sz w:val="28"/>
          <w:szCs w:val="28"/>
        </w:rPr>
        <w:t>。</w:t>
      </w:r>
    </w:p>
    <w:p w:rsidR="00F86087" w:rsidRPr="002547BE" w:rsidRDefault="00F22C6E" w:rsidP="002547BE">
      <w:pPr>
        <w:rPr>
          <w:b/>
          <w:sz w:val="28"/>
          <w:szCs w:val="28"/>
        </w:rPr>
      </w:pPr>
      <w:r w:rsidRPr="002547BE">
        <w:rPr>
          <w:rFonts w:hint="eastAsia"/>
          <w:b/>
          <w:sz w:val="28"/>
          <w:szCs w:val="28"/>
        </w:rPr>
        <w:t>由于收益法测算结果与市场实际成交价格差异较大，本次评估采用成本法与比较法两种方法测算，综合分析成本法与比较法两种方法测算的结果，采用加权算术平均法求取估价对象的房地产价值。由于估价对象周边房地产市场交易活跃，比较法中选取的可比案例均为市场真实成交案例，体现的是房地产市场的实际销售价格状况，在方法代表性以及现势性上均</w:t>
      </w:r>
      <w:r w:rsidR="002B6205">
        <w:rPr>
          <w:rFonts w:hint="eastAsia"/>
          <w:b/>
          <w:sz w:val="28"/>
          <w:szCs w:val="28"/>
        </w:rPr>
        <w:t>处主导地位</w:t>
      </w:r>
      <w:r w:rsidRPr="002547BE">
        <w:rPr>
          <w:rFonts w:hint="eastAsia"/>
          <w:b/>
          <w:sz w:val="28"/>
          <w:szCs w:val="28"/>
        </w:rPr>
        <w:t>。故本次评估比较法取权重为</w:t>
      </w:r>
      <w:r w:rsidRPr="002547BE">
        <w:rPr>
          <w:rFonts w:hint="eastAsia"/>
          <w:b/>
          <w:sz w:val="28"/>
          <w:szCs w:val="28"/>
        </w:rPr>
        <w:t>100%</w:t>
      </w:r>
      <w:r w:rsidRPr="002547BE">
        <w:rPr>
          <w:rFonts w:hint="eastAsia"/>
          <w:b/>
          <w:sz w:val="28"/>
          <w:szCs w:val="28"/>
        </w:rPr>
        <w:t>，成本法取权重为</w:t>
      </w:r>
      <w:r w:rsidRPr="002547BE">
        <w:rPr>
          <w:rFonts w:hint="eastAsia"/>
          <w:b/>
          <w:sz w:val="28"/>
          <w:szCs w:val="28"/>
        </w:rPr>
        <w:t>0%</w:t>
      </w:r>
      <w:r w:rsidRPr="002547BE">
        <w:rPr>
          <w:rFonts w:hint="eastAsia"/>
          <w:b/>
          <w:sz w:val="28"/>
          <w:szCs w:val="28"/>
        </w:rPr>
        <w:t>。</w:t>
      </w:r>
    </w:p>
    <w:p w:rsidR="00F22C6E" w:rsidRPr="002547BE" w:rsidRDefault="00F22C6E" w:rsidP="002547BE">
      <w:pPr>
        <w:rPr>
          <w:b/>
          <w:sz w:val="28"/>
          <w:szCs w:val="28"/>
        </w:rPr>
      </w:pPr>
      <w:r w:rsidRPr="002547BE">
        <w:rPr>
          <w:rFonts w:hint="eastAsia"/>
          <w:b/>
          <w:sz w:val="28"/>
          <w:szCs w:val="28"/>
        </w:rPr>
        <w:t>已在报告中做相应调整。</w:t>
      </w:r>
    </w:p>
    <w:sectPr w:rsidR="00F22C6E" w:rsidRPr="00254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A1" w:rsidRDefault="008021A1" w:rsidP="001D4C18">
      <w:r>
        <w:separator/>
      </w:r>
    </w:p>
  </w:endnote>
  <w:endnote w:type="continuationSeparator" w:id="0">
    <w:p w:rsidR="008021A1" w:rsidRDefault="008021A1" w:rsidP="001D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A1" w:rsidRDefault="008021A1" w:rsidP="001D4C18">
      <w:r>
        <w:separator/>
      </w:r>
    </w:p>
  </w:footnote>
  <w:footnote w:type="continuationSeparator" w:id="0">
    <w:p w:rsidR="008021A1" w:rsidRDefault="008021A1" w:rsidP="001D4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E5"/>
    <w:rsid w:val="000516D9"/>
    <w:rsid w:val="00106733"/>
    <w:rsid w:val="00150A77"/>
    <w:rsid w:val="00167E8E"/>
    <w:rsid w:val="00190913"/>
    <w:rsid w:val="001B0B90"/>
    <w:rsid w:val="001B4625"/>
    <w:rsid w:val="001B5960"/>
    <w:rsid w:val="001D29DA"/>
    <w:rsid w:val="001D4C18"/>
    <w:rsid w:val="001E0169"/>
    <w:rsid w:val="001E032B"/>
    <w:rsid w:val="00205D8C"/>
    <w:rsid w:val="002547BE"/>
    <w:rsid w:val="00282491"/>
    <w:rsid w:val="002B6205"/>
    <w:rsid w:val="002C1C0B"/>
    <w:rsid w:val="002C73D1"/>
    <w:rsid w:val="002D3FF0"/>
    <w:rsid w:val="002F0366"/>
    <w:rsid w:val="003224E5"/>
    <w:rsid w:val="003248DC"/>
    <w:rsid w:val="003538B8"/>
    <w:rsid w:val="003A6FC8"/>
    <w:rsid w:val="003B02A3"/>
    <w:rsid w:val="00424020"/>
    <w:rsid w:val="004A1BC8"/>
    <w:rsid w:val="004E3DE2"/>
    <w:rsid w:val="004F79A8"/>
    <w:rsid w:val="0050559D"/>
    <w:rsid w:val="00520792"/>
    <w:rsid w:val="00527206"/>
    <w:rsid w:val="00577486"/>
    <w:rsid w:val="005A675C"/>
    <w:rsid w:val="005D31CB"/>
    <w:rsid w:val="006201D3"/>
    <w:rsid w:val="00666046"/>
    <w:rsid w:val="006974D3"/>
    <w:rsid w:val="006C1172"/>
    <w:rsid w:val="006C63B8"/>
    <w:rsid w:val="006E2D06"/>
    <w:rsid w:val="006F4888"/>
    <w:rsid w:val="00744E33"/>
    <w:rsid w:val="007E1D81"/>
    <w:rsid w:val="007E6FDA"/>
    <w:rsid w:val="008021A1"/>
    <w:rsid w:val="008250B1"/>
    <w:rsid w:val="008752FD"/>
    <w:rsid w:val="008C03FB"/>
    <w:rsid w:val="008C2E15"/>
    <w:rsid w:val="009E5913"/>
    <w:rsid w:val="00A565A5"/>
    <w:rsid w:val="00A8639F"/>
    <w:rsid w:val="00AA3A37"/>
    <w:rsid w:val="00AB516E"/>
    <w:rsid w:val="00AD702F"/>
    <w:rsid w:val="00B20F68"/>
    <w:rsid w:val="00B26A98"/>
    <w:rsid w:val="00BB7061"/>
    <w:rsid w:val="00BC1734"/>
    <w:rsid w:val="00BC2268"/>
    <w:rsid w:val="00BE599B"/>
    <w:rsid w:val="00C37A96"/>
    <w:rsid w:val="00C642FD"/>
    <w:rsid w:val="00C655D2"/>
    <w:rsid w:val="00C77DBD"/>
    <w:rsid w:val="00C81DF9"/>
    <w:rsid w:val="00CB6719"/>
    <w:rsid w:val="00D12917"/>
    <w:rsid w:val="00D26273"/>
    <w:rsid w:val="00DE619B"/>
    <w:rsid w:val="00E30159"/>
    <w:rsid w:val="00EA5F57"/>
    <w:rsid w:val="00ED4317"/>
    <w:rsid w:val="00EE554A"/>
    <w:rsid w:val="00F02FF9"/>
    <w:rsid w:val="00F22C6E"/>
    <w:rsid w:val="00F80232"/>
    <w:rsid w:val="00F86087"/>
    <w:rsid w:val="00F94DED"/>
    <w:rsid w:val="00F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C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C18"/>
    <w:rPr>
      <w:sz w:val="18"/>
      <w:szCs w:val="18"/>
    </w:rPr>
  </w:style>
  <w:style w:type="paragraph" w:styleId="a5">
    <w:name w:val="List Paragraph"/>
    <w:basedOn w:val="a"/>
    <w:uiPriority w:val="34"/>
    <w:qFormat/>
    <w:rsid w:val="001D4C1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C03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03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C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C18"/>
    <w:rPr>
      <w:sz w:val="18"/>
      <w:szCs w:val="18"/>
    </w:rPr>
  </w:style>
  <w:style w:type="paragraph" w:styleId="a5">
    <w:name w:val="List Paragraph"/>
    <w:basedOn w:val="a"/>
    <w:uiPriority w:val="34"/>
    <w:qFormat/>
    <w:rsid w:val="001D4C1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C03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03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USER</cp:lastModifiedBy>
  <cp:revision>16</cp:revision>
  <cp:lastPrinted>2018-10-25T06:10:00Z</cp:lastPrinted>
  <dcterms:created xsi:type="dcterms:W3CDTF">2018-10-23T01:21:00Z</dcterms:created>
  <dcterms:modified xsi:type="dcterms:W3CDTF">2018-10-25T06:30:00Z</dcterms:modified>
</cp:coreProperties>
</file>