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Theme="majorEastAsia" w:hAnsiTheme="majorEastAsia" w:cstheme="majorEastAsia"/>
          <w:sz w:val="28"/>
          <w:szCs w:val="36"/>
        </w:rPr>
      </w:pPr>
      <w:r>
        <w:rPr>
          <w:rFonts w:hint="eastAsia" w:asciiTheme="majorEastAsia" w:hAnsiTheme="majorEastAsia" w:cstheme="majorEastAsia"/>
          <w:sz w:val="28"/>
          <w:szCs w:val="36"/>
        </w:rPr>
        <w:t>情况说明</w:t>
      </w:r>
    </w:p>
    <w:p>
      <w:pPr>
        <w:rPr>
          <w:rFonts w:asciiTheme="minorEastAsia" w:hAnsiTheme="minorEastAsia" w:cstheme="minorEastAsia"/>
          <w:b/>
          <w:bCs/>
          <w:kern w:val="6"/>
          <w:sz w:val="24"/>
        </w:rPr>
      </w:pPr>
      <w:r>
        <w:rPr>
          <w:rFonts w:hint="eastAsia" w:asciiTheme="minorEastAsia" w:hAnsiTheme="minorEastAsia" w:cstheme="minorEastAsia"/>
          <w:b/>
          <w:bCs/>
          <w:kern w:val="6"/>
          <w:sz w:val="24"/>
        </w:rPr>
        <w:t>浙商金汇信托股份有限公司:</w:t>
      </w:r>
    </w:p>
    <w:p>
      <w:pPr>
        <w:rPr>
          <w:rFonts w:asciiTheme="minorEastAsia" w:hAnsiTheme="minorEastAsia" w:cstheme="minorEastAsia"/>
          <w:b/>
          <w:bCs/>
          <w:kern w:val="6"/>
          <w:sz w:val="24"/>
        </w:rPr>
      </w:pPr>
    </w:p>
    <w:p>
      <w:pPr>
        <w:spacing w:line="432" w:lineRule="auto"/>
        <w:ind w:firstLine="480" w:firstLineChars="200"/>
        <w:rPr>
          <w:rFonts w:asciiTheme="minorEastAsia" w:hAnsiTheme="minorEastAsia" w:cstheme="minorEastAsia"/>
          <w:kern w:val="6"/>
          <w:sz w:val="24"/>
          <w:szCs w:val="36"/>
        </w:rPr>
      </w:pPr>
      <w:r>
        <w:rPr>
          <w:rFonts w:hint="eastAsia" w:asciiTheme="minorEastAsia" w:hAnsiTheme="minorEastAsia" w:cstheme="minorEastAsia"/>
          <w:kern w:val="6"/>
          <w:sz w:val="24"/>
        </w:rPr>
        <w:t>关于我司和贵司合作的浙金•汇业441号融创重庆项目中于2020年10月23日发生了2.12亿元资金误划款的事件，现特对事件起因及整改措施说明如下:</w:t>
      </w:r>
    </w:p>
    <w:p>
      <w:pPr>
        <w:spacing w:line="432" w:lineRule="auto"/>
        <w:ind w:firstLine="482" w:firstLineChars="200"/>
        <w:rPr>
          <w:rFonts w:asciiTheme="minorEastAsia" w:hAnsiTheme="minorEastAsia" w:cstheme="minorEastAsia"/>
          <w:b/>
          <w:bCs/>
          <w:kern w:val="6"/>
          <w:sz w:val="24"/>
        </w:rPr>
      </w:pPr>
      <w:r>
        <w:rPr>
          <w:rFonts w:hint="eastAsia" w:asciiTheme="minorEastAsia" w:hAnsiTheme="minorEastAsia" w:cstheme="minorEastAsia"/>
          <w:b/>
          <w:bCs/>
          <w:kern w:val="6"/>
          <w:sz w:val="24"/>
        </w:rPr>
        <w:t>1、事件起因：</w:t>
      </w:r>
    </w:p>
    <w:p>
      <w:pPr>
        <w:spacing w:line="432" w:lineRule="auto"/>
        <w:ind w:firstLine="480" w:firstLineChars="200"/>
        <w:rPr>
          <w:rFonts w:asciiTheme="minorEastAsia" w:hAnsiTheme="minorEastAsia" w:cstheme="minorEastAsia"/>
          <w:kern w:val="6"/>
          <w:sz w:val="24"/>
        </w:rPr>
      </w:pPr>
      <w:r>
        <w:rPr>
          <w:rFonts w:hint="eastAsia" w:asciiTheme="minorEastAsia" w:hAnsiTheme="minorEastAsia" w:cstheme="minorEastAsia"/>
          <w:kern w:val="6"/>
          <w:sz w:val="24"/>
        </w:rPr>
        <w:t>2020年10月22日，我司驻场监管人员杨鑫通过指定邮箱向信托方提交项目公司向总包方（天津润棠公司）分两笔支付工程款的用款申请（一笔2</w:t>
      </w:r>
      <w:r>
        <w:rPr>
          <w:rFonts w:asciiTheme="minorEastAsia" w:hAnsiTheme="minorEastAsia" w:cstheme="minorEastAsia"/>
          <w:kern w:val="6"/>
          <w:sz w:val="24"/>
        </w:rPr>
        <w:t>.12</w:t>
      </w:r>
      <w:r>
        <w:rPr>
          <w:rFonts w:hint="eastAsia" w:asciiTheme="minorEastAsia" w:hAnsiTheme="minorEastAsia" w:cstheme="minorEastAsia"/>
          <w:kern w:val="6"/>
          <w:sz w:val="24"/>
        </w:rPr>
        <w:t>亿，一笔2</w:t>
      </w:r>
      <w:r>
        <w:rPr>
          <w:rFonts w:asciiTheme="minorEastAsia" w:hAnsiTheme="minorEastAsia" w:cstheme="minorEastAsia"/>
          <w:kern w:val="6"/>
          <w:sz w:val="24"/>
        </w:rPr>
        <w:t>.43</w:t>
      </w:r>
      <w:r>
        <w:rPr>
          <w:rFonts w:hint="eastAsia" w:asciiTheme="minorEastAsia" w:hAnsiTheme="minorEastAsia" w:cstheme="minorEastAsia"/>
          <w:kern w:val="6"/>
          <w:sz w:val="24"/>
        </w:rPr>
        <w:t>亿），信托未对该划款作出批复。10月23日,经融创方和信托方确认该工程款划款路径需按照总包协议及战略合作协议的约定执行,故原方案路径有误，需按照10月23日通过的审批方案执行，并出具了审批单。</w:t>
      </w:r>
    </w:p>
    <w:p>
      <w:pPr>
        <w:spacing w:line="432" w:lineRule="auto"/>
        <w:ind w:firstLine="480" w:firstLineChars="200"/>
        <w:rPr>
          <w:rFonts w:asciiTheme="minorEastAsia" w:hAnsiTheme="minorEastAsia" w:cstheme="minorEastAsia"/>
          <w:kern w:val="6"/>
          <w:sz w:val="24"/>
        </w:rPr>
      </w:pPr>
      <w:r>
        <w:rPr>
          <w:rFonts w:hint="eastAsia" w:asciiTheme="minorEastAsia" w:hAnsiTheme="minorEastAsia" w:cstheme="minorEastAsia"/>
          <w:kern w:val="6"/>
          <w:sz w:val="24"/>
        </w:rPr>
        <w:t>2020年10月23日上午，驻场监管人员杨鑫与项目公司人员约定至重庆中国民生银行开立按揭账户，因外出期间无法办理业务，其出于不延误项目公司重要工作的考虑，在未收到信托方对该方案审批的情况下，先行按照10月22日的方案为项目公司办理了2</w:t>
      </w:r>
      <w:r>
        <w:rPr>
          <w:rFonts w:asciiTheme="minorEastAsia" w:hAnsiTheme="minorEastAsia" w:cstheme="minorEastAsia"/>
          <w:kern w:val="6"/>
          <w:sz w:val="24"/>
        </w:rPr>
        <w:t>.12</w:t>
      </w:r>
      <w:r>
        <w:rPr>
          <w:rFonts w:hint="eastAsia" w:asciiTheme="minorEastAsia" w:hAnsiTheme="minorEastAsia" w:cstheme="minorEastAsia"/>
          <w:kern w:val="6"/>
          <w:sz w:val="24"/>
        </w:rPr>
        <w:t>亿款项的付款。后各方发现转款路径错误后，杨鑫及项目公司立即要求天津润棠办理了该笔误划款资金的退还。</w:t>
      </w:r>
    </w:p>
    <w:p>
      <w:pPr>
        <w:spacing w:line="432" w:lineRule="auto"/>
        <w:ind w:firstLine="480" w:firstLineChars="200"/>
        <w:rPr>
          <w:rFonts w:asciiTheme="minorEastAsia" w:hAnsiTheme="minorEastAsia" w:cstheme="minorEastAsia"/>
          <w:kern w:val="6"/>
          <w:sz w:val="24"/>
        </w:rPr>
      </w:pPr>
      <w:r>
        <w:rPr>
          <w:rFonts w:hint="eastAsia" w:asciiTheme="minorEastAsia" w:hAnsiTheme="minorEastAsia" w:cstheme="minorEastAsia"/>
          <w:kern w:val="6"/>
          <w:sz w:val="24"/>
        </w:rPr>
        <w:t>随后，杨鑫按照信托10月23日出具的审批单完成了该笔工程款的划付。</w:t>
      </w:r>
    </w:p>
    <w:p>
      <w:pPr>
        <w:spacing w:line="432" w:lineRule="auto"/>
        <w:ind w:firstLine="482" w:firstLineChars="200"/>
        <w:rPr>
          <w:rFonts w:asciiTheme="minorEastAsia" w:hAnsiTheme="minorEastAsia" w:cstheme="minorEastAsia"/>
          <w:b/>
          <w:bCs/>
          <w:kern w:val="6"/>
          <w:sz w:val="24"/>
        </w:rPr>
      </w:pPr>
      <w:r>
        <w:rPr>
          <w:rFonts w:hint="eastAsia" w:asciiTheme="minorEastAsia" w:hAnsiTheme="minorEastAsia" w:cstheme="minorEastAsia"/>
          <w:b/>
          <w:bCs/>
          <w:kern w:val="6"/>
          <w:sz w:val="24"/>
        </w:rPr>
        <w:t>2、事件性质分析：</w:t>
      </w:r>
    </w:p>
    <w:p>
      <w:pPr>
        <w:spacing w:line="432" w:lineRule="auto"/>
        <w:ind w:firstLine="480" w:firstLineChars="200"/>
        <w:rPr>
          <w:rFonts w:asciiTheme="minorEastAsia" w:hAnsiTheme="minorEastAsia" w:cstheme="minorEastAsia"/>
          <w:kern w:val="6"/>
          <w:sz w:val="24"/>
        </w:rPr>
      </w:pPr>
      <w:r>
        <w:rPr>
          <w:rFonts w:hint="eastAsia" w:asciiTheme="minorEastAsia" w:hAnsiTheme="minorEastAsia" w:cstheme="minorEastAsia"/>
          <w:kern w:val="6"/>
          <w:sz w:val="24"/>
        </w:rPr>
        <w:t>我司对于投后管理项目，有完整的管理制度和流程。对于此项业务，根据我司项目管理流程，驻场监管人员应先将审批事项的实质情况了解清楚，在报送信托方前，驻场监管人员应发起内部审批，公司审批完成后再将项目公司付款申请及我方的相关意见一同提交给信托审批，待信托审批完成后，办理支付。</w:t>
      </w:r>
    </w:p>
    <w:p>
      <w:pPr>
        <w:spacing w:line="432" w:lineRule="auto"/>
        <w:ind w:firstLine="480" w:firstLineChars="200"/>
        <w:rPr>
          <w:rFonts w:asciiTheme="minorEastAsia" w:hAnsiTheme="minorEastAsia" w:cstheme="minorEastAsia"/>
          <w:kern w:val="6"/>
          <w:sz w:val="24"/>
        </w:rPr>
      </w:pPr>
      <w:r>
        <w:rPr>
          <w:rFonts w:hint="eastAsia" w:asciiTheme="minorEastAsia" w:hAnsiTheme="minorEastAsia" w:cstheme="minorEastAsia"/>
          <w:kern w:val="6"/>
          <w:sz w:val="24"/>
        </w:rPr>
        <w:t>在此事件中我司驻场监管人员，造成工作失误的原因如下：</w:t>
      </w:r>
    </w:p>
    <w:p>
      <w:pPr>
        <w:pStyle w:val="12"/>
        <w:numPr>
          <w:ilvl w:val="-1"/>
          <w:numId w:val="0"/>
        </w:numPr>
        <w:spacing w:line="432" w:lineRule="auto"/>
        <w:ind w:left="0" w:leftChars="0" w:firstLine="0" w:firstLineChars="0"/>
        <w:jc w:val="left"/>
        <w:rPr>
          <w:rFonts w:asciiTheme="minorEastAsia" w:hAnsiTheme="minorEastAsia" w:cstheme="minorEastAsia"/>
          <w:kern w:val="6"/>
          <w:sz w:val="24"/>
        </w:rPr>
      </w:pPr>
      <w:r>
        <w:rPr>
          <w:rFonts w:hint="eastAsia" w:asciiTheme="minorEastAsia" w:hAnsiTheme="minorEastAsia" w:cstheme="minorEastAsia"/>
          <w:kern w:val="6"/>
          <w:sz w:val="24"/>
          <w:lang w:eastAsia="zh-CN"/>
        </w:rPr>
        <w:t>（</w:t>
      </w:r>
      <w:r>
        <w:rPr>
          <w:rFonts w:hint="eastAsia" w:asciiTheme="minorEastAsia" w:hAnsiTheme="minorEastAsia" w:cstheme="minorEastAsia"/>
          <w:kern w:val="6"/>
          <w:sz w:val="24"/>
          <w:lang w:val="en-US" w:eastAsia="zh-CN"/>
        </w:rPr>
        <w:t>1</w:t>
      </w:r>
      <w:r>
        <w:rPr>
          <w:rFonts w:hint="eastAsia" w:asciiTheme="minorEastAsia" w:hAnsiTheme="minorEastAsia" w:cstheme="minorEastAsia"/>
          <w:kern w:val="6"/>
          <w:sz w:val="24"/>
          <w:lang w:eastAsia="zh-CN"/>
        </w:rPr>
        <w:t>）</w:t>
      </w:r>
      <w:r>
        <w:rPr>
          <w:rFonts w:hint="eastAsia" w:asciiTheme="minorEastAsia" w:hAnsiTheme="minorEastAsia" w:cstheme="minorEastAsia"/>
          <w:kern w:val="6"/>
          <w:sz w:val="24"/>
        </w:rPr>
        <w:t>遇事慌乱工作条理性差：在转款前因多个事情集中发生，在信托还没有给出确定的划款审批方案时，没完全核对清楚信托是否批复，凭主观判断，误操作办理了资金划转；</w:t>
      </w:r>
    </w:p>
    <w:p>
      <w:pPr>
        <w:pStyle w:val="12"/>
        <w:numPr>
          <w:ilvl w:val="-1"/>
          <w:numId w:val="0"/>
        </w:numPr>
        <w:spacing w:line="432" w:lineRule="auto"/>
        <w:ind w:left="0" w:firstLine="0" w:firstLineChars="0"/>
        <w:rPr>
          <w:rFonts w:asciiTheme="minorEastAsia" w:hAnsiTheme="minorEastAsia" w:cstheme="minorEastAsia"/>
          <w:kern w:val="6"/>
          <w:sz w:val="24"/>
        </w:rPr>
      </w:pPr>
      <w:r>
        <w:rPr>
          <w:rFonts w:hint="eastAsia" w:asciiTheme="minorEastAsia" w:hAnsiTheme="minorEastAsia" w:cstheme="minorEastAsia"/>
          <w:kern w:val="6"/>
          <w:sz w:val="24"/>
          <w:lang w:eastAsia="zh-CN"/>
        </w:rPr>
        <w:t>（</w:t>
      </w:r>
      <w:r>
        <w:rPr>
          <w:rFonts w:hint="eastAsia" w:asciiTheme="minorEastAsia" w:hAnsiTheme="minorEastAsia" w:cstheme="minorEastAsia"/>
          <w:kern w:val="6"/>
          <w:sz w:val="24"/>
          <w:lang w:val="en-US" w:eastAsia="zh-CN"/>
        </w:rPr>
        <w:t>2</w:t>
      </w:r>
      <w:r>
        <w:rPr>
          <w:rFonts w:hint="eastAsia" w:asciiTheme="minorEastAsia" w:hAnsiTheme="minorEastAsia" w:cstheme="minorEastAsia"/>
          <w:kern w:val="6"/>
          <w:sz w:val="24"/>
          <w:lang w:eastAsia="zh-CN"/>
        </w:rPr>
        <w:t>）</w:t>
      </w:r>
      <w:r>
        <w:rPr>
          <w:rFonts w:hint="eastAsia" w:asciiTheme="minorEastAsia" w:hAnsiTheme="minorEastAsia" w:cstheme="minorEastAsia"/>
          <w:kern w:val="6"/>
          <w:sz w:val="24"/>
        </w:rPr>
        <w:t>风险意识薄弱：未对审批文件进行认真审核；</w:t>
      </w:r>
    </w:p>
    <w:p>
      <w:pPr>
        <w:pStyle w:val="12"/>
        <w:numPr>
          <w:ilvl w:val="-1"/>
          <w:numId w:val="0"/>
        </w:numPr>
        <w:spacing w:line="432" w:lineRule="auto"/>
        <w:ind w:left="0" w:firstLine="0" w:firstLineChars="0"/>
        <w:rPr>
          <w:rFonts w:asciiTheme="minorEastAsia" w:hAnsiTheme="minorEastAsia" w:cstheme="minorEastAsia"/>
          <w:kern w:val="6"/>
          <w:sz w:val="24"/>
        </w:rPr>
      </w:pPr>
      <w:r>
        <w:rPr>
          <w:rFonts w:hint="eastAsia" w:asciiTheme="minorEastAsia" w:hAnsiTheme="minorEastAsia" w:cstheme="minorEastAsia"/>
          <w:kern w:val="6"/>
          <w:sz w:val="24"/>
          <w:lang w:eastAsia="zh-CN"/>
        </w:rPr>
        <w:t>（</w:t>
      </w:r>
      <w:r>
        <w:rPr>
          <w:rFonts w:hint="eastAsia" w:asciiTheme="minorEastAsia" w:hAnsiTheme="minorEastAsia" w:cstheme="minorEastAsia"/>
          <w:kern w:val="6"/>
          <w:sz w:val="24"/>
          <w:lang w:val="en-US" w:eastAsia="zh-CN"/>
        </w:rPr>
        <w:t>3</w:t>
      </w:r>
      <w:bookmarkStart w:id="0" w:name="_GoBack"/>
      <w:bookmarkEnd w:id="0"/>
      <w:r>
        <w:rPr>
          <w:rFonts w:hint="eastAsia" w:asciiTheme="minorEastAsia" w:hAnsiTheme="minorEastAsia" w:cstheme="minorEastAsia"/>
          <w:kern w:val="6"/>
          <w:sz w:val="24"/>
          <w:lang w:eastAsia="zh-CN"/>
        </w:rPr>
        <w:t>）</w:t>
      </w:r>
      <w:r>
        <w:rPr>
          <w:rFonts w:hint="eastAsia" w:asciiTheme="minorEastAsia" w:hAnsiTheme="minorEastAsia" w:cstheme="minorEastAsia"/>
          <w:kern w:val="6"/>
          <w:sz w:val="24"/>
        </w:rPr>
        <w:t>工作原则性差：未严格履行我司的工作流程，是导致此事件发生的根本原因。</w:t>
      </w:r>
    </w:p>
    <w:p>
      <w:pPr>
        <w:spacing w:line="432" w:lineRule="auto"/>
        <w:ind w:firstLine="482" w:firstLineChars="200"/>
        <w:rPr>
          <w:rFonts w:asciiTheme="minorEastAsia" w:hAnsiTheme="minorEastAsia" w:cstheme="minorEastAsia"/>
          <w:b/>
          <w:bCs/>
          <w:kern w:val="6"/>
          <w:sz w:val="24"/>
        </w:rPr>
      </w:pPr>
      <w:r>
        <w:rPr>
          <w:rFonts w:hint="eastAsia" w:asciiTheme="minorEastAsia" w:hAnsiTheme="minorEastAsia" w:cstheme="minorEastAsia"/>
          <w:b/>
          <w:bCs/>
          <w:kern w:val="6"/>
          <w:sz w:val="24"/>
        </w:rPr>
        <w:t>3、整改措施：</w:t>
      </w:r>
    </w:p>
    <w:p>
      <w:pPr>
        <w:spacing w:line="432" w:lineRule="auto"/>
        <w:ind w:firstLine="480" w:firstLineChars="200"/>
        <w:rPr>
          <w:rFonts w:asciiTheme="minorEastAsia" w:hAnsiTheme="minorEastAsia" w:cstheme="minorEastAsia"/>
          <w:kern w:val="6"/>
          <w:sz w:val="24"/>
        </w:rPr>
      </w:pPr>
      <w:r>
        <w:rPr>
          <w:rFonts w:hint="eastAsia" w:asciiTheme="minorEastAsia" w:hAnsiTheme="minorEastAsia" w:cstheme="minorEastAsia"/>
          <w:kern w:val="6"/>
          <w:sz w:val="24"/>
        </w:rPr>
        <w:t>（1）驻场监管人员杨鑫因违反工作制度和流程，“未审先办”造成错转资金事件发生，按照我司相关制度规定，属于失职行为，应调离投后监管一线工作岗位；</w:t>
      </w:r>
    </w:p>
    <w:p>
      <w:pPr>
        <w:spacing w:line="432" w:lineRule="auto"/>
        <w:ind w:firstLine="480" w:firstLineChars="200"/>
        <w:rPr>
          <w:rFonts w:asciiTheme="minorEastAsia" w:hAnsiTheme="minorEastAsia" w:cstheme="minorEastAsia"/>
          <w:kern w:val="6"/>
          <w:sz w:val="24"/>
        </w:rPr>
      </w:pPr>
      <w:r>
        <w:rPr>
          <w:rFonts w:hint="eastAsia" w:asciiTheme="minorEastAsia" w:hAnsiTheme="minorEastAsia" w:cstheme="minorEastAsia"/>
          <w:kern w:val="6"/>
          <w:sz w:val="24"/>
        </w:rPr>
        <w:t>（2）公司将派遣工作原则、能力、风险意识等方面均能够胜任的人员替换杨鑫，任驻场监管人员；</w:t>
      </w:r>
    </w:p>
    <w:p>
      <w:pPr>
        <w:spacing w:line="432" w:lineRule="auto"/>
        <w:ind w:firstLine="480" w:firstLineChars="200"/>
        <w:rPr>
          <w:rFonts w:asciiTheme="minorEastAsia" w:hAnsiTheme="minorEastAsia" w:cstheme="minorEastAsia"/>
          <w:kern w:val="6"/>
          <w:sz w:val="24"/>
        </w:rPr>
      </w:pPr>
      <w:r>
        <w:rPr>
          <w:rFonts w:hint="eastAsia" w:asciiTheme="minorEastAsia" w:hAnsiTheme="minorEastAsia" w:cstheme="minorEastAsia"/>
          <w:kern w:val="6"/>
          <w:sz w:val="24"/>
        </w:rPr>
        <w:t>（3）公司将加强工作检查、督导力度，对驻场监管人员执行公司制度和流程的情况进行更严密和及时的跟踪，同时要求相关上级收回对于驻场监管人员的授权，驻场监管人员对所有事项须向上级汇报及审批后（公司授权外事项须经信托方书面审批）方可办理；</w:t>
      </w:r>
    </w:p>
    <w:p>
      <w:pPr>
        <w:spacing w:line="432" w:lineRule="auto"/>
        <w:ind w:firstLine="420"/>
        <w:rPr>
          <w:rFonts w:asciiTheme="minorEastAsia" w:hAnsiTheme="minorEastAsia" w:cstheme="minorEastAsia"/>
          <w:kern w:val="6"/>
          <w:sz w:val="24"/>
        </w:rPr>
      </w:pPr>
      <w:r>
        <w:rPr>
          <w:rFonts w:hint="eastAsia" w:asciiTheme="minorEastAsia" w:hAnsiTheme="minorEastAsia" w:cstheme="minorEastAsia"/>
          <w:kern w:val="6"/>
          <w:sz w:val="24"/>
        </w:rPr>
        <w:t>（4）进一步加强员工队伍建设、着力提升风险意识、严控监管流程，坚决杜绝此类事件再次发生。</w:t>
      </w:r>
    </w:p>
    <w:p>
      <w:pPr>
        <w:spacing w:line="432" w:lineRule="auto"/>
        <w:ind w:firstLine="420"/>
        <w:rPr>
          <w:rFonts w:asciiTheme="minorEastAsia" w:hAnsiTheme="minorEastAsia" w:cstheme="minorEastAsia"/>
          <w:kern w:val="6"/>
          <w:sz w:val="24"/>
        </w:rPr>
      </w:pPr>
    </w:p>
    <w:p>
      <w:pPr>
        <w:spacing w:line="432" w:lineRule="auto"/>
        <w:ind w:firstLine="420"/>
        <w:rPr>
          <w:rFonts w:asciiTheme="minorEastAsia" w:hAnsiTheme="minorEastAsia" w:cstheme="minorEastAsia"/>
          <w:kern w:val="6"/>
          <w:sz w:val="24"/>
        </w:rPr>
      </w:pPr>
    </w:p>
    <w:p>
      <w:pPr>
        <w:spacing w:line="432" w:lineRule="auto"/>
        <w:ind w:firstLine="420"/>
        <w:jc w:val="right"/>
        <w:rPr>
          <w:rFonts w:asciiTheme="minorEastAsia" w:hAnsiTheme="minorEastAsia" w:cstheme="minorEastAsia"/>
          <w:b/>
          <w:bCs/>
          <w:kern w:val="6"/>
          <w:sz w:val="24"/>
        </w:rPr>
      </w:pPr>
      <w:r>
        <w:rPr>
          <w:rFonts w:hint="eastAsia" w:asciiTheme="minorEastAsia" w:hAnsiTheme="minorEastAsia" w:cstheme="minorEastAsia"/>
          <w:b/>
          <w:bCs/>
          <w:kern w:val="6"/>
          <w:sz w:val="24"/>
        </w:rPr>
        <w:t>北京康信君安资产管理有限公司</w:t>
      </w:r>
    </w:p>
    <w:p>
      <w:pPr>
        <w:spacing w:line="432" w:lineRule="auto"/>
        <w:ind w:firstLine="420"/>
        <w:jc w:val="right"/>
        <w:rPr>
          <w:rFonts w:asciiTheme="minorEastAsia" w:hAnsiTheme="minorEastAsia" w:cstheme="minorEastAsia"/>
          <w:b/>
          <w:bCs/>
          <w:kern w:val="6"/>
          <w:sz w:val="24"/>
        </w:rPr>
      </w:pPr>
      <w:r>
        <w:rPr>
          <w:rFonts w:hint="eastAsia" w:asciiTheme="minorEastAsia" w:hAnsiTheme="minorEastAsia" w:cstheme="minorEastAsia"/>
          <w:b/>
          <w:bCs/>
          <w:kern w:val="6"/>
          <w:sz w:val="24"/>
        </w:rPr>
        <w:t>2020年10月25日</w:t>
      </w:r>
    </w:p>
    <w:p>
      <w:pPr>
        <w:spacing w:line="432" w:lineRule="auto"/>
        <w:ind w:firstLine="422" w:firstLineChars="200"/>
        <w:jc w:val="right"/>
        <w:rPr>
          <w:rFonts w:asciiTheme="minorEastAsia" w:hAnsiTheme="minorEastAsia" w:cstheme="minorEastAsia"/>
          <w:b/>
          <w:bCs/>
          <w:kern w:val="6"/>
        </w:rPr>
      </w:pPr>
      <w:r>
        <w:rPr>
          <w:rFonts w:hint="eastAsia" w:asciiTheme="minorEastAsia" w:hAnsiTheme="minorEastAsia" w:cstheme="minorEastAsia"/>
          <w:b/>
          <w:bCs/>
          <w:kern w:val="6"/>
        </w:rPr>
        <w:t xml:space="preserve">                                                 </w:t>
      </w:r>
    </w:p>
    <w:p>
      <w:pPr>
        <w:spacing w:line="432" w:lineRule="auto"/>
        <w:ind w:firstLine="420" w:firstLineChars="200"/>
        <w:jc w:val="right"/>
        <w:rPr>
          <w:rFonts w:asciiTheme="minorEastAsia" w:hAnsiTheme="minorEastAsia" w:cstheme="minorEastAsia"/>
          <w:kern w:val="6"/>
        </w:rPr>
      </w:pPr>
      <w:r>
        <w:rPr>
          <w:rFonts w:hint="eastAsia" w:asciiTheme="minorEastAsia" w:hAnsiTheme="minorEastAsia" w:cstheme="minorEastAsia"/>
          <w:kern w:val="6"/>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CF"/>
    <w:rsid w:val="00007FDE"/>
    <w:rsid w:val="0012046B"/>
    <w:rsid w:val="00124616"/>
    <w:rsid w:val="00201F0E"/>
    <w:rsid w:val="00202016"/>
    <w:rsid w:val="0034131D"/>
    <w:rsid w:val="003B4E65"/>
    <w:rsid w:val="0046742D"/>
    <w:rsid w:val="004C78C0"/>
    <w:rsid w:val="0058214A"/>
    <w:rsid w:val="00624040"/>
    <w:rsid w:val="0065717A"/>
    <w:rsid w:val="006B45A3"/>
    <w:rsid w:val="006C0958"/>
    <w:rsid w:val="006F2FAD"/>
    <w:rsid w:val="006F7C1B"/>
    <w:rsid w:val="007D63AC"/>
    <w:rsid w:val="00801C8A"/>
    <w:rsid w:val="008927CF"/>
    <w:rsid w:val="00893A93"/>
    <w:rsid w:val="00944CC7"/>
    <w:rsid w:val="009C0417"/>
    <w:rsid w:val="009F239F"/>
    <w:rsid w:val="00AB0CE6"/>
    <w:rsid w:val="00B34F54"/>
    <w:rsid w:val="00B9455A"/>
    <w:rsid w:val="00C546F7"/>
    <w:rsid w:val="00DE1CD0"/>
    <w:rsid w:val="00E91412"/>
    <w:rsid w:val="00ED17B2"/>
    <w:rsid w:val="00EE3C75"/>
    <w:rsid w:val="07370E87"/>
    <w:rsid w:val="0B9D4544"/>
    <w:rsid w:val="0C27795A"/>
    <w:rsid w:val="216A0950"/>
    <w:rsid w:val="25F84D0F"/>
    <w:rsid w:val="29C325F9"/>
    <w:rsid w:val="365606B1"/>
    <w:rsid w:val="3ABB1221"/>
    <w:rsid w:val="3E1F2EC6"/>
    <w:rsid w:val="3E593583"/>
    <w:rsid w:val="4279575D"/>
    <w:rsid w:val="48586754"/>
    <w:rsid w:val="530114F8"/>
    <w:rsid w:val="53B221C1"/>
    <w:rsid w:val="545D4112"/>
    <w:rsid w:val="577C4E95"/>
    <w:rsid w:val="58126771"/>
    <w:rsid w:val="64D05B6B"/>
    <w:rsid w:val="672B39E0"/>
    <w:rsid w:val="6D9F6367"/>
    <w:rsid w:val="7028217D"/>
    <w:rsid w:val="70FC46DB"/>
    <w:rsid w:val="71442931"/>
    <w:rsid w:val="7AD1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3"/>
    <w:qFormat/>
    <w:uiPriority w:val="0"/>
    <w:rPr>
      <w:sz w:val="18"/>
      <w:szCs w:val="18"/>
    </w:rPr>
  </w:style>
  <w:style w:type="paragraph" w:styleId="6">
    <w:name w:val="footer"/>
    <w:basedOn w:val="1"/>
    <w:link w:val="17"/>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uiPriority w:val="0"/>
    <w:rPr>
      <w:b/>
      <w:bCs/>
    </w:rPr>
  </w:style>
  <w:style w:type="character" w:styleId="11">
    <w:name w:val="annotation reference"/>
    <w:basedOn w:val="10"/>
    <w:qFormat/>
    <w:uiPriority w:val="0"/>
    <w:rPr>
      <w:sz w:val="21"/>
      <w:szCs w:val="21"/>
    </w:rPr>
  </w:style>
  <w:style w:type="paragraph" w:styleId="12">
    <w:name w:val="List Paragraph"/>
    <w:basedOn w:val="1"/>
    <w:uiPriority w:val="99"/>
    <w:pPr>
      <w:ind w:firstLine="420" w:firstLineChars="200"/>
    </w:pPr>
  </w:style>
  <w:style w:type="character" w:customStyle="1" w:styleId="13">
    <w:name w:val="批注框文本 Char"/>
    <w:basedOn w:val="10"/>
    <w:link w:val="5"/>
    <w:qFormat/>
    <w:uiPriority w:val="0"/>
    <w:rPr>
      <w:kern w:val="2"/>
      <w:sz w:val="18"/>
      <w:szCs w:val="18"/>
    </w:rPr>
  </w:style>
  <w:style w:type="character" w:customStyle="1" w:styleId="14">
    <w:name w:val="标题 1 Char"/>
    <w:basedOn w:val="10"/>
    <w:link w:val="2"/>
    <w:qFormat/>
    <w:uiPriority w:val="0"/>
    <w:rPr>
      <w:b/>
      <w:bCs/>
      <w:kern w:val="44"/>
      <w:sz w:val="44"/>
      <w:szCs w:val="44"/>
    </w:rPr>
  </w:style>
  <w:style w:type="character" w:customStyle="1" w:styleId="15">
    <w:name w:val="标题 2 Char"/>
    <w:basedOn w:val="10"/>
    <w:link w:val="3"/>
    <w:qFormat/>
    <w:uiPriority w:val="0"/>
    <w:rPr>
      <w:rFonts w:asciiTheme="majorHAnsi" w:hAnsiTheme="majorHAnsi" w:eastAsiaTheme="majorEastAsia" w:cstheme="majorBidi"/>
      <w:b/>
      <w:bCs/>
      <w:kern w:val="2"/>
      <w:sz w:val="32"/>
      <w:szCs w:val="32"/>
    </w:rPr>
  </w:style>
  <w:style w:type="character" w:customStyle="1" w:styleId="16">
    <w:name w:val="页眉 Char"/>
    <w:basedOn w:val="10"/>
    <w:link w:val="7"/>
    <w:qFormat/>
    <w:uiPriority w:val="0"/>
    <w:rPr>
      <w:kern w:val="2"/>
      <w:sz w:val="18"/>
      <w:szCs w:val="18"/>
    </w:rPr>
  </w:style>
  <w:style w:type="character" w:customStyle="1" w:styleId="17">
    <w:name w:val="页脚 Char"/>
    <w:basedOn w:val="10"/>
    <w:link w:val="6"/>
    <w:qFormat/>
    <w:uiPriority w:val="0"/>
    <w:rPr>
      <w:kern w:val="2"/>
      <w:sz w:val="18"/>
      <w:szCs w:val="18"/>
    </w:rPr>
  </w:style>
  <w:style w:type="character" w:customStyle="1" w:styleId="18">
    <w:name w:val="批注文字 Char"/>
    <w:basedOn w:val="10"/>
    <w:link w:val="4"/>
    <w:qFormat/>
    <w:uiPriority w:val="0"/>
    <w:rPr>
      <w:kern w:val="2"/>
      <w:sz w:val="21"/>
      <w:szCs w:val="24"/>
    </w:rPr>
  </w:style>
  <w:style w:type="character" w:customStyle="1" w:styleId="19">
    <w:name w:val="批注主题 Char"/>
    <w:basedOn w:val="18"/>
    <w:link w:val="8"/>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9DD8D-D3AE-45C6-BC3C-DC44E86218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184</Words>
  <Characters>1055</Characters>
  <Lines>8</Lines>
  <Paragraphs>2</Paragraphs>
  <TotalTime>15</TotalTime>
  <ScaleCrop>false</ScaleCrop>
  <LinksUpToDate>false</LinksUpToDate>
  <CharactersWithSpaces>1237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2020-10-26T03:42:00Z</dcterms:created>
  <dc:creator>lenovo</dc:creator>
  <cp:lastModifiedBy>FengWang</cp:lastModifiedBy>
  <dcterms:modified xsi:type="dcterms:W3CDTF">2020-10-26T04:46:56Z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