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bookmarkStart w:id="1" w:name="_GoBack"/>
      <w:r>
        <w:rPr>
          <w:rFonts w:hint="eastAsia" w:ascii="Arial" w:hAnsi="Arial" w:eastAsia="宋体" w:cs="Arial"/>
          <w:b/>
          <w:sz w:val="30"/>
          <w:szCs w:val="30"/>
        </w:rPr>
        <w:t>光信·光乾·优债120号</w:t>
      </w:r>
      <w:bookmarkEnd w:id="1"/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2020Z1653-委托监管001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光信·光乾·优债120号集合资金信托计划之委托监管协议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光信·光乾·优债120号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</w:rPr>
        <w:t>53万元/年</w:t>
      </w:r>
      <w:r>
        <w:rPr>
          <w:rFonts w:ascii="Arial" w:hAnsi="Arial" w:eastAsia="宋体" w:cs="Arial"/>
          <w:sz w:val="24"/>
          <w:szCs w:val="24"/>
        </w:rPr>
        <w:t>，</w:t>
      </w:r>
      <w:r>
        <w:rPr>
          <w:rFonts w:hint="eastAsia" w:ascii="Arial" w:hAnsi="Arial" w:eastAsia="宋体" w:cs="Arial"/>
          <w:sz w:val="24"/>
          <w:szCs w:val="24"/>
        </w:rPr>
        <w:t>监管费按自然季度支付，每个自然季度末月20日后的5个工作日内支付该季度的监管费。首期监管费=1452.05元/天×自甲方确认的乙方入场之日（含）至该自然季度末月20日（不含）的实际监管天数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日至2020年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5天*</w:t>
      </w:r>
      <w:r>
        <w:rPr>
          <w:rFonts w:hint="eastAsia" w:ascii="Arial" w:hAnsi="Arial" w:eastAsia="宋体" w:cs="Arial"/>
          <w:sz w:val="24"/>
          <w:szCs w:val="24"/>
        </w:rPr>
        <w:t>1452.05元/天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=7260.25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第一期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7,260.25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2020年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5857D53"/>
    <w:rsid w:val="20E02A98"/>
    <w:rsid w:val="2BEF7203"/>
    <w:rsid w:val="30A26C1A"/>
    <w:rsid w:val="3A2B67D0"/>
    <w:rsid w:val="432D099B"/>
    <w:rsid w:val="513E18F7"/>
    <w:rsid w:val="66286B44"/>
    <w:rsid w:val="6B1D4394"/>
    <w:rsid w:val="6D131561"/>
    <w:rsid w:val="6F711B01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2020-12-16T14:22:37Z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