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hint="eastAsia" w:ascii="Arial" w:hAnsi="Arial" w:cs="Arial"/>
          <w:b/>
          <w:bCs/>
          <w:sz w:val="36"/>
          <w:szCs w:val="36"/>
        </w:rPr>
        <w:t>光信·光坤·新安</w:t>
      </w:r>
      <w:r>
        <w:rPr>
          <w:rFonts w:ascii="Arial" w:hAnsi="Arial" w:cs="Arial"/>
          <w:b/>
          <w:bCs/>
          <w:sz w:val="36"/>
          <w:szCs w:val="36"/>
        </w:rPr>
        <w:t>21号集合资金信托计划</w:t>
      </w:r>
    </w:p>
    <w:p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（</w:t>
      </w:r>
      <w:r>
        <w:rPr>
          <w:rFonts w:hint="eastAsia" w:ascii="Arial" w:hAnsi="Arial" w:cs="Arial"/>
          <w:b/>
          <w:bCs/>
          <w:sz w:val="36"/>
          <w:szCs w:val="36"/>
        </w:rPr>
        <w:t>光大</w:t>
      </w:r>
      <w:r>
        <w:rPr>
          <w:rFonts w:ascii="Arial" w:hAnsi="Arial" w:cs="Arial"/>
          <w:b/>
          <w:bCs/>
          <w:sz w:val="36"/>
          <w:szCs w:val="36"/>
        </w:rPr>
        <w:t>信托·</w:t>
      </w:r>
      <w:r>
        <w:rPr>
          <w:rFonts w:hint="eastAsia" w:ascii="Arial" w:hAnsi="Arial" w:cs="Arial"/>
          <w:b/>
          <w:bCs/>
          <w:sz w:val="36"/>
          <w:szCs w:val="36"/>
        </w:rPr>
        <w:t>重庆恒大锦城项目</w:t>
      </w:r>
      <w:r>
        <w:rPr>
          <w:rFonts w:ascii="Arial" w:hAnsi="Arial" w:cs="Arial"/>
          <w:b/>
          <w:bCs/>
          <w:sz w:val="36"/>
          <w:szCs w:val="36"/>
        </w:rPr>
        <w:t>）</w:t>
      </w:r>
    </w:p>
    <w:p>
      <w:pPr>
        <w:spacing w:line="480" w:lineRule="auto"/>
        <w:jc w:val="center"/>
        <w:rPr>
          <w:rFonts w:ascii="Arial" w:hAnsi="Arial" w:cs="Arial"/>
          <w:b/>
          <w:bCs/>
        </w:rPr>
      </w:pPr>
    </w:p>
    <w:p>
      <w:pPr>
        <w:spacing w:line="500" w:lineRule="exact"/>
        <w:jc w:val="center"/>
        <w:rPr>
          <w:rFonts w:ascii="Arial" w:hAnsi="Arial" w:cs="Arial"/>
        </w:rPr>
      </w:pPr>
    </w:p>
    <w:p>
      <w:pPr>
        <w:spacing w:line="500" w:lineRule="exact"/>
        <w:jc w:val="center"/>
        <w:rPr>
          <w:rFonts w:ascii="Arial" w:hAnsi="Arial" w:cs="Arial"/>
        </w:rPr>
      </w:pPr>
    </w:p>
    <w:p>
      <w:pPr>
        <w:spacing w:line="500" w:lineRule="exact"/>
        <w:jc w:val="center"/>
        <w:rPr>
          <w:rFonts w:ascii="Arial" w:hAnsi="Arial" w:cs="Arial"/>
        </w:rPr>
      </w:pPr>
    </w:p>
    <w:p>
      <w:pPr>
        <w:spacing w:line="48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hint="eastAsia" w:ascii="Arial" w:hAnsi="Arial" w:cs="Arial"/>
          <w:b/>
          <w:bCs/>
          <w:sz w:val="21"/>
          <w:szCs w:val="21"/>
        </w:rPr>
        <w:t>项目名称</w:t>
      </w:r>
      <w:r>
        <w:rPr>
          <w:rFonts w:ascii="Arial" w:hAnsi="Arial" w:cs="Arial"/>
          <w:b/>
          <w:bCs/>
          <w:sz w:val="21"/>
          <w:szCs w:val="21"/>
        </w:rPr>
        <w:t>：</w:t>
      </w:r>
      <w:r>
        <w:rPr>
          <w:rFonts w:hint="eastAsia" w:ascii="Arial" w:hAnsi="Arial" w:cs="Arial"/>
          <w:b/>
          <w:bCs/>
          <w:sz w:val="21"/>
          <w:szCs w:val="21"/>
        </w:rPr>
        <w:t>光信·光坤·新安21号集合资金信托计划</w:t>
      </w:r>
    </w:p>
    <w:p>
      <w:pPr>
        <w:spacing w:line="48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hint="eastAsia" w:ascii="Arial" w:hAnsi="Arial" w:cs="Arial"/>
          <w:b/>
          <w:bCs/>
          <w:sz w:val="21"/>
          <w:szCs w:val="21"/>
        </w:rPr>
        <w:t>委托方</w:t>
      </w:r>
      <w:r>
        <w:rPr>
          <w:rFonts w:ascii="Arial" w:hAnsi="Arial" w:cs="Arial"/>
          <w:b/>
          <w:bCs/>
          <w:sz w:val="21"/>
          <w:szCs w:val="21"/>
        </w:rPr>
        <w:t>：</w:t>
      </w:r>
      <w:r>
        <w:rPr>
          <w:rFonts w:hint="eastAsia" w:ascii="Arial" w:hAnsi="Arial" w:cs="Arial"/>
          <w:b/>
          <w:bCs/>
          <w:sz w:val="21"/>
          <w:szCs w:val="21"/>
        </w:rPr>
        <w:t>光大兴陇信托有限责任公司</w:t>
      </w:r>
    </w:p>
    <w:p>
      <w:pPr>
        <w:spacing w:line="48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>受托方：</w:t>
      </w:r>
      <w:r>
        <w:rPr>
          <w:rFonts w:ascii="Arial" w:hAnsi="Arial" w:cs="Arial"/>
          <w:b/>
          <w:sz w:val="21"/>
          <w:szCs w:val="21"/>
        </w:rPr>
        <w:t>北京康信君安资产管理有限公司</w:t>
      </w:r>
    </w:p>
    <w:p>
      <w:pPr>
        <w:spacing w:line="480" w:lineRule="auto"/>
        <w:rPr>
          <w:rFonts w:ascii="Arial" w:hAnsi="Arial" w:cs="Arial"/>
          <w:b/>
          <w:bCs/>
          <w:sz w:val="21"/>
          <w:szCs w:val="21"/>
          <w:lang w:val="zh-CN"/>
        </w:rPr>
      </w:pPr>
      <w:r>
        <w:rPr>
          <w:rFonts w:hint="eastAsia" w:ascii="Arial" w:hAnsi="Arial" w:cs="Arial"/>
          <w:b/>
          <w:bCs/>
          <w:sz w:val="21"/>
          <w:szCs w:val="21"/>
        </w:rPr>
        <w:t>监管人员：张霞</w:t>
      </w:r>
    </w:p>
    <w:p>
      <w:pPr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>日期：二</w:t>
      </w:r>
      <w:r>
        <w:rPr>
          <w:rFonts w:hint="eastAsia" w:ascii="Arial" w:hAnsi="Arial" w:cs="Arial"/>
          <w:b/>
          <w:color w:val="000000"/>
          <w:sz w:val="21"/>
          <w:szCs w:val="21"/>
        </w:rPr>
        <w:t>〇</w:t>
      </w:r>
      <w:r>
        <w:rPr>
          <w:rFonts w:ascii="Arial" w:hAnsi="Arial" w:cs="Arial"/>
          <w:b/>
          <w:color w:val="000000"/>
          <w:sz w:val="21"/>
          <w:szCs w:val="21"/>
        </w:rPr>
        <w:t>二</w:t>
      </w:r>
      <w:r>
        <w:rPr>
          <w:rFonts w:hint="eastAsia" w:ascii="Arial" w:hAnsi="Arial" w:cs="Arial"/>
          <w:b/>
          <w:color w:val="000000"/>
          <w:sz w:val="21"/>
          <w:szCs w:val="21"/>
        </w:rPr>
        <w:t>一</w:t>
      </w:r>
      <w:r>
        <w:rPr>
          <w:rFonts w:ascii="Arial" w:hAnsi="Arial" w:cs="Arial"/>
          <w:b/>
          <w:color w:val="000000"/>
          <w:sz w:val="21"/>
          <w:szCs w:val="21"/>
        </w:rPr>
        <w:t>年</w:t>
      </w:r>
      <w:r>
        <w:rPr>
          <w:rFonts w:hint="eastAsia" w:ascii="Arial" w:hAnsi="Arial" w:cs="Arial"/>
          <w:b/>
          <w:color w:val="000000"/>
          <w:sz w:val="21"/>
          <w:szCs w:val="21"/>
        </w:rPr>
        <w:t>三</w:t>
      </w:r>
      <w:r>
        <w:rPr>
          <w:rFonts w:ascii="Arial" w:hAnsi="Arial" w:cs="Arial"/>
          <w:b/>
          <w:color w:val="000000"/>
          <w:sz w:val="21"/>
          <w:szCs w:val="21"/>
        </w:rPr>
        <w:t>月</w:t>
      </w:r>
      <w:r>
        <w:rPr>
          <w:rFonts w:hint="eastAsia" w:ascii="Arial" w:hAnsi="Arial" w:cs="Arial"/>
          <w:b/>
          <w:color w:val="000000"/>
          <w:sz w:val="21"/>
          <w:szCs w:val="21"/>
          <w:lang w:val="en-US" w:eastAsia="zh-CN"/>
        </w:rPr>
        <w:t>五</w:t>
      </w:r>
      <w:r>
        <w:rPr>
          <w:rFonts w:ascii="Arial" w:hAnsi="Arial" w:cs="Arial"/>
          <w:b/>
          <w:color w:val="000000"/>
          <w:sz w:val="21"/>
          <w:szCs w:val="21"/>
        </w:rPr>
        <w:t>日</w:t>
      </w:r>
    </w:p>
    <w:sdt>
      <w:sdtPr>
        <w:rPr>
          <w:b/>
          <w:bCs/>
          <w:sz w:val="28"/>
          <w:szCs w:val="28"/>
        </w:rPr>
        <w:id w:val="147477929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>
          <w:pPr>
            <w:jc w:val="center"/>
            <w:rPr>
              <w:b/>
              <w:bCs/>
              <w:sz w:val="28"/>
              <w:szCs w:val="28"/>
            </w:rPr>
          </w:pPr>
        </w:p>
        <w:p>
          <w:pPr>
            <w:jc w:val="center"/>
            <w:rPr>
              <w:b/>
              <w:bCs/>
              <w:sz w:val="28"/>
              <w:szCs w:val="28"/>
            </w:rPr>
          </w:pPr>
        </w:p>
        <w:p>
          <w:pPr>
            <w:spacing w:line="360" w:lineRule="auto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目录</w:t>
          </w:r>
        </w:p>
        <w:p>
          <w:pPr>
            <w:pStyle w:val="11"/>
            <w:tabs>
              <w:tab w:val="right" w:leader="dot" w:pos="9638"/>
              <w:tab w:val="clear" w:pos="8222"/>
            </w:tabs>
            <w:adjustRightInd w:val="0"/>
            <w:snapToGrid w:val="0"/>
            <w:spacing w:line="360" w:lineRule="auto"/>
            <w:rPr>
              <w:rFonts w:ascii="Arial" w:hAnsi="Arial" w:eastAsia="宋体" w:cs="Arial"/>
              <w:sz w:val="21"/>
              <w:szCs w:val="21"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"_Toc31850" </w:instrText>
          </w:r>
          <w: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一、项目进展情况</w:t>
          </w:r>
          <w:r>
            <w:rPr>
              <w:rFonts w:ascii="Arial" w:hAnsi="Arial" w:eastAsia="宋体" w:cs="Arial"/>
              <w:sz w:val="21"/>
              <w:szCs w:val="21"/>
            </w:rPr>
            <w:tab/>
          </w:r>
          <w:r>
            <w:rPr>
              <w:rFonts w:ascii="Arial" w:hAnsi="Arial" w:eastAsia="宋体" w:cs="Arial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sz w:val="21"/>
              <w:szCs w:val="21"/>
            </w:rPr>
            <w:instrText xml:space="preserve"> PAGEREF _Toc31850 </w:instrText>
          </w:r>
          <w:r>
            <w:rPr>
              <w:rFonts w:ascii="Arial" w:hAnsi="Arial" w:eastAsia="宋体" w:cs="Arial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1</w:t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9638"/>
              <w:tab w:val="clear" w:pos="8364"/>
            </w:tabs>
            <w:adjustRightInd w:val="0"/>
            <w:snapToGrid w:val="0"/>
            <w:rPr>
              <w:rFonts w:ascii="Arial" w:hAnsi="Arial" w:eastAsia="宋体" w:cs="Arial"/>
              <w:sz w:val="21"/>
              <w:szCs w:val="21"/>
            </w:rPr>
          </w:pPr>
          <w:r>
            <w:fldChar w:fldCharType="begin"/>
          </w:r>
          <w:r>
            <w:instrText xml:space="preserve"> HYPERLINK \l "_Toc28523" </w:instrText>
          </w:r>
          <w: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1、报建情况</w:t>
          </w:r>
          <w:r>
            <w:rPr>
              <w:rFonts w:ascii="Arial" w:hAnsi="Arial" w:eastAsia="宋体" w:cs="Arial"/>
              <w:sz w:val="21"/>
              <w:szCs w:val="21"/>
            </w:rPr>
            <w:tab/>
          </w:r>
          <w:r>
            <w:rPr>
              <w:rFonts w:ascii="Arial" w:hAnsi="Arial" w:eastAsia="宋体" w:cs="Arial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sz w:val="21"/>
              <w:szCs w:val="21"/>
            </w:rPr>
            <w:instrText xml:space="preserve"> PAGEREF _Toc28523 </w:instrText>
          </w:r>
          <w:r>
            <w:rPr>
              <w:rFonts w:ascii="Arial" w:hAnsi="Arial" w:eastAsia="宋体" w:cs="Arial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1</w:t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9638"/>
              <w:tab w:val="clear" w:pos="8364"/>
            </w:tabs>
            <w:adjustRightInd w:val="0"/>
            <w:snapToGrid w:val="0"/>
            <w:rPr>
              <w:rFonts w:ascii="Arial" w:hAnsi="Arial" w:eastAsia="宋体" w:cs="Arial"/>
              <w:sz w:val="21"/>
              <w:szCs w:val="21"/>
            </w:rPr>
          </w:pPr>
          <w:r>
            <w:fldChar w:fldCharType="begin"/>
          </w:r>
          <w:r>
            <w:instrText xml:space="preserve"> HYPERLINK \l "_Toc25052" </w:instrText>
          </w:r>
          <w: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2、营销情况</w:t>
          </w:r>
          <w:r>
            <w:rPr>
              <w:rFonts w:ascii="Arial" w:hAnsi="Arial" w:eastAsia="宋体" w:cs="Arial"/>
              <w:sz w:val="21"/>
              <w:szCs w:val="21"/>
            </w:rPr>
            <w:tab/>
          </w:r>
          <w:r>
            <w:rPr>
              <w:rFonts w:ascii="Arial" w:hAnsi="Arial" w:eastAsia="宋体" w:cs="Arial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sz w:val="21"/>
              <w:szCs w:val="21"/>
            </w:rPr>
            <w:instrText xml:space="preserve"> PAGEREF _Toc25052 </w:instrText>
          </w:r>
          <w:r>
            <w:rPr>
              <w:rFonts w:ascii="Arial" w:hAnsi="Arial" w:eastAsia="宋体" w:cs="Arial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3</w:t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9638"/>
              <w:tab w:val="clear" w:pos="8364"/>
            </w:tabs>
            <w:adjustRightInd w:val="0"/>
            <w:snapToGrid w:val="0"/>
            <w:rPr>
              <w:rFonts w:ascii="Arial" w:hAnsi="Arial" w:eastAsia="宋体" w:cs="Arial"/>
              <w:sz w:val="21"/>
              <w:szCs w:val="21"/>
            </w:rPr>
          </w:pPr>
          <w:r>
            <w:fldChar w:fldCharType="begin"/>
          </w:r>
          <w:r>
            <w:instrText xml:space="preserve"> HYPERLINK \l "_Toc22047" </w:instrText>
          </w:r>
          <w: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3、项目开发进展情况</w:t>
          </w:r>
          <w:r>
            <w:rPr>
              <w:rFonts w:ascii="Arial" w:hAnsi="Arial" w:eastAsia="宋体" w:cs="Arial"/>
              <w:sz w:val="21"/>
              <w:szCs w:val="21"/>
            </w:rPr>
            <w:tab/>
          </w:r>
          <w:r>
            <w:rPr>
              <w:rFonts w:ascii="Arial" w:hAnsi="Arial" w:eastAsia="宋体" w:cs="Arial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sz w:val="21"/>
              <w:szCs w:val="21"/>
            </w:rPr>
            <w:instrText xml:space="preserve"> PAGEREF _Toc22047 </w:instrText>
          </w:r>
          <w:r>
            <w:rPr>
              <w:rFonts w:ascii="Arial" w:hAnsi="Arial" w:eastAsia="宋体" w:cs="Arial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8</w:t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9638"/>
              <w:tab w:val="clear" w:pos="8364"/>
            </w:tabs>
            <w:adjustRightInd w:val="0"/>
            <w:snapToGrid w:val="0"/>
            <w:rPr>
              <w:rFonts w:ascii="Arial" w:hAnsi="Arial" w:eastAsia="宋体" w:cs="Arial"/>
              <w:sz w:val="21"/>
              <w:szCs w:val="21"/>
            </w:rPr>
          </w:pPr>
          <w:r>
            <w:fldChar w:fldCharType="begin"/>
          </w:r>
          <w:r>
            <w:instrText xml:space="preserve"> HYPERLINK \l "_Toc19646" </w:instrText>
          </w:r>
          <w: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4、资金使用情况</w:t>
          </w:r>
          <w:r>
            <w:rPr>
              <w:rFonts w:ascii="Arial" w:hAnsi="Arial" w:eastAsia="宋体" w:cs="Arial"/>
              <w:sz w:val="21"/>
              <w:szCs w:val="21"/>
            </w:rPr>
            <w:tab/>
          </w:r>
          <w:r>
            <w:rPr>
              <w:rFonts w:ascii="Arial" w:hAnsi="Arial" w:eastAsia="宋体" w:cs="Arial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sz w:val="21"/>
              <w:szCs w:val="21"/>
            </w:rPr>
            <w:instrText xml:space="preserve"> PAGEREF _Toc19646 </w:instrText>
          </w:r>
          <w:r>
            <w:rPr>
              <w:rFonts w:ascii="Arial" w:hAnsi="Arial" w:eastAsia="宋体" w:cs="Arial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11</w:t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</w:p>
        <w:p>
          <w:pPr>
            <w:pStyle w:val="11"/>
            <w:tabs>
              <w:tab w:val="right" w:leader="dot" w:pos="9638"/>
              <w:tab w:val="clear" w:pos="8222"/>
            </w:tabs>
            <w:adjustRightInd w:val="0"/>
            <w:snapToGrid w:val="0"/>
            <w:spacing w:line="360" w:lineRule="auto"/>
            <w:rPr>
              <w:rFonts w:ascii="Arial" w:hAnsi="Arial" w:eastAsia="宋体" w:cs="Arial"/>
              <w:sz w:val="21"/>
              <w:szCs w:val="21"/>
            </w:rPr>
          </w:pPr>
          <w:r>
            <w:fldChar w:fldCharType="begin"/>
          </w:r>
          <w:r>
            <w:instrText xml:space="preserve"> HYPERLINK \l "_Toc3095" </w:instrText>
          </w:r>
          <w: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二、项目评价</w:t>
          </w:r>
          <w:r>
            <w:rPr>
              <w:rFonts w:ascii="Arial" w:hAnsi="Arial" w:eastAsia="宋体" w:cs="Arial"/>
              <w:sz w:val="21"/>
              <w:szCs w:val="21"/>
            </w:rPr>
            <w:tab/>
          </w:r>
          <w:r>
            <w:rPr>
              <w:rFonts w:ascii="Arial" w:hAnsi="Arial" w:eastAsia="宋体" w:cs="Arial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sz w:val="21"/>
              <w:szCs w:val="21"/>
            </w:rPr>
            <w:instrText xml:space="preserve"> PAGEREF _Toc3095 </w:instrText>
          </w:r>
          <w:r>
            <w:rPr>
              <w:rFonts w:ascii="Arial" w:hAnsi="Arial" w:eastAsia="宋体" w:cs="Arial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12</w:t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9638"/>
              <w:tab w:val="clear" w:pos="8364"/>
            </w:tabs>
            <w:adjustRightInd w:val="0"/>
            <w:snapToGrid w:val="0"/>
            <w:rPr>
              <w:rFonts w:ascii="Arial" w:hAnsi="Arial" w:eastAsia="宋体" w:cs="Arial"/>
              <w:sz w:val="21"/>
              <w:szCs w:val="21"/>
            </w:rPr>
          </w:pPr>
          <w:r>
            <w:fldChar w:fldCharType="begin"/>
          </w:r>
          <w:r>
            <w:instrText xml:space="preserve"> HYPERLINK \l "_Toc19482" </w:instrText>
          </w:r>
          <w: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1、报建评价</w:t>
          </w:r>
          <w:r>
            <w:rPr>
              <w:rFonts w:ascii="Arial" w:hAnsi="Arial" w:eastAsia="宋体" w:cs="Arial"/>
              <w:sz w:val="21"/>
              <w:szCs w:val="21"/>
            </w:rPr>
            <w:tab/>
          </w:r>
          <w:r>
            <w:rPr>
              <w:rFonts w:ascii="Arial" w:hAnsi="Arial" w:eastAsia="宋体" w:cs="Arial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sz w:val="21"/>
              <w:szCs w:val="21"/>
            </w:rPr>
            <w:instrText xml:space="preserve"> PAGEREF _Toc19482 </w:instrText>
          </w:r>
          <w:r>
            <w:rPr>
              <w:rFonts w:ascii="Arial" w:hAnsi="Arial" w:eastAsia="宋体" w:cs="Arial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12</w:t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9638"/>
              <w:tab w:val="clear" w:pos="8364"/>
            </w:tabs>
            <w:adjustRightInd w:val="0"/>
            <w:snapToGrid w:val="0"/>
            <w:rPr>
              <w:rFonts w:ascii="Arial" w:hAnsi="Arial" w:eastAsia="宋体" w:cs="Arial"/>
              <w:sz w:val="21"/>
              <w:szCs w:val="21"/>
            </w:rPr>
          </w:pPr>
          <w:r>
            <w:fldChar w:fldCharType="begin"/>
          </w:r>
          <w:r>
            <w:instrText xml:space="preserve"> HYPERLINK \l "_Toc6873" </w:instrText>
          </w:r>
          <w: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2、营销评价</w:t>
          </w:r>
          <w:r>
            <w:rPr>
              <w:rFonts w:ascii="Arial" w:hAnsi="Arial" w:eastAsia="宋体" w:cs="Arial"/>
              <w:sz w:val="21"/>
              <w:szCs w:val="21"/>
            </w:rPr>
            <w:tab/>
          </w:r>
          <w:r>
            <w:rPr>
              <w:rFonts w:ascii="Arial" w:hAnsi="Arial" w:eastAsia="宋体" w:cs="Arial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sz w:val="21"/>
              <w:szCs w:val="21"/>
            </w:rPr>
            <w:instrText xml:space="preserve"> PAGEREF _Toc6873 </w:instrText>
          </w:r>
          <w:r>
            <w:rPr>
              <w:rFonts w:ascii="Arial" w:hAnsi="Arial" w:eastAsia="宋体" w:cs="Arial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12</w:t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9638"/>
              <w:tab w:val="clear" w:pos="8364"/>
            </w:tabs>
            <w:adjustRightInd w:val="0"/>
            <w:snapToGrid w:val="0"/>
            <w:rPr>
              <w:rFonts w:ascii="Arial" w:hAnsi="Arial" w:eastAsia="宋体" w:cs="Arial"/>
              <w:sz w:val="21"/>
              <w:szCs w:val="21"/>
            </w:rPr>
          </w:pPr>
          <w:r>
            <w:fldChar w:fldCharType="begin"/>
          </w:r>
          <w:r>
            <w:instrText xml:space="preserve"> HYPERLINK \l "_Toc10103" </w:instrText>
          </w:r>
          <w: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3、开发建设评价</w:t>
          </w:r>
          <w:r>
            <w:rPr>
              <w:rFonts w:ascii="Arial" w:hAnsi="Arial" w:eastAsia="宋体" w:cs="Arial"/>
              <w:sz w:val="21"/>
              <w:szCs w:val="21"/>
            </w:rPr>
            <w:tab/>
          </w:r>
          <w:r>
            <w:rPr>
              <w:rFonts w:ascii="Arial" w:hAnsi="Arial" w:eastAsia="宋体" w:cs="Arial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sz w:val="21"/>
              <w:szCs w:val="21"/>
            </w:rPr>
            <w:instrText xml:space="preserve"> PAGEREF _Toc10103 </w:instrText>
          </w:r>
          <w:r>
            <w:rPr>
              <w:rFonts w:ascii="Arial" w:hAnsi="Arial" w:eastAsia="宋体" w:cs="Arial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13</w:t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</w:p>
        <w:p>
          <w:pPr>
            <w:pStyle w:val="11"/>
            <w:tabs>
              <w:tab w:val="right" w:leader="dot" w:pos="9638"/>
              <w:tab w:val="clear" w:pos="8222"/>
            </w:tabs>
            <w:adjustRightInd w:val="0"/>
            <w:snapToGrid w:val="0"/>
            <w:spacing w:line="360" w:lineRule="auto"/>
            <w:rPr>
              <w:rFonts w:ascii="Arial" w:hAnsi="Arial" w:eastAsia="宋体" w:cs="Arial"/>
              <w:sz w:val="21"/>
              <w:szCs w:val="21"/>
            </w:rPr>
          </w:pPr>
          <w:r>
            <w:fldChar w:fldCharType="begin"/>
          </w:r>
          <w:r>
            <w:instrText xml:space="preserve"> HYPERLINK \l "_Toc26496" </w:instrText>
          </w:r>
          <w: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三、附件</w:t>
          </w:r>
          <w:r>
            <w:rPr>
              <w:rFonts w:ascii="Arial" w:hAnsi="Arial" w:eastAsia="宋体" w:cs="Arial"/>
              <w:sz w:val="21"/>
              <w:szCs w:val="21"/>
            </w:rPr>
            <w:tab/>
          </w:r>
          <w:r>
            <w:rPr>
              <w:rFonts w:ascii="Arial" w:hAnsi="Arial" w:eastAsia="宋体" w:cs="Arial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sz w:val="21"/>
              <w:szCs w:val="21"/>
            </w:rPr>
            <w:instrText xml:space="preserve"> PAGEREF _Toc26496 </w:instrText>
          </w:r>
          <w:r>
            <w:rPr>
              <w:rFonts w:ascii="Arial" w:hAnsi="Arial" w:eastAsia="宋体" w:cs="Arial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13</w:t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9638"/>
              <w:tab w:val="clear" w:pos="8364"/>
            </w:tabs>
            <w:adjustRightInd w:val="0"/>
            <w:snapToGrid w:val="0"/>
            <w:rPr>
              <w:rFonts w:ascii="Arial" w:hAnsi="Arial" w:eastAsia="宋体" w:cs="Arial"/>
              <w:sz w:val="21"/>
              <w:szCs w:val="21"/>
            </w:rPr>
          </w:pPr>
          <w:r>
            <w:fldChar w:fldCharType="begin"/>
          </w:r>
          <w:r>
            <w:instrText xml:space="preserve"> HYPERLINK \l "_Toc17514" </w:instrText>
          </w:r>
          <w: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附件一：本期用印情况</w:t>
          </w:r>
          <w:r>
            <w:rPr>
              <w:rFonts w:ascii="Arial" w:hAnsi="Arial" w:eastAsia="宋体" w:cs="Arial"/>
              <w:sz w:val="21"/>
              <w:szCs w:val="21"/>
            </w:rPr>
            <w:tab/>
          </w:r>
          <w:r>
            <w:rPr>
              <w:rFonts w:ascii="Arial" w:hAnsi="Arial" w:eastAsia="宋体" w:cs="Arial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sz w:val="21"/>
              <w:szCs w:val="21"/>
            </w:rPr>
            <w:instrText xml:space="preserve"> PAGEREF _Toc17514 </w:instrText>
          </w:r>
          <w:r>
            <w:rPr>
              <w:rFonts w:ascii="Arial" w:hAnsi="Arial" w:eastAsia="宋体" w:cs="Arial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13</w:t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9638"/>
              <w:tab w:val="clear" w:pos="8364"/>
            </w:tabs>
            <w:adjustRightInd w:val="0"/>
            <w:snapToGrid w:val="0"/>
            <w:rPr>
              <w:rFonts w:ascii="Arial" w:hAnsi="Arial" w:eastAsia="宋体" w:cs="Arial"/>
              <w:sz w:val="21"/>
              <w:szCs w:val="21"/>
            </w:rPr>
          </w:pPr>
          <w:r>
            <w:fldChar w:fldCharType="begin"/>
          </w:r>
          <w:r>
            <w:instrText xml:space="preserve"> HYPERLINK \l "_Toc10894" </w:instrText>
          </w:r>
          <w: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附件二：章证照使用登记情况</w:t>
          </w:r>
          <w:r>
            <w:rPr>
              <w:rFonts w:ascii="Arial" w:hAnsi="Arial" w:eastAsia="宋体" w:cs="Arial"/>
              <w:sz w:val="21"/>
              <w:szCs w:val="21"/>
            </w:rPr>
            <w:tab/>
          </w:r>
          <w:r>
            <w:rPr>
              <w:rFonts w:ascii="Arial" w:hAnsi="Arial" w:eastAsia="宋体" w:cs="Arial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sz w:val="21"/>
              <w:szCs w:val="21"/>
            </w:rPr>
            <w:instrText xml:space="preserve"> PAGEREF _Toc10894 </w:instrText>
          </w:r>
          <w:r>
            <w:rPr>
              <w:rFonts w:ascii="Arial" w:hAnsi="Arial" w:eastAsia="宋体" w:cs="Arial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16</w:t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9638"/>
              <w:tab w:val="clear" w:pos="8364"/>
            </w:tabs>
            <w:adjustRightInd w:val="0"/>
            <w:snapToGrid w:val="0"/>
            <w:rPr>
              <w:rFonts w:ascii="Arial" w:hAnsi="Arial" w:eastAsia="宋体" w:cs="Arial"/>
              <w:sz w:val="21"/>
              <w:szCs w:val="21"/>
            </w:rPr>
          </w:pPr>
          <w:r>
            <w:fldChar w:fldCharType="begin"/>
          </w:r>
          <w:r>
            <w:instrText xml:space="preserve"> HYPERLINK \l "_Toc17832" </w:instrText>
          </w:r>
          <w: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附件三：本期资金支出情况</w:t>
          </w:r>
          <w:r>
            <w:rPr>
              <w:rFonts w:ascii="Arial" w:hAnsi="Arial" w:eastAsia="宋体" w:cs="Arial"/>
              <w:sz w:val="21"/>
              <w:szCs w:val="21"/>
            </w:rPr>
            <w:tab/>
          </w:r>
          <w:r>
            <w:rPr>
              <w:rFonts w:ascii="Arial" w:hAnsi="Arial" w:eastAsia="宋体" w:cs="Arial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sz w:val="21"/>
              <w:szCs w:val="21"/>
            </w:rPr>
            <w:instrText xml:space="preserve"> PAGEREF _Toc17832 </w:instrText>
          </w:r>
          <w:r>
            <w:rPr>
              <w:rFonts w:ascii="Arial" w:hAnsi="Arial" w:eastAsia="宋体" w:cs="Arial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18</w:t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9638"/>
              <w:tab w:val="clear" w:pos="8364"/>
            </w:tabs>
            <w:adjustRightInd w:val="0"/>
            <w:snapToGrid w:val="0"/>
            <w:rPr>
              <w:rFonts w:ascii="Arial" w:hAnsi="Arial" w:eastAsia="宋体" w:cs="Arial"/>
              <w:sz w:val="21"/>
              <w:szCs w:val="21"/>
            </w:rPr>
          </w:pPr>
          <w:r>
            <w:fldChar w:fldCharType="begin"/>
          </w:r>
          <w:r>
            <w:instrText xml:space="preserve"> HYPERLINK \l "_Toc32568" </w:instrText>
          </w:r>
          <w: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附件四：本期合同签订情况</w:t>
          </w:r>
          <w:r>
            <w:rPr>
              <w:rFonts w:ascii="Arial" w:hAnsi="Arial" w:eastAsia="宋体" w:cs="Arial"/>
              <w:sz w:val="21"/>
              <w:szCs w:val="21"/>
            </w:rPr>
            <w:tab/>
          </w:r>
          <w:r>
            <w:rPr>
              <w:rFonts w:ascii="Arial" w:hAnsi="Arial" w:eastAsia="宋体" w:cs="Arial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sz w:val="21"/>
              <w:szCs w:val="21"/>
            </w:rPr>
            <w:instrText xml:space="preserve"> PAGEREF _Toc32568 </w:instrText>
          </w:r>
          <w:r>
            <w:rPr>
              <w:rFonts w:ascii="Arial" w:hAnsi="Arial" w:eastAsia="宋体" w:cs="Arial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18</w:t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9638"/>
              <w:tab w:val="clear" w:pos="8364"/>
            </w:tabs>
            <w:adjustRightInd w:val="0"/>
            <w:snapToGrid w:val="0"/>
            <w:rPr>
              <w:rFonts w:ascii="Arial" w:hAnsi="Arial" w:cs="Arial"/>
            </w:rPr>
          </w:pPr>
          <w:r>
            <w:fldChar w:fldCharType="begin"/>
          </w:r>
          <w:r>
            <w:instrText xml:space="preserve"> HYPERLINK \l "_Toc6047" </w:instrText>
          </w:r>
          <w: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附件五：项目公司账户余额情况</w:t>
          </w:r>
          <w:r>
            <w:rPr>
              <w:rFonts w:hint="eastAsia" w:ascii="Arial" w:hAnsi="Arial" w:eastAsia="宋体" w:cs="Arial"/>
              <w:sz w:val="21"/>
              <w:szCs w:val="21"/>
            </w:rPr>
            <w:t>及余额截图</w:t>
          </w:r>
          <w:r>
            <w:rPr>
              <w:rFonts w:ascii="Arial" w:hAnsi="Arial" w:eastAsia="宋体" w:cs="Arial"/>
              <w:sz w:val="21"/>
              <w:szCs w:val="21"/>
            </w:rPr>
            <w:tab/>
          </w:r>
          <w:r>
            <w:rPr>
              <w:rFonts w:ascii="Arial" w:hAnsi="Arial" w:eastAsia="宋体" w:cs="Arial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sz w:val="21"/>
              <w:szCs w:val="21"/>
            </w:rPr>
            <w:instrText xml:space="preserve"> PAGEREF _Toc6047 </w:instrText>
          </w:r>
          <w:r>
            <w:rPr>
              <w:rFonts w:ascii="Arial" w:hAnsi="Arial" w:eastAsia="宋体" w:cs="Arial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sz w:val="21"/>
              <w:szCs w:val="21"/>
            </w:rPr>
            <w:t>21</w:t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  <w:r>
            <w:rPr>
              <w:rFonts w:ascii="Arial" w:hAnsi="Arial" w:eastAsia="宋体" w:cs="Arial"/>
              <w:sz w:val="21"/>
              <w:szCs w:val="21"/>
            </w:rP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ascii="Arial" w:hAnsi="Arial" w:cs="Arial"/>
          <w:lang w:val="zh-CN"/>
        </w:rPr>
        <w:sectPr>
          <w:headerReference r:id="rId3" w:type="default"/>
          <w:footerReference r:id="rId4" w:type="default"/>
          <w:pgSz w:w="11906" w:h="16838"/>
          <w:pgMar w:top="1843" w:right="1134" w:bottom="1134" w:left="113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titlePg/>
          <w:docGrid w:type="lines" w:linePitch="326" w:charSpace="0"/>
        </w:sectPr>
      </w:pPr>
      <w:r>
        <w:rPr>
          <w:rFonts w:ascii="Arial" w:hAnsi="Arial" w:cs="Arial"/>
          <w:lang w:val="zh-CN"/>
        </w:rPr>
        <w:br w:type="page"/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bookmarkStart w:id="0" w:name="_Toc31850"/>
      <w:r>
        <w:rPr>
          <w:rFonts w:ascii="Arial" w:hAnsi="Arial" w:cs="Arial"/>
          <w:bCs/>
          <w:kern w:val="44"/>
          <w:sz w:val="21"/>
          <w:szCs w:val="21"/>
        </w:rPr>
        <w:t>为了方便阅读之目的，本报告中将部分名称简写为：</w:t>
      </w:r>
      <w:bookmarkStart w:id="30" w:name="_GoBack"/>
      <w:bookmarkEnd w:id="30"/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·项目公司：重庆鑫坤房地产开发有限公司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·</w:t>
      </w:r>
      <w:r>
        <w:rPr>
          <w:rFonts w:hint="eastAsia" w:ascii="Arial" w:hAnsi="Arial" w:cs="Arial"/>
          <w:bCs/>
          <w:kern w:val="44"/>
          <w:sz w:val="21"/>
          <w:szCs w:val="21"/>
        </w:rPr>
        <w:t>光大</w:t>
      </w:r>
      <w:r>
        <w:rPr>
          <w:rFonts w:ascii="Arial" w:hAnsi="Arial" w:cs="Arial"/>
          <w:bCs/>
          <w:kern w:val="44"/>
          <w:sz w:val="21"/>
          <w:szCs w:val="21"/>
        </w:rPr>
        <w:t>信托：光大兴陇信托有限责任公司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·康信</w:t>
      </w:r>
      <w:r>
        <w:rPr>
          <w:rFonts w:hint="eastAsia" w:ascii="Arial" w:hAnsi="Arial" w:cs="Arial"/>
          <w:bCs/>
          <w:kern w:val="44"/>
          <w:sz w:val="21"/>
          <w:szCs w:val="21"/>
        </w:rPr>
        <w:t>君安</w:t>
      </w:r>
      <w:r>
        <w:rPr>
          <w:rFonts w:ascii="Arial" w:hAnsi="Arial" w:cs="Arial"/>
          <w:bCs/>
          <w:kern w:val="44"/>
          <w:sz w:val="21"/>
          <w:szCs w:val="21"/>
        </w:rPr>
        <w:t>：北京康信君安资产管理有限公司</w:t>
      </w:r>
    </w:p>
    <w:p>
      <w:pPr>
        <w:spacing w:before="300" w:after="300" w:line="360" w:lineRule="exact"/>
        <w:outlineLvl w:val="1"/>
        <w:rPr>
          <w:rStyle w:val="22"/>
          <w:b w:val="0"/>
          <w:sz w:val="24"/>
          <w:szCs w:val="24"/>
        </w:rPr>
      </w:pPr>
      <w:r>
        <w:rPr>
          <w:rStyle w:val="22"/>
          <w:sz w:val="24"/>
          <w:szCs w:val="24"/>
        </w:rPr>
        <w:t>一、项目进展情况</w:t>
      </w:r>
      <w:bookmarkEnd w:id="0"/>
    </w:p>
    <w:p>
      <w:pPr>
        <w:spacing w:before="300" w:after="300" w:line="360" w:lineRule="exact"/>
        <w:outlineLvl w:val="1"/>
        <w:rPr>
          <w:rStyle w:val="22"/>
          <w:sz w:val="24"/>
          <w:szCs w:val="24"/>
        </w:rPr>
      </w:pPr>
      <w:bookmarkStart w:id="1" w:name="_Toc3442_WPSOffice_Level2"/>
      <w:bookmarkStart w:id="2" w:name="_Toc28523"/>
      <w:r>
        <w:rPr>
          <w:rStyle w:val="22"/>
          <w:rFonts w:ascii="Arial" w:hAnsi="Arial" w:cs="Arial"/>
          <w:sz w:val="24"/>
          <w:szCs w:val="24"/>
        </w:rPr>
        <w:t>1</w:t>
      </w:r>
      <w:r>
        <w:rPr>
          <w:rStyle w:val="22"/>
          <w:rFonts w:hint="eastAsia"/>
          <w:sz w:val="24"/>
          <w:szCs w:val="24"/>
        </w:rPr>
        <w:t>、</w:t>
      </w:r>
      <w:r>
        <w:rPr>
          <w:rStyle w:val="22"/>
          <w:sz w:val="24"/>
          <w:szCs w:val="24"/>
        </w:rPr>
        <w:t>报建</w:t>
      </w:r>
      <w:bookmarkEnd w:id="1"/>
      <w:r>
        <w:rPr>
          <w:rStyle w:val="22"/>
          <w:sz w:val="24"/>
          <w:szCs w:val="24"/>
        </w:rPr>
        <w:t>情况</w:t>
      </w:r>
      <w:bookmarkEnd w:id="2"/>
    </w:p>
    <w:tbl>
      <w:tblPr>
        <w:tblStyle w:val="1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3"/>
        <w:gridCol w:w="997"/>
        <w:gridCol w:w="2938"/>
        <w:gridCol w:w="1768"/>
        <w:gridCol w:w="1354"/>
        <w:gridCol w:w="21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  <w:jc w:val="center"/>
        </w:trPr>
        <w:tc>
          <w:tcPr>
            <w:tcW w:w="306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506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证件名称</w:t>
            </w:r>
          </w:p>
        </w:tc>
        <w:tc>
          <w:tcPr>
            <w:tcW w:w="1491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政策要求</w:t>
            </w:r>
          </w:p>
        </w:tc>
        <w:tc>
          <w:tcPr>
            <w:tcW w:w="89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实际取证日期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证载面积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306" w:type="pct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506" w:type="pct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不动产权证书</w:t>
            </w:r>
          </w:p>
        </w:tc>
        <w:tc>
          <w:tcPr>
            <w:tcW w:w="1491" w:type="pct"/>
            <w:vMerge w:val="restart"/>
            <w:vAlign w:val="center"/>
          </w:tcPr>
          <w:p>
            <w:pPr>
              <w:pStyle w:val="35"/>
              <w:spacing w:line="240" w:lineRule="auto"/>
              <w:jc w:val="center"/>
              <w:rPr>
                <w:rFonts w:ascii="Arial" w:hAnsi="Arial" w:eastAsia="宋体" w:cs="Arial"/>
                <w:b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sz w:val="18"/>
                <w:szCs w:val="18"/>
                <w:lang w:bidi="ar"/>
              </w:rPr>
              <w:t>法人身份证明；营业执照复印件；委托书及委托人身份证原件；土地合同；交付土地协议；出让金票据及土地契税票据；权籍调查表；宗地图。</w:t>
            </w:r>
          </w:p>
        </w:tc>
        <w:tc>
          <w:tcPr>
            <w:tcW w:w="89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6月24日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46715㎡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恒大锦城T19-1/03号地块《不动产权证书》/ 渝（2020）巴南区不动产权第0000589766号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3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491" w:type="pct"/>
            <w:vMerge w:val="continue"/>
            <w:vAlign w:val="center"/>
          </w:tcPr>
          <w:p>
            <w:pPr>
              <w:pStyle w:val="35"/>
              <w:spacing w:line="240" w:lineRule="auto"/>
              <w:jc w:val="center"/>
              <w:rPr>
                <w:rFonts w:ascii="Arial" w:hAnsi="Arial" w:eastAsia="宋体" w:cs="Arial"/>
                <w:b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6月24日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9060㎡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恒大锦城T20-2/03号地块《不动产权证书》/渝（2020）巴南区不动产权第0000589598号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3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491" w:type="pct"/>
            <w:vMerge w:val="continue"/>
            <w:vAlign w:val="center"/>
          </w:tcPr>
          <w:p>
            <w:pPr>
              <w:pStyle w:val="35"/>
              <w:spacing w:line="240" w:lineRule="auto"/>
              <w:jc w:val="center"/>
              <w:rPr>
                <w:rFonts w:ascii="Arial" w:hAnsi="Arial" w:eastAsia="宋体" w:cs="Arial"/>
                <w:b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6月24日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16429㎡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恒大锦城T19-2/03号地块《不动产权证书》/渝（2020）巴南区不动产权第0000589690号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3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491" w:type="pct"/>
            <w:vMerge w:val="continue"/>
            <w:vAlign w:val="center"/>
          </w:tcPr>
          <w:p>
            <w:pPr>
              <w:pStyle w:val="35"/>
              <w:spacing w:line="240" w:lineRule="auto"/>
              <w:jc w:val="center"/>
              <w:rPr>
                <w:rFonts w:ascii="Arial" w:hAnsi="Arial" w:eastAsia="宋体" w:cs="Arial"/>
                <w:b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6月24日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16681㎡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恒大锦城T20-6/03号地块《不动产权证书》/渝（2020）巴南区不动产权第0000589110号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3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491" w:type="pct"/>
            <w:vMerge w:val="continue"/>
            <w:vAlign w:val="center"/>
          </w:tcPr>
          <w:p>
            <w:pPr>
              <w:pStyle w:val="35"/>
              <w:spacing w:line="240" w:lineRule="auto"/>
              <w:jc w:val="center"/>
              <w:rPr>
                <w:rFonts w:ascii="Arial" w:hAnsi="Arial" w:eastAsia="宋体" w:cs="Arial"/>
                <w:b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7月15日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42982㎡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恒大锦城T18-1/02号地块《不动产权证书》/渝（2020）巴南区不动产权第000666077号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  <w:jc w:val="center"/>
        </w:trPr>
        <w:tc>
          <w:tcPr>
            <w:tcW w:w="3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491" w:type="pct"/>
            <w:vMerge w:val="continue"/>
            <w:vAlign w:val="center"/>
          </w:tcPr>
          <w:p>
            <w:pPr>
              <w:pStyle w:val="35"/>
              <w:spacing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</w:p>
        </w:tc>
        <w:tc>
          <w:tcPr>
            <w:tcW w:w="89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7月15日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50878㎡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恒大锦城T18-2/03号地块《不动产权证书》/渝（2020）巴南区不动产权第000665521号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  <w:jc w:val="center"/>
        </w:trPr>
        <w:tc>
          <w:tcPr>
            <w:tcW w:w="3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491" w:type="pct"/>
            <w:vMerge w:val="continue"/>
            <w:vAlign w:val="center"/>
          </w:tcPr>
          <w:p>
            <w:pPr>
              <w:pStyle w:val="35"/>
              <w:spacing w:line="240" w:lineRule="auto"/>
              <w:jc w:val="center"/>
              <w:rPr>
                <w:rFonts w:ascii="Arial" w:hAnsi="Arial" w:eastAsia="宋体" w:cs="Arial"/>
                <w:sz w:val="18"/>
                <w:szCs w:val="18"/>
                <w:lang w:bidi="ar"/>
              </w:rPr>
            </w:pPr>
          </w:p>
        </w:tc>
        <w:tc>
          <w:tcPr>
            <w:tcW w:w="89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7月15日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61182㎡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恒大锦城T18-3/03号地块《不动产权证书》/渝（2020）巴南区不动产权第000665900号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  <w:jc w:val="center"/>
        </w:trPr>
        <w:tc>
          <w:tcPr>
            <w:tcW w:w="306" w:type="pct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506" w:type="pct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建设用地规划许可证</w:t>
            </w:r>
          </w:p>
        </w:tc>
        <w:tc>
          <w:tcPr>
            <w:tcW w:w="1491" w:type="pct"/>
            <w:vMerge w:val="restart"/>
            <w:vAlign w:val="center"/>
          </w:tcPr>
          <w:p>
            <w:pPr>
              <w:pStyle w:val="14"/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申请单位的申请报告；建设项目审批、核准或者备案文件（发改委批文）；用地位置的1：1000现状地形图2份及其电子文件（宗地图）；属于出让土地的: 提供国有土地使用权出让合同和规划条件通知书；属于划拨土地的: 选址意见书及规划设计要求；提供营业执照、组织机构代码及法人身份证复印件、法人授权委托书及委托代理人身份证复印件。</w:t>
            </w:r>
          </w:p>
        </w:tc>
        <w:tc>
          <w:tcPr>
            <w:tcW w:w="89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6月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4日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88885㎡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建设用地规划许可证（恒大锦城一期）/地字第500113202000024号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3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491" w:type="pct"/>
            <w:vMerge w:val="continue"/>
            <w:vAlign w:val="center"/>
          </w:tcPr>
          <w:p>
            <w:pPr>
              <w:ind w:left="410" w:leftChars="171" w:firstLine="405" w:firstLineChars="225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89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7月17日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46715㎡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恒大锦城二期《建设用地规划许可证》正本及附件/地字第500113202000029号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  <w:jc w:val="center"/>
        </w:trPr>
        <w:tc>
          <w:tcPr>
            <w:tcW w:w="306" w:type="pct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506" w:type="pct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建设工程规划许可证</w:t>
            </w:r>
          </w:p>
        </w:tc>
        <w:tc>
          <w:tcPr>
            <w:tcW w:w="1491" w:type="pct"/>
            <w:vMerge w:val="restart"/>
            <w:vAlign w:val="center"/>
          </w:tcPr>
          <w:p>
            <w:pPr>
              <w:pStyle w:val="14"/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申请报告；营业执照（原件及复印件）、组织机构代码（原件及复印件）；法人身份证复印件、法人授权委托书、委托代理人身份证复印件；建设用地规划条件通知书（原件及复印件）、建设用地规划许可证（原件及复印件）；国有土地使用权证（原件及复印件）、宗地图；发改委项目批准文件（原件及复印件）；批准的总平面图(含电子文档)；配套费缴费证明；墙改基金（墙改办办理）缴费；人防缴费证明和人防工程审查批准意见（人防办办理）。</w:t>
            </w:r>
          </w:p>
        </w:tc>
        <w:tc>
          <w:tcPr>
            <w:tcW w:w="897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8月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7日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123745.14㎡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恒大锦城二期《建设工程规划许可证》T18-2地块/建字第500113202000100号（施工证原件因恒大欠缴该项目农民工保证金，办出来后压在市建委，因此未交接）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  <w:jc w:val="center"/>
        </w:trPr>
        <w:tc>
          <w:tcPr>
            <w:tcW w:w="3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491" w:type="pct"/>
            <w:vMerge w:val="continue"/>
            <w:vAlign w:val="center"/>
          </w:tcPr>
          <w:p>
            <w:pPr>
              <w:pStyle w:val="14"/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897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8月21日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248384.85㎡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恒大锦城二期《建设工程规划许可证》T18-1、T18-3地块/建字第500113202000105号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  <w:jc w:val="center"/>
        </w:trPr>
        <w:tc>
          <w:tcPr>
            <w:tcW w:w="3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491" w:type="pct"/>
            <w:vMerge w:val="continue"/>
            <w:vAlign w:val="center"/>
          </w:tcPr>
          <w:p>
            <w:pPr>
              <w:pStyle w:val="14"/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89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7月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219447.16</w:t>
            </w:r>
            <w:r>
              <w:rPr>
                <w:rFonts w:ascii="Arial" w:hAnsi="Arial" w:cs="Arial"/>
                <w:sz w:val="18"/>
                <w:szCs w:val="18"/>
              </w:rPr>
              <w:t>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建设工程规划许可证一期(T19-1地块1-20#、大门、车库/T19-2地块21-26#、门岗、车库/T20-2地块27-29#、门岗、车库/T20-6地块30-34#、门岗、车库）/建字第500113202000079号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06" w:type="pct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06" w:type="pct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1491" w:type="pct"/>
            <w:vMerge w:val="restart"/>
            <w:vAlign w:val="center"/>
          </w:tcPr>
          <w:p>
            <w:pPr>
              <w:pStyle w:val="14"/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1、规划条件通知书2、建设条件通知书3、建筑项目用地界址测绘平面图及界址点成果表4、建设工程规划许可证5、加盖规划部门骑缝章总平面图6、国有土地使用权出让合同</w:t>
            </w:r>
          </w:p>
        </w:tc>
        <w:tc>
          <w:tcPr>
            <w:tcW w:w="897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8月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1日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51632.72㎡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恒大锦城一期4#，13#，14#楼及4#车库施工许可证/500113202008010101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491" w:type="pct"/>
            <w:vMerge w:val="continue"/>
            <w:vAlign w:val="center"/>
          </w:tcPr>
          <w:p>
            <w:pPr>
              <w:pStyle w:val="14"/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897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9月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7日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167814.44㎡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恒大锦城一期1-3、5-12、15-34#施工许可证/500113202009070401（由于恒大欠缴该项目农民工保证金，证办出来后压于市建委处未交接）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  <w:jc w:val="center"/>
        </w:trPr>
        <w:tc>
          <w:tcPr>
            <w:tcW w:w="306" w:type="pct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506" w:type="pct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商品房预售许可证</w:t>
            </w:r>
          </w:p>
        </w:tc>
        <w:tc>
          <w:tcPr>
            <w:tcW w:w="1491" w:type="pct"/>
            <w:vMerge w:val="restart"/>
            <w:vAlign w:val="center"/>
          </w:tcPr>
          <w:p>
            <w:pPr>
              <w:pStyle w:val="14"/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房地产开发资质证书和营业执照复印件(核对原件)；《国有土地使用证》复印件(核对原件)；《建设工程规划许可证》复印件(核对原件)；《建筑工程施工许可证》复印件(核对原件)；工程施工合同及关于施工进度的说明；有关建筑节能标准及节能措施的证明复印件(核对原件)；商品房预售方案（应包括商品房位置、装修标准、竣工交付日期、预售总面积、交付后的物业管理、总平面图、分层平面图）；工程进度达到设计形象进度25%以上的证明；预售资金监管账户开具。</w:t>
            </w:r>
          </w:p>
        </w:tc>
        <w:tc>
          <w:tcPr>
            <w:tcW w:w="89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8月14日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2896.3㎡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恒大锦城4#楼《重庆市商品房预售（预租）许可证（正本）》/渝住建委（2020）预字第（976）号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  <w:jc w:val="center"/>
        </w:trPr>
        <w:tc>
          <w:tcPr>
            <w:tcW w:w="3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491" w:type="pct"/>
            <w:vMerge w:val="continue"/>
            <w:vAlign w:val="center"/>
          </w:tcPr>
          <w:p>
            <w:pPr>
              <w:pStyle w:val="14"/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89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7月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8日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219447.16㎡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重庆市商品房预售许可证（恒大锦城一期1、2、5-17、21-26、30-34#楼）/渝住建委（2020）预字第（1360）号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  <w:jc w:val="center"/>
        </w:trPr>
        <w:tc>
          <w:tcPr>
            <w:tcW w:w="3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491" w:type="pct"/>
            <w:vMerge w:val="continue"/>
            <w:vAlign w:val="center"/>
          </w:tcPr>
          <w:p>
            <w:pPr>
              <w:pStyle w:val="14"/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89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2020年12月18日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10227.32㎡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恒大锦城50#、51#商品房预售许可证（渝住建委（2020）预字第（1947）号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  <w:jc w:val="center"/>
        </w:trPr>
        <w:tc>
          <w:tcPr>
            <w:tcW w:w="3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491" w:type="pct"/>
            <w:vMerge w:val="continue"/>
            <w:vAlign w:val="center"/>
          </w:tcPr>
          <w:p>
            <w:pPr>
              <w:pStyle w:val="14"/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89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2021年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1月15日</w:t>
            </w:r>
          </w:p>
        </w:tc>
        <w:tc>
          <w:tcPr>
            <w:tcW w:w="687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14660.33㎡</w:t>
            </w:r>
          </w:p>
        </w:tc>
        <w:tc>
          <w:tcPr>
            <w:tcW w:w="1113" w:type="pct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恒大锦城56-57#、61-62#商品房预售许可证（渝住建委（2021）预字第（46）号</w:t>
            </w:r>
          </w:p>
        </w:tc>
      </w:tr>
    </w:tbl>
    <w:p>
      <w:pPr>
        <w:spacing w:before="300" w:after="300" w:line="360" w:lineRule="exact"/>
        <w:outlineLvl w:val="1"/>
        <w:rPr>
          <w:rStyle w:val="22"/>
          <w:sz w:val="24"/>
          <w:szCs w:val="24"/>
        </w:rPr>
      </w:pPr>
      <w:bookmarkStart w:id="3" w:name="_Toc25052"/>
      <w:r>
        <w:rPr>
          <w:rStyle w:val="22"/>
          <w:rFonts w:ascii="Arial" w:hAnsi="Arial" w:cs="Arial"/>
          <w:sz w:val="24"/>
          <w:szCs w:val="24"/>
        </w:rPr>
        <w:t>2</w:t>
      </w:r>
      <w:r>
        <w:rPr>
          <w:rStyle w:val="22"/>
          <w:rFonts w:hint="eastAsia"/>
          <w:sz w:val="24"/>
          <w:szCs w:val="24"/>
        </w:rPr>
        <w:t>、营销情况</w:t>
      </w:r>
      <w:bookmarkEnd w:id="3"/>
    </w:p>
    <w:p>
      <w:pPr>
        <w:spacing w:before="300" w:after="300" w:line="360" w:lineRule="exact"/>
        <w:outlineLvl w:val="1"/>
        <w:rPr>
          <w:rStyle w:val="22"/>
          <w:sz w:val="24"/>
          <w:szCs w:val="24"/>
        </w:rPr>
      </w:pPr>
      <w:r>
        <w:rPr>
          <w:rStyle w:val="22"/>
          <w:rFonts w:hint="eastAsia"/>
          <w:sz w:val="24"/>
          <w:szCs w:val="24"/>
        </w:rPr>
        <w:t>（</w:t>
      </w:r>
      <w:r>
        <w:rPr>
          <w:rStyle w:val="22"/>
          <w:rFonts w:ascii="Arial" w:hAnsi="Arial" w:cs="Arial"/>
          <w:sz w:val="24"/>
          <w:szCs w:val="24"/>
        </w:rPr>
        <w:t>1</w:t>
      </w:r>
      <w:r>
        <w:rPr>
          <w:rStyle w:val="22"/>
          <w:rFonts w:hint="eastAsia"/>
          <w:sz w:val="24"/>
          <w:szCs w:val="24"/>
        </w:rPr>
        <w:t>）</w:t>
      </w:r>
      <w:r>
        <w:rPr>
          <w:rStyle w:val="22"/>
          <w:sz w:val="24"/>
          <w:szCs w:val="24"/>
        </w:rPr>
        <w:t>项目销售及推盘计划</w:t>
      </w:r>
    </w:p>
    <w:p>
      <w:pPr>
        <w:widowControl w:val="0"/>
        <w:spacing w:line="480" w:lineRule="auto"/>
        <w:ind w:firstLine="420" w:firstLineChars="200"/>
        <w:jc w:val="both"/>
        <w:rPr>
          <w:rFonts w:hint="eastAsia" w:ascii="Arial" w:hAnsi="Arial" w:cs="Arial"/>
          <w:bCs/>
          <w:kern w:val="44"/>
          <w:sz w:val="21"/>
          <w:szCs w:val="21"/>
        </w:rPr>
        <w:sectPr>
          <w:footerReference r:id="rId5" w:type="default"/>
          <w:pgSz w:w="11906" w:h="16838"/>
          <w:pgMar w:top="1843" w:right="1134" w:bottom="1134" w:left="113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docGrid w:type="lines" w:linePitch="312" w:charSpace="0"/>
        </w:sectPr>
      </w:pPr>
      <w:r>
        <w:rPr>
          <w:rFonts w:hint="eastAsia" w:ascii="Arial" w:hAnsi="Arial" w:cs="Arial"/>
          <w:bCs/>
          <w:kern w:val="44"/>
          <w:sz w:val="21"/>
          <w:szCs w:val="21"/>
        </w:rPr>
        <w:t>重庆恒大锦城项目于</w:t>
      </w:r>
      <w:r>
        <w:rPr>
          <w:rFonts w:ascii="Arial" w:hAnsi="Arial" w:cs="Arial"/>
          <w:bCs/>
          <w:kern w:val="44"/>
          <w:sz w:val="21"/>
          <w:szCs w:val="21"/>
        </w:rPr>
        <w:t>2020年10月8日开盘，目前已推出房源套数1354套，面积约133925.07㎡，预计总货值约14.25亿，截至2021年2月28日累计已售1294套，面积127039.06㎡，金额11.21亿元，其中累计已签约房屋1189套、面积116762.01㎡、金额10.10亿元，9月15日至10月7日认筹金0.31亿元，10月8日至2月28日累计销售实际回款9.20亿元，9月15日至2月28日合计收款9.51亿元，取得预售证（推货）剩余货值0.79亿元、剩余套数60套、剩余面积6883.52㎡</w:t>
      </w:r>
      <w:r>
        <w:rPr>
          <w:rFonts w:hint="eastAsia" w:ascii="Arial" w:hAnsi="Arial" w:cs="Arial"/>
          <w:bCs/>
          <w:kern w:val="44"/>
          <w:sz w:val="21"/>
          <w:szCs w:val="21"/>
        </w:rPr>
        <w:t>未销售，去化率</w:t>
      </w:r>
      <w:r>
        <w:rPr>
          <w:rFonts w:ascii="Arial" w:hAnsi="Arial" w:cs="Arial"/>
          <w:bCs/>
          <w:kern w:val="44"/>
          <w:sz w:val="21"/>
          <w:szCs w:val="21"/>
        </w:rPr>
        <w:t>87.18%（（已签约面积/已推出面积</w:t>
      </w:r>
      <w:r>
        <w:rPr>
          <w:rFonts w:hint="eastAsia" w:ascii="Arial" w:hAnsi="Arial" w:cs="Arial"/>
          <w:bCs/>
          <w:kern w:val="44"/>
          <w:sz w:val="21"/>
          <w:szCs w:val="21"/>
        </w:rPr>
        <w:t>）</w:t>
      </w:r>
      <w:r>
        <w:rPr>
          <w:rFonts w:ascii="Arial" w:hAnsi="Arial" w:cs="Arial"/>
          <w:bCs/>
          <w:kern w:val="44"/>
          <w:sz w:val="21"/>
          <w:szCs w:val="21"/>
        </w:rPr>
        <w:t>*100%）</w:t>
      </w:r>
      <w:r>
        <w:rPr>
          <w:rFonts w:hint="eastAsia" w:ascii="Arial" w:hAnsi="Arial" w:cs="Arial"/>
          <w:bCs/>
          <w:kern w:val="44"/>
          <w:sz w:val="21"/>
          <w:szCs w:val="21"/>
        </w:rPr>
        <w:t>。</w:t>
      </w:r>
    </w:p>
    <w:p>
      <w:pPr>
        <w:widowControl w:val="0"/>
        <w:spacing w:before="326" w:beforeLines="100"/>
        <w:jc w:val="center"/>
        <w:rPr>
          <w:rFonts w:hint="eastAsia" w:ascii="Arial" w:hAnsi="Arial" w:cs="Arial"/>
          <w:b/>
          <w:bCs/>
          <w:kern w:val="44"/>
        </w:rPr>
      </w:pPr>
      <w:r>
        <w:rPr>
          <w:rFonts w:ascii="Arial" w:hAnsi="Arial" w:cs="Arial"/>
          <w:b/>
          <w:bCs/>
          <w:kern w:val="44"/>
        </w:rPr>
        <w:t>恒大锦城项目销售情况表(1#-17#、21#-26#、31#-34#、51#-52#、56#-57#、61#-62#）</w:t>
      </w:r>
    </w:p>
    <w:tbl>
      <w:tblPr>
        <w:tblStyle w:val="17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3"/>
        <w:gridCol w:w="1008"/>
        <w:gridCol w:w="1007"/>
        <w:gridCol w:w="861"/>
        <w:gridCol w:w="1152"/>
        <w:gridCol w:w="1011"/>
        <w:gridCol w:w="1005"/>
        <w:gridCol w:w="1439"/>
        <w:gridCol w:w="1163"/>
        <w:gridCol w:w="1007"/>
        <w:gridCol w:w="1007"/>
        <w:gridCol w:w="1007"/>
        <w:gridCol w:w="1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409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销售金额（万元）</w:t>
            </w:r>
          </w:p>
        </w:tc>
        <w:tc>
          <w:tcPr>
            <w:tcW w:w="357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销售面积（㎡）</w:t>
            </w:r>
          </w:p>
        </w:tc>
        <w:tc>
          <w:tcPr>
            <w:tcW w:w="305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销售</w:t>
            </w:r>
          </w:p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40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签约金额（万元）</w:t>
            </w:r>
          </w:p>
        </w:tc>
        <w:tc>
          <w:tcPr>
            <w:tcW w:w="35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签约面积（㎡）</w:t>
            </w:r>
          </w:p>
        </w:tc>
        <w:tc>
          <w:tcPr>
            <w:tcW w:w="357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签约套数</w:t>
            </w:r>
          </w:p>
        </w:tc>
        <w:tc>
          <w:tcPr>
            <w:tcW w:w="511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去化率（已签约面积/已推出面积*100%）</w:t>
            </w:r>
          </w:p>
        </w:tc>
        <w:tc>
          <w:tcPr>
            <w:tcW w:w="1932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销售回款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40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  <w:t>房款（万元）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  <w:t>定金</w:t>
            </w:r>
          </w:p>
          <w:p>
            <w:pPr>
              <w:jc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  <w:t>（万元）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  <w:t>按揭款</w:t>
            </w:r>
          </w:p>
          <w:p>
            <w:pPr>
              <w:jc w:val="center"/>
              <w:rPr>
                <w:rFonts w:hint="eastAsia" w:ascii="Arial" w:hAnsi="Arial" w:eastAsia="宋体" w:cs="Arial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（</w:t>
            </w: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  <w:t>万元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  <w:t>认筹金</w:t>
            </w:r>
          </w:p>
          <w:p>
            <w:pPr>
              <w:jc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（</w:t>
            </w: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  <w:t>万元）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  <w:t>回款合计</w:t>
            </w:r>
          </w:p>
          <w:p>
            <w:pPr>
              <w:jc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  <w:t>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93.73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108.26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83.66%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5.62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83.66%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29.92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537.82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564.41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112.84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124.26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83.75%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91.04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488.50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35.70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627.24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335.79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351.62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244.47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264.09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83.95%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78.64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129.50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321.30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346.02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312.49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339.11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84.20%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88.54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429.80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526.34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257.11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269.86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104.45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123.65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84.29%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28.40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330.63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343.35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74.27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123.95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84.39%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490.10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518.56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416.58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454.61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84.73%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108.60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186.60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81.67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85.14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84.73%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10.82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2021-2-10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83.16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90.52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80.05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85.14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84.79%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25.67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2021-2-11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84.79%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212.10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2021-2-12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84.79%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2021-2-13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84.79%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2021-2-14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89.67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91.34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84.79%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2021-2-15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80.19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85.04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84.79%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2021-2-16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147.45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157.18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84.79%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4.65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2021-2-17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82.82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85.14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84.79%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2021-2-18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286.16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304.42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329.63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355.75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85.05%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73.18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2021-2-19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279.46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294.44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190.27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209.4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85.21%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36.05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2021-2-20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89.12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179.34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165.55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177.64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85.34%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50.49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497.70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552.19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2021-2-21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84.97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91.34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243.77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266.63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85.54%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77.25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110.40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189.65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2021-2-22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672.88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706.46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85.54%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144.28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2021-2-23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404.43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426.31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497.68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543.11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85.95%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222.11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227.90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458.01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2021-2-24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429.67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449.14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493.34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531.46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86.35%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125.87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135.87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2021-2-25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260.81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270.68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328.92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351.6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86.61%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136.93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569.10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712.03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2021-2-26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172.54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180.16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277.28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290.13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86.82%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62.43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339.10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405.53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2021-2-27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579.88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611.66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335.33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357.8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87.09%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130.33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90.80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2021-2-28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290.70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271.41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111.98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124.41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87.18%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108.63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114.93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hint="eastAsia" w:ascii="Arial" w:hAnsi="Arial" w:eastAsia="宋体" w:cs="Arial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6,388.3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6,773.54</w:t>
            </w:r>
          </w:p>
        </w:tc>
        <w:tc>
          <w:tcPr>
            <w:tcW w:w="3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4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hint="eastAsia" w:ascii="Arial" w:hAnsi="Arial" w:eastAsia="宋体" w:cs="Arial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4,412.6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4,831.00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51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87.18%</w:t>
            </w:r>
          </w:p>
        </w:tc>
        <w:tc>
          <w:tcPr>
            <w:tcW w:w="41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1,644.45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144.00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3,272.60</w:t>
            </w:r>
          </w:p>
        </w:tc>
        <w:tc>
          <w:tcPr>
            <w:tcW w:w="35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36.00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5,097.05</w:t>
            </w:r>
          </w:p>
        </w:tc>
      </w:tr>
    </w:tbl>
    <w:p>
      <w:pPr>
        <w:rPr>
          <w:rFonts w:hint="eastAsia" w:ascii="Arial" w:hAnsi="Arial" w:cs="Arial"/>
          <w:szCs w:val="15"/>
        </w:rPr>
        <w:sectPr>
          <w:pgSz w:w="16838" w:h="11906" w:orient="landscape"/>
          <w:pgMar w:top="1134" w:right="1843" w:bottom="1134" w:left="113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26" w:charSpace="0"/>
        </w:sectPr>
      </w:pPr>
    </w:p>
    <w:p>
      <w:pPr>
        <w:spacing w:before="300" w:after="300" w:line="360" w:lineRule="exact"/>
        <w:outlineLvl w:val="1"/>
        <w:rPr>
          <w:rStyle w:val="22"/>
          <w:sz w:val="24"/>
          <w:szCs w:val="24"/>
        </w:rPr>
      </w:pPr>
      <w:r>
        <w:rPr>
          <w:rStyle w:val="22"/>
          <w:rFonts w:hint="eastAsia"/>
          <w:sz w:val="24"/>
          <w:szCs w:val="24"/>
        </w:rPr>
        <w:t>（</w:t>
      </w:r>
      <w:r>
        <w:rPr>
          <w:rStyle w:val="22"/>
          <w:rFonts w:ascii="Arial" w:hAnsi="Arial" w:cs="Arial"/>
          <w:sz w:val="24"/>
          <w:szCs w:val="24"/>
        </w:rPr>
        <w:t>2</w:t>
      </w:r>
      <w:r>
        <w:rPr>
          <w:rStyle w:val="22"/>
          <w:rFonts w:hint="eastAsia"/>
          <w:sz w:val="24"/>
          <w:szCs w:val="24"/>
        </w:rPr>
        <w:t>）</w:t>
      </w:r>
      <w:r>
        <w:rPr>
          <w:rStyle w:val="22"/>
          <w:sz w:val="24"/>
          <w:szCs w:val="24"/>
        </w:rPr>
        <w:t>渠道推广及促销活动描述</w:t>
      </w:r>
    </w:p>
    <w:p>
      <w:pPr>
        <w:spacing w:before="300" w:after="300" w:line="360" w:lineRule="exact"/>
        <w:ind w:firstLine="420" w:firstLineChars="200"/>
        <w:outlineLvl w:val="3"/>
        <w:rPr>
          <w:rFonts w:ascii="Arial" w:hAnsi="Arial" w:cs="Arial"/>
          <w:bCs/>
          <w:sz w:val="21"/>
          <w:szCs w:val="21"/>
        </w:rPr>
      </w:pPr>
      <w:r>
        <w:rPr>
          <w:rFonts w:hint="eastAsia" w:ascii="Arial" w:hAnsi="Arial" w:cs="Arial"/>
          <w:bCs/>
          <w:sz w:val="21"/>
          <w:szCs w:val="21"/>
        </w:rPr>
        <w:t>①</w:t>
      </w:r>
      <w:r>
        <w:rPr>
          <w:rFonts w:ascii="Arial" w:hAnsi="Arial" w:cs="Arial"/>
          <w:bCs/>
          <w:sz w:val="21"/>
          <w:szCs w:val="21"/>
        </w:rPr>
        <w:t>渠道、拓客方式</w:t>
      </w:r>
      <w:r>
        <w:rPr>
          <w:rFonts w:hint="eastAsia" w:ascii="Arial" w:hAnsi="Arial" w:cs="Arial"/>
          <w:bCs/>
          <w:sz w:val="21"/>
          <w:szCs w:val="21"/>
        </w:rPr>
        <w:t>：</w:t>
      </w:r>
    </w:p>
    <w:p>
      <w:pPr>
        <w:spacing w:line="480" w:lineRule="auto"/>
        <w:ind w:firstLine="420" w:firstLineChars="200"/>
        <w:jc w:val="both"/>
        <w:rPr>
          <w:rFonts w:ascii="Arial" w:hAnsi="Arial" w:cs="Arial"/>
          <w:bCs/>
          <w:kern w:val="44"/>
          <w:sz w:val="21"/>
          <w:szCs w:val="21"/>
        </w:rPr>
      </w:pPr>
      <w:r>
        <w:rPr>
          <w:rFonts w:hint="eastAsia" w:ascii="Arial" w:hAnsi="Arial" w:cs="Arial"/>
          <w:bCs/>
          <w:kern w:val="44"/>
          <w:sz w:val="21"/>
          <w:szCs w:val="21"/>
        </w:rPr>
        <w:t>重庆恒大锦城项目</w:t>
      </w:r>
      <w:r>
        <w:rPr>
          <w:rFonts w:ascii="Arial" w:hAnsi="Arial" w:cs="Arial"/>
          <w:bCs/>
          <w:kern w:val="44"/>
          <w:sz w:val="21"/>
          <w:szCs w:val="21"/>
        </w:rPr>
        <w:t>已于2020</w:t>
      </w:r>
      <w:r>
        <w:rPr>
          <w:rFonts w:hint="eastAsia" w:ascii="Arial" w:hAnsi="Arial" w:cs="Arial"/>
          <w:bCs/>
          <w:kern w:val="44"/>
          <w:sz w:val="21"/>
          <w:szCs w:val="21"/>
        </w:rPr>
        <w:t>年10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cs="Arial"/>
          <w:bCs/>
          <w:kern w:val="44"/>
          <w:sz w:val="21"/>
          <w:szCs w:val="21"/>
        </w:rPr>
        <w:t>8</w:t>
      </w:r>
      <w:r>
        <w:rPr>
          <w:rFonts w:ascii="Arial" w:hAnsi="Arial" w:cs="Arial"/>
          <w:bCs/>
          <w:kern w:val="44"/>
          <w:sz w:val="21"/>
          <w:szCs w:val="21"/>
        </w:rPr>
        <w:t>日批准对外开放</w:t>
      </w:r>
      <w:r>
        <w:rPr>
          <w:rFonts w:hint="eastAsia" w:ascii="Arial" w:hAnsi="Arial" w:cs="Arial"/>
          <w:bCs/>
          <w:kern w:val="44"/>
          <w:sz w:val="21"/>
          <w:szCs w:val="21"/>
        </w:rPr>
        <w:t>开盘</w:t>
      </w:r>
      <w:r>
        <w:rPr>
          <w:rFonts w:ascii="Arial" w:hAnsi="Arial" w:cs="Arial"/>
          <w:bCs/>
          <w:kern w:val="44"/>
          <w:sz w:val="21"/>
          <w:szCs w:val="21"/>
        </w:rPr>
        <w:t>，</w:t>
      </w:r>
      <w:r>
        <w:rPr>
          <w:rFonts w:hint="eastAsia" w:ascii="Arial" w:hAnsi="Arial" w:cs="Arial"/>
          <w:bCs/>
          <w:kern w:val="44"/>
          <w:sz w:val="21"/>
          <w:szCs w:val="21"/>
        </w:rPr>
        <w:t>客户</w:t>
      </w:r>
      <w:r>
        <w:rPr>
          <w:rFonts w:ascii="Arial" w:hAnsi="Arial" w:cs="Arial"/>
          <w:bCs/>
          <w:kern w:val="44"/>
          <w:sz w:val="21"/>
          <w:szCs w:val="21"/>
        </w:rPr>
        <w:t>可现场到访，保留采取线上渠道推广及日常拓客</w:t>
      </w:r>
      <w:r>
        <w:rPr>
          <w:rFonts w:hint="eastAsia" w:ascii="Arial" w:hAnsi="Arial" w:cs="Arial"/>
          <w:bCs/>
          <w:kern w:val="44"/>
          <w:sz w:val="21"/>
          <w:szCs w:val="21"/>
        </w:rPr>
        <w:t>方式。</w:t>
      </w:r>
    </w:p>
    <w:p>
      <w:pPr>
        <w:spacing w:before="300" w:after="300" w:line="360" w:lineRule="exact"/>
        <w:ind w:firstLine="420" w:firstLineChars="200"/>
        <w:outlineLvl w:val="3"/>
        <w:rPr>
          <w:rFonts w:ascii="Arial" w:hAnsi="Arial" w:cs="Arial"/>
          <w:bCs/>
          <w:sz w:val="21"/>
          <w:szCs w:val="21"/>
        </w:rPr>
      </w:pPr>
      <w:r>
        <w:rPr>
          <w:rFonts w:hint="eastAsia" w:ascii="Arial" w:hAnsi="Arial" w:cs="Arial"/>
          <w:bCs/>
          <w:sz w:val="21"/>
          <w:szCs w:val="21"/>
        </w:rPr>
        <w:t>②</w:t>
      </w:r>
      <w:r>
        <w:rPr>
          <w:rFonts w:ascii="Arial" w:hAnsi="Arial" w:cs="Arial"/>
          <w:bCs/>
          <w:sz w:val="21"/>
          <w:szCs w:val="21"/>
        </w:rPr>
        <w:t>促销活动</w:t>
      </w:r>
      <w:r>
        <w:rPr>
          <w:rFonts w:hint="eastAsia" w:ascii="Arial" w:hAnsi="Arial" w:cs="Arial"/>
          <w:bCs/>
          <w:sz w:val="21"/>
          <w:szCs w:val="21"/>
        </w:rPr>
        <w:t>：</w:t>
      </w:r>
    </w:p>
    <w:p>
      <w:pPr>
        <w:spacing w:line="480" w:lineRule="auto"/>
        <w:ind w:firstLine="420" w:firstLineChars="200"/>
        <w:jc w:val="both"/>
        <w:rPr>
          <w:rStyle w:val="22"/>
          <w:rFonts w:ascii="Arial" w:hAnsi="Arial" w:cs="Arial"/>
          <w:b w:val="0"/>
          <w:sz w:val="21"/>
          <w:szCs w:val="21"/>
        </w:rPr>
      </w:pPr>
      <w:r>
        <w:rPr>
          <w:rFonts w:hint="eastAsia" w:ascii="Arial" w:hAnsi="Arial" w:cs="Arial"/>
          <w:bCs/>
          <w:kern w:val="44"/>
          <w:sz w:val="21"/>
          <w:szCs w:val="21"/>
        </w:rPr>
        <w:t>恒房通</w:t>
      </w:r>
      <w:r>
        <w:rPr>
          <w:rFonts w:ascii="Arial" w:hAnsi="Arial" w:cs="Arial"/>
          <w:bCs/>
          <w:kern w:val="44"/>
          <w:sz w:val="21"/>
          <w:szCs w:val="21"/>
        </w:rPr>
        <w:t>10,000元优惠券，推荐到访98折，网上认购交2,000元预约金，抵房款20,000元，房车宝推荐享受96折，清尾优惠95或者9折或者85折。</w:t>
      </w:r>
    </w:p>
    <w:p>
      <w:pPr>
        <w:spacing w:before="300" w:after="300" w:line="360" w:lineRule="exact"/>
        <w:outlineLvl w:val="1"/>
        <w:rPr>
          <w:rStyle w:val="22"/>
          <w:sz w:val="24"/>
          <w:szCs w:val="24"/>
        </w:rPr>
      </w:pPr>
      <w:r>
        <w:rPr>
          <w:rStyle w:val="22"/>
          <w:rFonts w:hint="eastAsia"/>
          <w:sz w:val="24"/>
          <w:szCs w:val="24"/>
        </w:rPr>
        <w:t>（</w:t>
      </w:r>
      <w:r>
        <w:rPr>
          <w:rStyle w:val="22"/>
          <w:rFonts w:ascii="Arial" w:hAnsi="Arial" w:cs="Arial"/>
          <w:sz w:val="24"/>
          <w:szCs w:val="24"/>
        </w:rPr>
        <w:t>3</w:t>
      </w:r>
      <w:r>
        <w:rPr>
          <w:rStyle w:val="22"/>
          <w:rFonts w:hint="eastAsia"/>
          <w:sz w:val="24"/>
          <w:szCs w:val="24"/>
        </w:rPr>
        <w:t>）</w:t>
      </w:r>
      <w:r>
        <w:rPr>
          <w:rStyle w:val="22"/>
          <w:sz w:val="24"/>
          <w:szCs w:val="24"/>
        </w:rPr>
        <w:t>当地预售政策、限</w:t>
      </w:r>
      <w:r>
        <w:rPr>
          <w:rStyle w:val="22"/>
          <w:rFonts w:hint="eastAsia"/>
          <w:sz w:val="24"/>
          <w:szCs w:val="24"/>
        </w:rPr>
        <w:t>贷</w:t>
      </w:r>
      <w:r>
        <w:rPr>
          <w:rStyle w:val="22"/>
          <w:sz w:val="24"/>
          <w:szCs w:val="24"/>
        </w:rPr>
        <w:t>政策描述</w:t>
      </w:r>
    </w:p>
    <w:p>
      <w:pPr>
        <w:spacing w:before="300" w:after="300" w:line="360" w:lineRule="exact"/>
        <w:ind w:firstLine="420" w:firstLineChars="200"/>
        <w:outlineLvl w:val="3"/>
        <w:rPr>
          <w:rFonts w:ascii="Arial" w:hAnsi="Arial" w:cs="Arial"/>
          <w:bCs/>
          <w:sz w:val="21"/>
          <w:szCs w:val="21"/>
        </w:rPr>
      </w:pPr>
      <w:r>
        <w:rPr>
          <w:rFonts w:hint="eastAsia" w:ascii="Arial" w:hAnsi="Arial" w:cs="Arial"/>
          <w:bCs/>
          <w:sz w:val="21"/>
          <w:szCs w:val="21"/>
        </w:rPr>
        <w:t>①</w:t>
      </w:r>
      <w:r>
        <w:rPr>
          <w:rFonts w:ascii="Arial" w:hAnsi="Arial" w:cs="Arial"/>
          <w:bCs/>
          <w:sz w:val="21"/>
          <w:szCs w:val="21"/>
        </w:rPr>
        <w:t>预售政策</w:t>
      </w:r>
      <w:r>
        <w:rPr>
          <w:rFonts w:hint="eastAsia" w:ascii="Arial" w:hAnsi="Arial" w:cs="Arial"/>
          <w:bCs/>
          <w:sz w:val="21"/>
          <w:szCs w:val="21"/>
        </w:rPr>
        <w:t>：</w:t>
      </w:r>
    </w:p>
    <w:p>
      <w:pPr>
        <w:pStyle w:val="16"/>
        <w:spacing w:line="360" w:lineRule="auto"/>
        <w:ind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高层住宅主体二分之一办理预售，洋房、别墅、多层住宅主体封顶办理预售</w:t>
      </w:r>
      <w:r>
        <w:rPr>
          <w:rFonts w:ascii="Arial" w:hAnsi="Arial" w:cs="Arial"/>
          <w:bCs/>
          <w:kern w:val="44"/>
          <w:szCs w:val="21"/>
        </w:rPr>
        <w:t>。</w:t>
      </w:r>
    </w:p>
    <w:p>
      <w:pPr>
        <w:spacing w:before="300" w:after="300" w:line="360" w:lineRule="exact"/>
        <w:ind w:firstLine="420" w:firstLineChars="200"/>
        <w:outlineLvl w:val="3"/>
        <w:rPr>
          <w:rFonts w:ascii="Arial" w:hAnsi="Arial" w:cs="Arial"/>
          <w:bCs/>
          <w:sz w:val="21"/>
          <w:szCs w:val="21"/>
        </w:rPr>
      </w:pPr>
      <w:r>
        <w:rPr>
          <w:rFonts w:hint="eastAsia" w:ascii="Arial" w:hAnsi="Arial" w:cs="Arial"/>
          <w:bCs/>
          <w:sz w:val="21"/>
          <w:szCs w:val="21"/>
        </w:rPr>
        <w:t>②</w:t>
      </w:r>
      <w:r>
        <w:rPr>
          <w:rFonts w:ascii="Arial" w:hAnsi="Arial" w:cs="Arial"/>
          <w:bCs/>
          <w:sz w:val="21"/>
          <w:szCs w:val="21"/>
        </w:rPr>
        <w:t>限</w:t>
      </w:r>
      <w:r>
        <w:rPr>
          <w:rFonts w:hint="eastAsia" w:ascii="Arial" w:hAnsi="Arial" w:cs="Arial"/>
          <w:bCs/>
          <w:sz w:val="21"/>
          <w:szCs w:val="21"/>
        </w:rPr>
        <w:t>贷</w:t>
      </w:r>
      <w:r>
        <w:rPr>
          <w:rFonts w:ascii="Arial" w:hAnsi="Arial" w:cs="Arial"/>
          <w:bCs/>
          <w:sz w:val="21"/>
          <w:szCs w:val="21"/>
        </w:rPr>
        <w:t>政策</w:t>
      </w:r>
      <w:r>
        <w:rPr>
          <w:rFonts w:hint="eastAsia" w:ascii="Arial" w:hAnsi="Arial" w:cs="Arial"/>
          <w:bCs/>
          <w:sz w:val="21"/>
          <w:szCs w:val="21"/>
        </w:rPr>
        <w:t>：</w:t>
      </w:r>
    </w:p>
    <w:p>
      <w:pPr>
        <w:spacing w:line="480" w:lineRule="auto"/>
        <w:ind w:firstLine="420" w:firstLineChars="200"/>
        <w:jc w:val="both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kern w:val="2"/>
          <w:sz w:val="21"/>
          <w:szCs w:val="21"/>
        </w:rPr>
        <w:t>1）</w:t>
      </w:r>
      <w:r>
        <w:rPr>
          <w:rFonts w:hint="eastAsia" w:ascii="Arial" w:hAnsi="Arial" w:cs="Arial"/>
          <w:kern w:val="2"/>
          <w:sz w:val="21"/>
          <w:szCs w:val="21"/>
        </w:rPr>
        <w:t>重庆户籍，最多同时申请两笔贷款，首套房贷款，首付三成，二套房贷款，首套已结清，首付三成；首套未结清，首付四成；三套房及以上贷款，前两套已结清，首付四成；有未结清贷款，拒贷；若使用公积金贷款或使用公积金</w:t>
      </w:r>
      <w:r>
        <w:rPr>
          <w:rFonts w:ascii="Arial" w:hAnsi="Arial" w:cs="Arial"/>
          <w:kern w:val="2"/>
          <w:sz w:val="21"/>
          <w:szCs w:val="21"/>
        </w:rPr>
        <w:t>+商业贷款的组合贷款方式，则只能在主城九区(渝中区、江北区、沙坪坝区、九龙坡区、大渡口区、南岸区、北碚区、渝北区、巴南区、两江新区)限贷一套，远郊区限贷两套</w:t>
      </w:r>
      <w:r>
        <w:rPr>
          <w:rFonts w:hint="eastAsia" w:ascii="Arial" w:hAnsi="Arial" w:cs="Arial"/>
          <w:kern w:val="2"/>
          <w:sz w:val="21"/>
          <w:szCs w:val="21"/>
        </w:rPr>
        <w:t>。</w:t>
      </w:r>
    </w:p>
    <w:p>
      <w:pPr>
        <w:pStyle w:val="16"/>
        <w:spacing w:after="0" w:line="480" w:lineRule="auto"/>
        <w:ind w:firstLineChars="200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szCs w:val="21"/>
        </w:rPr>
        <w:t>2）</w:t>
      </w:r>
      <w:r>
        <w:rPr>
          <w:rFonts w:hint="eastAsia" w:ascii="Arial" w:hAnsi="Arial" w:cs="Arial"/>
          <w:szCs w:val="21"/>
        </w:rPr>
        <w:t>非重庆户籍，最多贷款两套房；只要能提供一年以上社保证明，或在重庆经营公司满一年，能提供相关纳税证明，非重庆户籍也能贷款两套房（需在全国范围内没有或仅有一次申请住房贷款未结清记录，两次以上银行拒贷）</w:t>
      </w:r>
      <w:r>
        <w:rPr>
          <w:rFonts w:hint="eastAsia" w:ascii="Arial" w:hAnsi="Arial" w:cs="Arial"/>
          <w:color w:val="000000"/>
          <w:kern w:val="0"/>
          <w:szCs w:val="21"/>
        </w:rPr>
        <w:t>；贷款首付比例：首套房贷款，首付三成；二套房贷款，首套已结清，首付三成；首套未结清，首付四成；三套房及以上贷款，前两套已结清，首付四成；有未结清贷款，拒贷；如果申请异地公积金贷款，申请需入户重庆半年以上。</w:t>
      </w:r>
    </w:p>
    <w:p>
      <w:pPr>
        <w:pStyle w:val="16"/>
        <w:spacing w:after="0" w:line="480" w:lineRule="auto"/>
        <w:ind w:firstLineChars="200"/>
        <w:rPr>
          <w:rFonts w:ascii="Arial" w:hAnsi="Arial" w:cs="Arial"/>
          <w:color w:val="000000"/>
          <w:kern w:val="0"/>
          <w:szCs w:val="21"/>
        </w:rPr>
      </w:pPr>
      <w:r>
        <w:rPr>
          <w:rFonts w:hint="eastAsia" w:ascii="Arial" w:hAnsi="Arial" w:cs="Arial"/>
          <w:color w:val="000000"/>
          <w:kern w:val="0"/>
          <w:szCs w:val="21"/>
        </w:rPr>
        <w:t>3）在重庆市同时无户籍、无企业、无工作的个人新购首套及以上的普通住房，需缴纳房产税，税率为</w:t>
      </w:r>
      <w:r>
        <w:rPr>
          <w:rFonts w:ascii="Arial" w:hAnsi="Arial" w:cs="Arial"/>
          <w:color w:val="000000"/>
          <w:kern w:val="0"/>
          <w:szCs w:val="21"/>
        </w:rPr>
        <w:t>0.5%。房产税试点区域为主城九区 (</w:t>
      </w:r>
      <w:r>
        <w:rPr>
          <w:rFonts w:hint="eastAsia" w:ascii="Arial" w:hAnsi="Arial" w:cs="Arial"/>
          <w:color w:val="000000"/>
          <w:kern w:val="0"/>
          <w:szCs w:val="21"/>
        </w:rPr>
        <w:t>主城九区为</w:t>
      </w:r>
      <w:r>
        <w:rPr>
          <w:rFonts w:ascii="Arial" w:hAnsi="Arial" w:cs="Arial"/>
          <w:color w:val="000000"/>
          <w:kern w:val="0"/>
          <w:szCs w:val="21"/>
        </w:rPr>
        <w:t>渝中区、江北区、沙坪坝区、九龙坡区、大渡口区、南岸区、北碚区、渝北区、巴南区、两江新区)</w:t>
      </w:r>
      <w:r>
        <w:rPr>
          <w:rFonts w:hint="eastAsia" w:ascii="Arial" w:hAnsi="Arial" w:cs="Arial"/>
          <w:color w:val="000000"/>
          <w:kern w:val="0"/>
          <w:szCs w:val="21"/>
        </w:rPr>
        <w:t>。</w:t>
      </w:r>
    </w:p>
    <w:p>
      <w:pPr>
        <w:pStyle w:val="4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sz w:val="24"/>
          <w:szCs w:val="24"/>
        </w:rPr>
      </w:pPr>
      <w:r>
        <w:rPr>
          <w:rFonts w:hint="eastAsia" w:ascii="Arial" w:hAnsi="Arial" w:eastAsia="宋体" w:cs="Arial"/>
          <w:sz w:val="24"/>
          <w:szCs w:val="24"/>
        </w:rPr>
        <w:t>（</w:t>
      </w:r>
      <w:r>
        <w:rPr>
          <w:rFonts w:ascii="Arial" w:hAnsi="Arial" w:eastAsia="宋体" w:cs="Arial"/>
          <w:sz w:val="24"/>
          <w:szCs w:val="24"/>
        </w:rPr>
        <w:t>4</w:t>
      </w:r>
      <w:r>
        <w:rPr>
          <w:rFonts w:hint="eastAsia" w:ascii="Arial" w:hAnsi="Arial" w:eastAsia="宋体" w:cs="Arial"/>
          <w:sz w:val="24"/>
          <w:szCs w:val="24"/>
        </w:rPr>
        <w:t>）</w:t>
      </w:r>
      <w:r>
        <w:rPr>
          <w:rFonts w:ascii="Arial" w:hAnsi="Arial" w:eastAsia="宋体" w:cs="Arial"/>
          <w:sz w:val="24"/>
          <w:szCs w:val="24"/>
        </w:rPr>
        <w:t>按揭情况</w:t>
      </w:r>
    </w:p>
    <w:p>
      <w:pPr>
        <w:widowControl w:val="0"/>
        <w:adjustRightInd w:val="0"/>
        <w:snapToGrid w:val="0"/>
        <w:spacing w:before="326" w:beforeLines="100"/>
        <w:contextualSpacing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按揭行审批情况</w:t>
      </w:r>
    </w:p>
    <w:tbl>
      <w:tblPr>
        <w:tblStyle w:val="17"/>
        <w:tblpPr w:leftFromText="180" w:rightFromText="180" w:vertAnchor="text" w:tblpXSpec="center" w:tblpY="1"/>
        <w:tblOverlap w:val="never"/>
        <w:tblW w:w="4727" w:type="pct"/>
        <w:jc w:val="cente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61"/>
        <w:gridCol w:w="658"/>
        <w:gridCol w:w="1064"/>
        <w:gridCol w:w="658"/>
        <w:gridCol w:w="784"/>
        <w:gridCol w:w="543"/>
        <w:gridCol w:w="813"/>
        <w:gridCol w:w="1177"/>
        <w:gridCol w:w="952"/>
        <w:gridCol w:w="193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2" w:hRule="atLeast"/>
          <w:tblHeader/>
          <w:jc w:val="center"/>
        </w:trPr>
        <w:tc>
          <w:tcPr>
            <w:tcW w:w="30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合作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银行</w:t>
            </w:r>
          </w:p>
        </w:tc>
        <w:tc>
          <w:tcPr>
            <w:tcW w:w="36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签订协议日期</w:t>
            </w:r>
          </w:p>
        </w:tc>
        <w:tc>
          <w:tcPr>
            <w:tcW w:w="58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按揭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类型</w:t>
            </w:r>
          </w:p>
        </w:tc>
        <w:tc>
          <w:tcPr>
            <w:tcW w:w="1531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贷款政策</w:t>
            </w:r>
          </w:p>
        </w:tc>
        <w:tc>
          <w:tcPr>
            <w:tcW w:w="64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521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担保期间</w:t>
            </w:r>
          </w:p>
        </w:tc>
        <w:tc>
          <w:tcPr>
            <w:tcW w:w="10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累计已发放贷款（元）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（截至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月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8日）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3" w:hRule="atLeast"/>
          <w:tblHeader/>
          <w:jc w:val="center"/>
        </w:trPr>
        <w:tc>
          <w:tcPr>
            <w:tcW w:w="30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3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8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8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首套房</w:t>
            </w:r>
          </w:p>
        </w:tc>
        <w:tc>
          <w:tcPr>
            <w:tcW w:w="7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二套房</w:t>
            </w:r>
          </w:p>
        </w:tc>
        <w:tc>
          <w:tcPr>
            <w:tcW w:w="6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1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8" w:hRule="atLeast"/>
          <w:tblHeader/>
          <w:jc w:val="center"/>
        </w:trPr>
        <w:tc>
          <w:tcPr>
            <w:tcW w:w="30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3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8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首付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利率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首付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利率</w:t>
            </w:r>
          </w:p>
        </w:tc>
        <w:tc>
          <w:tcPr>
            <w:tcW w:w="6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1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8" w:hRule="atLeast"/>
          <w:jc w:val="center"/>
        </w:trPr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建行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商贷/公积金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3成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LPR+69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4成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LPR+80</w:t>
            </w:r>
          </w:p>
        </w:tc>
        <w:tc>
          <w:tcPr>
            <w:tcW w:w="6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无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0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right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175,355,000.00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工行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商贷/公积金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3成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LPR+69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4成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LPR+80</w:t>
            </w:r>
          </w:p>
        </w:tc>
        <w:tc>
          <w:tcPr>
            <w:tcW w:w="6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无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0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right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108,793,000.00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8" w:hRule="atLeast"/>
          <w:jc w:val="center"/>
        </w:trPr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民生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商贷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3成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LPR+69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4成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LPR+80</w:t>
            </w:r>
          </w:p>
        </w:tc>
        <w:tc>
          <w:tcPr>
            <w:tcW w:w="6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无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0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right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73,614,000.00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农商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商贷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3成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LPR+69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4成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LPR+80</w:t>
            </w:r>
          </w:p>
        </w:tc>
        <w:tc>
          <w:tcPr>
            <w:tcW w:w="6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无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0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72,135,000.00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" w:hRule="atLeast"/>
          <w:jc w:val="center"/>
        </w:trPr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农行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商贷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3成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LPR+69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4成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LPR+80</w:t>
            </w:r>
          </w:p>
        </w:tc>
        <w:tc>
          <w:tcPr>
            <w:tcW w:w="6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无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0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17,538,000.00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8" w:hRule="atLeast"/>
          <w:jc w:val="center"/>
        </w:trPr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中行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商贷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3成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LPR+69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4成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LPR+80</w:t>
            </w:r>
          </w:p>
        </w:tc>
        <w:tc>
          <w:tcPr>
            <w:tcW w:w="6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无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0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4,649,000.00</w:t>
            </w:r>
          </w:p>
        </w:tc>
      </w:tr>
    </w:tbl>
    <w:p>
      <w:pPr>
        <w:pStyle w:val="4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sz w:val="24"/>
          <w:szCs w:val="24"/>
        </w:rPr>
      </w:pPr>
      <w:r>
        <w:rPr>
          <w:rFonts w:hint="eastAsia" w:ascii="Arial" w:hAnsi="Arial" w:eastAsia="宋体" w:cs="Arial"/>
          <w:sz w:val="24"/>
          <w:szCs w:val="24"/>
        </w:rPr>
        <w:t>（</w:t>
      </w:r>
      <w:r>
        <w:rPr>
          <w:rFonts w:ascii="Arial" w:hAnsi="Arial" w:eastAsia="宋体" w:cs="Arial"/>
          <w:sz w:val="24"/>
          <w:szCs w:val="24"/>
        </w:rPr>
        <w:t>5</w:t>
      </w:r>
      <w:r>
        <w:rPr>
          <w:rFonts w:hint="eastAsia" w:ascii="Arial" w:hAnsi="Arial" w:eastAsia="宋体" w:cs="Arial"/>
          <w:sz w:val="24"/>
          <w:szCs w:val="24"/>
        </w:rPr>
        <w:t>）</w:t>
      </w:r>
      <w:r>
        <w:rPr>
          <w:rFonts w:ascii="Arial" w:hAnsi="Arial" w:eastAsia="宋体" w:cs="Arial"/>
          <w:sz w:val="24"/>
          <w:szCs w:val="24"/>
        </w:rPr>
        <w:t>周边竞品楼盘情况</w:t>
      </w:r>
    </w:p>
    <w:p>
      <w:pPr>
        <w:widowControl w:val="0"/>
        <w:adjustRightInd w:val="0"/>
        <w:snapToGrid w:val="0"/>
        <w:spacing w:before="326" w:beforeLines="100"/>
        <w:contextualSpacing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项目周边竞品情况</w:t>
      </w:r>
    </w:p>
    <w:tbl>
      <w:tblPr>
        <w:tblStyle w:val="17"/>
        <w:tblW w:w="46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1199"/>
        <w:gridCol w:w="859"/>
        <w:gridCol w:w="1400"/>
        <w:gridCol w:w="2360"/>
        <w:gridCol w:w="24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楼盘名</w:t>
            </w: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开盘时间</w:t>
            </w:r>
          </w:p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（首次）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容积率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建筑面积</w:t>
            </w:r>
          </w:p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（万㎡）</w:t>
            </w:r>
          </w:p>
        </w:tc>
        <w:tc>
          <w:tcPr>
            <w:tcW w:w="12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物业类型：</w:t>
            </w:r>
          </w:p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售价（元/㎡）</w:t>
            </w:r>
          </w:p>
        </w:tc>
        <w:tc>
          <w:tcPr>
            <w:tcW w:w="1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车距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去化情况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南溪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绿郡</w:t>
            </w: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2014-03-28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12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二手房：</w:t>
            </w:r>
          </w:p>
          <w:p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高层/毛坯：7,500</w:t>
            </w:r>
          </w:p>
        </w:tc>
        <w:tc>
          <w:tcPr>
            <w:tcW w:w="1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0.2km</w:t>
            </w:r>
          </w:p>
          <w:p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2016年5月售罄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新科城市广场</w:t>
            </w: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2014-12-27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2.8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二手房：</w:t>
            </w:r>
          </w:p>
          <w:p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高层/毛坯：8,500</w:t>
            </w:r>
          </w:p>
        </w:tc>
        <w:tc>
          <w:tcPr>
            <w:tcW w:w="1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1.2km</w:t>
            </w:r>
          </w:p>
          <w:p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2016年6月售罄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翡丽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锦悦</w:t>
            </w: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2019-01-04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2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高层／毛坯：9,000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洋房/毛坯：10,500</w:t>
            </w:r>
          </w:p>
        </w:tc>
        <w:tc>
          <w:tcPr>
            <w:tcW w:w="1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1.7km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月去化20套</w:t>
            </w:r>
          </w:p>
          <w:p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去化率30%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  <w:jc w:val="center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御华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兰亭</w:t>
            </w: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2019-04-04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2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高层／毛坯：9,400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洋房/毛坯：11,000</w:t>
            </w:r>
          </w:p>
        </w:tc>
        <w:tc>
          <w:tcPr>
            <w:tcW w:w="1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3.3km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月去化110套</w:t>
            </w:r>
          </w:p>
          <w:p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去化率22%</w:t>
            </w:r>
          </w:p>
        </w:tc>
      </w:tr>
    </w:tbl>
    <w:p>
      <w:pPr>
        <w:rPr>
          <w:rFonts w:hint="eastAsia"/>
        </w:rPr>
      </w:pPr>
      <w:bookmarkStart w:id="4" w:name="_Toc22047"/>
    </w:p>
    <w:p>
      <w:pPr>
        <w:pStyle w:val="4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sz w:val="24"/>
          <w:szCs w:val="24"/>
        </w:rPr>
      </w:pPr>
      <w:r>
        <w:rPr>
          <w:rFonts w:ascii="Arial" w:hAnsi="Arial" w:eastAsia="宋体" w:cs="Arial"/>
          <w:sz w:val="24"/>
          <w:szCs w:val="24"/>
        </w:rPr>
        <w:t>3</w:t>
      </w:r>
      <w:r>
        <w:rPr>
          <w:rFonts w:hint="eastAsia" w:ascii="Arial" w:hAnsi="Arial" w:eastAsia="宋体" w:cs="Arial"/>
          <w:sz w:val="24"/>
          <w:szCs w:val="24"/>
        </w:rPr>
        <w:t>、项目开发进展情况</w:t>
      </w:r>
      <w:bookmarkEnd w:id="4"/>
    </w:p>
    <w:p>
      <w:pPr>
        <w:pStyle w:val="4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sz w:val="24"/>
          <w:szCs w:val="24"/>
        </w:rPr>
      </w:pPr>
      <w:r>
        <w:rPr>
          <w:rFonts w:hint="eastAsia" w:ascii="Arial" w:hAnsi="Arial" w:eastAsia="宋体" w:cs="Arial"/>
          <w:sz w:val="24"/>
          <w:szCs w:val="24"/>
        </w:rPr>
        <w:t>（</w:t>
      </w:r>
      <w:r>
        <w:rPr>
          <w:rFonts w:ascii="Arial" w:hAnsi="Arial" w:eastAsia="宋体" w:cs="Arial"/>
          <w:sz w:val="24"/>
          <w:szCs w:val="24"/>
        </w:rPr>
        <w:t>1</w:t>
      </w:r>
      <w:r>
        <w:rPr>
          <w:rFonts w:hint="eastAsia" w:ascii="Arial" w:hAnsi="Arial" w:eastAsia="宋体" w:cs="Arial"/>
          <w:sz w:val="24"/>
          <w:szCs w:val="24"/>
        </w:rPr>
        <w:t>）</w:t>
      </w:r>
      <w:r>
        <w:rPr>
          <w:rFonts w:ascii="Arial" w:hAnsi="Arial" w:eastAsia="宋体" w:cs="Arial"/>
          <w:sz w:val="24"/>
          <w:szCs w:val="24"/>
        </w:rPr>
        <w:t>项目基本情况</w:t>
      </w:r>
    </w:p>
    <w:p>
      <w:pPr>
        <w:spacing w:line="480" w:lineRule="auto"/>
        <w:ind w:firstLine="420" w:firstLineChars="200"/>
        <w:rPr>
          <w:rFonts w:ascii="Arial" w:hAnsi="Arial" w:cs="Arial"/>
          <w:color w:val="FF0000"/>
          <w:sz w:val="21"/>
          <w:szCs w:val="21"/>
        </w:rPr>
      </w:pPr>
      <w:r>
        <w:rPr>
          <w:rFonts w:hint="eastAsia" w:ascii="Arial" w:hAnsi="Arial" w:cs="Arial"/>
          <w:color w:val="FF0000"/>
          <w:sz w:val="21"/>
          <w:szCs w:val="21"/>
        </w:rPr>
        <w:t xml:space="preserve"> 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重庆恒大锦城项目位于重庆市巴南区界石片区，东至现状路，南至渝湘高速，西至兰海高速，北至石辰路。距重庆市政府车距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26.6km，距巴南区政府车距11.3km，距界石镇政府车距1.8km，距主商业中心（观音桥）车距27.9km，距巴南万达广场车距10.9km，距离恒大城车距13.9km，距离恒大御景湾车距15.6km，距离恒大新城车距16.7km。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地块占地约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23.9万㎡，折合358.2亩，二类居住用地，容积率1.96，总计容面积约46.7万㎡，限高60m-100m。</w:t>
      </w:r>
    </w:p>
    <w:p>
      <w:pPr>
        <w:pStyle w:val="12"/>
        <w:spacing w:line="480" w:lineRule="auto"/>
        <w:ind w:left="480"/>
        <w:rPr>
          <w:rFonts w:ascii="Arial" w:hAnsi="Arial" w:eastAsia="宋体" w:cs="Arial"/>
          <w:sz w:val="21"/>
          <w:szCs w:val="21"/>
        </w:rPr>
      </w:pPr>
      <w:r>
        <w:rPr>
          <w:rFonts w:ascii="Arial" w:hAnsi="Arial" w:eastAsia="宋体" w:cs="Arial"/>
          <w:sz w:val="21"/>
          <w:szCs w:val="21"/>
        </w:rPr>
        <w:t>施工总承包： 中国航天技术国际工程有限公司</w:t>
      </w:r>
    </w:p>
    <w:p>
      <w:pPr>
        <w:pStyle w:val="12"/>
        <w:spacing w:line="480" w:lineRule="auto"/>
        <w:ind w:left="480"/>
        <w:rPr>
          <w:rFonts w:ascii="Arial" w:hAnsi="Arial" w:eastAsia="宋体" w:cs="Arial"/>
          <w:sz w:val="21"/>
          <w:szCs w:val="21"/>
        </w:rPr>
      </w:pPr>
      <w:r>
        <w:rPr>
          <w:rFonts w:ascii="Arial" w:hAnsi="Arial" w:eastAsia="宋体" w:cs="Arial"/>
          <w:sz w:val="21"/>
          <w:szCs w:val="21"/>
        </w:rPr>
        <w:t>监理单位：</w:t>
      </w:r>
      <w:r>
        <w:rPr>
          <w:rFonts w:hint="eastAsia" w:ascii="Arial" w:hAnsi="Arial" w:eastAsia="宋体" w:cs="Arial"/>
          <w:sz w:val="21"/>
          <w:szCs w:val="21"/>
        </w:rPr>
        <w:t xml:space="preserve"> 广州市恒合工程监理有限公司</w:t>
      </w:r>
    </w:p>
    <w:p>
      <w:pPr>
        <w:pStyle w:val="4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sz w:val="24"/>
          <w:szCs w:val="24"/>
        </w:rPr>
      </w:pPr>
      <w:r>
        <w:rPr>
          <w:rFonts w:hint="eastAsia" w:ascii="Arial" w:hAnsi="Arial" w:eastAsia="宋体" w:cs="Arial"/>
          <w:sz w:val="24"/>
          <w:szCs w:val="24"/>
        </w:rPr>
        <w:t>（</w:t>
      </w:r>
      <w:r>
        <w:rPr>
          <w:rFonts w:ascii="Arial" w:hAnsi="Arial" w:eastAsia="宋体" w:cs="Arial"/>
          <w:sz w:val="24"/>
          <w:szCs w:val="24"/>
        </w:rPr>
        <w:t>2</w:t>
      </w:r>
      <w:r>
        <w:rPr>
          <w:rFonts w:hint="eastAsia" w:ascii="Arial" w:hAnsi="Arial" w:eastAsia="宋体" w:cs="Arial"/>
          <w:sz w:val="24"/>
          <w:szCs w:val="24"/>
        </w:rPr>
        <w:t>）</w:t>
      </w:r>
      <w:r>
        <w:rPr>
          <w:rFonts w:ascii="Arial" w:hAnsi="Arial" w:eastAsia="宋体" w:cs="Arial"/>
          <w:sz w:val="24"/>
          <w:szCs w:val="24"/>
        </w:rPr>
        <w:t>工程进度情况</w:t>
      </w:r>
    </w:p>
    <w:p>
      <w:pPr>
        <w:spacing w:line="48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年后</w:t>
      </w:r>
      <w:r>
        <w:rPr>
          <w:rFonts w:hint="eastAsia"/>
          <w:sz w:val="21"/>
          <w:szCs w:val="21"/>
        </w:rPr>
        <w:t>工人尚未</w:t>
      </w:r>
      <w:r>
        <w:rPr>
          <w:rFonts w:hint="eastAsia"/>
          <w:sz w:val="21"/>
          <w:szCs w:val="21"/>
          <w:lang w:val="en-US" w:eastAsia="zh-CN"/>
        </w:rPr>
        <w:t>复</w:t>
      </w:r>
      <w:r>
        <w:rPr>
          <w:rFonts w:hint="eastAsia"/>
          <w:sz w:val="21"/>
          <w:szCs w:val="21"/>
        </w:rPr>
        <w:t>工</w:t>
      </w:r>
      <w:r>
        <w:rPr>
          <w:rFonts w:ascii="Arial" w:hAnsi="Arial" w:cs="Arial"/>
          <w:sz w:val="21"/>
          <w:szCs w:val="21"/>
        </w:rPr>
        <w:t>，工程进度</w:t>
      </w:r>
      <w:r>
        <w:rPr>
          <w:rFonts w:hint="eastAsia" w:ascii="Arial" w:hAnsi="Arial" w:cs="Arial"/>
          <w:sz w:val="21"/>
          <w:szCs w:val="21"/>
        </w:rPr>
        <w:t>及图片尚未更新</w:t>
      </w:r>
      <w:r>
        <w:rPr>
          <w:rFonts w:hint="eastAsia"/>
          <w:sz w:val="21"/>
          <w:szCs w:val="21"/>
        </w:rPr>
        <w:t>。</w:t>
      </w:r>
    </w:p>
    <w:p>
      <w:pPr>
        <w:spacing w:before="326" w:beforeLines="100"/>
        <w:jc w:val="center"/>
        <w:rPr>
          <w:rFonts w:ascii="Arial" w:hAnsi="Arial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项目工程施工情况表</w:t>
      </w:r>
    </w:p>
    <w:tbl>
      <w:tblPr>
        <w:tblStyle w:val="17"/>
        <w:tblW w:w="4144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"/>
        <w:gridCol w:w="1100"/>
        <w:gridCol w:w="1567"/>
        <w:gridCol w:w="2681"/>
        <w:gridCol w:w="194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5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67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楼栋号</w:t>
            </w:r>
          </w:p>
        </w:tc>
        <w:tc>
          <w:tcPr>
            <w:tcW w:w="95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业态</w:t>
            </w:r>
          </w:p>
        </w:tc>
        <w:tc>
          <w:tcPr>
            <w:tcW w:w="164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形象进度</w:t>
            </w:r>
          </w:p>
        </w:tc>
        <w:tc>
          <w:tcPr>
            <w:tcW w:w="11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合同交楼时间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销售中心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完工</w:t>
            </w:r>
          </w:p>
        </w:tc>
        <w:tc>
          <w:tcPr>
            <w:tcW w:w="1187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2023-05-31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综合楼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开荒保洁完成，移交物业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商业（1F）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广告位装饰完成90%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结构封顶，砌体完成20%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结构封顶，砌体完成60%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结构封顶，砌体完成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结构封顶，砌体完成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结构封顶，砌体完成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4#车库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地下室一层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主体结构完成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一层顶板浇筑完成</w:t>
            </w:r>
          </w:p>
        </w:tc>
        <w:tc>
          <w:tcPr>
            <w:tcW w:w="1187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2023-05-31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正负零层浇筑完成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一层顶板浇筑完成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五层顶板浇筑完成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正负零层浇筑完成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5#车库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负一层、负二层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结构施工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五层顶板浇筑完成</w:t>
            </w:r>
          </w:p>
        </w:tc>
        <w:tc>
          <w:tcPr>
            <w:tcW w:w="1187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2023-05-31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小高层（9F/-2F)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二层顶板浇筑完成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商业、社区用房（1F）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6#车库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负一层、负二层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主体结构完成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五层顶板浇筑完成</w:t>
            </w:r>
          </w:p>
        </w:tc>
        <w:tc>
          <w:tcPr>
            <w:tcW w:w="1187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2023-05-31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一层顶板浇筑完成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7#车库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负一层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结构施工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2023-10-30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商业、社区用房（3F）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土方完成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五层结构完成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主体结构封顶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2#车库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负一层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车库结构施工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基础放线</w:t>
            </w:r>
          </w:p>
        </w:tc>
        <w:tc>
          <w:tcPr>
            <w:tcW w:w="1187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基础放线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桩基完成浇筑；浅基础未施工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基础放线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商业、社区用房（3F）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桩基完成60%；浅基础未施工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浅基础开挖完成80%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浅基础开挖完成80%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基础放线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基础放线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基础放线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浅基础完成20%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基础放线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1#车库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负一层</w:t>
            </w:r>
          </w:p>
        </w:tc>
        <w:tc>
          <w:tcPr>
            <w:tcW w:w="1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基础开挖5%</w:t>
            </w:r>
          </w:p>
        </w:tc>
        <w:tc>
          <w:tcPr>
            <w:tcW w:w="118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土石方完成90%.剩余区域需完成永久支护继续施工。</w:t>
            </w: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洋房（7F/-1F)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小高层（9F/-1F)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小高层（9F/-2F)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85#</w:t>
            </w:r>
          </w:p>
        </w:tc>
        <w:tc>
          <w:tcPr>
            <w:tcW w:w="9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小高层（9F/-3F)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67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3#车库</w:t>
            </w:r>
          </w:p>
        </w:tc>
        <w:tc>
          <w:tcPr>
            <w:tcW w:w="95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负一层</w:t>
            </w:r>
          </w:p>
        </w:tc>
        <w:tc>
          <w:tcPr>
            <w:tcW w:w="164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>
      <w:pPr>
        <w:spacing w:line="360" w:lineRule="auto"/>
        <w:rPr>
          <w:rFonts w:hint="eastAsia" w:ascii="Arial" w:hAnsi="Arial" w:cs="Arial"/>
          <w:b/>
          <w:kern w:val="44"/>
          <w:sz w:val="21"/>
          <w:szCs w:val="21"/>
        </w:rPr>
      </w:pPr>
    </w:p>
    <w:p>
      <w:pPr>
        <w:spacing w:line="360" w:lineRule="auto"/>
        <w:jc w:val="center"/>
        <w:rPr>
          <w:rFonts w:ascii="Arial" w:hAnsi="Arial" w:cs="Arial"/>
          <w:b/>
          <w:bCs/>
          <w:szCs w:val="21"/>
        </w:rPr>
      </w:pPr>
      <w:r>
        <w:rPr>
          <w:sz w:val="18"/>
          <w:szCs w:val="18"/>
        </w:rPr>
        <w:drawing>
          <wp:inline distT="0" distB="0" distL="0" distR="0">
            <wp:extent cx="5213350" cy="3227705"/>
            <wp:effectExtent l="0" t="0" r="635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  <w:b/>
          <w:bCs/>
          <w:sz w:val="21"/>
          <w:szCs w:val="21"/>
        </w:rPr>
      </w:pPr>
      <w:r>
        <w:rPr>
          <w:rFonts w:hint="eastAsia" w:ascii="Arial" w:hAnsi="Arial" w:cs="Arial"/>
          <w:b/>
          <w:bCs/>
          <w:sz w:val="21"/>
          <w:szCs w:val="21"/>
        </w:rPr>
        <w:t>标的项目现场图片</w:t>
      </w:r>
    </w:p>
    <w:p>
      <w:pPr>
        <w:pStyle w:val="4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sz w:val="24"/>
          <w:szCs w:val="24"/>
        </w:rPr>
      </w:pPr>
      <w:bookmarkStart w:id="5" w:name="_Toc10824_WPSOffice_Level2"/>
      <w:bookmarkStart w:id="6" w:name="_Toc3978"/>
      <w:bookmarkStart w:id="7" w:name="_Toc13827_WPSOffice_Level2"/>
      <w:bookmarkStart w:id="8" w:name="_Toc19646"/>
      <w:bookmarkStart w:id="9" w:name="_Toc12021_WPSOffice_Level2"/>
      <w:bookmarkStart w:id="10" w:name="_Toc520900435"/>
      <w:bookmarkStart w:id="11" w:name="_Toc23324570"/>
      <w:r>
        <w:rPr>
          <w:rFonts w:ascii="Arial" w:hAnsi="Arial" w:eastAsia="宋体" w:cs="Arial"/>
          <w:sz w:val="24"/>
          <w:szCs w:val="24"/>
        </w:rPr>
        <w:t>4</w:t>
      </w:r>
      <w:r>
        <w:rPr>
          <w:rFonts w:hint="eastAsia" w:ascii="Arial" w:hAnsi="Arial" w:eastAsia="宋体" w:cs="Arial"/>
          <w:sz w:val="24"/>
          <w:szCs w:val="24"/>
        </w:rPr>
        <w:t>、</w:t>
      </w:r>
      <w:r>
        <w:rPr>
          <w:rFonts w:ascii="Arial" w:hAnsi="Arial" w:eastAsia="宋体" w:cs="Arial"/>
          <w:sz w:val="24"/>
          <w:szCs w:val="24"/>
        </w:rPr>
        <w:t>资金使用情况</w:t>
      </w:r>
      <w:bookmarkEnd w:id="5"/>
      <w:bookmarkEnd w:id="6"/>
      <w:bookmarkEnd w:id="7"/>
      <w:bookmarkEnd w:id="8"/>
      <w:bookmarkEnd w:id="9"/>
      <w:bookmarkEnd w:id="10"/>
      <w:bookmarkEnd w:id="11"/>
      <w:bookmarkStart w:id="12" w:name="_Toc11621_WPSOffice_Level2"/>
      <w:bookmarkStart w:id="13" w:name="_Toc31803_WPSOffice_Level2"/>
      <w:bookmarkStart w:id="14" w:name="_Toc25204_WPSOffice_Level2"/>
      <w:r>
        <w:rPr>
          <w:rFonts w:ascii="Arial" w:hAnsi="Arial" w:eastAsia="宋体" w:cs="Arial"/>
          <w:sz w:val="24"/>
          <w:szCs w:val="24"/>
        </w:rPr>
        <w:t xml:space="preserve"> </w:t>
      </w:r>
      <w:bookmarkEnd w:id="12"/>
      <w:bookmarkEnd w:id="13"/>
      <w:bookmarkEnd w:id="14"/>
    </w:p>
    <w:p>
      <w:pPr>
        <w:spacing w:before="326" w:beforeLines="100"/>
        <w:jc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ascii="Arial" w:hAnsi="Arial" w:cs="Arial"/>
          <w:b/>
          <w:bCs/>
          <w:color w:val="000000"/>
          <w:szCs w:val="21"/>
        </w:rPr>
        <w:t>项目公司本期账户余额变动情况</w:t>
      </w:r>
    </w:p>
    <w:tbl>
      <w:tblPr>
        <w:tblStyle w:val="1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"/>
        <w:gridCol w:w="1500"/>
        <w:gridCol w:w="1380"/>
        <w:gridCol w:w="1130"/>
        <w:gridCol w:w="1460"/>
        <w:gridCol w:w="1470"/>
        <w:gridCol w:w="1340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tblHeader/>
          <w:jc w:val="center"/>
        </w:trPr>
        <w:tc>
          <w:tcPr>
            <w:tcW w:w="318" w:type="pct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bookmarkStart w:id="15" w:name="_Hlk48860262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761" w:type="pct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银行名称</w:t>
            </w:r>
          </w:p>
        </w:tc>
        <w:tc>
          <w:tcPr>
            <w:tcW w:w="700" w:type="pct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573" w:type="pct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账户性质</w:t>
            </w:r>
          </w:p>
        </w:tc>
        <w:tc>
          <w:tcPr>
            <w:tcW w:w="740" w:type="pct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上期余额（元）</w:t>
            </w:r>
          </w:p>
        </w:tc>
        <w:tc>
          <w:tcPr>
            <w:tcW w:w="745" w:type="pct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本期余额（元）</w:t>
            </w:r>
          </w:p>
        </w:tc>
        <w:tc>
          <w:tcPr>
            <w:tcW w:w="679" w:type="pct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变动金额（元）</w:t>
            </w:r>
          </w:p>
        </w:tc>
        <w:tc>
          <w:tcPr>
            <w:tcW w:w="480" w:type="pct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变动原因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7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浙商银行重庆分行营业部</w:t>
            </w:r>
          </w:p>
        </w:tc>
        <w:tc>
          <w:tcPr>
            <w:tcW w:w="7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6530000010120100645008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预售资金监管账户</w:t>
            </w:r>
          </w:p>
        </w:tc>
        <w:tc>
          <w:tcPr>
            <w:tcW w:w="7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110,340,951.81</w:t>
            </w:r>
          </w:p>
        </w:tc>
        <w:tc>
          <w:tcPr>
            <w:tcW w:w="7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111,718,922.81</w:t>
            </w:r>
          </w:p>
        </w:tc>
        <w:tc>
          <w:tcPr>
            <w:tcW w:w="6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1,377,971.00</w:t>
            </w:r>
          </w:p>
        </w:tc>
        <w:tc>
          <w:tcPr>
            <w:tcW w:w="4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购房款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  <w:jc w:val="center"/>
        </w:trPr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浙商银行重庆分行营业部</w:t>
            </w:r>
          </w:p>
        </w:tc>
        <w:tc>
          <w:tcPr>
            <w:tcW w:w="7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6530000010120100655750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预售资金监管账户</w:t>
            </w:r>
          </w:p>
        </w:tc>
        <w:tc>
          <w:tcPr>
            <w:tcW w:w="7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3,170,027.00</w:t>
            </w:r>
          </w:p>
        </w:tc>
        <w:tc>
          <w:tcPr>
            <w:tcW w:w="7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3,418,157.00</w:t>
            </w:r>
          </w:p>
        </w:tc>
        <w:tc>
          <w:tcPr>
            <w:tcW w:w="6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248,130.00</w:t>
            </w:r>
          </w:p>
        </w:tc>
        <w:tc>
          <w:tcPr>
            <w:tcW w:w="4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购房款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中国农业银行重庆渝北支行</w:t>
            </w:r>
          </w:p>
        </w:tc>
        <w:tc>
          <w:tcPr>
            <w:tcW w:w="7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31110201040014855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预售资金监管账户</w:t>
            </w:r>
          </w:p>
        </w:tc>
        <w:tc>
          <w:tcPr>
            <w:tcW w:w="7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9,173,740.00</w:t>
            </w:r>
          </w:p>
        </w:tc>
        <w:tc>
          <w:tcPr>
            <w:tcW w:w="7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11,950,650.44</w:t>
            </w:r>
          </w:p>
        </w:tc>
        <w:tc>
          <w:tcPr>
            <w:tcW w:w="6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2,776,910.44</w:t>
            </w:r>
          </w:p>
        </w:tc>
        <w:tc>
          <w:tcPr>
            <w:tcW w:w="4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资金归集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atLeast"/>
          <w:jc w:val="center"/>
        </w:trPr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中国建设银行股份有限公司重庆中山路支行</w:t>
            </w:r>
          </w:p>
        </w:tc>
        <w:tc>
          <w:tcPr>
            <w:tcW w:w="7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50050100414100002555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一般户</w:t>
            </w:r>
          </w:p>
        </w:tc>
        <w:tc>
          <w:tcPr>
            <w:tcW w:w="7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8,719,719.20</w:t>
            </w:r>
          </w:p>
        </w:tc>
        <w:tc>
          <w:tcPr>
            <w:tcW w:w="7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9,594,313.00</w:t>
            </w:r>
          </w:p>
        </w:tc>
        <w:tc>
          <w:tcPr>
            <w:tcW w:w="6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874,593.80</w:t>
            </w:r>
          </w:p>
        </w:tc>
        <w:tc>
          <w:tcPr>
            <w:tcW w:w="4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购房款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中国银行重庆自由贸易试验区解放碑支行</w:t>
            </w:r>
          </w:p>
        </w:tc>
        <w:tc>
          <w:tcPr>
            <w:tcW w:w="7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111671396940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一般户</w:t>
            </w:r>
          </w:p>
        </w:tc>
        <w:tc>
          <w:tcPr>
            <w:tcW w:w="7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600,334.32</w:t>
            </w:r>
          </w:p>
        </w:tc>
        <w:tc>
          <w:tcPr>
            <w:tcW w:w="7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333.32</w:t>
            </w:r>
          </w:p>
        </w:tc>
        <w:tc>
          <w:tcPr>
            <w:tcW w:w="6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-600,001.00</w:t>
            </w:r>
          </w:p>
        </w:tc>
        <w:tc>
          <w:tcPr>
            <w:tcW w:w="4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资金归集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7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重庆农村商业银行九龙坡支行九龙分理处</w:t>
            </w:r>
          </w:p>
        </w:tc>
        <w:tc>
          <w:tcPr>
            <w:tcW w:w="7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0401110120010020041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一般户</w:t>
            </w:r>
          </w:p>
        </w:tc>
        <w:tc>
          <w:tcPr>
            <w:tcW w:w="7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1,488,143.33</w:t>
            </w:r>
          </w:p>
        </w:tc>
        <w:tc>
          <w:tcPr>
            <w:tcW w:w="7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597,010.53</w:t>
            </w:r>
          </w:p>
        </w:tc>
        <w:tc>
          <w:tcPr>
            <w:tcW w:w="6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-891,132.80</w:t>
            </w:r>
          </w:p>
        </w:tc>
        <w:tc>
          <w:tcPr>
            <w:tcW w:w="4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资金归集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7</w:t>
            </w:r>
          </w:p>
        </w:tc>
        <w:tc>
          <w:tcPr>
            <w:tcW w:w="7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工商银行重庆九龙坡杨 家坪支行</w:t>
            </w:r>
          </w:p>
        </w:tc>
        <w:tc>
          <w:tcPr>
            <w:tcW w:w="7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3100087019200271865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一般户</w:t>
            </w:r>
          </w:p>
        </w:tc>
        <w:tc>
          <w:tcPr>
            <w:tcW w:w="7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5,206,260.74</w:t>
            </w:r>
          </w:p>
        </w:tc>
        <w:tc>
          <w:tcPr>
            <w:tcW w:w="7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916,987.38</w:t>
            </w:r>
          </w:p>
        </w:tc>
        <w:tc>
          <w:tcPr>
            <w:tcW w:w="6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-4,289,273.36</w:t>
            </w:r>
          </w:p>
        </w:tc>
        <w:tc>
          <w:tcPr>
            <w:tcW w:w="4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资金归集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8</w:t>
            </w:r>
          </w:p>
        </w:tc>
        <w:tc>
          <w:tcPr>
            <w:tcW w:w="7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民生银行重庆北部新区支行</w:t>
            </w:r>
          </w:p>
        </w:tc>
        <w:tc>
          <w:tcPr>
            <w:tcW w:w="7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632315625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一般户</w:t>
            </w:r>
          </w:p>
        </w:tc>
        <w:tc>
          <w:tcPr>
            <w:tcW w:w="7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3,572,190.45</w:t>
            </w:r>
          </w:p>
        </w:tc>
        <w:tc>
          <w:tcPr>
            <w:tcW w:w="7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5,190.45</w:t>
            </w:r>
          </w:p>
        </w:tc>
        <w:tc>
          <w:tcPr>
            <w:tcW w:w="6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-3,567,000.00</w:t>
            </w:r>
          </w:p>
        </w:tc>
        <w:tc>
          <w:tcPr>
            <w:tcW w:w="4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资金归集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</w:t>
            </w:r>
          </w:p>
        </w:tc>
        <w:tc>
          <w:tcPr>
            <w:tcW w:w="7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兴业银行重庆观音桥支行</w:t>
            </w:r>
          </w:p>
        </w:tc>
        <w:tc>
          <w:tcPr>
            <w:tcW w:w="7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346110100100535816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一般户</w:t>
            </w:r>
          </w:p>
        </w:tc>
        <w:tc>
          <w:tcPr>
            <w:tcW w:w="7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ordWrap w:val="0"/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-</w:t>
            </w:r>
          </w:p>
        </w:tc>
      </w:tr>
      <w:bookmarkEnd w:id="15"/>
    </w:tbl>
    <w:p>
      <w:pPr>
        <w:pStyle w:val="2"/>
        <w:spacing w:before="300" w:after="300" w:line="360" w:lineRule="exact"/>
        <w:jc w:val="left"/>
        <w:rPr>
          <w:rStyle w:val="36"/>
          <w:rFonts w:ascii="Arial" w:hAnsi="Arial" w:eastAsia="宋体" w:cs="Arial"/>
          <w:b/>
          <w:bCs w:val="0"/>
          <w:sz w:val="24"/>
          <w:szCs w:val="24"/>
        </w:rPr>
      </w:pPr>
      <w:bookmarkStart w:id="16" w:name="_Toc3095"/>
      <w:r>
        <w:rPr>
          <w:rStyle w:val="36"/>
          <w:rFonts w:hint="eastAsia" w:ascii="Arial" w:hAnsi="Arial" w:eastAsia="宋体" w:cs="Arial"/>
          <w:b/>
          <w:bCs w:val="0"/>
          <w:sz w:val="24"/>
          <w:szCs w:val="24"/>
        </w:rPr>
        <w:t>二</w:t>
      </w:r>
      <w:r>
        <w:rPr>
          <w:rStyle w:val="36"/>
          <w:rFonts w:ascii="Arial" w:hAnsi="Arial" w:eastAsia="宋体" w:cs="Arial"/>
          <w:b/>
          <w:bCs w:val="0"/>
          <w:sz w:val="24"/>
          <w:szCs w:val="24"/>
        </w:rPr>
        <w:t>、项目评价</w:t>
      </w:r>
      <w:bookmarkEnd w:id="16"/>
    </w:p>
    <w:p>
      <w:pPr>
        <w:pStyle w:val="2"/>
        <w:spacing w:before="300" w:after="300" w:line="360" w:lineRule="exact"/>
        <w:jc w:val="left"/>
        <w:rPr>
          <w:rStyle w:val="36"/>
          <w:rFonts w:ascii="Arial" w:hAnsi="Arial" w:eastAsia="宋体" w:cs="Arial"/>
          <w:b/>
          <w:bCs w:val="0"/>
          <w:sz w:val="24"/>
          <w:szCs w:val="24"/>
        </w:rPr>
      </w:pPr>
      <w:bookmarkStart w:id="17" w:name="_Toc19482"/>
      <w:r>
        <w:rPr>
          <w:rStyle w:val="36"/>
          <w:rFonts w:hint="eastAsia" w:ascii="Arial" w:hAnsi="Arial" w:eastAsia="宋体" w:cs="Arial"/>
          <w:b/>
          <w:bCs w:val="0"/>
          <w:sz w:val="24"/>
          <w:szCs w:val="24"/>
        </w:rPr>
        <w:t>1、</w:t>
      </w:r>
      <w:r>
        <w:rPr>
          <w:rStyle w:val="36"/>
          <w:rFonts w:ascii="Arial" w:hAnsi="Arial" w:eastAsia="宋体" w:cs="Arial"/>
          <w:b/>
          <w:bCs w:val="0"/>
          <w:sz w:val="24"/>
          <w:szCs w:val="24"/>
        </w:rPr>
        <w:t>报建评价</w:t>
      </w:r>
      <w:bookmarkEnd w:id="17"/>
    </w:p>
    <w:p>
      <w:pPr>
        <w:pStyle w:val="16"/>
        <w:spacing w:after="0" w:line="480" w:lineRule="auto"/>
        <w:ind w:firstLineChars="200"/>
        <w:rPr>
          <w:rStyle w:val="36"/>
          <w:rFonts w:ascii="Arial" w:hAnsi="Arial" w:eastAsia="宋体" w:cs="Arial"/>
          <w:b w:val="0"/>
          <w:kern w:val="0"/>
          <w:sz w:val="24"/>
          <w:szCs w:val="21"/>
        </w:rPr>
      </w:pPr>
      <w:r>
        <w:rPr>
          <w:rFonts w:hint="eastAsia" w:ascii="Arial" w:hAnsi="Arial" w:cs="Arial"/>
          <w:kern w:val="0"/>
          <w:szCs w:val="21"/>
        </w:rPr>
        <w:t>已解押、已拿预售（</w:t>
      </w:r>
      <w:r>
        <w:rPr>
          <w:rFonts w:ascii="Arial" w:hAnsi="Arial" w:cs="Arial"/>
          <w:kern w:val="0"/>
          <w:szCs w:val="21"/>
        </w:rPr>
        <w:t>4#、恒大锦城一期1</w:t>
      </w:r>
      <w:r>
        <w:rPr>
          <w:rFonts w:ascii="Arial" w:hAnsi="Arial" w:cs="Arial"/>
          <w:kern w:val="0"/>
          <w:szCs w:val="21"/>
        </w:rPr>
        <w:t>#</w:t>
      </w:r>
      <w:r>
        <w:rPr>
          <w:rFonts w:ascii="Arial" w:hAnsi="Arial" w:cs="Arial"/>
          <w:kern w:val="0"/>
          <w:szCs w:val="21"/>
        </w:rPr>
        <w:t>、2</w:t>
      </w:r>
      <w:r>
        <w:rPr>
          <w:rFonts w:ascii="Arial" w:hAnsi="Arial" w:cs="Arial"/>
          <w:kern w:val="0"/>
          <w:szCs w:val="21"/>
        </w:rPr>
        <w:t>#</w:t>
      </w:r>
      <w:r>
        <w:rPr>
          <w:rFonts w:ascii="Arial" w:hAnsi="Arial" w:cs="Arial"/>
          <w:kern w:val="0"/>
          <w:szCs w:val="21"/>
        </w:rPr>
        <w:t>、5</w:t>
      </w:r>
      <w:r>
        <w:rPr>
          <w:rFonts w:ascii="Arial" w:hAnsi="Arial" w:cs="Arial"/>
          <w:kern w:val="0"/>
          <w:szCs w:val="21"/>
        </w:rPr>
        <w:t>#</w:t>
      </w:r>
      <w:r>
        <w:rPr>
          <w:rFonts w:ascii="Arial" w:hAnsi="Arial" w:cs="Arial"/>
          <w:kern w:val="0"/>
          <w:szCs w:val="21"/>
        </w:rPr>
        <w:t>-17</w:t>
      </w:r>
      <w:r>
        <w:rPr>
          <w:rFonts w:ascii="Arial" w:hAnsi="Arial" w:cs="Arial"/>
          <w:kern w:val="0"/>
          <w:szCs w:val="21"/>
        </w:rPr>
        <w:t>#</w:t>
      </w:r>
      <w:r>
        <w:rPr>
          <w:rFonts w:ascii="Arial" w:hAnsi="Arial" w:cs="Arial"/>
          <w:kern w:val="0"/>
          <w:szCs w:val="21"/>
        </w:rPr>
        <w:t>、21</w:t>
      </w:r>
      <w:r>
        <w:rPr>
          <w:rFonts w:ascii="Arial" w:hAnsi="Arial" w:cs="Arial"/>
          <w:kern w:val="0"/>
          <w:szCs w:val="21"/>
        </w:rPr>
        <w:t>#</w:t>
      </w:r>
      <w:r>
        <w:rPr>
          <w:rFonts w:ascii="Arial" w:hAnsi="Arial" w:cs="Arial"/>
          <w:kern w:val="0"/>
          <w:szCs w:val="21"/>
        </w:rPr>
        <w:t>-26</w:t>
      </w:r>
      <w:r>
        <w:rPr>
          <w:rFonts w:ascii="Arial" w:hAnsi="Arial" w:cs="Arial"/>
          <w:kern w:val="0"/>
          <w:szCs w:val="21"/>
        </w:rPr>
        <w:t>#</w:t>
      </w:r>
      <w:r>
        <w:rPr>
          <w:rFonts w:ascii="Arial" w:hAnsi="Arial" w:cs="Arial"/>
          <w:kern w:val="0"/>
          <w:szCs w:val="21"/>
        </w:rPr>
        <w:t>、30</w:t>
      </w:r>
      <w:r>
        <w:rPr>
          <w:rFonts w:ascii="Arial" w:hAnsi="Arial" w:cs="Arial"/>
          <w:kern w:val="0"/>
          <w:szCs w:val="21"/>
        </w:rPr>
        <w:t>#</w:t>
      </w:r>
      <w:r>
        <w:rPr>
          <w:rFonts w:ascii="Arial" w:hAnsi="Arial" w:cs="Arial"/>
          <w:kern w:val="0"/>
          <w:szCs w:val="21"/>
        </w:rPr>
        <w:t>-34#楼、恒大锦城二期50</w:t>
      </w:r>
      <w:r>
        <w:rPr>
          <w:rFonts w:ascii="Arial" w:hAnsi="Arial" w:cs="Arial"/>
          <w:kern w:val="0"/>
          <w:szCs w:val="21"/>
        </w:rPr>
        <w:t>#</w:t>
      </w:r>
      <w:r>
        <w:rPr>
          <w:rFonts w:ascii="Arial" w:hAnsi="Arial" w:cs="Arial"/>
          <w:kern w:val="0"/>
          <w:szCs w:val="21"/>
        </w:rPr>
        <w:t>-51#、56</w:t>
      </w:r>
      <w:r>
        <w:rPr>
          <w:rFonts w:ascii="Arial" w:hAnsi="Arial" w:cs="Arial"/>
          <w:kern w:val="0"/>
          <w:szCs w:val="21"/>
        </w:rPr>
        <w:t>#</w:t>
      </w:r>
      <w:r>
        <w:rPr>
          <w:rFonts w:ascii="Arial" w:hAnsi="Arial" w:cs="Arial"/>
          <w:kern w:val="0"/>
          <w:szCs w:val="21"/>
        </w:rPr>
        <w:t>-57#、61</w:t>
      </w:r>
      <w:r>
        <w:rPr>
          <w:rFonts w:ascii="Arial" w:hAnsi="Arial" w:cs="Arial"/>
          <w:kern w:val="0"/>
          <w:szCs w:val="21"/>
        </w:rPr>
        <w:t>#</w:t>
      </w:r>
      <w:r>
        <w:rPr>
          <w:rFonts w:ascii="Arial" w:hAnsi="Arial" w:cs="Arial"/>
          <w:kern w:val="0"/>
          <w:szCs w:val="21"/>
        </w:rPr>
        <w:t>-62#</w:t>
      </w:r>
      <w:r>
        <w:rPr>
          <w:rFonts w:hint="eastAsia" w:ascii="Arial" w:hAnsi="Arial" w:cs="Arial"/>
          <w:kern w:val="0"/>
          <w:szCs w:val="21"/>
        </w:rPr>
        <w:t>）已拿预售证；未解押、未拿预售（二期</w:t>
      </w:r>
      <w:r>
        <w:rPr>
          <w:rFonts w:ascii="Arial" w:hAnsi="Arial" w:cs="Arial"/>
          <w:kern w:val="0"/>
          <w:szCs w:val="21"/>
        </w:rPr>
        <w:t>35</w:t>
      </w:r>
      <w:r>
        <w:rPr>
          <w:rFonts w:ascii="Arial" w:hAnsi="Arial" w:cs="Arial"/>
          <w:kern w:val="0"/>
          <w:szCs w:val="21"/>
        </w:rPr>
        <w:t>#</w:t>
      </w:r>
      <w:r>
        <w:rPr>
          <w:rFonts w:ascii="Arial" w:hAnsi="Arial" w:cs="Arial"/>
          <w:kern w:val="0"/>
          <w:szCs w:val="21"/>
        </w:rPr>
        <w:t>-46#号楼</w:t>
      </w:r>
      <w:r>
        <w:rPr>
          <w:rFonts w:hint="eastAsia" w:ascii="Arial" w:hAnsi="Arial" w:cs="Arial"/>
          <w:kern w:val="0"/>
          <w:szCs w:val="21"/>
        </w:rPr>
        <w:t>、三期</w:t>
      </w:r>
      <w:r>
        <w:rPr>
          <w:rFonts w:ascii="Arial" w:hAnsi="Arial" w:cs="Arial"/>
          <w:kern w:val="0"/>
          <w:szCs w:val="21"/>
        </w:rPr>
        <w:t>67</w:t>
      </w:r>
      <w:r>
        <w:rPr>
          <w:rFonts w:ascii="Arial" w:hAnsi="Arial" w:cs="Arial"/>
          <w:kern w:val="0"/>
          <w:szCs w:val="21"/>
        </w:rPr>
        <w:t>#</w:t>
      </w:r>
      <w:r>
        <w:rPr>
          <w:rFonts w:ascii="Arial" w:hAnsi="Arial" w:cs="Arial"/>
          <w:kern w:val="0"/>
          <w:szCs w:val="21"/>
        </w:rPr>
        <w:t>-83#号楼</w:t>
      </w:r>
      <w:r>
        <w:rPr>
          <w:rFonts w:hint="eastAsia" w:ascii="Arial" w:hAnsi="Arial" w:cs="Arial"/>
          <w:kern w:val="0"/>
          <w:szCs w:val="21"/>
        </w:rPr>
        <w:t>）计划于</w:t>
      </w:r>
      <w:r>
        <w:rPr>
          <w:rFonts w:ascii="Arial" w:hAnsi="Arial" w:cs="Arial"/>
          <w:kern w:val="0"/>
          <w:szCs w:val="21"/>
        </w:rPr>
        <w:t>2021</w:t>
      </w:r>
      <w:r>
        <w:rPr>
          <w:rFonts w:hint="eastAsia" w:ascii="Arial" w:hAnsi="Arial" w:cs="Arial"/>
          <w:kern w:val="0"/>
          <w:szCs w:val="21"/>
        </w:rPr>
        <w:t>年</w:t>
      </w:r>
      <w:r>
        <w:rPr>
          <w:rFonts w:ascii="Arial" w:hAnsi="Arial" w:cs="Arial"/>
          <w:kern w:val="0"/>
          <w:szCs w:val="21"/>
        </w:rPr>
        <w:t>3月</w:t>
      </w:r>
      <w:r>
        <w:rPr>
          <w:rFonts w:hint="eastAsia" w:ascii="Arial" w:hAnsi="Arial" w:cs="Arial"/>
          <w:kern w:val="0"/>
          <w:szCs w:val="21"/>
        </w:rPr>
        <w:t>拿预售证。</w:t>
      </w:r>
    </w:p>
    <w:p>
      <w:pPr>
        <w:pStyle w:val="2"/>
        <w:spacing w:before="300" w:after="300" w:line="360" w:lineRule="exact"/>
        <w:jc w:val="left"/>
        <w:rPr>
          <w:rStyle w:val="36"/>
          <w:rFonts w:ascii="Arial" w:hAnsi="Arial" w:eastAsia="宋体" w:cs="Arial"/>
          <w:b/>
          <w:bCs w:val="0"/>
          <w:sz w:val="24"/>
          <w:szCs w:val="24"/>
        </w:rPr>
      </w:pPr>
      <w:bookmarkStart w:id="18" w:name="_Toc6873"/>
      <w:r>
        <w:rPr>
          <w:rStyle w:val="36"/>
          <w:rFonts w:hint="eastAsia" w:ascii="Arial" w:hAnsi="Arial" w:eastAsia="宋体" w:cs="Arial"/>
          <w:b/>
          <w:bCs w:val="0"/>
          <w:sz w:val="24"/>
          <w:szCs w:val="24"/>
        </w:rPr>
        <w:t>2、</w:t>
      </w:r>
      <w:r>
        <w:rPr>
          <w:rStyle w:val="36"/>
          <w:rFonts w:ascii="Arial" w:hAnsi="Arial" w:eastAsia="宋体" w:cs="Arial"/>
          <w:b/>
          <w:bCs w:val="0"/>
          <w:sz w:val="24"/>
          <w:szCs w:val="24"/>
        </w:rPr>
        <w:t>营销评价</w:t>
      </w:r>
      <w:bookmarkEnd w:id="18"/>
    </w:p>
    <w:p>
      <w:pPr>
        <w:spacing w:line="480" w:lineRule="auto"/>
        <w:ind w:firstLine="420" w:firstLineChars="200"/>
        <w:rPr>
          <w:rFonts w:ascii="Arial" w:hAnsi="Arial" w:cs="Arial"/>
          <w:sz w:val="21"/>
          <w:szCs w:val="21"/>
        </w:rPr>
      </w:pPr>
      <w:r>
        <w:rPr>
          <w:rFonts w:hint="eastAsia" w:ascii="Arial" w:hAnsi="Arial" w:cs="Arial"/>
          <w:sz w:val="21"/>
          <w:szCs w:val="21"/>
        </w:rPr>
        <w:t>重庆恒大锦城项目于</w:t>
      </w:r>
      <w:r>
        <w:rPr>
          <w:rFonts w:ascii="Arial" w:hAnsi="Arial" w:cs="Arial"/>
          <w:sz w:val="21"/>
          <w:szCs w:val="21"/>
        </w:rPr>
        <w:t>2020年10月8日开盘，目前已推出房源套数1354套，面积约133925.07㎡，总货值约11.47亿，</w:t>
      </w:r>
      <w:r>
        <w:rPr>
          <w:rFonts w:hint="eastAsia" w:ascii="Arial" w:hAnsi="Arial" w:cs="Arial"/>
          <w:sz w:val="21"/>
          <w:szCs w:val="21"/>
        </w:rPr>
        <w:t>截至</w:t>
      </w:r>
      <w:r>
        <w:rPr>
          <w:rFonts w:ascii="Arial" w:hAnsi="Arial" w:cs="Arial"/>
          <w:sz w:val="21"/>
          <w:szCs w:val="21"/>
        </w:rPr>
        <w:t>2021年2月28日累计已售1294套，面积127039.06㎡，金额11.21亿元，其中累计已签约房屋1189套、面积116762.01㎡、金额10.10亿元，9月15日至10月7日认筹金0.31亿元，10月8日至2月28日累计销售实际回款9.20亿元，9月15日至2月28日合计收款9.51亿元，取得预售证（推货）剩余货值0.79亿元、剩余套数60套、剩余面积6883.52㎡未销售，去化率87.18%（（已签约面积/已推出面积</w:t>
      </w:r>
      <w:r>
        <w:rPr>
          <w:rFonts w:hint="eastAsia" w:ascii="Arial" w:hAnsi="Arial" w:cs="Arial"/>
          <w:sz w:val="21"/>
          <w:szCs w:val="21"/>
        </w:rPr>
        <w:t>）</w:t>
      </w:r>
      <w:r>
        <w:rPr>
          <w:rFonts w:ascii="Arial" w:hAnsi="Arial" w:cs="Arial"/>
          <w:sz w:val="21"/>
          <w:szCs w:val="21"/>
        </w:rPr>
        <w:t>*100%</w:t>
      </w:r>
      <w:r>
        <w:rPr>
          <w:rFonts w:hint="eastAsia" w:ascii="Arial" w:hAnsi="Arial" w:cs="Arial"/>
          <w:sz w:val="21"/>
          <w:szCs w:val="21"/>
        </w:rPr>
        <w:t>。</w:t>
      </w:r>
    </w:p>
    <w:p>
      <w:pPr>
        <w:pStyle w:val="2"/>
        <w:spacing w:before="300" w:after="300" w:line="360" w:lineRule="exact"/>
        <w:jc w:val="left"/>
        <w:rPr>
          <w:rStyle w:val="36"/>
          <w:rFonts w:ascii="Arial" w:hAnsi="Arial" w:eastAsia="宋体" w:cs="Arial"/>
          <w:b/>
          <w:bCs w:val="0"/>
          <w:sz w:val="24"/>
          <w:szCs w:val="24"/>
        </w:rPr>
      </w:pPr>
      <w:bookmarkStart w:id="19" w:name="_Toc10103"/>
      <w:r>
        <w:rPr>
          <w:rStyle w:val="36"/>
          <w:rFonts w:hint="eastAsia" w:ascii="Arial" w:hAnsi="Arial" w:eastAsia="宋体" w:cs="Arial"/>
          <w:b/>
          <w:bCs w:val="0"/>
          <w:sz w:val="24"/>
          <w:szCs w:val="24"/>
        </w:rPr>
        <w:t>3、</w:t>
      </w:r>
      <w:r>
        <w:rPr>
          <w:rStyle w:val="36"/>
          <w:rFonts w:ascii="Arial" w:hAnsi="Arial" w:eastAsia="宋体" w:cs="Arial"/>
          <w:b/>
          <w:bCs w:val="0"/>
          <w:sz w:val="24"/>
          <w:szCs w:val="24"/>
        </w:rPr>
        <w:t>开发建设评价</w:t>
      </w:r>
      <w:bookmarkEnd w:id="19"/>
    </w:p>
    <w:p>
      <w:pPr>
        <w:pStyle w:val="16"/>
        <w:spacing w:after="0" w:line="480" w:lineRule="auto"/>
        <w:ind w:firstLineChars="200"/>
        <w:rPr>
          <w:rFonts w:ascii="Arial" w:hAnsi="Arial" w:cs="Arial"/>
          <w:kern w:val="0"/>
          <w:szCs w:val="21"/>
        </w:rPr>
      </w:pPr>
      <w:r>
        <w:rPr>
          <w:rFonts w:hint="eastAsia" w:ascii="Arial" w:hAnsi="Arial" w:cs="Arial"/>
          <w:kern w:val="0"/>
          <w:szCs w:val="21"/>
        </w:rPr>
        <w:t>目前合计开工7个地块，分别为</w:t>
      </w:r>
      <w:r>
        <w:rPr>
          <w:rFonts w:ascii="Arial" w:hAnsi="Arial" w:cs="Arial"/>
          <w:kern w:val="0"/>
          <w:szCs w:val="21"/>
        </w:rPr>
        <w:t>T19-1/03</w:t>
      </w:r>
      <w:r>
        <w:rPr>
          <w:rFonts w:hint="eastAsia" w:ascii="Arial" w:hAnsi="Arial" w:cs="Arial"/>
          <w:kern w:val="0"/>
          <w:szCs w:val="21"/>
        </w:rPr>
        <w:t>、</w:t>
      </w:r>
      <w:r>
        <w:rPr>
          <w:rFonts w:ascii="Arial" w:hAnsi="Arial" w:cs="Arial"/>
          <w:kern w:val="0"/>
          <w:szCs w:val="21"/>
        </w:rPr>
        <w:t>T19-2/03</w:t>
      </w:r>
      <w:r>
        <w:rPr>
          <w:rFonts w:hint="eastAsia" w:ascii="Arial" w:hAnsi="Arial" w:cs="Arial"/>
          <w:kern w:val="0"/>
          <w:szCs w:val="21"/>
        </w:rPr>
        <w:t>、</w:t>
      </w:r>
      <w:r>
        <w:rPr>
          <w:rFonts w:ascii="Arial" w:hAnsi="Arial" w:cs="Arial"/>
          <w:kern w:val="0"/>
          <w:szCs w:val="21"/>
        </w:rPr>
        <w:t>T20-2/03</w:t>
      </w:r>
      <w:r>
        <w:rPr>
          <w:rFonts w:hint="eastAsia" w:ascii="Arial" w:hAnsi="Arial" w:cs="Arial"/>
          <w:kern w:val="0"/>
          <w:szCs w:val="21"/>
        </w:rPr>
        <w:t>、</w:t>
      </w:r>
      <w:r>
        <w:rPr>
          <w:rFonts w:ascii="Arial" w:hAnsi="Arial" w:cs="Arial"/>
          <w:kern w:val="0"/>
          <w:szCs w:val="21"/>
        </w:rPr>
        <w:t>T20-6/03</w:t>
      </w:r>
      <w:r>
        <w:rPr>
          <w:rFonts w:hint="eastAsia" w:ascii="Arial" w:hAnsi="Arial" w:cs="Arial"/>
          <w:kern w:val="0"/>
          <w:szCs w:val="21"/>
        </w:rPr>
        <w:t>、</w:t>
      </w:r>
      <w:r>
        <w:rPr>
          <w:rFonts w:ascii="Arial" w:hAnsi="Arial" w:cs="Arial"/>
          <w:kern w:val="0"/>
          <w:szCs w:val="21"/>
        </w:rPr>
        <w:t>T18-2/03</w:t>
      </w:r>
      <w:r>
        <w:rPr>
          <w:rFonts w:hint="eastAsia" w:ascii="Arial" w:hAnsi="Arial" w:cs="Arial"/>
          <w:kern w:val="0"/>
          <w:szCs w:val="21"/>
        </w:rPr>
        <w:t>、</w:t>
      </w:r>
      <w:r>
        <w:rPr>
          <w:rFonts w:ascii="Arial" w:hAnsi="Arial" w:cs="Arial"/>
          <w:kern w:val="0"/>
          <w:szCs w:val="21"/>
        </w:rPr>
        <w:t>T18-1/02</w:t>
      </w:r>
      <w:r>
        <w:rPr>
          <w:rFonts w:hint="eastAsia" w:ascii="Arial" w:hAnsi="Arial" w:cs="Arial"/>
          <w:kern w:val="0"/>
          <w:szCs w:val="21"/>
        </w:rPr>
        <w:t>、</w:t>
      </w:r>
      <w:r>
        <w:rPr>
          <w:rFonts w:ascii="Arial" w:hAnsi="Arial" w:cs="Arial"/>
          <w:kern w:val="0"/>
          <w:szCs w:val="21"/>
        </w:rPr>
        <w:t>T18-2/03</w:t>
      </w:r>
      <w:r>
        <w:rPr>
          <w:rFonts w:hint="eastAsia" w:ascii="Arial" w:hAnsi="Arial" w:cs="Arial"/>
          <w:kern w:val="0"/>
          <w:szCs w:val="21"/>
        </w:rPr>
        <w:t>，目前开工进度正常。</w:t>
      </w:r>
    </w:p>
    <w:p>
      <w:pPr>
        <w:pStyle w:val="2"/>
        <w:spacing w:before="300" w:after="300" w:line="360" w:lineRule="exact"/>
        <w:jc w:val="left"/>
        <w:rPr>
          <w:rStyle w:val="36"/>
          <w:rFonts w:ascii="Arial" w:hAnsi="Arial" w:eastAsia="宋体" w:cs="Arial"/>
          <w:b/>
          <w:bCs w:val="0"/>
          <w:sz w:val="24"/>
          <w:szCs w:val="24"/>
        </w:rPr>
      </w:pPr>
      <w:bookmarkStart w:id="20" w:name="_Toc26496"/>
      <w:bookmarkStart w:id="21" w:name="_Toc23324574"/>
      <w:bookmarkStart w:id="22" w:name="_Toc23266557"/>
      <w:r>
        <w:rPr>
          <w:rStyle w:val="36"/>
          <w:rFonts w:hint="eastAsia" w:ascii="Arial" w:hAnsi="Arial" w:eastAsia="宋体" w:cs="Arial"/>
          <w:b/>
          <w:bCs w:val="0"/>
          <w:sz w:val="24"/>
          <w:szCs w:val="24"/>
        </w:rPr>
        <w:t>三、附件</w:t>
      </w:r>
      <w:bookmarkEnd w:id="20"/>
    </w:p>
    <w:p>
      <w:pPr>
        <w:pStyle w:val="3"/>
        <w:spacing w:before="300" w:after="300" w:line="360" w:lineRule="exact"/>
        <w:rPr>
          <w:rFonts w:ascii="Arial" w:hAnsi="Arial" w:eastAsia="宋体"/>
          <w:bCs w:val="0"/>
          <w:kern w:val="44"/>
          <w:sz w:val="24"/>
          <w:szCs w:val="24"/>
        </w:rPr>
      </w:pPr>
      <w:bookmarkStart w:id="23" w:name="_Toc17514"/>
      <w:r>
        <w:rPr>
          <w:rStyle w:val="36"/>
          <w:rFonts w:ascii="Arial" w:hAnsi="Arial" w:eastAsia="宋体"/>
          <w:b/>
          <w:bCs w:val="0"/>
          <w:sz w:val="24"/>
          <w:szCs w:val="24"/>
        </w:rPr>
        <w:t>附件一：本期用印情况</w:t>
      </w:r>
      <w:bookmarkEnd w:id="23"/>
    </w:p>
    <w:bookmarkEnd w:id="21"/>
    <w:bookmarkEnd w:id="22"/>
    <w:p>
      <w:pPr>
        <w:spacing w:before="326" w:beforeLines="100"/>
        <w:jc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>本期印章使用统计表</w:t>
      </w:r>
    </w:p>
    <w:tbl>
      <w:tblPr>
        <w:tblStyle w:val="17"/>
        <w:tblW w:w="4889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3"/>
        <w:gridCol w:w="1091"/>
        <w:gridCol w:w="989"/>
        <w:gridCol w:w="2651"/>
        <w:gridCol w:w="2360"/>
        <w:gridCol w:w="1051"/>
        <w:gridCol w:w="8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用印日期</w:t>
            </w:r>
          </w:p>
        </w:tc>
        <w:tc>
          <w:tcPr>
            <w:tcW w:w="51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印鉴名称</w:t>
            </w:r>
          </w:p>
        </w:tc>
        <w:tc>
          <w:tcPr>
            <w:tcW w:w="1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用印事由</w:t>
            </w:r>
          </w:p>
        </w:tc>
        <w:tc>
          <w:tcPr>
            <w:tcW w:w="12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用印材料及份数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经办部门</w:t>
            </w:r>
          </w:p>
        </w:tc>
        <w:tc>
          <w:tcPr>
            <w:tcW w:w="45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经办人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关于恒大锦城24-3-201预售价格调整情况说明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情况说明（1份）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董林平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重庆市商品买卖合同补充协议2（修改付款期限及付款方式）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重庆市商品买卖合同补充协议2(3份）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董林平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恒大锦城商品买卖合同6户、借款合同2户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商品买卖合同（12份）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借款合同（8份）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恒大锦城首二期47-48#号楼解押画图资料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身份证复印（2份）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首二期国土证复印件（1份）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营业执照正本复印件（1份）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营业执照副本复印件（1份）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资金部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恒大锦城商品买卖合同1户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商品买卖合同（2份）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恒大锦城借款合同2户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借款合同（4份）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电子商业承兑汇票承兑人回复提示付款申请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电子商业汇票业务办理申请书（1份）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恒大锦城商品买卖合同3户、借款合同1户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商品买卖合同（6份）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借款合同（1份）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收据（N0415601-NO4160000)  400份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收据（400份）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覃绍杰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办理47-48#预售许可证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重庆市商品住房项目预售备案价格说明表总小高层（4份）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重庆市商品房预售（许可）登记申请审批表(新)（4份）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重庆市建筑工程现场勘察申请表（企业填报）（4份）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重庆市工程现场勘察记录表（单位填报）（4份）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重庆市巴南不动产登记中心业务办理申请表（4份）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预售备案申请表（18-2地块（4份）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现金管理业务对比账簿服务申请表（4份）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授权委托书（4份）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立面户型表（4份）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恒大锦城开盘活动方案及应急预案（4份）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恒大锦城价格情况表（4份）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单位银行结算账户及产品授权委托书（4份）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巴南区预售资金监管银行统计表(2)（4份）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【小高层】重庆恒大锦城项目小高47-48# 楼栋住宅豪装+交楼标准（4份）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刘晓林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恒大锦城商品买卖合同4户、借款合同6户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商品买卖合同（8份）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借款合同（24份）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支付重庆新闻旅游集团有限公司微信9月广告费8000元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转账支票（1份）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恒大锦城客户催款及网签通知书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通知（4份）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恒大锦城二期永久用电申请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房地产客户用电申请表（1份）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恒大锦城委托授权书（委托办理房租租赁纠纷诉讼代理人）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授权委托书（1份）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物业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袁晓凤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恒大锦城47、48号楼预售资金监管协议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监管协议（4份）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刘晓林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抖音APP广告发布定单（广告费60000元）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抖音APP广告发布定单（2份）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品牌部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恒大锦城商品买卖合同3户、借款合同1户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商品买卖合同（6份）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借款合同（1份）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恒大锦城商品买卖合同13户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商品买卖合同（65份）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姚茂菊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恒大锦城借款合同3户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借款合同（12份）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2021-2-21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商品房买卖合同补充协议2（变更付款方式及付款期限）、商品买卖合同10户、借款合同4户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商品买卖合同（20份）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借款合同（16份）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商品房买卖合同补充协议2（3份）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2021-2-22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商品买卖合同3户、借款合同3户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商品买卖合同（6份）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借款合同（12份）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2021-2-23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工程质量首要责任承诺书及工程建设廉洁自律责任书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工程质量首要责任承诺书（2份）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工程建设廉洁自律责任书（6份）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2021-2-23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代扣代缴、代收代缴税款报告表及联机备案表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代扣代缴、代收代缴税款报告表（1份）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联机备案表（7份）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林丹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2021-2-23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商品买卖合同2户、借款合同4户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商品买卖合同（4份）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借款合同（16份）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2021-2-23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关于限期签订商品房买卖合同及支付款项的催告函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关于限期签订商品房买卖合同及支付款项的催告函（2份）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张成承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2021-2-23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转账支票（预售资金监管户4855账户转款到建设2555账户）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转账支票（1份）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2021-2-23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商品买卖合同21户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商品买卖合同（42份）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姚茂菊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2021-2-24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授权委托书（委托办理房租租赁纠纷诉讼代理人）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授权委托书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物业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2021-2-24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商品买卖合同3户、借款合同1户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商品买卖合同（6份）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借款合同（4份）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2021-2-25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商品买卖合同8户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商品买卖合同（16份）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2021-2-25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询证函（用于审计征询建工企业进度款支付情况）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询证函（2份）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陈武亮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2021-2-25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客户催款及网签通知书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通知书（12份）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吴彩云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2021-2-26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鑫坤代付恒龙、恒阳与广州廊鑫建材有限公司货款127169.40元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委托付款书（1份）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招采部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2021-2-26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商品买卖合同6户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商品买卖合同（12份）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2021-2-26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关于增加房车宝销售服务费的通知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服务费结算通知书（2份）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梁群芳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2021-2-26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委托信息更改申请单-恒大锦城二期基础检测</w:t>
            </w:r>
          </w:p>
        </w:tc>
        <w:tc>
          <w:tcPr>
            <w:tcW w:w="1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委托信息更改申请单-恒大锦城二期基础检测（8份）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马赟</w:t>
            </w:r>
          </w:p>
        </w:tc>
      </w:tr>
    </w:tbl>
    <w:p>
      <w:pPr>
        <w:pStyle w:val="2"/>
        <w:spacing w:before="300" w:after="300" w:line="360" w:lineRule="exact"/>
        <w:jc w:val="left"/>
        <w:rPr>
          <w:rFonts w:ascii="Arial" w:hAnsi="Arial" w:eastAsia="宋体" w:cs="Arial"/>
          <w:bCs w:val="0"/>
          <w:sz w:val="24"/>
          <w:szCs w:val="24"/>
        </w:rPr>
      </w:pPr>
      <w:bookmarkStart w:id="24" w:name="_Toc10894"/>
      <w:r>
        <w:rPr>
          <w:rStyle w:val="36"/>
          <w:rFonts w:hint="eastAsia" w:ascii="Arial" w:hAnsi="Arial" w:eastAsia="宋体" w:cs="Arial"/>
          <w:b/>
          <w:bCs w:val="0"/>
          <w:sz w:val="24"/>
          <w:szCs w:val="24"/>
        </w:rPr>
        <w:t>附件二：章证照使用登记情况</w:t>
      </w:r>
      <w:bookmarkEnd w:id="24"/>
    </w:p>
    <w:p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  </w:t>
      </w:r>
      <w:r>
        <w:drawing>
          <wp:inline distT="0" distB="0" distL="0" distR="0">
            <wp:extent cx="6120130" cy="38430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20130" cy="39439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20130" cy="37382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   </w:t>
      </w:r>
    </w:p>
    <w:p>
      <w:pPr>
        <w:pStyle w:val="2"/>
        <w:spacing w:before="300" w:after="300" w:line="360" w:lineRule="exact"/>
        <w:jc w:val="left"/>
        <w:rPr>
          <w:rStyle w:val="36"/>
          <w:rFonts w:ascii="Arial" w:hAnsi="Arial" w:eastAsia="宋体" w:cs="Arial"/>
          <w:b/>
          <w:bCs w:val="0"/>
          <w:sz w:val="24"/>
          <w:szCs w:val="24"/>
        </w:rPr>
      </w:pPr>
      <w:bookmarkStart w:id="25" w:name="_Toc17832"/>
      <w:r>
        <w:rPr>
          <w:rStyle w:val="36"/>
          <w:rFonts w:hint="eastAsia" w:ascii="Arial" w:hAnsi="Arial" w:eastAsia="宋体" w:cs="Arial"/>
          <w:b/>
          <w:bCs w:val="0"/>
          <w:sz w:val="24"/>
          <w:szCs w:val="24"/>
        </w:rPr>
        <w:t>附件三：本期资金支出情况</w:t>
      </w:r>
      <w:bookmarkEnd w:id="25"/>
    </w:p>
    <w:p>
      <w:pPr>
        <w:spacing w:before="326" w:beforeLines="100"/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本期资金支出情况</w:t>
      </w:r>
    </w:p>
    <w:tbl>
      <w:tblPr>
        <w:tblStyle w:val="17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1"/>
        <w:gridCol w:w="1062"/>
        <w:gridCol w:w="1389"/>
        <w:gridCol w:w="1525"/>
        <w:gridCol w:w="1399"/>
        <w:gridCol w:w="962"/>
        <w:gridCol w:w="1967"/>
        <w:gridCol w:w="9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3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bookmarkStart w:id="26" w:name="_Toc32568"/>
            <w:bookmarkStart w:id="27" w:name="_Hlk38616564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5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支付时间</w:t>
            </w:r>
          </w:p>
        </w:tc>
        <w:tc>
          <w:tcPr>
            <w:tcW w:w="70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收款方</w:t>
            </w:r>
          </w:p>
        </w:tc>
        <w:tc>
          <w:tcPr>
            <w:tcW w:w="7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资金用途</w:t>
            </w:r>
          </w:p>
        </w:tc>
        <w:tc>
          <w:tcPr>
            <w:tcW w:w="7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48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用款类型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出款行</w:t>
            </w:r>
          </w:p>
        </w:tc>
        <w:tc>
          <w:tcPr>
            <w:tcW w:w="4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30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2021-2-10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陈典</w:t>
            </w:r>
          </w:p>
        </w:tc>
        <w:tc>
          <w:tcPr>
            <w:tcW w:w="7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退房款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1,000,000.00</w:t>
            </w:r>
          </w:p>
        </w:tc>
        <w:tc>
          <w:tcPr>
            <w:tcW w:w="4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建行中山路支行2555</w:t>
            </w:r>
          </w:p>
        </w:tc>
        <w:tc>
          <w:tcPr>
            <w:tcW w:w="4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30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2021-2-23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重庆鑫坤房地产开发有限公司</w:t>
            </w:r>
          </w:p>
        </w:tc>
        <w:tc>
          <w:tcPr>
            <w:tcW w:w="7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农行4855账户转款到建行2555账户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10,000,000.00</w:t>
            </w:r>
          </w:p>
        </w:tc>
        <w:tc>
          <w:tcPr>
            <w:tcW w:w="4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农行4855账户</w:t>
            </w:r>
          </w:p>
        </w:tc>
        <w:tc>
          <w:tcPr>
            <w:tcW w:w="4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账内互转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30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2021-2-23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重庆鑫坤房地产开发有限公司</w:t>
            </w:r>
          </w:p>
        </w:tc>
        <w:tc>
          <w:tcPr>
            <w:tcW w:w="7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中国银行转款60万到建设2555账户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600,000.00</w:t>
            </w:r>
          </w:p>
        </w:tc>
        <w:tc>
          <w:tcPr>
            <w:tcW w:w="4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中国银行6940账户</w:t>
            </w:r>
          </w:p>
        </w:tc>
        <w:tc>
          <w:tcPr>
            <w:tcW w:w="4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账内互转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30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2021-2-23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重庆鑫坤房地产开发有限公司</w:t>
            </w:r>
          </w:p>
        </w:tc>
        <w:tc>
          <w:tcPr>
            <w:tcW w:w="7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民生银行转款728万元到建设2555账户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7,280,000.00</w:t>
            </w:r>
          </w:p>
        </w:tc>
        <w:tc>
          <w:tcPr>
            <w:tcW w:w="4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民生银行5625账户</w:t>
            </w:r>
          </w:p>
        </w:tc>
        <w:tc>
          <w:tcPr>
            <w:tcW w:w="4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账内互转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30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2021-2-23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重庆鑫坤房地产开发有限公司</w:t>
            </w:r>
          </w:p>
        </w:tc>
        <w:tc>
          <w:tcPr>
            <w:tcW w:w="7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农村商业银行转款664万到建设2555账户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6,640,000.00</w:t>
            </w:r>
          </w:p>
        </w:tc>
        <w:tc>
          <w:tcPr>
            <w:tcW w:w="4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农村商业银行0041</w:t>
            </w:r>
          </w:p>
        </w:tc>
        <w:tc>
          <w:tcPr>
            <w:tcW w:w="4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账内互转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30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2021-2-23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重庆鑫坤房地产开发有限公司</w:t>
            </w:r>
          </w:p>
        </w:tc>
        <w:tc>
          <w:tcPr>
            <w:tcW w:w="7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工商银行转款450万到建设2555账户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4,500,000.00</w:t>
            </w:r>
          </w:p>
        </w:tc>
        <w:tc>
          <w:tcPr>
            <w:tcW w:w="4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工商银行1865</w:t>
            </w:r>
          </w:p>
        </w:tc>
        <w:tc>
          <w:tcPr>
            <w:tcW w:w="4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账内互转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30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2021-2-24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重庆鑫坤房地产开发有限公司</w:t>
            </w:r>
          </w:p>
        </w:tc>
        <w:tc>
          <w:tcPr>
            <w:tcW w:w="7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工商银行转款450万到建设2555账户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4,500,000.00</w:t>
            </w:r>
          </w:p>
        </w:tc>
        <w:tc>
          <w:tcPr>
            <w:tcW w:w="4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工商银行1865</w:t>
            </w:r>
          </w:p>
        </w:tc>
        <w:tc>
          <w:tcPr>
            <w:tcW w:w="4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账内互转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3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2021-2-24</w:t>
            </w:r>
          </w:p>
        </w:tc>
        <w:tc>
          <w:tcPr>
            <w:tcW w:w="70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恒大地产集团重庆有限公司</w:t>
            </w:r>
          </w:p>
        </w:tc>
        <w:tc>
          <w:tcPr>
            <w:tcW w:w="7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  <w:tc>
          <w:tcPr>
            <w:tcW w:w="7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48,300,000.00</w:t>
            </w:r>
          </w:p>
        </w:tc>
        <w:tc>
          <w:tcPr>
            <w:tcW w:w="48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建行中山路支行2555</w:t>
            </w:r>
          </w:p>
        </w:tc>
        <w:tc>
          <w:tcPr>
            <w:tcW w:w="4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3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47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82,820,000.00</w:t>
            </w:r>
          </w:p>
        </w:tc>
        <w:tc>
          <w:tcPr>
            <w:tcW w:w="197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>
      <w:pPr>
        <w:spacing w:before="300" w:after="300" w:line="360" w:lineRule="exact"/>
        <w:outlineLvl w:val="0"/>
        <w:rPr>
          <w:b/>
          <w:bCs/>
        </w:rPr>
      </w:pPr>
    </w:p>
    <w:p>
      <w:pPr>
        <w:spacing w:before="300" w:after="300" w:line="360" w:lineRule="exact"/>
        <w:outlineLvl w:val="0"/>
        <w:rPr>
          <w:b/>
          <w:bCs/>
        </w:rPr>
      </w:pPr>
    </w:p>
    <w:p>
      <w:pPr>
        <w:spacing w:before="300" w:after="300" w:line="360" w:lineRule="exact"/>
        <w:outlineLvl w:val="0"/>
        <w:rPr>
          <w:b/>
          <w:bCs/>
        </w:rPr>
      </w:pPr>
    </w:p>
    <w:p>
      <w:pPr>
        <w:spacing w:before="300" w:after="300" w:line="360" w:lineRule="exact"/>
        <w:outlineLvl w:val="0"/>
        <w:rPr>
          <w:b/>
          <w:bCs/>
        </w:rPr>
      </w:pPr>
    </w:p>
    <w:p>
      <w:pPr>
        <w:spacing w:before="300" w:after="300" w:line="360" w:lineRule="exact"/>
        <w:outlineLvl w:val="0"/>
        <w:rPr>
          <w:b/>
          <w:bCs/>
        </w:rPr>
      </w:pPr>
    </w:p>
    <w:p>
      <w:pPr>
        <w:spacing w:before="300" w:after="300" w:line="360" w:lineRule="exact"/>
        <w:outlineLvl w:val="0"/>
        <w:rPr>
          <w:b/>
          <w:bCs/>
        </w:rPr>
      </w:pPr>
    </w:p>
    <w:p>
      <w:pPr>
        <w:spacing w:before="300" w:after="300" w:line="360" w:lineRule="exact"/>
        <w:outlineLvl w:val="0"/>
        <w:rPr>
          <w:rFonts w:hint="eastAsia"/>
          <w:b/>
          <w:bCs/>
        </w:rPr>
      </w:pPr>
    </w:p>
    <w:p>
      <w:pPr>
        <w:spacing w:before="300" w:after="300" w:line="360" w:lineRule="exact"/>
        <w:outlineLvl w:val="0"/>
        <w:rPr>
          <w:b/>
          <w:bCs/>
        </w:rPr>
      </w:pPr>
      <w:r>
        <w:rPr>
          <w:rFonts w:hint="eastAsia"/>
          <w:b/>
          <w:bCs/>
        </w:rPr>
        <w:t>附件四：本期合同签订情况</w:t>
      </w:r>
      <w:bookmarkEnd w:id="26"/>
    </w:p>
    <w:p>
      <w:pPr>
        <w:spacing w:before="326" w:beforeLines="100"/>
        <w:jc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>本期合同签订情况</w:t>
      </w:r>
    </w:p>
    <w:tbl>
      <w:tblPr>
        <w:tblStyle w:val="17"/>
        <w:tblW w:w="5052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130"/>
        <w:gridCol w:w="1018"/>
        <w:gridCol w:w="1371"/>
        <w:gridCol w:w="2073"/>
        <w:gridCol w:w="2187"/>
        <w:gridCol w:w="14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tblHeader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5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用印日期</w:t>
            </w:r>
          </w:p>
        </w:tc>
        <w:tc>
          <w:tcPr>
            <w:tcW w:w="5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对方单位</w:t>
            </w:r>
          </w:p>
        </w:tc>
        <w:tc>
          <w:tcPr>
            <w:tcW w:w="68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合同文件名称</w:t>
            </w:r>
          </w:p>
        </w:tc>
        <w:tc>
          <w:tcPr>
            <w:tcW w:w="104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合同内容</w:t>
            </w:r>
          </w:p>
        </w:tc>
        <w:tc>
          <w:tcPr>
            <w:tcW w:w="10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付款节点</w:t>
            </w:r>
          </w:p>
        </w:tc>
        <w:tc>
          <w:tcPr>
            <w:tcW w:w="70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合同金额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（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0" w:hRule="atLeast"/>
        </w:trPr>
        <w:tc>
          <w:tcPr>
            <w:tcW w:w="39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2021/2/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重庆市金盾人防设备有限公司</w:t>
            </w:r>
          </w:p>
        </w:tc>
        <w:tc>
          <w:tcPr>
            <w:tcW w:w="6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《重庆恒大锦城二期防空地下室人防设备制作及安装工程施工合同》主体合同及补充协议</w:t>
            </w:r>
          </w:p>
        </w:tc>
        <w:tc>
          <w:tcPr>
            <w:tcW w:w="10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1.重庆恒大锦城二期防空地下室人防设备制作及安装 工程,具体内容包括但不限于:人防门、封堵、密闭套管、防爆地漏、风管、 圆门、堵头、观察等工程的预留制作、运输、预埋及安装等工作内容。承包 单位应按照发包单位提供的施工图纸制作、预埋、安装,并且应严格按照国家 人防办、国家建设部标准图集施工。确保通过独立的第三方检测单位检测合格、以及人防办的竣工验收等。</w:t>
            </w:r>
            <w:r>
              <w:rPr>
                <w:rFonts w:ascii="Arial" w:hAnsi="Arial" w:cs="Arial"/>
                <w:sz w:val="18"/>
                <w:szCs w:val="18"/>
              </w:rPr>
              <w:br w:type="textWrapping"/>
            </w:r>
            <w:r>
              <w:rPr>
                <w:rFonts w:ascii="Arial" w:hAnsi="Arial" w:cs="Arial"/>
                <w:sz w:val="18"/>
                <w:szCs w:val="18"/>
              </w:rPr>
              <w:t>2.乙方承接的《重庆恒大锦城二期防空地下室人防设备制作及安装工程施工》在施工期间的施工进度达到甲方设定的目标进度,甲方同意支付乙方赶工奖,具体赶工奖金额以甲方核定为准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10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1、开工令要求的进场时间之前15天,甲方支付乙方合同暂定总价的30% 作为工程备料款。</w:t>
            </w:r>
            <w:r>
              <w:rPr>
                <w:rFonts w:ascii="Arial" w:hAnsi="Arial" w:cs="Arial"/>
                <w:sz w:val="18"/>
                <w:szCs w:val="18"/>
              </w:rPr>
              <w:br w:type="textWrapping"/>
            </w:r>
            <w:r>
              <w:rPr>
                <w:rFonts w:ascii="Arial" w:hAnsi="Arial" w:cs="Arial"/>
                <w:sz w:val="18"/>
                <w:szCs w:val="18"/>
              </w:rPr>
              <w:t>2、门框(含封堵框)等首批预埋设备(件)按时进场后,甲方向乙方支付 合同暂定总价的20%作为工程进度款。</w:t>
            </w:r>
            <w:r>
              <w:rPr>
                <w:rFonts w:ascii="Arial" w:hAnsi="Arial" w:cs="Arial"/>
                <w:sz w:val="18"/>
                <w:szCs w:val="18"/>
              </w:rPr>
              <w:br w:type="textWrapping"/>
            </w:r>
            <w:r>
              <w:rPr>
                <w:rFonts w:ascii="Arial" w:hAnsi="Arial" w:cs="Arial"/>
                <w:sz w:val="18"/>
                <w:szCs w:val="18"/>
              </w:rPr>
              <w:t>3、所有预埋设备(件)全部预埋、安装完毕并通过预埋设备(件)的验 收后,甲方向乙方支付合同暂定总价的25%作为工程进度款。</w:t>
            </w:r>
            <w:r>
              <w:rPr>
                <w:rFonts w:ascii="Arial" w:hAnsi="Arial" w:cs="Arial"/>
                <w:sz w:val="18"/>
                <w:szCs w:val="18"/>
              </w:rPr>
              <w:br w:type="textWrapping"/>
            </w:r>
            <w:r>
              <w:rPr>
                <w:rFonts w:ascii="Arial" w:hAnsi="Arial" w:cs="Arial"/>
                <w:sz w:val="18"/>
                <w:szCs w:val="18"/>
              </w:rPr>
              <w:t>4、门扇及其它所有人防设备、材料安装调试完毕后,甲方向乙方支付合 同暂定总价的15%作为工程进度款,付款后乙方开始办理竣工验收手续。</w:t>
            </w:r>
            <w:r>
              <w:rPr>
                <w:rFonts w:ascii="Arial" w:hAnsi="Arial" w:cs="Arial"/>
                <w:sz w:val="18"/>
                <w:szCs w:val="18"/>
              </w:rPr>
              <w:br w:type="textWrapping"/>
            </w:r>
            <w:r>
              <w:rPr>
                <w:rFonts w:ascii="Arial" w:hAnsi="Arial" w:cs="Arial"/>
                <w:sz w:val="18"/>
                <w:szCs w:val="18"/>
              </w:rPr>
              <w:t>5、经人防办竣工验收合格,乙方取得全部竣工验收资料后,双方于30天内 办完工程结算手续,结算完毕15天内甲方付清结算款,同时乙方提供全部竣工资料原件给甲方。</w:t>
            </w:r>
          </w:p>
        </w:tc>
        <w:tc>
          <w:tcPr>
            <w:tcW w:w="7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4,160,056.63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39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2021/2/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重庆豪城建筑工程有限公司</w:t>
            </w:r>
          </w:p>
        </w:tc>
        <w:tc>
          <w:tcPr>
            <w:tcW w:w="6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重庆恒大锦城二期土石方工程施工合同补充协议5</w:t>
            </w:r>
          </w:p>
        </w:tc>
        <w:tc>
          <w:tcPr>
            <w:tcW w:w="10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鉴于乙方在合同履行过程中增加了各种抢工,赶工及其他与工程相关的各种配合费,甲方同意向乙方一次性支付全部工程配合及其相关费用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10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随当期应付款项一次性支付给乙方</w:t>
            </w:r>
          </w:p>
        </w:tc>
        <w:tc>
          <w:tcPr>
            <w:tcW w:w="7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210,000.00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0" w:hRule="atLeast"/>
        </w:trPr>
        <w:tc>
          <w:tcPr>
            <w:tcW w:w="39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重庆能泰科技有限公司</w:t>
            </w:r>
          </w:p>
        </w:tc>
        <w:tc>
          <w:tcPr>
            <w:tcW w:w="6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重庆恒大锦城首期表后燃气管安装工程施工合同</w:t>
            </w:r>
          </w:p>
        </w:tc>
        <w:tc>
          <w:tcPr>
            <w:tcW w:w="10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完成恒大锦城首期表后燃气管安装工程。具体范围为:恒大锦城1、2、4-1720-2830-34号楼共30栋，住宅共1292套表后燃气管及燃气报警器安装工作。承包人须按发包人提供的图纸《重庆恒大锦城首期表后燃气管施工图》有关设计文件、设计说明及施工过程中下发的设计变更、图纸会审记录等完成恒大锦城1、2、4-17、20-28、30-34号楼表后燃气管道、阀门燃气报警器、切断阀以及相关的配线等工作，包括工程验收等安装工程在建设期内的全部内容。</w:t>
            </w:r>
          </w:p>
        </w:tc>
        <w:tc>
          <w:tcPr>
            <w:tcW w:w="10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1、合同签订后10天内，发包人支付合同暂定总价的20%作为预付款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；</w:t>
            </w:r>
            <w:r>
              <w:rPr>
                <w:rFonts w:ascii="Arial" w:hAnsi="Arial" w:cs="Arial"/>
                <w:sz w:val="18"/>
                <w:szCs w:val="18"/>
              </w:rPr>
              <w:br w:type="textWrapping"/>
            </w:r>
            <w:r>
              <w:rPr>
                <w:rFonts w:ascii="Arial" w:hAnsi="Arial" w:cs="Arial"/>
                <w:sz w:val="18"/>
                <w:szCs w:val="18"/>
              </w:rPr>
              <w:t>2、工程进度申报的确认:承包人应于每月20日至25日按实际完成户数申报工程进度，并按照发包人提供的《工程进度申请表》的格式及要求，如实填写完成工程进度内容并经监理单位、发包人现场工程部核实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；</w:t>
            </w:r>
            <w:r>
              <w:rPr>
                <w:rFonts w:ascii="Arial" w:hAnsi="Arial" w:cs="Arial"/>
                <w:sz w:val="18"/>
                <w:szCs w:val="18"/>
              </w:rPr>
              <w:br w:type="textWrapping"/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、</w:t>
            </w:r>
            <w:r>
              <w:rPr>
                <w:rFonts w:ascii="Arial" w:hAnsi="Arial" w:cs="Arial"/>
                <w:sz w:val="18"/>
                <w:szCs w:val="18"/>
              </w:rPr>
              <w:t>工程进度款的支付:每月完成进度款金额审定后，发包人将在七天内支付承包人进度款的 70%;</w:t>
            </w:r>
            <w:r>
              <w:rPr>
                <w:rFonts w:ascii="Arial" w:hAnsi="Arial" w:cs="Arial"/>
                <w:sz w:val="18"/>
                <w:szCs w:val="18"/>
              </w:rPr>
              <w:br w:type="textWrapping"/>
            </w:r>
            <w:r>
              <w:rPr>
                <w:rFonts w:ascii="Arial" w:hAnsi="Arial" w:cs="Arial"/>
                <w:sz w:val="18"/>
                <w:szCs w:val="18"/>
              </w:rPr>
              <w:t>4、工程验收合格后，承包人送齐竣工验收资料后40天内双方办理完工程结算，结算完毕后30天内，发包人向承包人支付本工程结算价的剩余全部工程款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；</w:t>
            </w:r>
            <w:r>
              <w:rPr>
                <w:rFonts w:ascii="Arial" w:hAnsi="Arial" w:cs="Arial"/>
                <w:sz w:val="18"/>
                <w:szCs w:val="18"/>
              </w:rPr>
              <w:br w:type="textWrapping"/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、乙方在向甲方领取款项前，乙方应向甲方出具经甲方确认的合法有效的9%增值税发票(该发票应由乙方开具或由税务部门代开)。如乙方未及时提交上述发票或提交的发票不符合甲方要求的，甲方有权不支付款项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7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1,163,871.09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39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中国航空技术国际工程有限公司</w:t>
            </w:r>
          </w:p>
        </w:tc>
        <w:tc>
          <w:tcPr>
            <w:tcW w:w="6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重庆恒大锦城首一期、首二期主体及配套建设工程施工合同补充协议7</w:t>
            </w:r>
          </w:p>
        </w:tc>
        <w:tc>
          <w:tcPr>
            <w:tcW w:w="10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本补充协议范围为重庆恒大锦城首一期、首二期配套工程水钻成孔， 包括集水坑、电梯基坑、地梁、排水管、管网基槽及楼梯基础等水钻施工工程，具体工作以甲方下发的施工图为准。</w:t>
            </w:r>
          </w:p>
        </w:tc>
        <w:tc>
          <w:tcPr>
            <w:tcW w:w="10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与主合同一同结算</w:t>
            </w:r>
          </w:p>
        </w:tc>
        <w:tc>
          <w:tcPr>
            <w:tcW w:w="7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533,664.00</w:t>
            </w:r>
          </w:p>
        </w:tc>
      </w:tr>
      <w:bookmarkEnd w:id="27"/>
    </w:tbl>
    <w:p>
      <w:pPr>
        <w:spacing w:before="300" w:after="300" w:line="360" w:lineRule="exact"/>
        <w:outlineLvl w:val="0"/>
        <w:rPr>
          <w:b/>
          <w:bCs/>
        </w:rPr>
      </w:pPr>
      <w:bookmarkStart w:id="28" w:name="_Toc6047"/>
      <w:bookmarkStart w:id="29" w:name="_Hlk38616594"/>
      <w:r>
        <w:rPr>
          <w:rFonts w:hint="eastAsia"/>
          <w:b/>
          <w:bCs/>
        </w:rPr>
        <w:t>附件五：项目公司账户余额情况</w:t>
      </w:r>
      <w:bookmarkEnd w:id="28"/>
      <w:r>
        <w:rPr>
          <w:rFonts w:hint="eastAsia"/>
          <w:b/>
          <w:bCs/>
        </w:rPr>
        <w:t>及余额截图</w:t>
      </w:r>
    </w:p>
    <w:p>
      <w:pPr>
        <w:spacing w:before="326" w:beforeLines="100"/>
        <w:jc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>项目公司账户余额情况</w:t>
      </w:r>
    </w:p>
    <w:tbl>
      <w:tblPr>
        <w:tblStyle w:val="17"/>
        <w:tblW w:w="5000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1362"/>
        <w:gridCol w:w="1159"/>
        <w:gridCol w:w="1597"/>
        <w:gridCol w:w="1163"/>
        <w:gridCol w:w="1009"/>
        <w:gridCol w:w="1501"/>
        <w:gridCol w:w="139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tblHeader/>
          <w:jc w:val="center"/>
        </w:trPr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6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账户性质</w:t>
            </w:r>
          </w:p>
        </w:tc>
        <w:tc>
          <w:tcPr>
            <w:tcW w:w="8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预留印明细鉴</w:t>
            </w:r>
          </w:p>
        </w:tc>
        <w:tc>
          <w:tcPr>
            <w:tcW w:w="5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是否开通结算卡等其他功能</w:t>
            </w:r>
          </w:p>
        </w:tc>
        <w:tc>
          <w:tcPr>
            <w:tcW w:w="762" w:type="pc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本期账户余额</w:t>
            </w:r>
          </w:p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（元）</w:t>
            </w:r>
          </w:p>
        </w:tc>
        <w:tc>
          <w:tcPr>
            <w:tcW w:w="709" w:type="pc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预计可动用余额（元）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浙商银行重庆分行营业部</w:t>
            </w:r>
          </w:p>
        </w:tc>
        <w:tc>
          <w:tcPr>
            <w:tcW w:w="58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预售资金监管账户</w:t>
            </w:r>
          </w:p>
        </w:tc>
        <w:tc>
          <w:tcPr>
            <w:tcW w:w="8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6530000010120100645008</w:t>
            </w:r>
          </w:p>
        </w:tc>
        <w:tc>
          <w:tcPr>
            <w:tcW w:w="59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曾强+周静+李诗男+财务专用章</w:t>
            </w:r>
          </w:p>
        </w:tc>
        <w:tc>
          <w:tcPr>
            <w:tcW w:w="5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业务委托书支付</w:t>
            </w:r>
          </w:p>
        </w:tc>
        <w:tc>
          <w:tcPr>
            <w:tcW w:w="7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111,718,922.81</w:t>
            </w:r>
          </w:p>
        </w:tc>
        <w:tc>
          <w:tcPr>
            <w:tcW w:w="70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浙商银行重庆分行营业部</w:t>
            </w:r>
          </w:p>
        </w:tc>
        <w:tc>
          <w:tcPr>
            <w:tcW w:w="58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预售资金监管账户</w:t>
            </w:r>
          </w:p>
        </w:tc>
        <w:tc>
          <w:tcPr>
            <w:tcW w:w="8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6530000010120100655750</w:t>
            </w:r>
          </w:p>
        </w:tc>
        <w:tc>
          <w:tcPr>
            <w:tcW w:w="59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曾强+周静+李诗男+财务专用章</w:t>
            </w:r>
          </w:p>
        </w:tc>
        <w:tc>
          <w:tcPr>
            <w:tcW w:w="5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业务委托书支付</w:t>
            </w:r>
          </w:p>
        </w:tc>
        <w:tc>
          <w:tcPr>
            <w:tcW w:w="7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3,418,157.00</w:t>
            </w:r>
          </w:p>
        </w:tc>
        <w:tc>
          <w:tcPr>
            <w:tcW w:w="70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698,157.00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中国农业银行重庆渝北支行</w:t>
            </w:r>
          </w:p>
        </w:tc>
        <w:tc>
          <w:tcPr>
            <w:tcW w:w="58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预售资金监管账户</w:t>
            </w:r>
          </w:p>
        </w:tc>
        <w:tc>
          <w:tcPr>
            <w:tcW w:w="8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31110201040014855</w:t>
            </w:r>
          </w:p>
        </w:tc>
        <w:tc>
          <w:tcPr>
            <w:tcW w:w="59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曾强+周静+李诗男+财务专用章</w:t>
            </w:r>
          </w:p>
        </w:tc>
        <w:tc>
          <w:tcPr>
            <w:tcW w:w="5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业务委托书支付</w:t>
            </w:r>
          </w:p>
        </w:tc>
        <w:tc>
          <w:tcPr>
            <w:tcW w:w="7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11,950,650.44</w:t>
            </w:r>
          </w:p>
        </w:tc>
        <w:tc>
          <w:tcPr>
            <w:tcW w:w="70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7,880,650.44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9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中国建设银行股份有限公司重庆中山路支行</w:t>
            </w:r>
          </w:p>
        </w:tc>
        <w:tc>
          <w:tcPr>
            <w:tcW w:w="58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一般户</w:t>
            </w:r>
          </w:p>
        </w:tc>
        <w:tc>
          <w:tcPr>
            <w:tcW w:w="8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50050100414100002555</w:t>
            </w:r>
          </w:p>
        </w:tc>
        <w:tc>
          <w:tcPr>
            <w:tcW w:w="59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曾强+周静+财务章</w:t>
            </w:r>
          </w:p>
        </w:tc>
        <w:tc>
          <w:tcPr>
            <w:tcW w:w="5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网银转账、转账支票</w:t>
            </w:r>
          </w:p>
        </w:tc>
        <w:tc>
          <w:tcPr>
            <w:tcW w:w="7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9,594,313.00</w:t>
            </w:r>
          </w:p>
        </w:tc>
        <w:tc>
          <w:tcPr>
            <w:tcW w:w="70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9,594,313.00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9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中国银行重庆自由贸易试验区解放碑支行</w:t>
            </w:r>
          </w:p>
        </w:tc>
        <w:tc>
          <w:tcPr>
            <w:tcW w:w="58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一般户</w:t>
            </w:r>
          </w:p>
        </w:tc>
        <w:tc>
          <w:tcPr>
            <w:tcW w:w="8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111671396940</w:t>
            </w:r>
          </w:p>
        </w:tc>
        <w:tc>
          <w:tcPr>
            <w:tcW w:w="59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曾强+周静+财务章</w:t>
            </w:r>
          </w:p>
        </w:tc>
        <w:tc>
          <w:tcPr>
            <w:tcW w:w="5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网银转账、转账支票</w:t>
            </w:r>
          </w:p>
        </w:tc>
        <w:tc>
          <w:tcPr>
            <w:tcW w:w="7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333.32</w:t>
            </w:r>
          </w:p>
        </w:tc>
        <w:tc>
          <w:tcPr>
            <w:tcW w:w="70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333.32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重庆农村商业银行九龙坡支行九龙分理处</w:t>
            </w:r>
          </w:p>
        </w:tc>
        <w:tc>
          <w:tcPr>
            <w:tcW w:w="58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一般户</w:t>
            </w:r>
          </w:p>
        </w:tc>
        <w:tc>
          <w:tcPr>
            <w:tcW w:w="8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0401110120010020041</w:t>
            </w:r>
          </w:p>
        </w:tc>
        <w:tc>
          <w:tcPr>
            <w:tcW w:w="59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曾强+周静+财务章</w:t>
            </w:r>
          </w:p>
        </w:tc>
        <w:tc>
          <w:tcPr>
            <w:tcW w:w="5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网银转账、转账支票</w:t>
            </w:r>
          </w:p>
        </w:tc>
        <w:tc>
          <w:tcPr>
            <w:tcW w:w="7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597,010.53</w:t>
            </w:r>
          </w:p>
        </w:tc>
        <w:tc>
          <w:tcPr>
            <w:tcW w:w="70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597,010.53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9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工商银行重庆九龙坡杨 家坪支行</w:t>
            </w:r>
          </w:p>
        </w:tc>
        <w:tc>
          <w:tcPr>
            <w:tcW w:w="58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一般户</w:t>
            </w:r>
          </w:p>
        </w:tc>
        <w:tc>
          <w:tcPr>
            <w:tcW w:w="8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3100087019200271865</w:t>
            </w:r>
          </w:p>
        </w:tc>
        <w:tc>
          <w:tcPr>
            <w:tcW w:w="59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曾强+周静+财务章</w:t>
            </w:r>
          </w:p>
        </w:tc>
        <w:tc>
          <w:tcPr>
            <w:tcW w:w="5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网银转账、转账支票</w:t>
            </w:r>
          </w:p>
        </w:tc>
        <w:tc>
          <w:tcPr>
            <w:tcW w:w="7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916,987.38</w:t>
            </w:r>
          </w:p>
        </w:tc>
        <w:tc>
          <w:tcPr>
            <w:tcW w:w="70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916,987.38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9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民生银行重庆北部新区支行</w:t>
            </w:r>
          </w:p>
        </w:tc>
        <w:tc>
          <w:tcPr>
            <w:tcW w:w="58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一般户</w:t>
            </w:r>
          </w:p>
        </w:tc>
        <w:tc>
          <w:tcPr>
            <w:tcW w:w="8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632315625</w:t>
            </w:r>
          </w:p>
        </w:tc>
        <w:tc>
          <w:tcPr>
            <w:tcW w:w="59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曾强+周静+财务章</w:t>
            </w:r>
          </w:p>
        </w:tc>
        <w:tc>
          <w:tcPr>
            <w:tcW w:w="5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网银转账、转账支票</w:t>
            </w:r>
          </w:p>
        </w:tc>
        <w:tc>
          <w:tcPr>
            <w:tcW w:w="7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5,190.45</w:t>
            </w:r>
          </w:p>
        </w:tc>
        <w:tc>
          <w:tcPr>
            <w:tcW w:w="70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5,190.45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兴业银行重庆观音桥支行</w:t>
            </w:r>
          </w:p>
        </w:tc>
        <w:tc>
          <w:tcPr>
            <w:tcW w:w="58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一般户</w:t>
            </w:r>
          </w:p>
        </w:tc>
        <w:tc>
          <w:tcPr>
            <w:tcW w:w="8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346110100100535816</w:t>
            </w:r>
          </w:p>
        </w:tc>
        <w:tc>
          <w:tcPr>
            <w:tcW w:w="59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曾强+周静+财务章</w:t>
            </w:r>
          </w:p>
        </w:tc>
        <w:tc>
          <w:tcPr>
            <w:tcW w:w="5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网银转账、转账支票</w:t>
            </w:r>
          </w:p>
        </w:tc>
        <w:tc>
          <w:tcPr>
            <w:tcW w:w="7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3529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7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138,201,564.93</w:t>
            </w:r>
          </w:p>
        </w:tc>
        <w:tc>
          <w:tcPr>
            <w:tcW w:w="70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19,692,642.12</w:t>
            </w:r>
          </w:p>
        </w:tc>
      </w:tr>
    </w:tbl>
    <w:p>
      <w:pPr>
        <w:spacing w:before="326" w:beforeLines="100"/>
        <w:rPr>
          <w:rFonts w:hint="eastAsia" w:ascii="Arial" w:hAnsi="Arial" w:cs="Arial"/>
          <w:b/>
          <w:bCs/>
          <w:szCs w:val="21"/>
        </w:rPr>
      </w:pPr>
    </w:p>
    <w:p>
      <w:pPr>
        <w:spacing w:before="326" w:beforeLines="100"/>
        <w:rPr>
          <w:rFonts w:hint="eastAsia" w:ascii="Arial" w:hAnsi="Arial" w:cs="Arial"/>
          <w:b/>
          <w:bCs/>
          <w:szCs w:val="21"/>
        </w:rPr>
      </w:pPr>
    </w:p>
    <w:p>
      <w:pPr>
        <w:spacing w:before="326" w:beforeLines="100"/>
        <w:rPr>
          <w:rFonts w:ascii="Arial" w:hAnsi="Arial" w:cs="Arial"/>
          <w:b/>
          <w:bCs/>
          <w:szCs w:val="21"/>
        </w:rPr>
      </w:pPr>
      <w:r>
        <w:rPr>
          <w:rFonts w:hint="eastAsia" w:ascii="Arial" w:hAnsi="Arial" w:cs="Arial"/>
          <w:b/>
          <w:bCs/>
          <w:szCs w:val="21"/>
        </w:rPr>
        <w:t>浙商银行</w:t>
      </w:r>
      <w:r>
        <w:rPr>
          <w:rFonts w:ascii="Arial" w:hAnsi="Arial" w:cs="Arial"/>
          <w:b/>
          <w:bCs/>
          <w:szCs w:val="21"/>
        </w:rPr>
        <w:t>5008账户</w:t>
      </w:r>
    </w:p>
    <w:bookmarkEnd w:id="29"/>
    <w:p>
      <w:pPr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>
      <w:pPr>
        <w:tabs>
          <w:tab w:val="left" w:pos="826"/>
        </w:tabs>
        <w:spacing w:line="360" w:lineRule="auto"/>
        <w:ind w:right="960"/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6120765" cy="26212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826"/>
        </w:tabs>
        <w:spacing w:line="360" w:lineRule="auto"/>
        <w:ind w:right="960"/>
        <w:jc w:val="center"/>
        <w:rPr>
          <w:rFonts w:hint="eastAsia" w:ascii="Arial" w:hAnsi="Arial" w:cs="Arial"/>
        </w:rPr>
      </w:pPr>
    </w:p>
    <w:p>
      <w:pPr>
        <w:tabs>
          <w:tab w:val="left" w:pos="826"/>
        </w:tabs>
        <w:spacing w:line="360" w:lineRule="auto"/>
        <w:ind w:right="960"/>
        <w:jc w:val="center"/>
        <w:rPr>
          <w:rFonts w:hint="eastAsia" w:ascii="Arial" w:hAnsi="Arial" w:cs="Arial"/>
        </w:rPr>
      </w:pPr>
    </w:p>
    <w:p>
      <w:pPr>
        <w:spacing w:before="326" w:beforeLines="100"/>
        <w:rPr>
          <w:rFonts w:ascii="Arial" w:hAnsi="Arial" w:cs="Arial"/>
          <w:b/>
          <w:bCs/>
          <w:szCs w:val="21"/>
        </w:rPr>
      </w:pPr>
      <w:r>
        <w:rPr>
          <w:rFonts w:hint="eastAsia" w:ascii="Arial" w:hAnsi="Arial" w:cs="Arial"/>
          <w:b/>
          <w:bCs/>
          <w:szCs w:val="21"/>
        </w:rPr>
        <w:t>浙商银行</w:t>
      </w:r>
      <w:r>
        <w:rPr>
          <w:rFonts w:ascii="Arial" w:hAnsi="Arial" w:cs="Arial"/>
          <w:b/>
          <w:bCs/>
          <w:szCs w:val="21"/>
        </w:rPr>
        <w:t>55750账户</w:t>
      </w:r>
    </w:p>
    <w:p>
      <w:pPr>
        <w:spacing w:before="326" w:beforeLines="100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drawing>
          <wp:inline distT="0" distB="0" distL="0" distR="0">
            <wp:extent cx="6120765" cy="287147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326" w:beforeLines="100"/>
        <w:rPr>
          <w:rFonts w:hint="eastAsia" w:ascii="Arial" w:hAnsi="Arial" w:cs="Arial"/>
          <w:b/>
          <w:bCs/>
          <w:szCs w:val="21"/>
        </w:rPr>
      </w:pPr>
    </w:p>
    <w:p>
      <w:pPr>
        <w:spacing w:before="326" w:beforeLines="100"/>
        <w:rPr>
          <w:rFonts w:hint="eastAsia" w:ascii="Arial" w:hAnsi="Arial" w:cs="Arial"/>
          <w:b/>
          <w:bCs/>
          <w:szCs w:val="21"/>
        </w:rPr>
      </w:pPr>
    </w:p>
    <w:p>
      <w:pPr>
        <w:spacing w:before="326" w:beforeLines="100"/>
        <w:rPr>
          <w:rFonts w:hint="eastAsia" w:ascii="Arial" w:hAnsi="Arial" w:cs="Arial"/>
          <w:b/>
          <w:bCs/>
          <w:szCs w:val="21"/>
        </w:rPr>
      </w:pPr>
    </w:p>
    <w:p>
      <w:pPr>
        <w:spacing w:before="326" w:beforeLines="100"/>
        <w:rPr>
          <w:rFonts w:ascii="Arial" w:hAnsi="Arial" w:cs="Arial"/>
          <w:b/>
          <w:bCs/>
          <w:szCs w:val="21"/>
        </w:rPr>
      </w:pPr>
      <w:r>
        <w:rPr>
          <w:rFonts w:hint="eastAsia" w:ascii="Arial" w:hAnsi="Arial" w:cs="Arial"/>
          <w:b/>
          <w:bCs/>
          <w:szCs w:val="21"/>
        </w:rPr>
        <w:t>农行</w:t>
      </w:r>
      <w:r>
        <w:rPr>
          <w:rFonts w:ascii="Arial" w:hAnsi="Arial" w:cs="Arial"/>
          <w:b/>
          <w:bCs/>
          <w:szCs w:val="21"/>
        </w:rPr>
        <w:t>4855账户</w:t>
      </w:r>
    </w:p>
    <w:p>
      <w:pPr>
        <w:spacing w:before="326" w:beforeLines="100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drawing>
          <wp:inline distT="0" distB="0" distL="0" distR="0">
            <wp:extent cx="6120765" cy="33166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326" w:beforeLines="100"/>
        <w:rPr>
          <w:rFonts w:ascii="Arial" w:hAnsi="Arial" w:cs="Arial"/>
          <w:b/>
          <w:bCs/>
          <w:szCs w:val="21"/>
        </w:rPr>
      </w:pPr>
    </w:p>
    <w:p>
      <w:pPr>
        <w:spacing w:before="326" w:beforeLines="100"/>
        <w:rPr>
          <w:rFonts w:hint="eastAsia" w:ascii="Arial" w:hAnsi="Arial" w:cs="Arial"/>
          <w:b/>
          <w:bCs/>
          <w:szCs w:val="21"/>
        </w:rPr>
      </w:pPr>
    </w:p>
    <w:p>
      <w:pPr>
        <w:spacing w:before="326" w:beforeLines="100"/>
        <w:rPr>
          <w:rFonts w:ascii="Arial" w:hAnsi="Arial" w:cs="Arial"/>
          <w:b/>
          <w:bCs/>
          <w:szCs w:val="21"/>
        </w:rPr>
      </w:pPr>
      <w:r>
        <w:rPr>
          <w:rFonts w:hint="eastAsia" w:ascii="Arial" w:hAnsi="Arial" w:cs="Arial"/>
          <w:b/>
          <w:bCs/>
          <w:szCs w:val="21"/>
        </w:rPr>
        <w:t>建行</w:t>
      </w:r>
      <w:r>
        <w:rPr>
          <w:rFonts w:ascii="Arial" w:hAnsi="Arial" w:cs="Arial"/>
          <w:b/>
          <w:bCs/>
          <w:szCs w:val="21"/>
        </w:rPr>
        <w:t>2555账户</w:t>
      </w:r>
    </w:p>
    <w:p>
      <w:pPr>
        <w:spacing w:before="326" w:beforeLines="100"/>
        <w:rPr>
          <w:rFonts w:hint="eastAsia"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drawing>
          <wp:inline distT="0" distB="0" distL="0" distR="0">
            <wp:extent cx="6120765" cy="283464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326" w:beforeLines="100"/>
        <w:rPr>
          <w:rFonts w:ascii="Arial" w:hAnsi="Arial" w:cs="Arial"/>
          <w:b/>
          <w:bCs/>
          <w:szCs w:val="21"/>
        </w:rPr>
      </w:pPr>
      <w:r>
        <w:rPr>
          <w:rFonts w:hint="eastAsia" w:ascii="Arial" w:hAnsi="Arial" w:cs="Arial"/>
          <w:b/>
          <w:bCs/>
          <w:szCs w:val="21"/>
        </w:rPr>
        <w:t>农商行</w:t>
      </w:r>
      <w:r>
        <w:rPr>
          <w:rFonts w:ascii="Arial" w:hAnsi="Arial" w:cs="Arial"/>
          <w:b/>
          <w:bCs/>
          <w:szCs w:val="21"/>
        </w:rPr>
        <w:t>0041账户</w:t>
      </w:r>
    </w:p>
    <w:p>
      <w:pPr>
        <w:spacing w:before="326" w:beforeLines="100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drawing>
          <wp:inline distT="0" distB="0" distL="0" distR="0">
            <wp:extent cx="6120765" cy="2261870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326" w:beforeLines="100"/>
        <w:rPr>
          <w:rFonts w:ascii="Arial" w:hAnsi="Arial" w:cs="Arial"/>
          <w:b/>
          <w:bCs/>
          <w:szCs w:val="21"/>
        </w:rPr>
      </w:pPr>
      <w:r>
        <w:rPr>
          <w:rFonts w:hint="eastAsia" w:ascii="Arial" w:hAnsi="Arial" w:cs="Arial"/>
          <w:b/>
          <w:bCs/>
          <w:szCs w:val="21"/>
        </w:rPr>
        <w:t>工行</w:t>
      </w:r>
      <w:r>
        <w:rPr>
          <w:rFonts w:ascii="Arial" w:hAnsi="Arial" w:cs="Arial"/>
          <w:b/>
          <w:bCs/>
          <w:szCs w:val="21"/>
        </w:rPr>
        <w:t>1865账户</w:t>
      </w:r>
    </w:p>
    <w:p>
      <w:pPr>
        <w:spacing w:before="326" w:beforeLines="100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drawing>
          <wp:inline distT="0" distB="0" distL="0" distR="0">
            <wp:extent cx="6120765" cy="2524760"/>
            <wp:effectExtent l="0" t="0" r="635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2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326" w:beforeLines="100"/>
        <w:rPr>
          <w:rFonts w:cstheme="majorBidi"/>
          <w:b/>
          <w:bCs/>
          <w:kern w:val="2"/>
        </w:rPr>
      </w:pPr>
      <w:r>
        <w:rPr>
          <w:rFonts w:hint="eastAsia" w:cstheme="majorBidi"/>
          <w:b/>
          <w:bCs/>
          <w:kern w:val="2"/>
        </w:rPr>
        <w:t>民生银行5625账户</w:t>
      </w:r>
    </w:p>
    <w:p>
      <w:pPr>
        <w:spacing w:before="326" w:beforeLines="100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drawing>
          <wp:inline distT="0" distB="0" distL="0" distR="0">
            <wp:extent cx="6120765" cy="1880870"/>
            <wp:effectExtent l="0" t="0" r="635" b="1143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8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326" w:beforeLines="100"/>
        <w:rPr>
          <w:rFonts w:ascii="Arial" w:hAnsi="Arial" w:cs="Arial"/>
          <w:b/>
          <w:bCs/>
          <w:szCs w:val="21"/>
        </w:rPr>
      </w:pPr>
      <w:r>
        <w:rPr>
          <w:rFonts w:hint="eastAsia" w:ascii="Arial" w:hAnsi="Arial" w:cs="Arial"/>
          <w:b/>
          <w:bCs/>
          <w:szCs w:val="21"/>
        </w:rPr>
        <w:t>中国银行</w:t>
      </w:r>
      <w:r>
        <w:rPr>
          <w:rFonts w:ascii="Arial" w:hAnsi="Arial" w:cs="Arial"/>
          <w:b/>
          <w:bCs/>
          <w:szCs w:val="21"/>
        </w:rPr>
        <w:t>6940账户</w:t>
      </w:r>
    </w:p>
    <w:p>
      <w:pPr>
        <w:spacing w:before="326" w:beforeLines="100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drawing>
          <wp:inline distT="0" distB="0" distL="0" distR="0">
            <wp:extent cx="6120765" cy="362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326" w:beforeLines="100"/>
        <w:rPr>
          <w:rFonts w:cstheme="majorBidi"/>
          <w:b/>
          <w:bCs/>
          <w:kern w:val="2"/>
        </w:rPr>
      </w:pPr>
      <w:r>
        <w:rPr>
          <w:rFonts w:hint="eastAsia" w:cstheme="majorBidi"/>
          <w:b/>
          <w:bCs/>
          <w:kern w:val="2"/>
        </w:rPr>
        <w:t>兴业银行5816账户</w:t>
      </w:r>
    </w:p>
    <w:p>
      <w:pPr>
        <w:spacing w:before="326" w:beforeLines="100"/>
        <w:rPr>
          <w:rFonts w:ascii="Arial" w:hAnsi="Arial" w:cs="Arial"/>
          <w:b/>
          <w:bCs/>
          <w:szCs w:val="21"/>
        </w:rPr>
      </w:pPr>
      <w:r>
        <w:rPr>
          <w:rFonts w:cstheme="majorBidi"/>
          <w:b/>
          <w:bCs/>
          <w:kern w:val="2"/>
        </w:rPr>
        <w:drawing>
          <wp:inline distT="0" distB="0" distL="0" distR="0">
            <wp:extent cx="6120130" cy="25177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06" w:h="16838"/>
      <w:pgMar w:top="1843" w:right="1134" w:bottom="1134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</w:p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  <w:rPr>
        <w:rFonts w:ascii="Arial" w:hAnsi="Arial" w:cs="Arial"/>
      </w:rPr>
    </w:pPr>
    <w:r>
      <w:rPr>
        <w:rFonts w:ascii="Arial" w:hAnsi="Arial" w:cs="Aria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sdt>
                          <w:sdtPr>
                            <w:id w:val="1147870489"/>
                          </w:sdtPr>
                          <w:sdtContent>
                            <w:p>
                              <w:pPr>
                                <w:pStyle w:val="9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32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v-text-anchor:middle;mso-width-relative:page;mso-height-relative:page;" filled="f" stroked="f" coordsize="21600,21600" o:gfxdata="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dA3zfRAAAABQEAAA8AAAAAAAAAAQAgAAAAIgAAAGRycy9kb3ducmV2Lnht&#10;bFBLAQIUABQAAAAIAIdO4kCqw4r/OQIAAG4EAAAOAAAAAAAAAAEAIAAAACABAABkcnMvZTJvRG9j&#10;LnhtbFBLBQYAAAAABgAGAFkBAADLBQAAAAA=&#10;">
              <v:fill on="f" focussize="0,0"/>
              <v:stroke on="f" miterlimit="8" joinstyle="miter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147870489"/>
                    </w:sdtPr>
                    <w:sdtContent>
                      <w:p>
                        <w:pPr>
                          <w:pStyle w:val="9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32</w:t>
                        </w:r>
                        <w: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 w:cs="Arial"/>
      </w:rPr>
    </w:pPr>
    <w:r>
      <w:rPr>
        <w:rFonts w:ascii="Arial" w:hAnsi="Arial" w:cs="Arial"/>
      </w:rPr>
      <w:t>2021年</w:t>
    </w:r>
    <w:r>
      <w:rPr>
        <w:rFonts w:hint="eastAsia" w:ascii="Arial" w:hAnsi="Arial" w:cs="Arial"/>
      </w:rPr>
      <w:t>2</w:t>
    </w:r>
    <w:r>
      <w:rPr>
        <w:rFonts w:ascii="Arial" w:hAnsi="Arial" w:cs="Arial"/>
      </w:rPr>
      <w:t>月监管月报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hideSpellingErrors/>
  <w:hideGrammaticalError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480"/>
    <w:rsid w:val="00000F7A"/>
    <w:rsid w:val="00004315"/>
    <w:rsid w:val="0000451D"/>
    <w:rsid w:val="00004DB8"/>
    <w:rsid w:val="00006FE2"/>
    <w:rsid w:val="00007D45"/>
    <w:rsid w:val="00007E13"/>
    <w:rsid w:val="000113FF"/>
    <w:rsid w:val="00015D60"/>
    <w:rsid w:val="00016293"/>
    <w:rsid w:val="000201AC"/>
    <w:rsid w:val="000210A0"/>
    <w:rsid w:val="00021882"/>
    <w:rsid w:val="000232A5"/>
    <w:rsid w:val="00025295"/>
    <w:rsid w:val="00025E05"/>
    <w:rsid w:val="00031293"/>
    <w:rsid w:val="00032008"/>
    <w:rsid w:val="0003218B"/>
    <w:rsid w:val="00032C11"/>
    <w:rsid w:val="0003483C"/>
    <w:rsid w:val="0003632A"/>
    <w:rsid w:val="00036D6D"/>
    <w:rsid w:val="00037915"/>
    <w:rsid w:val="000410FA"/>
    <w:rsid w:val="00043605"/>
    <w:rsid w:val="00045783"/>
    <w:rsid w:val="00045FC6"/>
    <w:rsid w:val="00046A43"/>
    <w:rsid w:val="00047D9F"/>
    <w:rsid w:val="00050082"/>
    <w:rsid w:val="000509C1"/>
    <w:rsid w:val="00051272"/>
    <w:rsid w:val="0005251C"/>
    <w:rsid w:val="00053FAE"/>
    <w:rsid w:val="000558CA"/>
    <w:rsid w:val="000559AB"/>
    <w:rsid w:val="00056052"/>
    <w:rsid w:val="00056E22"/>
    <w:rsid w:val="000604A4"/>
    <w:rsid w:val="00060651"/>
    <w:rsid w:val="00060EAD"/>
    <w:rsid w:val="00061031"/>
    <w:rsid w:val="00061A31"/>
    <w:rsid w:val="000644BE"/>
    <w:rsid w:val="00064C98"/>
    <w:rsid w:val="0006554D"/>
    <w:rsid w:val="00066FDF"/>
    <w:rsid w:val="000671DB"/>
    <w:rsid w:val="000708B1"/>
    <w:rsid w:val="00070F2F"/>
    <w:rsid w:val="0007333A"/>
    <w:rsid w:val="00074670"/>
    <w:rsid w:val="00074C16"/>
    <w:rsid w:val="0007518A"/>
    <w:rsid w:val="000852E2"/>
    <w:rsid w:val="000855FC"/>
    <w:rsid w:val="00086483"/>
    <w:rsid w:val="0008780F"/>
    <w:rsid w:val="000906DF"/>
    <w:rsid w:val="00091003"/>
    <w:rsid w:val="0009184C"/>
    <w:rsid w:val="000920A9"/>
    <w:rsid w:val="0009274C"/>
    <w:rsid w:val="00092E3B"/>
    <w:rsid w:val="00094D33"/>
    <w:rsid w:val="0009530A"/>
    <w:rsid w:val="0009587E"/>
    <w:rsid w:val="0009762F"/>
    <w:rsid w:val="000A065A"/>
    <w:rsid w:val="000A148F"/>
    <w:rsid w:val="000A30BF"/>
    <w:rsid w:val="000A7566"/>
    <w:rsid w:val="000B00D7"/>
    <w:rsid w:val="000B0110"/>
    <w:rsid w:val="000B1740"/>
    <w:rsid w:val="000B2199"/>
    <w:rsid w:val="000B34ED"/>
    <w:rsid w:val="000B5F20"/>
    <w:rsid w:val="000B7873"/>
    <w:rsid w:val="000C1F36"/>
    <w:rsid w:val="000C54AC"/>
    <w:rsid w:val="000C71F0"/>
    <w:rsid w:val="000C79C2"/>
    <w:rsid w:val="000D2760"/>
    <w:rsid w:val="000D37E8"/>
    <w:rsid w:val="000D397F"/>
    <w:rsid w:val="000D4D6D"/>
    <w:rsid w:val="000D4D81"/>
    <w:rsid w:val="000D53BF"/>
    <w:rsid w:val="000E0C5B"/>
    <w:rsid w:val="000E1195"/>
    <w:rsid w:val="000E3D75"/>
    <w:rsid w:val="000F3A05"/>
    <w:rsid w:val="000F3FA2"/>
    <w:rsid w:val="000F4FA0"/>
    <w:rsid w:val="000F50A4"/>
    <w:rsid w:val="001038BE"/>
    <w:rsid w:val="00103D69"/>
    <w:rsid w:val="00104539"/>
    <w:rsid w:val="00104605"/>
    <w:rsid w:val="00105AB8"/>
    <w:rsid w:val="00113559"/>
    <w:rsid w:val="0011533D"/>
    <w:rsid w:val="0012059E"/>
    <w:rsid w:val="00120F38"/>
    <w:rsid w:val="0012172C"/>
    <w:rsid w:val="00121B8B"/>
    <w:rsid w:val="00122C79"/>
    <w:rsid w:val="00123D17"/>
    <w:rsid w:val="00126098"/>
    <w:rsid w:val="0012650A"/>
    <w:rsid w:val="00126D26"/>
    <w:rsid w:val="001279BB"/>
    <w:rsid w:val="00135D36"/>
    <w:rsid w:val="00136407"/>
    <w:rsid w:val="00136E3A"/>
    <w:rsid w:val="00140BA9"/>
    <w:rsid w:val="00142843"/>
    <w:rsid w:val="001439D7"/>
    <w:rsid w:val="00143FBE"/>
    <w:rsid w:val="001476BC"/>
    <w:rsid w:val="0015014A"/>
    <w:rsid w:val="00150CBA"/>
    <w:rsid w:val="00156EBC"/>
    <w:rsid w:val="001573CA"/>
    <w:rsid w:val="00160A3D"/>
    <w:rsid w:val="00162EB1"/>
    <w:rsid w:val="0016392F"/>
    <w:rsid w:val="001643E8"/>
    <w:rsid w:val="001652F8"/>
    <w:rsid w:val="0016586A"/>
    <w:rsid w:val="00166E1E"/>
    <w:rsid w:val="00166E72"/>
    <w:rsid w:val="00172B3E"/>
    <w:rsid w:val="00176373"/>
    <w:rsid w:val="001872CB"/>
    <w:rsid w:val="001943F0"/>
    <w:rsid w:val="001944D1"/>
    <w:rsid w:val="00195B1A"/>
    <w:rsid w:val="00196720"/>
    <w:rsid w:val="0019757F"/>
    <w:rsid w:val="001A1FEE"/>
    <w:rsid w:val="001A331C"/>
    <w:rsid w:val="001A3C3F"/>
    <w:rsid w:val="001A61BD"/>
    <w:rsid w:val="001A7211"/>
    <w:rsid w:val="001A76FC"/>
    <w:rsid w:val="001B07F0"/>
    <w:rsid w:val="001B085F"/>
    <w:rsid w:val="001B215D"/>
    <w:rsid w:val="001B243F"/>
    <w:rsid w:val="001B24F5"/>
    <w:rsid w:val="001B4822"/>
    <w:rsid w:val="001B48ED"/>
    <w:rsid w:val="001B4C23"/>
    <w:rsid w:val="001C016A"/>
    <w:rsid w:val="001C1666"/>
    <w:rsid w:val="001C1747"/>
    <w:rsid w:val="001C36F9"/>
    <w:rsid w:val="001C5110"/>
    <w:rsid w:val="001C5F16"/>
    <w:rsid w:val="001D2127"/>
    <w:rsid w:val="001D74C2"/>
    <w:rsid w:val="001D753D"/>
    <w:rsid w:val="001E0CBC"/>
    <w:rsid w:val="001E23B2"/>
    <w:rsid w:val="001E59B5"/>
    <w:rsid w:val="001E5D91"/>
    <w:rsid w:val="001F083E"/>
    <w:rsid w:val="001F1491"/>
    <w:rsid w:val="001F450A"/>
    <w:rsid w:val="001F4F2F"/>
    <w:rsid w:val="001F5FA0"/>
    <w:rsid w:val="001F7D54"/>
    <w:rsid w:val="0020444D"/>
    <w:rsid w:val="00205064"/>
    <w:rsid w:val="0020516C"/>
    <w:rsid w:val="00206D66"/>
    <w:rsid w:val="0021072F"/>
    <w:rsid w:val="00210F2A"/>
    <w:rsid w:val="0021300C"/>
    <w:rsid w:val="002151B5"/>
    <w:rsid w:val="00215FE6"/>
    <w:rsid w:val="002164C2"/>
    <w:rsid w:val="00220868"/>
    <w:rsid w:val="002234FF"/>
    <w:rsid w:val="0022531E"/>
    <w:rsid w:val="00226311"/>
    <w:rsid w:val="002266C6"/>
    <w:rsid w:val="00227324"/>
    <w:rsid w:val="00230075"/>
    <w:rsid w:val="00234149"/>
    <w:rsid w:val="00234393"/>
    <w:rsid w:val="00235001"/>
    <w:rsid w:val="00236F2E"/>
    <w:rsid w:val="002370C4"/>
    <w:rsid w:val="00241FFB"/>
    <w:rsid w:val="00242E31"/>
    <w:rsid w:val="00245651"/>
    <w:rsid w:val="00246C30"/>
    <w:rsid w:val="00247F31"/>
    <w:rsid w:val="00250C18"/>
    <w:rsid w:val="00254D6F"/>
    <w:rsid w:val="00255A72"/>
    <w:rsid w:val="002605F9"/>
    <w:rsid w:val="00260C22"/>
    <w:rsid w:val="00262309"/>
    <w:rsid w:val="0026255E"/>
    <w:rsid w:val="00263715"/>
    <w:rsid w:val="00263E49"/>
    <w:rsid w:val="002643BD"/>
    <w:rsid w:val="00272AC6"/>
    <w:rsid w:val="00272E8C"/>
    <w:rsid w:val="002735D5"/>
    <w:rsid w:val="002752C5"/>
    <w:rsid w:val="00276595"/>
    <w:rsid w:val="00280543"/>
    <w:rsid w:val="00280E4F"/>
    <w:rsid w:val="00282D5E"/>
    <w:rsid w:val="00283023"/>
    <w:rsid w:val="002912DE"/>
    <w:rsid w:val="002913EB"/>
    <w:rsid w:val="00292093"/>
    <w:rsid w:val="002932A2"/>
    <w:rsid w:val="00293A93"/>
    <w:rsid w:val="002951DD"/>
    <w:rsid w:val="002973B8"/>
    <w:rsid w:val="002A08BF"/>
    <w:rsid w:val="002A139E"/>
    <w:rsid w:val="002A17D0"/>
    <w:rsid w:val="002A4D11"/>
    <w:rsid w:val="002A6934"/>
    <w:rsid w:val="002B1253"/>
    <w:rsid w:val="002B1935"/>
    <w:rsid w:val="002C0480"/>
    <w:rsid w:val="002C1DD1"/>
    <w:rsid w:val="002C3048"/>
    <w:rsid w:val="002C370C"/>
    <w:rsid w:val="002C6D02"/>
    <w:rsid w:val="002C7795"/>
    <w:rsid w:val="002D0503"/>
    <w:rsid w:val="002D22EB"/>
    <w:rsid w:val="002D22FB"/>
    <w:rsid w:val="002D2CC9"/>
    <w:rsid w:val="002D65A4"/>
    <w:rsid w:val="002D7E31"/>
    <w:rsid w:val="002E0470"/>
    <w:rsid w:val="002E05AB"/>
    <w:rsid w:val="002E2933"/>
    <w:rsid w:val="002E2C63"/>
    <w:rsid w:val="002E2D55"/>
    <w:rsid w:val="002E514A"/>
    <w:rsid w:val="002E5449"/>
    <w:rsid w:val="002E600D"/>
    <w:rsid w:val="002E69B8"/>
    <w:rsid w:val="002F13CA"/>
    <w:rsid w:val="002F219F"/>
    <w:rsid w:val="002F6158"/>
    <w:rsid w:val="002F7CC7"/>
    <w:rsid w:val="0030000A"/>
    <w:rsid w:val="003001A5"/>
    <w:rsid w:val="003028D3"/>
    <w:rsid w:val="0030313E"/>
    <w:rsid w:val="00307EF8"/>
    <w:rsid w:val="00314C8B"/>
    <w:rsid w:val="00316CF8"/>
    <w:rsid w:val="00325BFD"/>
    <w:rsid w:val="003261C5"/>
    <w:rsid w:val="00326591"/>
    <w:rsid w:val="00327DFE"/>
    <w:rsid w:val="00330AB5"/>
    <w:rsid w:val="0033182B"/>
    <w:rsid w:val="00333BEB"/>
    <w:rsid w:val="003347ED"/>
    <w:rsid w:val="00335123"/>
    <w:rsid w:val="0033538D"/>
    <w:rsid w:val="00335A87"/>
    <w:rsid w:val="00336FD0"/>
    <w:rsid w:val="00342F5B"/>
    <w:rsid w:val="00343658"/>
    <w:rsid w:val="00345D8B"/>
    <w:rsid w:val="003474D3"/>
    <w:rsid w:val="00347621"/>
    <w:rsid w:val="00350453"/>
    <w:rsid w:val="00350B70"/>
    <w:rsid w:val="00351D21"/>
    <w:rsid w:val="00353827"/>
    <w:rsid w:val="0035450D"/>
    <w:rsid w:val="003569BA"/>
    <w:rsid w:val="00365DEE"/>
    <w:rsid w:val="003660C2"/>
    <w:rsid w:val="00366740"/>
    <w:rsid w:val="00370776"/>
    <w:rsid w:val="00373AD6"/>
    <w:rsid w:val="00374CD3"/>
    <w:rsid w:val="003751F3"/>
    <w:rsid w:val="003806B6"/>
    <w:rsid w:val="00381B86"/>
    <w:rsid w:val="0038616A"/>
    <w:rsid w:val="00387869"/>
    <w:rsid w:val="0039225A"/>
    <w:rsid w:val="00393646"/>
    <w:rsid w:val="003961A4"/>
    <w:rsid w:val="003971B6"/>
    <w:rsid w:val="00397E9B"/>
    <w:rsid w:val="003A0B0C"/>
    <w:rsid w:val="003A1B83"/>
    <w:rsid w:val="003A38C6"/>
    <w:rsid w:val="003A4EFD"/>
    <w:rsid w:val="003A6299"/>
    <w:rsid w:val="003A717E"/>
    <w:rsid w:val="003A7973"/>
    <w:rsid w:val="003A7E2C"/>
    <w:rsid w:val="003B08FD"/>
    <w:rsid w:val="003B11F7"/>
    <w:rsid w:val="003B1B19"/>
    <w:rsid w:val="003B3012"/>
    <w:rsid w:val="003B4B14"/>
    <w:rsid w:val="003C42F1"/>
    <w:rsid w:val="003C4E49"/>
    <w:rsid w:val="003C791D"/>
    <w:rsid w:val="003D023B"/>
    <w:rsid w:val="003D2563"/>
    <w:rsid w:val="003D3F34"/>
    <w:rsid w:val="003D4673"/>
    <w:rsid w:val="003D49FD"/>
    <w:rsid w:val="003D4D16"/>
    <w:rsid w:val="003D7722"/>
    <w:rsid w:val="003E010B"/>
    <w:rsid w:val="003E1AD9"/>
    <w:rsid w:val="003E26D8"/>
    <w:rsid w:val="003E2E02"/>
    <w:rsid w:val="003E4C38"/>
    <w:rsid w:val="003E51A2"/>
    <w:rsid w:val="003E69F3"/>
    <w:rsid w:val="003E716B"/>
    <w:rsid w:val="003E7EE3"/>
    <w:rsid w:val="003F361C"/>
    <w:rsid w:val="003F5A04"/>
    <w:rsid w:val="003F6561"/>
    <w:rsid w:val="00400D81"/>
    <w:rsid w:val="004076CF"/>
    <w:rsid w:val="00407E0E"/>
    <w:rsid w:val="00410B37"/>
    <w:rsid w:val="00410B9D"/>
    <w:rsid w:val="004128BB"/>
    <w:rsid w:val="004152D7"/>
    <w:rsid w:val="0041557D"/>
    <w:rsid w:val="004176DD"/>
    <w:rsid w:val="00417D1F"/>
    <w:rsid w:val="00421A64"/>
    <w:rsid w:val="00421BC3"/>
    <w:rsid w:val="00421F2A"/>
    <w:rsid w:val="0042306E"/>
    <w:rsid w:val="004248E2"/>
    <w:rsid w:val="00425D04"/>
    <w:rsid w:val="00432204"/>
    <w:rsid w:val="00433F9D"/>
    <w:rsid w:val="004422DE"/>
    <w:rsid w:val="0044230F"/>
    <w:rsid w:val="004446AB"/>
    <w:rsid w:val="00444CC5"/>
    <w:rsid w:val="004454F7"/>
    <w:rsid w:val="00445F4F"/>
    <w:rsid w:val="00447C83"/>
    <w:rsid w:val="00447E4B"/>
    <w:rsid w:val="004501E1"/>
    <w:rsid w:val="00450843"/>
    <w:rsid w:val="0045192B"/>
    <w:rsid w:val="004619EB"/>
    <w:rsid w:val="00462AEE"/>
    <w:rsid w:val="0046440F"/>
    <w:rsid w:val="00465548"/>
    <w:rsid w:val="0046580A"/>
    <w:rsid w:val="004665D4"/>
    <w:rsid w:val="00466FDE"/>
    <w:rsid w:val="0047031D"/>
    <w:rsid w:val="00473365"/>
    <w:rsid w:val="0047363E"/>
    <w:rsid w:val="004746A2"/>
    <w:rsid w:val="00474A17"/>
    <w:rsid w:val="00476C54"/>
    <w:rsid w:val="00480927"/>
    <w:rsid w:val="00483E55"/>
    <w:rsid w:val="00486FC9"/>
    <w:rsid w:val="004901BE"/>
    <w:rsid w:val="00491DA3"/>
    <w:rsid w:val="004A0B70"/>
    <w:rsid w:val="004A4B9A"/>
    <w:rsid w:val="004B0FD4"/>
    <w:rsid w:val="004B33BF"/>
    <w:rsid w:val="004B4D79"/>
    <w:rsid w:val="004C1F9B"/>
    <w:rsid w:val="004C2404"/>
    <w:rsid w:val="004C2B34"/>
    <w:rsid w:val="004C4CAD"/>
    <w:rsid w:val="004C4F3D"/>
    <w:rsid w:val="004C52FD"/>
    <w:rsid w:val="004C7516"/>
    <w:rsid w:val="004D1573"/>
    <w:rsid w:val="004D34C9"/>
    <w:rsid w:val="004D72EC"/>
    <w:rsid w:val="004E15F0"/>
    <w:rsid w:val="004E2F76"/>
    <w:rsid w:val="004E3A7C"/>
    <w:rsid w:val="004E3EEE"/>
    <w:rsid w:val="004E40BD"/>
    <w:rsid w:val="004E5504"/>
    <w:rsid w:val="004E75D3"/>
    <w:rsid w:val="004F033E"/>
    <w:rsid w:val="004F0A8E"/>
    <w:rsid w:val="004F129D"/>
    <w:rsid w:val="004F1C12"/>
    <w:rsid w:val="004F26E0"/>
    <w:rsid w:val="004F4CEA"/>
    <w:rsid w:val="004F66A6"/>
    <w:rsid w:val="004F6CDB"/>
    <w:rsid w:val="004F6F34"/>
    <w:rsid w:val="004F78F6"/>
    <w:rsid w:val="00505551"/>
    <w:rsid w:val="00506BDF"/>
    <w:rsid w:val="00510254"/>
    <w:rsid w:val="0051292E"/>
    <w:rsid w:val="00512D50"/>
    <w:rsid w:val="0051422B"/>
    <w:rsid w:val="0051445E"/>
    <w:rsid w:val="00514879"/>
    <w:rsid w:val="005179FA"/>
    <w:rsid w:val="00521CE7"/>
    <w:rsid w:val="0052214E"/>
    <w:rsid w:val="00523C8C"/>
    <w:rsid w:val="00523DD5"/>
    <w:rsid w:val="00525A12"/>
    <w:rsid w:val="00527B32"/>
    <w:rsid w:val="00530C70"/>
    <w:rsid w:val="00530CD3"/>
    <w:rsid w:val="00530CF0"/>
    <w:rsid w:val="005334A5"/>
    <w:rsid w:val="00534F27"/>
    <w:rsid w:val="0053745A"/>
    <w:rsid w:val="00537E57"/>
    <w:rsid w:val="00541C59"/>
    <w:rsid w:val="00544987"/>
    <w:rsid w:val="00545976"/>
    <w:rsid w:val="00545F95"/>
    <w:rsid w:val="00553547"/>
    <w:rsid w:val="00556251"/>
    <w:rsid w:val="00556726"/>
    <w:rsid w:val="00561426"/>
    <w:rsid w:val="005645B9"/>
    <w:rsid w:val="005651C8"/>
    <w:rsid w:val="00565BB8"/>
    <w:rsid w:val="00565DEC"/>
    <w:rsid w:val="00567D3E"/>
    <w:rsid w:val="005714FD"/>
    <w:rsid w:val="00571AD8"/>
    <w:rsid w:val="0057287F"/>
    <w:rsid w:val="00573619"/>
    <w:rsid w:val="00574CE2"/>
    <w:rsid w:val="005757B7"/>
    <w:rsid w:val="00576A3E"/>
    <w:rsid w:val="00581287"/>
    <w:rsid w:val="005812F2"/>
    <w:rsid w:val="00582777"/>
    <w:rsid w:val="00586A7B"/>
    <w:rsid w:val="00587300"/>
    <w:rsid w:val="0058752B"/>
    <w:rsid w:val="005944DB"/>
    <w:rsid w:val="005969AE"/>
    <w:rsid w:val="005A01ED"/>
    <w:rsid w:val="005A0BD8"/>
    <w:rsid w:val="005A1124"/>
    <w:rsid w:val="005A156F"/>
    <w:rsid w:val="005A157D"/>
    <w:rsid w:val="005A2664"/>
    <w:rsid w:val="005A2903"/>
    <w:rsid w:val="005A2D73"/>
    <w:rsid w:val="005A3FC6"/>
    <w:rsid w:val="005A4A79"/>
    <w:rsid w:val="005A6E97"/>
    <w:rsid w:val="005B18FF"/>
    <w:rsid w:val="005B2539"/>
    <w:rsid w:val="005B28DD"/>
    <w:rsid w:val="005B32D8"/>
    <w:rsid w:val="005B35D8"/>
    <w:rsid w:val="005B3B2E"/>
    <w:rsid w:val="005B5EE9"/>
    <w:rsid w:val="005B622F"/>
    <w:rsid w:val="005B74AF"/>
    <w:rsid w:val="005C0E1A"/>
    <w:rsid w:val="005C1AB8"/>
    <w:rsid w:val="005C1F94"/>
    <w:rsid w:val="005C22AA"/>
    <w:rsid w:val="005C32AE"/>
    <w:rsid w:val="005C3D84"/>
    <w:rsid w:val="005C568B"/>
    <w:rsid w:val="005C7D5A"/>
    <w:rsid w:val="005D49A7"/>
    <w:rsid w:val="005D7F0A"/>
    <w:rsid w:val="005E0786"/>
    <w:rsid w:val="005E0881"/>
    <w:rsid w:val="005E1B6A"/>
    <w:rsid w:val="005E2785"/>
    <w:rsid w:val="005E2CFC"/>
    <w:rsid w:val="005E42D9"/>
    <w:rsid w:val="005F01C9"/>
    <w:rsid w:val="005F39BB"/>
    <w:rsid w:val="006006C6"/>
    <w:rsid w:val="006165B8"/>
    <w:rsid w:val="00620127"/>
    <w:rsid w:val="006224E1"/>
    <w:rsid w:val="00622682"/>
    <w:rsid w:val="00623015"/>
    <w:rsid w:val="00627926"/>
    <w:rsid w:val="00627B9A"/>
    <w:rsid w:val="00630B5B"/>
    <w:rsid w:val="00631DC5"/>
    <w:rsid w:val="006323F9"/>
    <w:rsid w:val="006351F8"/>
    <w:rsid w:val="006359D9"/>
    <w:rsid w:val="00636CEC"/>
    <w:rsid w:val="00637234"/>
    <w:rsid w:val="006375CB"/>
    <w:rsid w:val="00637F21"/>
    <w:rsid w:val="00640E30"/>
    <w:rsid w:val="006423CD"/>
    <w:rsid w:val="0064242B"/>
    <w:rsid w:val="0064250D"/>
    <w:rsid w:val="00643D84"/>
    <w:rsid w:val="0064759E"/>
    <w:rsid w:val="0064794D"/>
    <w:rsid w:val="00650A20"/>
    <w:rsid w:val="00650B3A"/>
    <w:rsid w:val="00650D61"/>
    <w:rsid w:val="00651864"/>
    <w:rsid w:val="00651E0A"/>
    <w:rsid w:val="0065401D"/>
    <w:rsid w:val="00654C28"/>
    <w:rsid w:val="00656E12"/>
    <w:rsid w:val="00660594"/>
    <w:rsid w:val="00660CB5"/>
    <w:rsid w:val="00662C74"/>
    <w:rsid w:val="00663DEF"/>
    <w:rsid w:val="00664714"/>
    <w:rsid w:val="006647B3"/>
    <w:rsid w:val="00664AD9"/>
    <w:rsid w:val="006654A3"/>
    <w:rsid w:val="006670C9"/>
    <w:rsid w:val="006712C5"/>
    <w:rsid w:val="00671524"/>
    <w:rsid w:val="0067227B"/>
    <w:rsid w:val="00674C0F"/>
    <w:rsid w:val="00675DA0"/>
    <w:rsid w:val="00682059"/>
    <w:rsid w:val="006833A1"/>
    <w:rsid w:val="00685072"/>
    <w:rsid w:val="00686081"/>
    <w:rsid w:val="0068615A"/>
    <w:rsid w:val="0068735A"/>
    <w:rsid w:val="00687466"/>
    <w:rsid w:val="00690C83"/>
    <w:rsid w:val="0069415B"/>
    <w:rsid w:val="00696C1A"/>
    <w:rsid w:val="00697254"/>
    <w:rsid w:val="00697375"/>
    <w:rsid w:val="006A0429"/>
    <w:rsid w:val="006A36B3"/>
    <w:rsid w:val="006A5C85"/>
    <w:rsid w:val="006A6DB3"/>
    <w:rsid w:val="006A737A"/>
    <w:rsid w:val="006A79C2"/>
    <w:rsid w:val="006B337E"/>
    <w:rsid w:val="006B3D83"/>
    <w:rsid w:val="006B4F41"/>
    <w:rsid w:val="006B5E9A"/>
    <w:rsid w:val="006B6383"/>
    <w:rsid w:val="006B6DB6"/>
    <w:rsid w:val="006C31CA"/>
    <w:rsid w:val="006C4166"/>
    <w:rsid w:val="006C44A4"/>
    <w:rsid w:val="006C4B46"/>
    <w:rsid w:val="006C5DF3"/>
    <w:rsid w:val="006C66C9"/>
    <w:rsid w:val="006D075E"/>
    <w:rsid w:val="006D0ACB"/>
    <w:rsid w:val="006D0F69"/>
    <w:rsid w:val="006D1684"/>
    <w:rsid w:val="006D2512"/>
    <w:rsid w:val="006D28CC"/>
    <w:rsid w:val="006D367B"/>
    <w:rsid w:val="006D3684"/>
    <w:rsid w:val="006D49D1"/>
    <w:rsid w:val="006D4D82"/>
    <w:rsid w:val="006D5B25"/>
    <w:rsid w:val="006D6542"/>
    <w:rsid w:val="006D6B24"/>
    <w:rsid w:val="006D7CAA"/>
    <w:rsid w:val="006E0A78"/>
    <w:rsid w:val="006E1FE6"/>
    <w:rsid w:val="006E228B"/>
    <w:rsid w:val="006E2B47"/>
    <w:rsid w:val="006E340E"/>
    <w:rsid w:val="006E38B5"/>
    <w:rsid w:val="006E44AE"/>
    <w:rsid w:val="006E5EEF"/>
    <w:rsid w:val="006E5F42"/>
    <w:rsid w:val="006E65F8"/>
    <w:rsid w:val="006F1517"/>
    <w:rsid w:val="0070009B"/>
    <w:rsid w:val="00701B17"/>
    <w:rsid w:val="00705609"/>
    <w:rsid w:val="00705E9D"/>
    <w:rsid w:val="00707A63"/>
    <w:rsid w:val="00707B91"/>
    <w:rsid w:val="00715803"/>
    <w:rsid w:val="00715F87"/>
    <w:rsid w:val="00716402"/>
    <w:rsid w:val="00721474"/>
    <w:rsid w:val="007217A0"/>
    <w:rsid w:val="00721A05"/>
    <w:rsid w:val="0072228F"/>
    <w:rsid w:val="0072313F"/>
    <w:rsid w:val="00723613"/>
    <w:rsid w:val="00723AA0"/>
    <w:rsid w:val="007241D2"/>
    <w:rsid w:val="00724270"/>
    <w:rsid w:val="007265B2"/>
    <w:rsid w:val="00726956"/>
    <w:rsid w:val="00731518"/>
    <w:rsid w:val="00735C2E"/>
    <w:rsid w:val="00736685"/>
    <w:rsid w:val="00741F02"/>
    <w:rsid w:val="007422D1"/>
    <w:rsid w:val="007432E6"/>
    <w:rsid w:val="00743E07"/>
    <w:rsid w:val="007453F1"/>
    <w:rsid w:val="00745CF1"/>
    <w:rsid w:val="007463E0"/>
    <w:rsid w:val="00746987"/>
    <w:rsid w:val="00746A7C"/>
    <w:rsid w:val="00751354"/>
    <w:rsid w:val="007516AE"/>
    <w:rsid w:val="00752CD4"/>
    <w:rsid w:val="00752EE7"/>
    <w:rsid w:val="00754F32"/>
    <w:rsid w:val="00756ADE"/>
    <w:rsid w:val="00757A64"/>
    <w:rsid w:val="00761761"/>
    <w:rsid w:val="00762CEC"/>
    <w:rsid w:val="0076343A"/>
    <w:rsid w:val="00763493"/>
    <w:rsid w:val="00765C77"/>
    <w:rsid w:val="00766AA1"/>
    <w:rsid w:val="00766D5C"/>
    <w:rsid w:val="00767825"/>
    <w:rsid w:val="00767C64"/>
    <w:rsid w:val="007733A3"/>
    <w:rsid w:val="00774608"/>
    <w:rsid w:val="00774A6C"/>
    <w:rsid w:val="00774BF5"/>
    <w:rsid w:val="00776F83"/>
    <w:rsid w:val="00777458"/>
    <w:rsid w:val="00777840"/>
    <w:rsid w:val="00781FC1"/>
    <w:rsid w:val="007822F6"/>
    <w:rsid w:val="00783A3B"/>
    <w:rsid w:val="00783BDB"/>
    <w:rsid w:val="00784087"/>
    <w:rsid w:val="0078424B"/>
    <w:rsid w:val="00784CDD"/>
    <w:rsid w:val="007852C3"/>
    <w:rsid w:val="00790510"/>
    <w:rsid w:val="007931C6"/>
    <w:rsid w:val="00793732"/>
    <w:rsid w:val="00795327"/>
    <w:rsid w:val="00795C64"/>
    <w:rsid w:val="007A1268"/>
    <w:rsid w:val="007A1ED7"/>
    <w:rsid w:val="007A2362"/>
    <w:rsid w:val="007A323F"/>
    <w:rsid w:val="007A3AD7"/>
    <w:rsid w:val="007B00C7"/>
    <w:rsid w:val="007B08D6"/>
    <w:rsid w:val="007B0EC5"/>
    <w:rsid w:val="007B3745"/>
    <w:rsid w:val="007B7769"/>
    <w:rsid w:val="007C00BE"/>
    <w:rsid w:val="007C3F6C"/>
    <w:rsid w:val="007C581C"/>
    <w:rsid w:val="007C6DEC"/>
    <w:rsid w:val="007D0C7C"/>
    <w:rsid w:val="007D1152"/>
    <w:rsid w:val="007D2C05"/>
    <w:rsid w:val="007D4E49"/>
    <w:rsid w:val="007D5145"/>
    <w:rsid w:val="007D7168"/>
    <w:rsid w:val="007E0F98"/>
    <w:rsid w:val="007E17C5"/>
    <w:rsid w:val="007E19C4"/>
    <w:rsid w:val="007E1B73"/>
    <w:rsid w:val="007E3F21"/>
    <w:rsid w:val="007E4B7E"/>
    <w:rsid w:val="007E52AF"/>
    <w:rsid w:val="007E5310"/>
    <w:rsid w:val="007F1CAC"/>
    <w:rsid w:val="007F4ED6"/>
    <w:rsid w:val="007F55A1"/>
    <w:rsid w:val="00800008"/>
    <w:rsid w:val="00800D0A"/>
    <w:rsid w:val="00801BE7"/>
    <w:rsid w:val="00803F9D"/>
    <w:rsid w:val="0080407D"/>
    <w:rsid w:val="00805484"/>
    <w:rsid w:val="008062D3"/>
    <w:rsid w:val="008064AA"/>
    <w:rsid w:val="00806EA2"/>
    <w:rsid w:val="0081068A"/>
    <w:rsid w:val="00811A47"/>
    <w:rsid w:val="00816E63"/>
    <w:rsid w:val="008171F5"/>
    <w:rsid w:val="00821383"/>
    <w:rsid w:val="0082233A"/>
    <w:rsid w:val="00824783"/>
    <w:rsid w:val="00824979"/>
    <w:rsid w:val="00824E0A"/>
    <w:rsid w:val="008259C6"/>
    <w:rsid w:val="00832D7D"/>
    <w:rsid w:val="008343AC"/>
    <w:rsid w:val="008346F5"/>
    <w:rsid w:val="00834951"/>
    <w:rsid w:val="00837A26"/>
    <w:rsid w:val="00837C2C"/>
    <w:rsid w:val="00843564"/>
    <w:rsid w:val="00845A01"/>
    <w:rsid w:val="00846D15"/>
    <w:rsid w:val="008501E6"/>
    <w:rsid w:val="008527EE"/>
    <w:rsid w:val="00852DF4"/>
    <w:rsid w:val="00853041"/>
    <w:rsid w:val="00853D1E"/>
    <w:rsid w:val="00856477"/>
    <w:rsid w:val="00857F89"/>
    <w:rsid w:val="0086376D"/>
    <w:rsid w:val="00863EC4"/>
    <w:rsid w:val="008664EE"/>
    <w:rsid w:val="008704F1"/>
    <w:rsid w:val="0087058F"/>
    <w:rsid w:val="0087145F"/>
    <w:rsid w:val="008747CD"/>
    <w:rsid w:val="00874A38"/>
    <w:rsid w:val="00874B61"/>
    <w:rsid w:val="00877909"/>
    <w:rsid w:val="00882689"/>
    <w:rsid w:val="0088291B"/>
    <w:rsid w:val="00883AC2"/>
    <w:rsid w:val="00884D21"/>
    <w:rsid w:val="008857EA"/>
    <w:rsid w:val="0088621A"/>
    <w:rsid w:val="00886EAD"/>
    <w:rsid w:val="008900BB"/>
    <w:rsid w:val="00891349"/>
    <w:rsid w:val="008969A7"/>
    <w:rsid w:val="008A6748"/>
    <w:rsid w:val="008B0014"/>
    <w:rsid w:val="008B07AA"/>
    <w:rsid w:val="008B0C3E"/>
    <w:rsid w:val="008B1D51"/>
    <w:rsid w:val="008B2356"/>
    <w:rsid w:val="008B49BB"/>
    <w:rsid w:val="008B6392"/>
    <w:rsid w:val="008B67FE"/>
    <w:rsid w:val="008C0424"/>
    <w:rsid w:val="008C0441"/>
    <w:rsid w:val="008C1717"/>
    <w:rsid w:val="008C17E3"/>
    <w:rsid w:val="008C18BC"/>
    <w:rsid w:val="008C2833"/>
    <w:rsid w:val="008C30E6"/>
    <w:rsid w:val="008C3E3B"/>
    <w:rsid w:val="008C5141"/>
    <w:rsid w:val="008C7DBD"/>
    <w:rsid w:val="008D0635"/>
    <w:rsid w:val="008D0DEE"/>
    <w:rsid w:val="008D6640"/>
    <w:rsid w:val="008E0F78"/>
    <w:rsid w:val="008E2B86"/>
    <w:rsid w:val="008E398E"/>
    <w:rsid w:val="008E4BD1"/>
    <w:rsid w:val="008E5F74"/>
    <w:rsid w:val="008E701C"/>
    <w:rsid w:val="008F19E7"/>
    <w:rsid w:val="008F27CB"/>
    <w:rsid w:val="008F2F49"/>
    <w:rsid w:val="008F4430"/>
    <w:rsid w:val="008F5E7D"/>
    <w:rsid w:val="008F7CD7"/>
    <w:rsid w:val="00901C25"/>
    <w:rsid w:val="00902996"/>
    <w:rsid w:val="00903F87"/>
    <w:rsid w:val="009076EE"/>
    <w:rsid w:val="009149AC"/>
    <w:rsid w:val="009164BE"/>
    <w:rsid w:val="009177B8"/>
    <w:rsid w:val="00917A2E"/>
    <w:rsid w:val="00917C0E"/>
    <w:rsid w:val="0092186F"/>
    <w:rsid w:val="00921C8C"/>
    <w:rsid w:val="009229C5"/>
    <w:rsid w:val="0092329E"/>
    <w:rsid w:val="0092391E"/>
    <w:rsid w:val="00924A9B"/>
    <w:rsid w:val="0092597C"/>
    <w:rsid w:val="00926187"/>
    <w:rsid w:val="00927F4B"/>
    <w:rsid w:val="00931895"/>
    <w:rsid w:val="00933331"/>
    <w:rsid w:val="00937140"/>
    <w:rsid w:val="009417FA"/>
    <w:rsid w:val="00942993"/>
    <w:rsid w:val="00946F67"/>
    <w:rsid w:val="00950634"/>
    <w:rsid w:val="00950BEE"/>
    <w:rsid w:val="00950F88"/>
    <w:rsid w:val="009541D7"/>
    <w:rsid w:val="00955CA5"/>
    <w:rsid w:val="00955E80"/>
    <w:rsid w:val="0095746B"/>
    <w:rsid w:val="00957EC5"/>
    <w:rsid w:val="009620BB"/>
    <w:rsid w:val="00963595"/>
    <w:rsid w:val="00963A38"/>
    <w:rsid w:val="009655EA"/>
    <w:rsid w:val="0097175D"/>
    <w:rsid w:val="009724DB"/>
    <w:rsid w:val="00974C63"/>
    <w:rsid w:val="00974F9B"/>
    <w:rsid w:val="009777BF"/>
    <w:rsid w:val="009806F4"/>
    <w:rsid w:val="009837AF"/>
    <w:rsid w:val="00984972"/>
    <w:rsid w:val="00985347"/>
    <w:rsid w:val="00985783"/>
    <w:rsid w:val="0099089C"/>
    <w:rsid w:val="00990B50"/>
    <w:rsid w:val="009925BA"/>
    <w:rsid w:val="009939B2"/>
    <w:rsid w:val="009978D7"/>
    <w:rsid w:val="009A03DF"/>
    <w:rsid w:val="009A30DD"/>
    <w:rsid w:val="009A7E1B"/>
    <w:rsid w:val="009B0B28"/>
    <w:rsid w:val="009B0B4F"/>
    <w:rsid w:val="009B2E95"/>
    <w:rsid w:val="009B705B"/>
    <w:rsid w:val="009B72DA"/>
    <w:rsid w:val="009C5C13"/>
    <w:rsid w:val="009C6359"/>
    <w:rsid w:val="009C7E58"/>
    <w:rsid w:val="009D2297"/>
    <w:rsid w:val="009D3782"/>
    <w:rsid w:val="009D3A96"/>
    <w:rsid w:val="009D3AE2"/>
    <w:rsid w:val="009D4DFA"/>
    <w:rsid w:val="009D609C"/>
    <w:rsid w:val="009D636B"/>
    <w:rsid w:val="009D6987"/>
    <w:rsid w:val="009D74CE"/>
    <w:rsid w:val="009D7FEA"/>
    <w:rsid w:val="009E4773"/>
    <w:rsid w:val="009E4F69"/>
    <w:rsid w:val="009E5F79"/>
    <w:rsid w:val="009E7B7F"/>
    <w:rsid w:val="009F2870"/>
    <w:rsid w:val="009F3A26"/>
    <w:rsid w:val="009F46D9"/>
    <w:rsid w:val="009F7C3F"/>
    <w:rsid w:val="00A01036"/>
    <w:rsid w:val="00A022C2"/>
    <w:rsid w:val="00A02E5A"/>
    <w:rsid w:val="00A045F8"/>
    <w:rsid w:val="00A10D3C"/>
    <w:rsid w:val="00A21F43"/>
    <w:rsid w:val="00A225C2"/>
    <w:rsid w:val="00A23C4E"/>
    <w:rsid w:val="00A2444C"/>
    <w:rsid w:val="00A24AE2"/>
    <w:rsid w:val="00A25C1D"/>
    <w:rsid w:val="00A318DF"/>
    <w:rsid w:val="00A318F2"/>
    <w:rsid w:val="00A33945"/>
    <w:rsid w:val="00A37107"/>
    <w:rsid w:val="00A37D86"/>
    <w:rsid w:val="00A4429C"/>
    <w:rsid w:val="00A45271"/>
    <w:rsid w:val="00A45E67"/>
    <w:rsid w:val="00A4665A"/>
    <w:rsid w:val="00A46D53"/>
    <w:rsid w:val="00A46FFA"/>
    <w:rsid w:val="00A518ED"/>
    <w:rsid w:val="00A54848"/>
    <w:rsid w:val="00A54E80"/>
    <w:rsid w:val="00A56DDC"/>
    <w:rsid w:val="00A611C1"/>
    <w:rsid w:val="00A62702"/>
    <w:rsid w:val="00A63D7D"/>
    <w:rsid w:val="00A66C6C"/>
    <w:rsid w:val="00A67EFF"/>
    <w:rsid w:val="00A717EA"/>
    <w:rsid w:val="00A72860"/>
    <w:rsid w:val="00A754D2"/>
    <w:rsid w:val="00A82054"/>
    <w:rsid w:val="00A832B9"/>
    <w:rsid w:val="00A83C74"/>
    <w:rsid w:val="00A856EE"/>
    <w:rsid w:val="00A86535"/>
    <w:rsid w:val="00A86943"/>
    <w:rsid w:val="00A869FE"/>
    <w:rsid w:val="00A86D85"/>
    <w:rsid w:val="00A90FDC"/>
    <w:rsid w:val="00A921E4"/>
    <w:rsid w:val="00A96E3A"/>
    <w:rsid w:val="00A96FEC"/>
    <w:rsid w:val="00A97E13"/>
    <w:rsid w:val="00AA11E2"/>
    <w:rsid w:val="00AA1D1C"/>
    <w:rsid w:val="00AA7519"/>
    <w:rsid w:val="00AB1550"/>
    <w:rsid w:val="00AB2A6F"/>
    <w:rsid w:val="00AB537D"/>
    <w:rsid w:val="00AB5EB6"/>
    <w:rsid w:val="00AB7698"/>
    <w:rsid w:val="00AC054F"/>
    <w:rsid w:val="00AC0BB5"/>
    <w:rsid w:val="00AC1CC5"/>
    <w:rsid w:val="00AC28E8"/>
    <w:rsid w:val="00AC3A58"/>
    <w:rsid w:val="00AC4003"/>
    <w:rsid w:val="00AC67C1"/>
    <w:rsid w:val="00AC7454"/>
    <w:rsid w:val="00AD0E04"/>
    <w:rsid w:val="00AD0E40"/>
    <w:rsid w:val="00AD5A27"/>
    <w:rsid w:val="00AD697A"/>
    <w:rsid w:val="00AE01F1"/>
    <w:rsid w:val="00AE1764"/>
    <w:rsid w:val="00AE2278"/>
    <w:rsid w:val="00AE3D8A"/>
    <w:rsid w:val="00AE748B"/>
    <w:rsid w:val="00AF2B9D"/>
    <w:rsid w:val="00AF3106"/>
    <w:rsid w:val="00AF3F73"/>
    <w:rsid w:val="00AF3F75"/>
    <w:rsid w:val="00AF6D55"/>
    <w:rsid w:val="00B0041B"/>
    <w:rsid w:val="00B0095E"/>
    <w:rsid w:val="00B12051"/>
    <w:rsid w:val="00B12EFA"/>
    <w:rsid w:val="00B144B5"/>
    <w:rsid w:val="00B1450E"/>
    <w:rsid w:val="00B1472C"/>
    <w:rsid w:val="00B149B1"/>
    <w:rsid w:val="00B15BA6"/>
    <w:rsid w:val="00B16945"/>
    <w:rsid w:val="00B1789C"/>
    <w:rsid w:val="00B25067"/>
    <w:rsid w:val="00B25A4F"/>
    <w:rsid w:val="00B25D85"/>
    <w:rsid w:val="00B2789C"/>
    <w:rsid w:val="00B27C51"/>
    <w:rsid w:val="00B313C4"/>
    <w:rsid w:val="00B33E5B"/>
    <w:rsid w:val="00B35161"/>
    <w:rsid w:val="00B417CF"/>
    <w:rsid w:val="00B41E3B"/>
    <w:rsid w:val="00B42203"/>
    <w:rsid w:val="00B43820"/>
    <w:rsid w:val="00B45EF4"/>
    <w:rsid w:val="00B5150F"/>
    <w:rsid w:val="00B51966"/>
    <w:rsid w:val="00B56A57"/>
    <w:rsid w:val="00B57361"/>
    <w:rsid w:val="00B618EE"/>
    <w:rsid w:val="00B61B62"/>
    <w:rsid w:val="00B64D5B"/>
    <w:rsid w:val="00B6593E"/>
    <w:rsid w:val="00B672FD"/>
    <w:rsid w:val="00B70E29"/>
    <w:rsid w:val="00B72982"/>
    <w:rsid w:val="00B73828"/>
    <w:rsid w:val="00B73CCB"/>
    <w:rsid w:val="00B741A4"/>
    <w:rsid w:val="00B747E8"/>
    <w:rsid w:val="00B75D00"/>
    <w:rsid w:val="00B76E36"/>
    <w:rsid w:val="00B77F7C"/>
    <w:rsid w:val="00B80D44"/>
    <w:rsid w:val="00B80FC2"/>
    <w:rsid w:val="00B849DB"/>
    <w:rsid w:val="00B859CC"/>
    <w:rsid w:val="00B85D9D"/>
    <w:rsid w:val="00B87B52"/>
    <w:rsid w:val="00B9043B"/>
    <w:rsid w:val="00B9118C"/>
    <w:rsid w:val="00B924FF"/>
    <w:rsid w:val="00B9739C"/>
    <w:rsid w:val="00BA0A5E"/>
    <w:rsid w:val="00BA2CC1"/>
    <w:rsid w:val="00BA6D07"/>
    <w:rsid w:val="00BB00AF"/>
    <w:rsid w:val="00BB0EF2"/>
    <w:rsid w:val="00BB136C"/>
    <w:rsid w:val="00BB17B1"/>
    <w:rsid w:val="00BB4710"/>
    <w:rsid w:val="00BB5779"/>
    <w:rsid w:val="00BB619A"/>
    <w:rsid w:val="00BB6E28"/>
    <w:rsid w:val="00BC1ACB"/>
    <w:rsid w:val="00BC563A"/>
    <w:rsid w:val="00BD0D6D"/>
    <w:rsid w:val="00BD46EA"/>
    <w:rsid w:val="00BD58F9"/>
    <w:rsid w:val="00BD5904"/>
    <w:rsid w:val="00BD5B66"/>
    <w:rsid w:val="00BD6AB3"/>
    <w:rsid w:val="00BD7913"/>
    <w:rsid w:val="00BD7C27"/>
    <w:rsid w:val="00BE00BE"/>
    <w:rsid w:val="00BE083A"/>
    <w:rsid w:val="00BE274A"/>
    <w:rsid w:val="00BE3505"/>
    <w:rsid w:val="00BE3B03"/>
    <w:rsid w:val="00BE5127"/>
    <w:rsid w:val="00BE5281"/>
    <w:rsid w:val="00BE59F1"/>
    <w:rsid w:val="00BE5C49"/>
    <w:rsid w:val="00BE781D"/>
    <w:rsid w:val="00BF1A75"/>
    <w:rsid w:val="00BF3328"/>
    <w:rsid w:val="00BF5094"/>
    <w:rsid w:val="00BF5831"/>
    <w:rsid w:val="00BF61FB"/>
    <w:rsid w:val="00C017DE"/>
    <w:rsid w:val="00C01A8C"/>
    <w:rsid w:val="00C0281C"/>
    <w:rsid w:val="00C0651D"/>
    <w:rsid w:val="00C10E9B"/>
    <w:rsid w:val="00C1242D"/>
    <w:rsid w:val="00C141F4"/>
    <w:rsid w:val="00C16849"/>
    <w:rsid w:val="00C213F8"/>
    <w:rsid w:val="00C23AF1"/>
    <w:rsid w:val="00C24DF7"/>
    <w:rsid w:val="00C265CE"/>
    <w:rsid w:val="00C26D76"/>
    <w:rsid w:val="00C31295"/>
    <w:rsid w:val="00C312BC"/>
    <w:rsid w:val="00C34A99"/>
    <w:rsid w:val="00C3507F"/>
    <w:rsid w:val="00C35291"/>
    <w:rsid w:val="00C35C7E"/>
    <w:rsid w:val="00C36371"/>
    <w:rsid w:val="00C404C1"/>
    <w:rsid w:val="00C420A5"/>
    <w:rsid w:val="00C42734"/>
    <w:rsid w:val="00C42830"/>
    <w:rsid w:val="00C44A93"/>
    <w:rsid w:val="00C46DF8"/>
    <w:rsid w:val="00C475E5"/>
    <w:rsid w:val="00C5112E"/>
    <w:rsid w:val="00C5153B"/>
    <w:rsid w:val="00C5189E"/>
    <w:rsid w:val="00C5212C"/>
    <w:rsid w:val="00C52FB1"/>
    <w:rsid w:val="00C53C70"/>
    <w:rsid w:val="00C6213D"/>
    <w:rsid w:val="00C64253"/>
    <w:rsid w:val="00C64460"/>
    <w:rsid w:val="00C66CDC"/>
    <w:rsid w:val="00C715AA"/>
    <w:rsid w:val="00C739EA"/>
    <w:rsid w:val="00C73D31"/>
    <w:rsid w:val="00C76ABD"/>
    <w:rsid w:val="00C771F1"/>
    <w:rsid w:val="00C80D27"/>
    <w:rsid w:val="00C83743"/>
    <w:rsid w:val="00C83E2A"/>
    <w:rsid w:val="00C84781"/>
    <w:rsid w:val="00C86B31"/>
    <w:rsid w:val="00C87C85"/>
    <w:rsid w:val="00C9030A"/>
    <w:rsid w:val="00C91171"/>
    <w:rsid w:val="00C931D2"/>
    <w:rsid w:val="00C947C8"/>
    <w:rsid w:val="00C95929"/>
    <w:rsid w:val="00C96173"/>
    <w:rsid w:val="00CA026C"/>
    <w:rsid w:val="00CA0637"/>
    <w:rsid w:val="00CA1566"/>
    <w:rsid w:val="00CA16D6"/>
    <w:rsid w:val="00CA1D1E"/>
    <w:rsid w:val="00CA1F80"/>
    <w:rsid w:val="00CA274F"/>
    <w:rsid w:val="00CA4CF2"/>
    <w:rsid w:val="00CA664D"/>
    <w:rsid w:val="00CA6B34"/>
    <w:rsid w:val="00CA6CAA"/>
    <w:rsid w:val="00CB232F"/>
    <w:rsid w:val="00CB6000"/>
    <w:rsid w:val="00CB7B09"/>
    <w:rsid w:val="00CC0048"/>
    <w:rsid w:val="00CC0AAC"/>
    <w:rsid w:val="00CC2C1A"/>
    <w:rsid w:val="00CC5A07"/>
    <w:rsid w:val="00CC71A7"/>
    <w:rsid w:val="00CD12B2"/>
    <w:rsid w:val="00CD2103"/>
    <w:rsid w:val="00CD2927"/>
    <w:rsid w:val="00CD2E50"/>
    <w:rsid w:val="00CD3C32"/>
    <w:rsid w:val="00CD6424"/>
    <w:rsid w:val="00CE1A81"/>
    <w:rsid w:val="00CE3F3B"/>
    <w:rsid w:val="00CE4E9A"/>
    <w:rsid w:val="00CE5CD7"/>
    <w:rsid w:val="00CE61FA"/>
    <w:rsid w:val="00CE6AD2"/>
    <w:rsid w:val="00CE7F70"/>
    <w:rsid w:val="00CF1F5B"/>
    <w:rsid w:val="00CF28B1"/>
    <w:rsid w:val="00CF420C"/>
    <w:rsid w:val="00CF481A"/>
    <w:rsid w:val="00CF4B73"/>
    <w:rsid w:val="00D00645"/>
    <w:rsid w:val="00D01284"/>
    <w:rsid w:val="00D026B5"/>
    <w:rsid w:val="00D03A81"/>
    <w:rsid w:val="00D05A3A"/>
    <w:rsid w:val="00D11F01"/>
    <w:rsid w:val="00D12DBF"/>
    <w:rsid w:val="00D160DA"/>
    <w:rsid w:val="00D1724F"/>
    <w:rsid w:val="00D1779F"/>
    <w:rsid w:val="00D17EE6"/>
    <w:rsid w:val="00D201B5"/>
    <w:rsid w:val="00D20385"/>
    <w:rsid w:val="00D20A57"/>
    <w:rsid w:val="00D21E15"/>
    <w:rsid w:val="00D24AFC"/>
    <w:rsid w:val="00D25E74"/>
    <w:rsid w:val="00D26450"/>
    <w:rsid w:val="00D26D58"/>
    <w:rsid w:val="00D30882"/>
    <w:rsid w:val="00D33AF3"/>
    <w:rsid w:val="00D345EB"/>
    <w:rsid w:val="00D351C9"/>
    <w:rsid w:val="00D35427"/>
    <w:rsid w:val="00D366F6"/>
    <w:rsid w:val="00D401EA"/>
    <w:rsid w:val="00D423D7"/>
    <w:rsid w:val="00D446A3"/>
    <w:rsid w:val="00D457E6"/>
    <w:rsid w:val="00D46AD1"/>
    <w:rsid w:val="00D47C2D"/>
    <w:rsid w:val="00D47D1C"/>
    <w:rsid w:val="00D500D6"/>
    <w:rsid w:val="00D50994"/>
    <w:rsid w:val="00D563B2"/>
    <w:rsid w:val="00D56E03"/>
    <w:rsid w:val="00D56F1F"/>
    <w:rsid w:val="00D575F3"/>
    <w:rsid w:val="00D600BA"/>
    <w:rsid w:val="00D6036C"/>
    <w:rsid w:val="00D62CB4"/>
    <w:rsid w:val="00D64195"/>
    <w:rsid w:val="00D650AD"/>
    <w:rsid w:val="00D66213"/>
    <w:rsid w:val="00D66F9A"/>
    <w:rsid w:val="00D7037F"/>
    <w:rsid w:val="00D71E1C"/>
    <w:rsid w:val="00D743F6"/>
    <w:rsid w:val="00D74C0C"/>
    <w:rsid w:val="00D7664C"/>
    <w:rsid w:val="00D7742A"/>
    <w:rsid w:val="00D8285B"/>
    <w:rsid w:val="00D82A65"/>
    <w:rsid w:val="00D90C2A"/>
    <w:rsid w:val="00D9386B"/>
    <w:rsid w:val="00D951E5"/>
    <w:rsid w:val="00D956F7"/>
    <w:rsid w:val="00D964CB"/>
    <w:rsid w:val="00DA1E1C"/>
    <w:rsid w:val="00DA3D21"/>
    <w:rsid w:val="00DA46A3"/>
    <w:rsid w:val="00DA5D3D"/>
    <w:rsid w:val="00DA7760"/>
    <w:rsid w:val="00DB05C6"/>
    <w:rsid w:val="00DB1444"/>
    <w:rsid w:val="00DB5615"/>
    <w:rsid w:val="00DB5841"/>
    <w:rsid w:val="00DB5B5E"/>
    <w:rsid w:val="00DC123B"/>
    <w:rsid w:val="00DC22DB"/>
    <w:rsid w:val="00DC3EE9"/>
    <w:rsid w:val="00DC5C0D"/>
    <w:rsid w:val="00DC73A6"/>
    <w:rsid w:val="00DC7607"/>
    <w:rsid w:val="00DD01B2"/>
    <w:rsid w:val="00DD0284"/>
    <w:rsid w:val="00DD1635"/>
    <w:rsid w:val="00DD24DC"/>
    <w:rsid w:val="00DD3C59"/>
    <w:rsid w:val="00DE21B2"/>
    <w:rsid w:val="00DE684C"/>
    <w:rsid w:val="00DE6A76"/>
    <w:rsid w:val="00DF1199"/>
    <w:rsid w:val="00DF57AD"/>
    <w:rsid w:val="00DF65C9"/>
    <w:rsid w:val="00E01667"/>
    <w:rsid w:val="00E0409F"/>
    <w:rsid w:val="00E0440F"/>
    <w:rsid w:val="00E04733"/>
    <w:rsid w:val="00E05EB2"/>
    <w:rsid w:val="00E10E96"/>
    <w:rsid w:val="00E11EE5"/>
    <w:rsid w:val="00E1302D"/>
    <w:rsid w:val="00E141C5"/>
    <w:rsid w:val="00E14E7F"/>
    <w:rsid w:val="00E161E3"/>
    <w:rsid w:val="00E17600"/>
    <w:rsid w:val="00E22F37"/>
    <w:rsid w:val="00E234B5"/>
    <w:rsid w:val="00E2522A"/>
    <w:rsid w:val="00E2588B"/>
    <w:rsid w:val="00E2740A"/>
    <w:rsid w:val="00E27B92"/>
    <w:rsid w:val="00E32EBA"/>
    <w:rsid w:val="00E34B09"/>
    <w:rsid w:val="00E4371A"/>
    <w:rsid w:val="00E449F3"/>
    <w:rsid w:val="00E45A6C"/>
    <w:rsid w:val="00E47B3F"/>
    <w:rsid w:val="00E50B33"/>
    <w:rsid w:val="00E50D38"/>
    <w:rsid w:val="00E528E3"/>
    <w:rsid w:val="00E565B4"/>
    <w:rsid w:val="00E60A5C"/>
    <w:rsid w:val="00E628E2"/>
    <w:rsid w:val="00E630F8"/>
    <w:rsid w:val="00E66611"/>
    <w:rsid w:val="00E67136"/>
    <w:rsid w:val="00E677E4"/>
    <w:rsid w:val="00E73B1B"/>
    <w:rsid w:val="00E73FEE"/>
    <w:rsid w:val="00E750F2"/>
    <w:rsid w:val="00E755FE"/>
    <w:rsid w:val="00E768E3"/>
    <w:rsid w:val="00E777A4"/>
    <w:rsid w:val="00E779F4"/>
    <w:rsid w:val="00E82EE9"/>
    <w:rsid w:val="00E84E39"/>
    <w:rsid w:val="00E85B73"/>
    <w:rsid w:val="00E86165"/>
    <w:rsid w:val="00E864A1"/>
    <w:rsid w:val="00E910CD"/>
    <w:rsid w:val="00E96116"/>
    <w:rsid w:val="00E97240"/>
    <w:rsid w:val="00EA06C6"/>
    <w:rsid w:val="00EA0A85"/>
    <w:rsid w:val="00EA0D37"/>
    <w:rsid w:val="00EA1713"/>
    <w:rsid w:val="00EA172F"/>
    <w:rsid w:val="00EA3CA6"/>
    <w:rsid w:val="00EA6779"/>
    <w:rsid w:val="00EA67FC"/>
    <w:rsid w:val="00EA74DC"/>
    <w:rsid w:val="00EB1D35"/>
    <w:rsid w:val="00EB3749"/>
    <w:rsid w:val="00EB6005"/>
    <w:rsid w:val="00EC01E2"/>
    <w:rsid w:val="00EC37B3"/>
    <w:rsid w:val="00EC38D8"/>
    <w:rsid w:val="00EC6AA0"/>
    <w:rsid w:val="00EC79A1"/>
    <w:rsid w:val="00EC7AD9"/>
    <w:rsid w:val="00ED0881"/>
    <w:rsid w:val="00ED0BF2"/>
    <w:rsid w:val="00ED55B5"/>
    <w:rsid w:val="00EE1A43"/>
    <w:rsid w:val="00EE2520"/>
    <w:rsid w:val="00EE2968"/>
    <w:rsid w:val="00EE3345"/>
    <w:rsid w:val="00EE343D"/>
    <w:rsid w:val="00EE694C"/>
    <w:rsid w:val="00EE763C"/>
    <w:rsid w:val="00EF05DD"/>
    <w:rsid w:val="00EF1CFF"/>
    <w:rsid w:val="00EF1FB2"/>
    <w:rsid w:val="00EF6D9C"/>
    <w:rsid w:val="00EF70E7"/>
    <w:rsid w:val="00EF727E"/>
    <w:rsid w:val="00F00ABA"/>
    <w:rsid w:val="00F028A4"/>
    <w:rsid w:val="00F03326"/>
    <w:rsid w:val="00F03872"/>
    <w:rsid w:val="00F04109"/>
    <w:rsid w:val="00F048F4"/>
    <w:rsid w:val="00F04E2D"/>
    <w:rsid w:val="00F13BB9"/>
    <w:rsid w:val="00F1695E"/>
    <w:rsid w:val="00F16FCF"/>
    <w:rsid w:val="00F21200"/>
    <w:rsid w:val="00F21DF8"/>
    <w:rsid w:val="00F220B4"/>
    <w:rsid w:val="00F24E32"/>
    <w:rsid w:val="00F2506E"/>
    <w:rsid w:val="00F30283"/>
    <w:rsid w:val="00F30A68"/>
    <w:rsid w:val="00F30AEC"/>
    <w:rsid w:val="00F31086"/>
    <w:rsid w:val="00F328B4"/>
    <w:rsid w:val="00F335A1"/>
    <w:rsid w:val="00F33EB3"/>
    <w:rsid w:val="00F34B7B"/>
    <w:rsid w:val="00F3712C"/>
    <w:rsid w:val="00F40636"/>
    <w:rsid w:val="00F414A4"/>
    <w:rsid w:val="00F421A1"/>
    <w:rsid w:val="00F4315D"/>
    <w:rsid w:val="00F43196"/>
    <w:rsid w:val="00F43241"/>
    <w:rsid w:val="00F43443"/>
    <w:rsid w:val="00F463FC"/>
    <w:rsid w:val="00F46657"/>
    <w:rsid w:val="00F50433"/>
    <w:rsid w:val="00F52D00"/>
    <w:rsid w:val="00F57375"/>
    <w:rsid w:val="00F573DE"/>
    <w:rsid w:val="00F60BB8"/>
    <w:rsid w:val="00F62EA6"/>
    <w:rsid w:val="00F665CC"/>
    <w:rsid w:val="00F702C6"/>
    <w:rsid w:val="00F71228"/>
    <w:rsid w:val="00F7362A"/>
    <w:rsid w:val="00F73687"/>
    <w:rsid w:val="00F7528D"/>
    <w:rsid w:val="00F76B4D"/>
    <w:rsid w:val="00F770A5"/>
    <w:rsid w:val="00F8042A"/>
    <w:rsid w:val="00F807DC"/>
    <w:rsid w:val="00F80FD1"/>
    <w:rsid w:val="00F81774"/>
    <w:rsid w:val="00F818FF"/>
    <w:rsid w:val="00F81F8F"/>
    <w:rsid w:val="00F81FAE"/>
    <w:rsid w:val="00F820BE"/>
    <w:rsid w:val="00F823AD"/>
    <w:rsid w:val="00F8396A"/>
    <w:rsid w:val="00F8459F"/>
    <w:rsid w:val="00F851F6"/>
    <w:rsid w:val="00F876EF"/>
    <w:rsid w:val="00F87872"/>
    <w:rsid w:val="00F907A1"/>
    <w:rsid w:val="00F9093C"/>
    <w:rsid w:val="00F95EB1"/>
    <w:rsid w:val="00FA0127"/>
    <w:rsid w:val="00FA03FA"/>
    <w:rsid w:val="00FA18CA"/>
    <w:rsid w:val="00FA37E6"/>
    <w:rsid w:val="00FA49E1"/>
    <w:rsid w:val="00FB0C37"/>
    <w:rsid w:val="00FB1889"/>
    <w:rsid w:val="00FB2971"/>
    <w:rsid w:val="00FC4F49"/>
    <w:rsid w:val="00FC76CE"/>
    <w:rsid w:val="00FD2F6E"/>
    <w:rsid w:val="00FD308C"/>
    <w:rsid w:val="00FD3BEE"/>
    <w:rsid w:val="00FE0472"/>
    <w:rsid w:val="00FE0D95"/>
    <w:rsid w:val="00FE1B83"/>
    <w:rsid w:val="00FE2E0A"/>
    <w:rsid w:val="00FF4232"/>
    <w:rsid w:val="00FF6B66"/>
    <w:rsid w:val="0116613E"/>
    <w:rsid w:val="02C40AFC"/>
    <w:rsid w:val="02E278C2"/>
    <w:rsid w:val="03D17DE3"/>
    <w:rsid w:val="0591552E"/>
    <w:rsid w:val="059942B1"/>
    <w:rsid w:val="080B4293"/>
    <w:rsid w:val="08BD0F40"/>
    <w:rsid w:val="08FE0EB2"/>
    <w:rsid w:val="09945660"/>
    <w:rsid w:val="0C456E8D"/>
    <w:rsid w:val="0DC270B6"/>
    <w:rsid w:val="0E7B0848"/>
    <w:rsid w:val="0F746D05"/>
    <w:rsid w:val="116B47A1"/>
    <w:rsid w:val="12D650A6"/>
    <w:rsid w:val="141D2656"/>
    <w:rsid w:val="14F24E51"/>
    <w:rsid w:val="15C33EBA"/>
    <w:rsid w:val="15F919C1"/>
    <w:rsid w:val="16D12FB4"/>
    <w:rsid w:val="17AF7E31"/>
    <w:rsid w:val="18074FA2"/>
    <w:rsid w:val="1B06680E"/>
    <w:rsid w:val="1CAA50BE"/>
    <w:rsid w:val="1D296E78"/>
    <w:rsid w:val="201A587E"/>
    <w:rsid w:val="206904B1"/>
    <w:rsid w:val="2166356D"/>
    <w:rsid w:val="23055613"/>
    <w:rsid w:val="23740E08"/>
    <w:rsid w:val="245826FE"/>
    <w:rsid w:val="2505283E"/>
    <w:rsid w:val="263766C8"/>
    <w:rsid w:val="26465803"/>
    <w:rsid w:val="27A6755A"/>
    <w:rsid w:val="29C61657"/>
    <w:rsid w:val="2A345C86"/>
    <w:rsid w:val="2B523F7B"/>
    <w:rsid w:val="2C346690"/>
    <w:rsid w:val="2C4A6441"/>
    <w:rsid w:val="2C4E1266"/>
    <w:rsid w:val="2CA767AA"/>
    <w:rsid w:val="2DC92702"/>
    <w:rsid w:val="324D5587"/>
    <w:rsid w:val="32775A24"/>
    <w:rsid w:val="331E4D98"/>
    <w:rsid w:val="33892C8D"/>
    <w:rsid w:val="35635726"/>
    <w:rsid w:val="3580142E"/>
    <w:rsid w:val="35DF4B65"/>
    <w:rsid w:val="3656650F"/>
    <w:rsid w:val="37572E43"/>
    <w:rsid w:val="378F05CC"/>
    <w:rsid w:val="37CE79A6"/>
    <w:rsid w:val="39976198"/>
    <w:rsid w:val="39A12BD4"/>
    <w:rsid w:val="3B4C2C1E"/>
    <w:rsid w:val="3BB34848"/>
    <w:rsid w:val="3BB9546F"/>
    <w:rsid w:val="3E044C1F"/>
    <w:rsid w:val="3E6726BA"/>
    <w:rsid w:val="3F7D0E33"/>
    <w:rsid w:val="3F8421AE"/>
    <w:rsid w:val="3FB54873"/>
    <w:rsid w:val="3FC617C5"/>
    <w:rsid w:val="40BF0917"/>
    <w:rsid w:val="41225560"/>
    <w:rsid w:val="42CC0386"/>
    <w:rsid w:val="438E58F6"/>
    <w:rsid w:val="43C42605"/>
    <w:rsid w:val="43F07C72"/>
    <w:rsid w:val="47BB76D7"/>
    <w:rsid w:val="48134DED"/>
    <w:rsid w:val="483B1EEF"/>
    <w:rsid w:val="4A9F3F1D"/>
    <w:rsid w:val="4B7A66C0"/>
    <w:rsid w:val="4BF35923"/>
    <w:rsid w:val="4BF50302"/>
    <w:rsid w:val="4C9269C0"/>
    <w:rsid w:val="4E1B0F0B"/>
    <w:rsid w:val="4F4C5BE2"/>
    <w:rsid w:val="5052741B"/>
    <w:rsid w:val="50C45C9F"/>
    <w:rsid w:val="53DE10F0"/>
    <w:rsid w:val="55002611"/>
    <w:rsid w:val="55485957"/>
    <w:rsid w:val="57C60F2F"/>
    <w:rsid w:val="59415E9B"/>
    <w:rsid w:val="5B1D7460"/>
    <w:rsid w:val="5B6A77F9"/>
    <w:rsid w:val="5F2D49B9"/>
    <w:rsid w:val="601F5250"/>
    <w:rsid w:val="61E77CC4"/>
    <w:rsid w:val="6532474B"/>
    <w:rsid w:val="66BC7DAA"/>
    <w:rsid w:val="67027120"/>
    <w:rsid w:val="6768062B"/>
    <w:rsid w:val="69B1071B"/>
    <w:rsid w:val="6CCE6F24"/>
    <w:rsid w:val="6FD62D33"/>
    <w:rsid w:val="706D1AEA"/>
    <w:rsid w:val="71B27601"/>
    <w:rsid w:val="737845C2"/>
    <w:rsid w:val="73CC6E15"/>
    <w:rsid w:val="7449178E"/>
    <w:rsid w:val="75055981"/>
    <w:rsid w:val="75A2496A"/>
    <w:rsid w:val="761D4566"/>
    <w:rsid w:val="76D6726C"/>
    <w:rsid w:val="776B6219"/>
    <w:rsid w:val="785314BB"/>
    <w:rsid w:val="7ABF0D5F"/>
    <w:rsid w:val="7B064DB2"/>
    <w:rsid w:val="7D6069DC"/>
    <w:rsid w:val="7E393ACA"/>
    <w:rsid w:val="7E4C752B"/>
    <w:rsid w:val="7E5D6366"/>
    <w:rsid w:val="7EB9354E"/>
    <w:rsid w:val="7FAB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iPriority="99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widowControl w:val="0"/>
      <w:spacing w:before="260" w:after="260" w:line="416" w:lineRule="auto"/>
      <w:jc w:val="both"/>
      <w:outlineLvl w:val="2"/>
    </w:pPr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5"/>
    <w:semiHidden/>
    <w:unhideWhenUsed/>
    <w:qFormat/>
    <w:uiPriority w:val="99"/>
    <w:pPr>
      <w:widowControl w:val="0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6">
    <w:name w:val="Body Text"/>
    <w:basedOn w:val="1"/>
    <w:link w:val="26"/>
    <w:semiHidden/>
    <w:unhideWhenUsed/>
    <w:qFormat/>
    <w:uiPriority w:val="99"/>
    <w:pPr>
      <w:widowControl w:val="0"/>
      <w:spacing w:after="12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7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</w:rPr>
  </w:style>
  <w:style w:type="paragraph" w:styleId="8">
    <w:name w:val="Balloon Text"/>
    <w:basedOn w:val="1"/>
    <w:link w:val="27"/>
    <w:semiHidden/>
    <w:unhideWhenUsed/>
    <w:qFormat/>
    <w:uiPriority w:val="99"/>
    <w:pPr>
      <w:widowControl w:val="0"/>
      <w:jc w:val="both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9">
    <w:name w:val="footer"/>
    <w:basedOn w:val="1"/>
    <w:link w:val="28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right" w:leader="dot" w:pos="8222"/>
      </w:tabs>
      <w:spacing w:before="100" w:beforeAutospacing="1" w:after="100" w:afterAutospacing="1" w:line="240" w:lineRule="exact"/>
      <w:jc w:val="center"/>
    </w:pPr>
    <w:rPr>
      <w:rFonts w:cs="Times New Roman" w:asciiTheme="minorHAnsi" w:hAnsiTheme="minorHAnsi" w:eastAsiaTheme="minorEastAsia"/>
      <w:sz w:val="22"/>
      <w:szCs w:val="22"/>
    </w:rPr>
  </w:style>
  <w:style w:type="paragraph" w:styleId="12">
    <w:name w:val="Body Text Indent 3"/>
    <w:basedOn w:val="1"/>
    <w:link w:val="30"/>
    <w:unhideWhenUsed/>
    <w:qFormat/>
    <w:uiPriority w:val="99"/>
    <w:pPr>
      <w:widowControl w:val="0"/>
      <w:spacing w:after="120"/>
      <w:ind w:left="420" w:leftChars="200"/>
      <w:jc w:val="both"/>
    </w:pPr>
    <w:rPr>
      <w:rFonts w:asciiTheme="minorHAnsi" w:hAnsiTheme="minorHAnsi" w:eastAsiaTheme="minorEastAsia" w:cstheme="minorBidi"/>
      <w:kern w:val="2"/>
      <w:sz w:val="16"/>
      <w:szCs w:val="16"/>
    </w:rPr>
  </w:style>
  <w:style w:type="paragraph" w:styleId="13">
    <w:name w:val="toc 2"/>
    <w:basedOn w:val="1"/>
    <w:next w:val="1"/>
    <w:unhideWhenUsed/>
    <w:qFormat/>
    <w:uiPriority w:val="39"/>
    <w:pPr>
      <w:tabs>
        <w:tab w:val="right" w:leader="dot" w:pos="8364"/>
      </w:tabs>
      <w:spacing w:before="100" w:beforeAutospacing="1" w:after="100" w:afterAutospacing="1" w:line="360" w:lineRule="auto"/>
      <w:ind w:left="221" w:right="-58" w:rightChars="-24"/>
      <w:jc w:val="center"/>
    </w:pPr>
    <w:rPr>
      <w:rFonts w:cs="Times New Roman" w:asciiTheme="minorHAnsi" w:hAnsiTheme="minorHAnsi" w:eastAsiaTheme="minorEastAsia"/>
      <w:sz w:val="22"/>
      <w:szCs w:val="22"/>
    </w:rPr>
  </w:style>
  <w:style w:type="paragraph" w:styleId="14">
    <w:name w:val="Normal (Web)"/>
    <w:basedOn w:val="1"/>
    <w:qFormat/>
    <w:uiPriority w:val="99"/>
    <w:rPr>
      <w:rFonts w:ascii="Times New Roman" w:hAnsi="Times New Roman" w:cs="Times New Roman"/>
    </w:rPr>
  </w:style>
  <w:style w:type="paragraph" w:styleId="15">
    <w:name w:val="annotation subject"/>
    <w:basedOn w:val="5"/>
    <w:next w:val="5"/>
    <w:link w:val="31"/>
    <w:semiHidden/>
    <w:unhideWhenUsed/>
    <w:qFormat/>
    <w:uiPriority w:val="99"/>
    <w:rPr>
      <w:b/>
      <w:bCs/>
    </w:rPr>
  </w:style>
  <w:style w:type="paragraph" w:styleId="16">
    <w:name w:val="Body Text First Indent"/>
    <w:basedOn w:val="6"/>
    <w:link w:val="32"/>
    <w:qFormat/>
    <w:uiPriority w:val="0"/>
    <w:pPr>
      <w:ind w:firstLine="420" w:firstLineChars="100"/>
    </w:pPr>
    <w:rPr>
      <w:rFonts w:ascii="Times New Roman" w:hAnsi="Times New Roman" w:eastAsia="宋体" w:cs="Times New Roman"/>
      <w:szCs w:val="24"/>
    </w:r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customStyle="1" w:styleId="22">
    <w:name w:val="标题 1 字符"/>
    <w:basedOn w:val="1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2 字符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字符"/>
    <w:basedOn w:val="19"/>
    <w:link w:val="4"/>
    <w:qFormat/>
    <w:uiPriority w:val="9"/>
    <w:rPr>
      <w:b/>
      <w:bCs/>
      <w:sz w:val="32"/>
      <w:szCs w:val="32"/>
    </w:rPr>
  </w:style>
  <w:style w:type="character" w:customStyle="1" w:styleId="25">
    <w:name w:val="批注文字 字符"/>
    <w:basedOn w:val="19"/>
    <w:link w:val="5"/>
    <w:semiHidden/>
    <w:qFormat/>
    <w:uiPriority w:val="99"/>
  </w:style>
  <w:style w:type="character" w:customStyle="1" w:styleId="26">
    <w:name w:val="正文文本 字符"/>
    <w:basedOn w:val="19"/>
    <w:link w:val="6"/>
    <w:semiHidden/>
    <w:qFormat/>
    <w:uiPriority w:val="99"/>
  </w:style>
  <w:style w:type="character" w:customStyle="1" w:styleId="27">
    <w:name w:val="批注框文本 字符"/>
    <w:basedOn w:val="19"/>
    <w:link w:val="8"/>
    <w:semiHidden/>
    <w:qFormat/>
    <w:uiPriority w:val="99"/>
    <w:rPr>
      <w:sz w:val="18"/>
      <w:szCs w:val="18"/>
    </w:rPr>
  </w:style>
  <w:style w:type="character" w:customStyle="1" w:styleId="28">
    <w:name w:val="页脚 字符"/>
    <w:basedOn w:val="19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9"/>
    <w:link w:val="10"/>
    <w:qFormat/>
    <w:uiPriority w:val="99"/>
    <w:rPr>
      <w:sz w:val="18"/>
      <w:szCs w:val="18"/>
    </w:rPr>
  </w:style>
  <w:style w:type="character" w:customStyle="1" w:styleId="30">
    <w:name w:val="正文文本缩进 3 字符"/>
    <w:basedOn w:val="19"/>
    <w:link w:val="12"/>
    <w:qFormat/>
    <w:uiPriority w:val="99"/>
    <w:rPr>
      <w:sz w:val="16"/>
      <w:szCs w:val="16"/>
    </w:rPr>
  </w:style>
  <w:style w:type="character" w:customStyle="1" w:styleId="31">
    <w:name w:val="批注主题 字符"/>
    <w:basedOn w:val="25"/>
    <w:link w:val="15"/>
    <w:semiHidden/>
    <w:qFormat/>
    <w:uiPriority w:val="99"/>
    <w:rPr>
      <w:b/>
      <w:bCs/>
    </w:rPr>
  </w:style>
  <w:style w:type="character" w:customStyle="1" w:styleId="32">
    <w:name w:val="正文文本首行缩进 字符"/>
    <w:basedOn w:val="26"/>
    <w:link w:val="16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3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3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5">
    <w:name w:val="p1"/>
    <w:basedOn w:val="1"/>
    <w:qFormat/>
    <w:uiPriority w:val="0"/>
    <w:pPr>
      <w:spacing w:line="380" w:lineRule="atLeast"/>
    </w:pPr>
    <w:rPr>
      <w:rFonts w:ascii="Helvetica Neue" w:hAnsi="Helvetica Neue" w:eastAsia="Helvetica Neue" w:cs="Times New Roman"/>
      <w:color w:val="000000"/>
      <w:sz w:val="26"/>
      <w:szCs w:val="26"/>
    </w:rPr>
  </w:style>
  <w:style w:type="character" w:customStyle="1" w:styleId="36">
    <w:name w:val="标题 1 字符1"/>
    <w:qFormat/>
    <w:uiPriority w:val="9"/>
    <w:rPr>
      <w:rFonts w:ascii="Times New Roman" w:hAnsi="Times New Roman" w:eastAsia="仿宋_GB2312"/>
      <w:b/>
      <w:kern w:val="44"/>
      <w:sz w:val="32"/>
      <w:szCs w:val="22"/>
    </w:rPr>
  </w:style>
  <w:style w:type="paragraph" w:styleId="37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38">
    <w:name w:val="NormalCharacter"/>
    <w:semiHidden/>
    <w:qFormat/>
    <w:uiPriority w:val="0"/>
  </w:style>
  <w:style w:type="paragraph" w:customStyle="1" w:styleId="3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ctr" anchorCtr="0" upright="1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DB40C3-F276-4434-8D29-0F8513BB10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28</Pages>
  <Words>2621</Words>
  <Characters>14940</Characters>
  <Lines>124</Lines>
  <Paragraphs>35</Paragraphs>
  <TotalTime>16</TotalTime>
  <ScaleCrop>false</ScaleCrop>
  <LinksUpToDate>false</LinksUpToDate>
  <CharactersWithSpaces>17526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2021-03-01T07:17:00Z</dcterms:created>
  <dc:creator>* 龙胆</dc:creator>
  <cp:lastModifiedBy>冯望</cp:lastModifiedBy>
  <dcterms:modified xsi:type="dcterms:W3CDTF">2021-03-08T10:37:34Z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