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提交了《海盐恒大都汇华庭2020年10月支付计划》，</w:t>
      </w:r>
      <w:r>
        <w:rPr>
          <w:rFonts w:hint="eastAsia" w:ascii="Arial" w:hAnsi="Arial" w:cs="Arial" w:eastAsiaTheme="minorEastAsia"/>
          <w:sz w:val="24"/>
          <w:szCs w:val="24"/>
          <w:lang w:eastAsia="zh-CN"/>
        </w:rPr>
        <w:t>并于</w:t>
      </w:r>
      <w:r>
        <w:rPr>
          <w:rFonts w:hint="eastAsia" w:ascii="Arial" w:hAnsi="Arial" w:cs="Arial" w:eastAsiaTheme="minorEastAsia"/>
          <w:sz w:val="24"/>
          <w:szCs w:val="24"/>
          <w:lang w:val="en-US" w:eastAsia="zh-CN"/>
        </w:rPr>
        <w:t>10月14日修改后重新提交，</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w:t>
      </w:r>
      <w:bookmarkStart w:id="1" w:name="_GoBack"/>
      <w:bookmarkEnd w:id="1"/>
      <w:r>
        <w:rPr>
          <w:rFonts w:hint="eastAsia" w:ascii="宋体" w:hAnsi="宋体"/>
          <w:sz w:val="24"/>
          <w:szCs w:val="24"/>
        </w:rPr>
        <w:t>出共计3</w:t>
      </w:r>
      <w:r>
        <w:rPr>
          <w:rFonts w:hint="eastAsia" w:ascii="宋体" w:hAnsi="宋体"/>
          <w:sz w:val="24"/>
          <w:szCs w:val="24"/>
          <w:lang w:val="en-US" w:eastAsia="zh-CN"/>
        </w:rPr>
        <w:t>1</w:t>
      </w:r>
      <w:r>
        <w:rPr>
          <w:rFonts w:hint="eastAsia" w:ascii="宋体" w:hAnsi="宋体"/>
          <w:sz w:val="24"/>
          <w:szCs w:val="24"/>
        </w:rPr>
        <w:t>笔，合计37,453.73万元。其中：开发报建费支出约16.01万元，工程款支出14,121.54万元，管理费支出51.00万元,营销费支出65.18万元，往来款支出</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r>
        <w:rPr>
          <w:rFonts w:hint="eastAsia" w:ascii="宋体" w:hAnsi="宋体"/>
          <w:sz w:val="24"/>
          <w:szCs w:val="24"/>
        </w:rPr>
        <w:t>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144.38</w:t>
            </w:r>
          </w:p>
        </w:tc>
        <w:tc>
          <w:tcPr>
            <w:tcW w:w="2429" w:type="dxa"/>
          </w:tcPr>
          <w:p>
            <w:pPr>
              <w:spacing w:line="360" w:lineRule="auto"/>
              <w:jc w:val="right"/>
              <w:rPr>
                <w:rFonts w:ascii="宋体" w:hAnsi="宋体"/>
                <w:sz w:val="24"/>
                <w:szCs w:val="24"/>
              </w:rPr>
            </w:pPr>
            <w:r>
              <w:rPr>
                <w:rFonts w:hint="eastAsia" w:ascii="宋体" w:hAnsi="宋体"/>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35,911.75</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2,283.89</w:t>
            </w:r>
          </w:p>
        </w:tc>
        <w:tc>
          <w:tcPr>
            <w:tcW w:w="2429" w:type="dxa"/>
          </w:tcPr>
          <w:p>
            <w:pPr>
              <w:spacing w:line="360" w:lineRule="auto"/>
              <w:jc w:val="right"/>
              <w:rPr>
                <w:rFonts w:ascii="宋体" w:hAnsi="宋体"/>
                <w:sz w:val="24"/>
                <w:szCs w:val="24"/>
              </w:rPr>
            </w:pPr>
            <w:r>
              <w:rPr>
                <w:rFonts w:hint="eastAsia" w:ascii="宋体" w:hAnsi="宋体"/>
                <w:sz w:val="24"/>
                <w:szCs w:val="24"/>
              </w:rPr>
              <w:t>14,121.54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22.54</w:t>
            </w:r>
          </w:p>
        </w:tc>
        <w:tc>
          <w:tcPr>
            <w:tcW w:w="2429" w:type="dxa"/>
          </w:tcPr>
          <w:p>
            <w:pPr>
              <w:spacing w:line="360" w:lineRule="auto"/>
              <w:jc w:val="right"/>
              <w:rPr>
                <w:rFonts w:ascii="宋体" w:hAnsi="宋体"/>
                <w:sz w:val="24"/>
                <w:szCs w:val="24"/>
              </w:rPr>
            </w:pPr>
            <w:r>
              <w:rPr>
                <w:rFonts w:hint="eastAsia" w:ascii="宋体" w:hAnsi="宋体"/>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133.00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12.25</w:t>
            </w:r>
          </w:p>
        </w:tc>
        <w:tc>
          <w:tcPr>
            <w:tcW w:w="2429" w:type="dxa"/>
          </w:tcPr>
          <w:p>
            <w:pPr>
              <w:spacing w:line="360" w:lineRule="auto"/>
              <w:jc w:val="right"/>
              <w:rPr>
                <w:rFonts w:ascii="宋体" w:hAnsi="宋体"/>
                <w:sz w:val="24"/>
                <w:szCs w:val="24"/>
              </w:rPr>
            </w:pPr>
            <w:r>
              <w:rPr>
                <w:rFonts w:hint="eastAsia" w:ascii="宋体" w:hAnsi="宋体"/>
                <w:sz w:val="24"/>
                <w:szCs w:val="24"/>
              </w:rPr>
              <w:t>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往来款</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lang w:bidi="ar"/>
              </w:rPr>
              <w:t xml:space="preserve">21,166.37 </w:t>
            </w:r>
          </w:p>
        </w:tc>
        <w:tc>
          <w:tcPr>
            <w:tcW w:w="2429" w:type="dxa"/>
          </w:tcPr>
          <w:p>
            <w:pPr>
              <w:spacing w:line="360" w:lineRule="auto"/>
              <w:jc w:val="right"/>
              <w:rPr>
                <w:rFonts w:ascii="宋体" w:hAnsi="宋体"/>
                <w:sz w:val="24"/>
                <w:szCs w:val="24"/>
              </w:rPr>
            </w:pP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1.05</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23,630.48 </w:t>
            </w:r>
          </w:p>
        </w:tc>
        <w:tc>
          <w:tcPr>
            <w:tcW w:w="2429" w:type="dxa"/>
          </w:tcPr>
          <w:p>
            <w:pPr>
              <w:spacing w:line="360" w:lineRule="auto"/>
              <w:jc w:val="right"/>
              <w:rPr>
                <w:rFonts w:ascii="宋体" w:hAnsi="宋体"/>
                <w:sz w:val="24"/>
                <w:szCs w:val="24"/>
              </w:rPr>
            </w:pPr>
            <w:r>
              <w:rPr>
                <w:rFonts w:hint="eastAsia" w:ascii="宋体" w:hAnsi="宋体"/>
                <w:sz w:val="24"/>
                <w:szCs w:val="24"/>
              </w:rPr>
              <w:t>37,453.73</w:t>
            </w:r>
          </w:p>
        </w:tc>
      </w:tr>
      <w:bookmarkEnd w:id="0"/>
    </w:tbl>
    <w:p>
      <w:pPr>
        <w:pStyle w:val="10"/>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val="en-US" w:bidi="zh-CN"/>
        </w:rPr>
        <w:t>二</w:t>
      </w:r>
      <w:r>
        <w:rPr>
          <w:rFonts w:hint="eastAsia" w:ascii="宋体" w:hAnsi="宋体"/>
          <w:b/>
          <w:color w:val="000000"/>
          <w:sz w:val="24"/>
          <w:szCs w:val="24"/>
          <w:lang w:bidi="zh-CN"/>
        </w:rPr>
        <w:t>、</w:t>
      </w:r>
      <w:r>
        <w:rPr>
          <w:rFonts w:ascii="宋体" w:hAnsi="宋体" w:cs="宋体"/>
          <w:b/>
          <w:sz w:val="24"/>
          <w:szCs w:val="24"/>
        </w:rPr>
        <w:t>9</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w:t>
      </w:r>
      <w:r>
        <w:rPr>
          <w:rFonts w:ascii="宋体" w:hAnsi="宋体"/>
          <w:color w:val="auto"/>
          <w:sz w:val="24"/>
          <w:szCs w:val="24"/>
          <w:highlight w:val="none"/>
        </w:rPr>
        <w:t>2020</w:t>
      </w:r>
      <w:r>
        <w:rPr>
          <w:rFonts w:hint="eastAsia" w:ascii="宋体" w:hAnsi="宋体"/>
          <w:color w:val="auto"/>
          <w:sz w:val="24"/>
          <w:szCs w:val="24"/>
          <w:highlight w:val="none"/>
        </w:rPr>
        <w:t>年</w:t>
      </w:r>
      <w:r>
        <w:rPr>
          <w:rFonts w:ascii="宋体" w:hAnsi="宋体"/>
          <w:color w:val="auto"/>
          <w:sz w:val="24"/>
          <w:szCs w:val="24"/>
          <w:highlight w:val="none"/>
        </w:rPr>
        <w:t>9月资金支出计划共计</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5笔</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w:t>
      </w:r>
      <w:r>
        <w:rPr>
          <w:rFonts w:hint="eastAsia" w:ascii="宋体" w:hAnsi="宋体"/>
          <w:color w:val="auto"/>
          <w:sz w:val="24"/>
          <w:szCs w:val="24"/>
          <w:highlight w:val="none"/>
          <w:lang w:val="en-US" w:eastAsia="zh-CN"/>
        </w:rPr>
        <w:t>计</w:t>
      </w:r>
      <w:r>
        <w:rPr>
          <w:rFonts w:hint="eastAsia" w:ascii="宋体" w:hAnsi="宋体"/>
          <w:color w:val="auto"/>
          <w:sz w:val="24"/>
          <w:szCs w:val="24"/>
          <w:highlight w:val="none"/>
        </w:rPr>
        <w:t>48,162.26万元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其中：前期</w:t>
      </w:r>
      <w:r>
        <w:rPr>
          <w:rFonts w:hint="eastAsia" w:ascii="宋体" w:hAnsi="宋体"/>
          <w:color w:val="auto"/>
          <w:sz w:val="24"/>
          <w:szCs w:val="24"/>
          <w:highlight w:val="none"/>
          <w:lang w:val="en-US" w:eastAsia="zh-CN"/>
        </w:rPr>
        <w:t>费用支出142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47</w:t>
      </w:r>
      <w:r>
        <w:rPr>
          <w:rFonts w:hint="eastAsia" w:ascii="宋体" w:hAnsi="宋体"/>
          <w:color w:val="auto"/>
          <w:sz w:val="24"/>
          <w:szCs w:val="24"/>
          <w:highlight w:val="none"/>
        </w:rPr>
        <w:t>万元；工程</w:t>
      </w:r>
      <w:r>
        <w:rPr>
          <w:rFonts w:hint="eastAsia" w:ascii="宋体" w:hAnsi="宋体"/>
          <w:color w:val="auto"/>
          <w:sz w:val="24"/>
          <w:szCs w:val="24"/>
          <w:highlight w:val="none"/>
          <w:lang w:val="en-US" w:eastAsia="zh-CN"/>
        </w:rPr>
        <w:t>费用支出</w:t>
      </w: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83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89</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土地费用支出</w:t>
      </w:r>
      <w:r>
        <w:rPr>
          <w:rFonts w:hint="eastAsia" w:ascii="宋体" w:hAnsi="宋体"/>
          <w:color w:val="auto"/>
          <w:sz w:val="24"/>
          <w:szCs w:val="24"/>
          <w:highlight w:val="none"/>
        </w:rPr>
        <w:t>27,247.83万；营销</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万元；管理</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11.84</w:t>
      </w:r>
      <w:r>
        <w:rPr>
          <w:rFonts w:hint="eastAsia" w:ascii="宋体" w:hAnsi="宋体"/>
          <w:color w:val="auto"/>
          <w:sz w:val="24"/>
          <w:szCs w:val="24"/>
          <w:highlight w:val="none"/>
        </w:rPr>
        <w:t>万元；财务</w:t>
      </w:r>
      <w:r>
        <w:rPr>
          <w:rFonts w:hint="eastAsia" w:ascii="宋体" w:hAnsi="宋体"/>
          <w:color w:val="auto"/>
          <w:sz w:val="24"/>
          <w:szCs w:val="24"/>
          <w:highlight w:val="none"/>
          <w:lang w:val="en-US" w:eastAsia="zh-CN"/>
        </w:rPr>
        <w:t>费用</w:t>
      </w:r>
      <w:r>
        <w:rPr>
          <w:rFonts w:hint="eastAsia" w:ascii="宋体" w:hAnsi="宋体"/>
          <w:color w:val="auto"/>
          <w:sz w:val="24"/>
          <w:szCs w:val="24"/>
          <w:highlight w:val="none"/>
        </w:rPr>
        <w:t>支出</w:t>
      </w:r>
      <w:r>
        <w:rPr>
          <w:rFonts w:hint="eastAsia" w:ascii="宋体" w:hAnsi="宋体"/>
          <w:color w:val="auto"/>
          <w:sz w:val="24"/>
          <w:szCs w:val="24"/>
          <w:highlight w:val="none"/>
          <w:lang w:val="en-US" w:eastAsia="zh-CN"/>
        </w:rPr>
        <w:t>0.98</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往来款支出19,163.00万元。</w:t>
      </w:r>
      <w:r>
        <w:rPr>
          <w:rFonts w:ascii="宋体" w:hAnsi="宋体"/>
          <w:color w:val="auto"/>
          <w:sz w:val="24"/>
          <w:szCs w:val="24"/>
          <w:highlight w:val="none"/>
        </w:rPr>
        <w:t>9</w:t>
      </w:r>
      <w:r>
        <w:rPr>
          <w:rFonts w:hint="eastAsia" w:ascii="宋体" w:hAnsi="宋体"/>
          <w:color w:val="auto"/>
          <w:sz w:val="24"/>
          <w:szCs w:val="24"/>
          <w:highlight w:val="none"/>
        </w:rPr>
        <w:t>月</w:t>
      </w:r>
      <w:r>
        <w:rPr>
          <w:rFonts w:hint="eastAsia" w:ascii="宋体" w:hAnsi="宋体"/>
          <w:color w:val="auto"/>
          <w:sz w:val="24"/>
          <w:szCs w:val="24"/>
          <w:highlight w:val="none"/>
          <w:lang w:eastAsia="zh-CN"/>
        </w:rPr>
        <w:t>实际</w:t>
      </w:r>
      <w:r>
        <w:rPr>
          <w:rFonts w:hint="eastAsia" w:ascii="宋体" w:hAnsi="宋体"/>
          <w:color w:val="auto"/>
          <w:sz w:val="24"/>
          <w:szCs w:val="24"/>
          <w:highlight w:val="none"/>
        </w:rPr>
        <w:t>资金支付</w:t>
      </w:r>
      <w:r>
        <w:rPr>
          <w:rFonts w:hint="eastAsia" w:ascii="宋体" w:hAnsi="宋体"/>
          <w:bCs/>
          <w:color w:val="auto"/>
          <w:sz w:val="24"/>
          <w:szCs w:val="24"/>
          <w:highlight w:val="none"/>
          <w:lang w:val="en-US" w:eastAsia="zh-CN"/>
        </w:rPr>
        <w:t xml:space="preserve">47,965.73 </w:t>
      </w:r>
      <w:r>
        <w:rPr>
          <w:rFonts w:hint="eastAsia" w:ascii="宋体" w:hAnsi="宋体"/>
          <w:bCs/>
          <w:color w:val="auto"/>
          <w:sz w:val="24"/>
          <w:szCs w:val="24"/>
          <w:highlight w:val="none"/>
        </w:rPr>
        <w:t>万元，</w:t>
      </w:r>
      <w:r>
        <w:rPr>
          <w:rFonts w:hint="eastAsia" w:ascii="宋体" w:hAnsi="宋体"/>
          <w:bCs/>
          <w:color w:val="auto"/>
          <w:sz w:val="24"/>
          <w:szCs w:val="24"/>
          <w:highlight w:val="none"/>
          <w:lang w:val="en-US" w:eastAsia="zh-CN"/>
        </w:rPr>
        <w:t>超出预算196.53万元。9月资金支付中使用现金支付</w:t>
      </w:r>
      <w:r>
        <w:rPr>
          <w:rFonts w:hint="eastAsia" w:ascii="宋体" w:hAnsi="宋体"/>
          <w:bCs/>
          <w:color w:val="auto"/>
          <w:sz w:val="24"/>
          <w:szCs w:val="24"/>
          <w:highlight w:val="none"/>
        </w:rPr>
        <w:t>46,586.97</w:t>
      </w:r>
      <w:r>
        <w:rPr>
          <w:rFonts w:hint="eastAsia" w:ascii="宋体" w:hAnsi="宋体"/>
          <w:bCs/>
          <w:color w:val="auto"/>
          <w:sz w:val="24"/>
          <w:szCs w:val="24"/>
          <w:highlight w:val="none"/>
          <w:lang w:val="en-US" w:eastAsia="zh-CN"/>
        </w:rPr>
        <w:t>万元，使用1年期商业承兑汇票支付</w:t>
      </w:r>
      <w:r>
        <w:rPr>
          <w:rFonts w:hint="eastAsia" w:ascii="宋体" w:hAnsi="宋体"/>
          <w:bCs/>
          <w:color w:val="auto"/>
          <w:sz w:val="24"/>
          <w:szCs w:val="24"/>
          <w:highlight w:val="none"/>
        </w:rPr>
        <w:t>1,5</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5.29</w:t>
      </w:r>
      <w:r>
        <w:rPr>
          <w:rFonts w:hint="eastAsia" w:ascii="宋体" w:hAnsi="宋体"/>
          <w:bCs/>
          <w:color w:val="auto"/>
          <w:sz w:val="24"/>
          <w:szCs w:val="24"/>
          <w:highlight w:val="none"/>
          <w:lang w:val="en-US" w:eastAsia="zh-CN"/>
        </w:rPr>
        <w:t>元，</w:t>
      </w:r>
      <w:r>
        <w:rPr>
          <w:rFonts w:ascii="宋体" w:hAnsi="宋体"/>
          <w:color w:val="auto"/>
          <w:sz w:val="24"/>
          <w:szCs w:val="24"/>
          <w:highlight w:val="none"/>
        </w:rPr>
        <w:t>9</w:t>
      </w:r>
      <w:r>
        <w:rPr>
          <w:rFonts w:ascii="宋体" w:hAnsi="宋体" w:cs="宋体"/>
          <w:color w:val="auto"/>
          <w:sz w:val="24"/>
          <w:highlight w:val="none"/>
          <w:lang w:bidi="zh-CN"/>
        </w:rPr>
        <w:t>月</w:t>
      </w:r>
      <w:r>
        <w:rPr>
          <w:rFonts w:hint="eastAsia" w:ascii="宋体" w:hAnsi="宋体" w:cs="宋体"/>
          <w:color w:val="auto"/>
          <w:sz w:val="24"/>
          <w:highlight w:val="none"/>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ascii="宋体" w:hAnsi="宋体" w:cs="宋体"/>
          <w:sz w:val="24"/>
          <w:lang w:bidi="ar"/>
        </w:rPr>
        <w:t>9月份资金计划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41"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资金</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申请金额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7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ascii="宋体" w:hAnsi="宋体" w:cs="宋体"/>
                <w:b/>
                <w:bCs/>
                <w:color w:val="000000"/>
                <w:kern w:val="0"/>
                <w:sz w:val="24"/>
                <w:szCs w:val="24"/>
                <w:lang w:bidi="ar"/>
              </w:rPr>
              <w:t>9月份资金计划</w:t>
            </w:r>
            <w:r>
              <w:rPr>
                <w:rFonts w:hint="eastAsia" w:ascii="宋体" w:hAnsi="宋体" w:cs="宋体"/>
                <w:b/>
                <w:bCs/>
                <w:color w:val="000000"/>
                <w:kern w:val="0"/>
                <w:sz w:val="24"/>
                <w:szCs w:val="24"/>
                <w:lang w:bidi="ar"/>
              </w:rPr>
              <w:t>执行金额</w:t>
            </w:r>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前期费用</w:t>
            </w:r>
          </w:p>
        </w:tc>
        <w:tc>
          <w:tcPr>
            <w:tcW w:w="1457"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138.97</w:t>
            </w:r>
          </w:p>
        </w:tc>
        <w:tc>
          <w:tcPr>
            <w:tcW w:w="1732"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138.97</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均已按计划全部支付。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1"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工程费用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8,487.82</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1,563.91</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18%</w:t>
            </w:r>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原计划支付</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笔费用。其中</w:t>
            </w:r>
            <w:r>
              <w:rPr>
                <w:rFonts w:hint="eastAsia" w:ascii="宋体" w:hAnsi="宋体" w:cs="宋体"/>
                <w:color w:val="000000"/>
                <w:kern w:val="0"/>
                <w:sz w:val="24"/>
                <w:lang w:val="en-US" w:eastAsia="zh-CN" w:bidi="ar"/>
              </w:rPr>
              <w:t>基坑支护工程款487.13</w:t>
            </w:r>
            <w:r>
              <w:rPr>
                <w:rFonts w:ascii="宋体" w:hAnsi="宋体" w:cs="宋体"/>
                <w:color w:val="000000"/>
                <w:kern w:val="0"/>
                <w:sz w:val="24"/>
                <w:lang w:bidi="ar"/>
              </w:rPr>
              <w:t>万</w:t>
            </w:r>
            <w:r>
              <w:rPr>
                <w:rFonts w:hint="eastAsia" w:ascii="宋体" w:hAnsi="宋体" w:cs="宋体"/>
                <w:color w:val="000000"/>
                <w:kern w:val="0"/>
                <w:sz w:val="24"/>
                <w:lang w:val="en-US" w:eastAsia="zh-CN" w:bidi="ar"/>
              </w:rPr>
              <w:t>元</w:t>
            </w:r>
            <w:r>
              <w:rPr>
                <w:rFonts w:hint="eastAsia" w:ascii="宋体" w:hAnsi="宋体" w:cs="宋体"/>
                <w:color w:val="000000"/>
                <w:kern w:val="0"/>
                <w:sz w:val="24"/>
                <w:lang w:bidi="ar"/>
              </w:rPr>
              <w:t>已支付</w:t>
            </w:r>
            <w:r>
              <w:rPr>
                <w:rFonts w:hint="eastAsia" w:ascii="宋体" w:hAnsi="宋体" w:cs="宋体"/>
                <w:color w:val="000000"/>
                <w:kern w:val="0"/>
                <w:sz w:val="24"/>
                <w:lang w:eastAsia="zh-CN" w:bidi="ar"/>
              </w:rPr>
              <w:t>，慈溪市明城建材有限公司</w:t>
            </w:r>
            <w:r>
              <w:rPr>
                <w:rFonts w:hint="eastAsia" w:ascii="宋体" w:hAnsi="宋体" w:cs="宋体"/>
                <w:color w:val="000000"/>
                <w:kern w:val="0"/>
                <w:sz w:val="24"/>
                <w:lang w:val="en-US" w:eastAsia="zh-CN" w:bidi="ar"/>
              </w:rPr>
              <w:t>的建材费用6,914.60元未支付。</w:t>
            </w:r>
          </w:p>
          <w:p>
            <w:pPr>
              <w:pStyle w:val="10"/>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资金计划外</w:t>
            </w:r>
            <w:r>
              <w:rPr>
                <w:rFonts w:hint="eastAsia" w:ascii="宋体" w:hAnsi="宋体"/>
                <w:color w:val="auto"/>
                <w:sz w:val="24"/>
                <w:szCs w:val="24"/>
                <w:highlight w:val="none"/>
                <w:lang w:eastAsia="zh-CN"/>
              </w:rPr>
              <w:t>通过</w:t>
            </w:r>
            <w:r>
              <w:rPr>
                <w:rFonts w:hint="eastAsia" w:ascii="宋体" w:hAnsi="宋体"/>
                <w:color w:val="auto"/>
                <w:sz w:val="24"/>
                <w:szCs w:val="24"/>
                <w:highlight w:val="none"/>
                <w:lang w:val="en-US" w:eastAsia="zh-CN"/>
              </w:rPr>
              <w:t>TCMP审批后支付基桩工程款</w:t>
            </w:r>
            <w:r>
              <w:rPr>
                <w:rFonts w:hint="eastAsia" w:ascii="宋体" w:hAnsi="宋体"/>
                <w:color w:val="auto"/>
                <w:sz w:val="24"/>
                <w:szCs w:val="24"/>
                <w:highlight w:val="none"/>
              </w:rPr>
              <w:t>1,012.87 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售楼处装修工程款55.45万元。</w:t>
            </w:r>
          </w:p>
          <w:p>
            <w:pPr>
              <w:pStyle w:val="10"/>
              <w:ind w:firstLine="0" w:firstLineChars="0"/>
              <w:rPr>
                <w:rFonts w:hint="default" w:ascii="宋体" w:hAnsi="宋体"/>
                <w:color w:val="auto"/>
                <w:sz w:val="24"/>
                <w:szCs w:val="24"/>
                <w:highlight w:val="none"/>
                <w:lang w:val="en-US" w:eastAsia="zh-CN"/>
              </w:rPr>
            </w:pPr>
            <w:r>
              <w:rPr>
                <w:rFonts w:hint="eastAsia" w:ascii="宋体" w:hAnsi="宋体" w:cs="宋体"/>
                <w:color w:val="000000"/>
                <w:kern w:val="0"/>
                <w:sz w:val="24"/>
                <w:lang w:val="en-US" w:eastAsia="zh-CN" w:bidi="ar"/>
              </w:rPr>
              <w:t>资金计划中原定向深圳恒大预付材料款8,000万元，实际支付8.46万元。</w:t>
            </w:r>
          </w:p>
          <w:p>
            <w:pPr>
              <w:widowControl/>
              <w:textAlignment w:val="top"/>
              <w:rPr>
                <w:rFonts w:ascii="宋体" w:hAnsi="宋体" w:cs="宋体"/>
                <w:color w:val="000000"/>
                <w:kern w:val="0"/>
                <w:sz w:val="24"/>
                <w:szCs w:val="24"/>
                <w:lang w:bidi="ar"/>
              </w:rPr>
            </w:pPr>
            <w:r>
              <w:rPr>
                <w:rFonts w:hint="eastAsia" w:ascii="宋体" w:hAnsi="宋体"/>
                <w:color w:val="auto"/>
                <w:sz w:val="24"/>
                <w:szCs w:val="24"/>
                <w:highlight w:val="none"/>
                <w:lang w:val="en-US" w:eastAsia="zh-CN"/>
              </w:rPr>
              <w:t>因9月工程费用实际支付未超过资金计划中工程费用总金额，资金计划外支付部分额度调整为计划内支付</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土地费用</w:t>
            </w:r>
          </w:p>
        </w:tc>
        <w:tc>
          <w:tcPr>
            <w:tcW w:w="145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olor w:val="auto"/>
                <w:sz w:val="24"/>
                <w:szCs w:val="24"/>
                <w:highlight w:val="none"/>
              </w:rPr>
              <w:t>27,247.8</w:t>
            </w:r>
            <w:r>
              <w:rPr>
                <w:rFonts w:hint="eastAsia" w:ascii="宋体" w:hAnsi="宋体"/>
                <w:color w:val="auto"/>
                <w:sz w:val="24"/>
                <w:szCs w:val="24"/>
                <w:highlight w:val="none"/>
                <w:lang w:val="en-US" w:eastAsia="zh-CN"/>
              </w:rPr>
              <w:t>4</w:t>
            </w:r>
          </w:p>
        </w:tc>
        <w:tc>
          <w:tcPr>
            <w:tcW w:w="1732" w:type="dxa"/>
            <w:vAlign w:val="center"/>
          </w:tcPr>
          <w:p>
            <w:pPr>
              <w:widowControl/>
              <w:jc w:val="center"/>
              <w:textAlignment w:val="center"/>
              <w:rPr>
                <w:rFonts w:ascii="宋体" w:hAnsi="宋体"/>
                <w:sz w:val="24"/>
                <w:szCs w:val="24"/>
              </w:rPr>
            </w:pPr>
            <w:r>
              <w:rPr>
                <w:rFonts w:hint="eastAsia" w:ascii="宋体" w:hAnsi="宋体"/>
                <w:color w:val="auto"/>
                <w:sz w:val="24"/>
                <w:szCs w:val="24"/>
                <w:highlight w:val="none"/>
              </w:rPr>
              <w:t>27,247.83</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100%</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均已按计划支付。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管理费用</w:t>
            </w:r>
          </w:p>
        </w:tc>
        <w:tc>
          <w:tcPr>
            <w:tcW w:w="1457"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sz w:val="24"/>
                <w:szCs w:val="24"/>
                <w:lang w:val="en-US" w:eastAsia="zh-CN"/>
              </w:rPr>
              <w:t>21</w:t>
            </w:r>
            <w:r>
              <w:rPr>
                <w:rFonts w:ascii="宋体" w:hAnsi="宋体"/>
                <w:sz w:val="24"/>
                <w:szCs w:val="24"/>
              </w:rPr>
              <w:t>.1</w:t>
            </w:r>
          </w:p>
        </w:tc>
        <w:tc>
          <w:tcPr>
            <w:tcW w:w="1732" w:type="dxa"/>
            <w:vAlign w:val="center"/>
          </w:tcPr>
          <w:p>
            <w:pPr>
              <w:widowControl/>
              <w:jc w:val="center"/>
              <w:textAlignment w:val="center"/>
              <w:rPr>
                <w:rFonts w:ascii="宋体" w:hAnsi="宋体"/>
                <w:sz w:val="24"/>
                <w:szCs w:val="24"/>
                <w:highlight w:val="yellow"/>
              </w:rPr>
            </w:pPr>
            <w:r>
              <w:rPr>
                <w:rFonts w:hint="eastAsia" w:ascii="宋体" w:hAnsi="宋体" w:cs="宋体"/>
                <w:color w:val="000000"/>
                <w:kern w:val="0"/>
                <w:sz w:val="24"/>
                <w:szCs w:val="24"/>
                <w:lang w:val="en-US" w:eastAsia="zh-CN" w:bidi="ar"/>
              </w:rPr>
              <w:t>11.84</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56%</w:t>
            </w:r>
          </w:p>
        </w:tc>
        <w:tc>
          <w:tcPr>
            <w:tcW w:w="4332" w:type="dxa"/>
            <w:vAlign w:val="center"/>
          </w:tcPr>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bidi="ar"/>
              </w:rPr>
              <w:t>发放员工工资、社保、公积金等支出共计</w:t>
            </w:r>
            <w:r>
              <w:rPr>
                <w:rFonts w:hint="eastAsia" w:ascii="宋体" w:hAnsi="宋体" w:cs="宋体"/>
                <w:color w:val="000000"/>
                <w:kern w:val="0"/>
                <w:sz w:val="24"/>
                <w:lang w:val="en-US" w:eastAsia="zh-CN" w:bidi="ar"/>
              </w:rPr>
              <w:t>2.26</w:t>
            </w:r>
            <w:r>
              <w:rPr>
                <w:rFonts w:hint="eastAsia" w:ascii="宋体" w:hAnsi="宋体" w:cs="宋体"/>
                <w:color w:val="000000"/>
                <w:kern w:val="0"/>
                <w:sz w:val="24"/>
                <w:lang w:bidi="ar"/>
              </w:rPr>
              <w:t>万元；</w:t>
            </w:r>
          </w:p>
          <w:p>
            <w:pPr>
              <w:pStyle w:val="10"/>
              <w:ind w:firstLine="0" w:firstLineChars="0"/>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水电费、网络费</w:t>
            </w:r>
            <w:r>
              <w:rPr>
                <w:rFonts w:hint="eastAsia" w:ascii="宋体" w:hAnsi="宋体" w:cs="宋体"/>
                <w:color w:val="000000"/>
                <w:kern w:val="0"/>
                <w:sz w:val="24"/>
                <w:lang w:bidi="ar"/>
              </w:rPr>
              <w:t>支出共计</w:t>
            </w:r>
            <w:r>
              <w:rPr>
                <w:rFonts w:ascii="宋体" w:hAnsi="宋体" w:cs="宋体"/>
                <w:color w:val="000000"/>
                <w:kern w:val="0"/>
                <w:sz w:val="24"/>
                <w:lang w:bidi="ar"/>
              </w:rPr>
              <w:t>9.57</w:t>
            </w:r>
            <w:r>
              <w:rPr>
                <w:rFonts w:hint="eastAsia" w:ascii="宋体" w:hAnsi="宋体" w:cs="宋体"/>
                <w:color w:val="000000"/>
                <w:kern w:val="0"/>
                <w:sz w:val="24"/>
                <w:lang w:bidi="ar"/>
              </w:rPr>
              <w:t>万元</w:t>
            </w:r>
            <w:r>
              <w:rPr>
                <w:rFonts w:hint="eastAsia" w:ascii="宋体" w:hAnsi="宋体" w:cs="宋体"/>
                <w:color w:val="000000"/>
                <w:kern w:val="0"/>
                <w:sz w:val="24"/>
                <w:lang w:eastAsia="zh-CN" w:bidi="ar"/>
              </w:rPr>
              <w:t>；</w:t>
            </w:r>
          </w:p>
          <w:p>
            <w:pPr>
              <w:pStyle w:val="10"/>
              <w:ind w:firstLine="0" w:firstLineChars="0"/>
              <w:rPr>
                <w:rFonts w:ascii="宋体" w:hAnsi="宋体" w:cs="宋体"/>
                <w:color w:val="000000"/>
                <w:kern w:val="0"/>
                <w:sz w:val="24"/>
                <w:lang w:bidi="ar"/>
              </w:rPr>
            </w:pPr>
            <w:r>
              <w:rPr>
                <w:rFonts w:hint="eastAsia" w:ascii="宋体" w:hAnsi="宋体" w:cs="宋体"/>
                <w:color w:val="000000"/>
                <w:kern w:val="0"/>
                <w:sz w:val="24"/>
                <w:lang w:val="en-US" w:eastAsia="zh-CN" w:bidi="ar"/>
              </w:rPr>
              <w:t>由于项目尚未开盘，9月实际支付的</w:t>
            </w:r>
            <w:r>
              <w:rPr>
                <w:rFonts w:hint="eastAsia" w:ascii="宋体" w:hAnsi="宋体" w:cs="宋体"/>
                <w:color w:val="000000"/>
                <w:kern w:val="0"/>
                <w:sz w:val="24"/>
                <w:lang w:bidi="ar"/>
              </w:rPr>
              <w:t>员工工资、社保、公积金</w:t>
            </w:r>
            <w:r>
              <w:rPr>
                <w:rFonts w:hint="eastAsia" w:ascii="宋体" w:hAnsi="宋体" w:cs="宋体"/>
                <w:color w:val="000000"/>
                <w:kern w:val="0"/>
                <w:sz w:val="24"/>
                <w:lang w:eastAsia="zh-CN" w:bidi="ar"/>
              </w:rPr>
              <w:t>低于资金计划</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exact"/>
          <w:jc w:val="center"/>
        </w:trPr>
        <w:tc>
          <w:tcPr>
            <w:tcW w:w="1241" w:type="dxa"/>
            <w:vAlign w:val="center"/>
          </w:tcPr>
          <w:p>
            <w:pPr>
              <w:widowControl/>
              <w:jc w:val="center"/>
              <w:textAlignment w:val="top"/>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财务费用</w:t>
            </w:r>
          </w:p>
        </w:tc>
        <w:tc>
          <w:tcPr>
            <w:tcW w:w="1457"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szCs w:val="24"/>
                <w:lang w:val="en-US" w:eastAsia="zh-CN"/>
              </w:rPr>
              <w:t>20.00</w:t>
            </w:r>
          </w:p>
        </w:tc>
        <w:tc>
          <w:tcPr>
            <w:tcW w:w="1732" w:type="dxa"/>
            <w:vAlign w:val="center"/>
          </w:tcPr>
          <w:p>
            <w:pPr>
              <w:widowControl/>
              <w:jc w:val="center"/>
              <w:textAlignment w:val="center"/>
              <w:rPr>
                <w:rFonts w:hint="default" w:ascii="宋体" w:hAnsi="宋体" w:eastAsia="宋体"/>
                <w:sz w:val="24"/>
                <w:szCs w:val="24"/>
                <w:highlight w:val="yellow"/>
                <w:lang w:val="en-US" w:eastAsia="zh-CN"/>
              </w:rPr>
            </w:pPr>
            <w:r>
              <w:rPr>
                <w:rFonts w:hint="eastAsia" w:ascii="宋体" w:hAnsi="宋体" w:cs="宋体"/>
                <w:color w:val="000000"/>
                <w:kern w:val="0"/>
                <w:sz w:val="24"/>
                <w:szCs w:val="24"/>
                <w:lang w:val="en-US" w:eastAsia="zh-CN" w:bidi="ar"/>
              </w:rPr>
              <w:t>0.98</w:t>
            </w:r>
          </w:p>
        </w:tc>
        <w:tc>
          <w:tcPr>
            <w:tcW w:w="1527" w:type="dxa"/>
            <w:vAlign w:val="center"/>
          </w:tcPr>
          <w:p>
            <w:pPr>
              <w:keepNext w:val="0"/>
              <w:keepLines w:val="0"/>
              <w:widowControl/>
              <w:suppressLineNumbers w:val="0"/>
              <w:jc w:val="center"/>
              <w:textAlignment w:val="center"/>
              <w:rPr>
                <w:rFonts w:ascii="宋体" w:hAnsi="宋体" w:cs="宋体"/>
                <w:color w:val="000000"/>
                <w:kern w:val="0"/>
                <w:sz w:val="24"/>
                <w:szCs w:val="24"/>
                <w:highlight w:val="yellow"/>
                <w:lang w:bidi="ar"/>
              </w:rPr>
            </w:pPr>
            <w:r>
              <w:rPr>
                <w:rFonts w:hint="eastAsia" w:ascii="宋体" w:hAnsi="宋体" w:eastAsia="宋体" w:cs="宋体"/>
                <w:i w:val="0"/>
                <w:color w:val="000000"/>
                <w:kern w:val="0"/>
                <w:sz w:val="24"/>
                <w:szCs w:val="24"/>
                <w:u w:val="none"/>
                <w:lang w:val="en-US" w:eastAsia="zh-CN" w:bidi="ar"/>
              </w:rPr>
              <w:t>5%</w:t>
            </w:r>
          </w:p>
        </w:tc>
        <w:tc>
          <w:tcPr>
            <w:tcW w:w="4332" w:type="dxa"/>
            <w:vAlign w:val="center"/>
          </w:tcPr>
          <w:p>
            <w:pPr>
              <w:pStyle w:val="10"/>
              <w:numPr>
                <w:ilvl w:val="0"/>
                <w:numId w:val="0"/>
              </w:numP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税费0.75万元，手续费0.23万元；</w:t>
            </w:r>
          </w:p>
          <w:p>
            <w:pPr>
              <w:pStyle w:val="10"/>
              <w:ind w:firstLine="0" w:firstLineChars="0"/>
              <w:rPr>
                <w:rFonts w:ascii="宋体" w:hAnsi="宋体" w:cs="宋体"/>
                <w:color w:val="000000"/>
                <w:kern w:val="0"/>
                <w:sz w:val="24"/>
                <w:lang w:bidi="ar"/>
              </w:rPr>
            </w:pPr>
            <w:r>
              <w:rPr>
                <w:rFonts w:ascii="宋体" w:hAnsi="宋体"/>
                <w:sz w:val="24"/>
                <w:szCs w:val="24"/>
              </w:rPr>
              <w:t>税费支出</w:t>
            </w:r>
            <w:r>
              <w:rPr>
                <w:rFonts w:hint="eastAsia" w:ascii="宋体" w:hAnsi="宋体"/>
                <w:sz w:val="24"/>
                <w:szCs w:val="24"/>
                <w:lang w:eastAsia="zh-CN"/>
              </w:rPr>
              <w:t>以项目公司申报自动划扣，</w:t>
            </w:r>
            <w:r>
              <w:rPr>
                <w:rFonts w:ascii="宋体" w:hAnsi="宋体"/>
                <w:sz w:val="24"/>
                <w:szCs w:val="24"/>
              </w:rPr>
              <w:t>符合国家相关标准</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1241" w:type="dxa"/>
            <w:vAlign w:val="center"/>
          </w:tcPr>
          <w:p>
            <w:pPr>
              <w:widowControl/>
              <w:jc w:val="center"/>
              <w:textAlignment w:val="top"/>
              <w:rPr>
                <w:rFonts w:hint="default" w:ascii="宋体" w:hAnsi="宋体" w:eastAsia="宋体"/>
                <w:sz w:val="24"/>
                <w:szCs w:val="24"/>
                <w:lang w:val="en-US" w:eastAsia="zh-CN"/>
              </w:rPr>
            </w:pPr>
            <w:r>
              <w:rPr>
                <w:rFonts w:hint="eastAsia" w:ascii="宋体" w:hAnsi="宋体"/>
                <w:sz w:val="24"/>
                <w:szCs w:val="24"/>
                <w:lang w:val="en-US" w:eastAsia="zh-CN"/>
              </w:rPr>
              <w:t>往来款</w:t>
            </w:r>
          </w:p>
        </w:tc>
        <w:tc>
          <w:tcPr>
            <w:tcW w:w="1457" w:type="dxa"/>
            <w:vAlign w:val="center"/>
          </w:tcPr>
          <w:p>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12,000.00</w:t>
            </w:r>
          </w:p>
        </w:tc>
        <w:tc>
          <w:tcPr>
            <w:tcW w:w="1732" w:type="dxa"/>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olor w:val="auto"/>
                <w:sz w:val="24"/>
                <w:szCs w:val="24"/>
                <w:highlight w:val="none"/>
                <w:lang w:val="en-US" w:eastAsia="zh-CN"/>
              </w:rPr>
              <w:t>19,155.00</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160%</w:t>
            </w:r>
          </w:p>
        </w:tc>
        <w:tc>
          <w:tcPr>
            <w:tcW w:w="4332" w:type="dxa"/>
            <w:vAlign w:val="center"/>
          </w:tcPr>
          <w:p>
            <w:pPr>
              <w:pStyle w:val="10"/>
              <w:ind w:firstLine="0" w:firstLineChars="0"/>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偿还借款19,155.00万元，超出资金计划7,155.00万元。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exact"/>
          <w:jc w:val="center"/>
        </w:trPr>
        <w:tc>
          <w:tcPr>
            <w:tcW w:w="1241" w:type="dxa"/>
            <w:vAlign w:val="center"/>
          </w:tcPr>
          <w:p>
            <w:pPr>
              <w:widowControl/>
              <w:jc w:val="center"/>
              <w:textAlignment w:val="top"/>
              <w:rPr>
                <w:rFonts w:hint="default" w:ascii="宋体" w:hAnsi="宋体"/>
                <w:sz w:val="24"/>
                <w:szCs w:val="24"/>
                <w:lang w:val="en-US" w:eastAsia="zh-CN"/>
              </w:rPr>
            </w:pPr>
            <w:r>
              <w:rPr>
                <w:rFonts w:hint="eastAsia" w:ascii="宋体" w:hAnsi="宋体"/>
                <w:sz w:val="24"/>
                <w:szCs w:val="24"/>
                <w:lang w:val="en-US" w:eastAsia="zh-CN"/>
              </w:rPr>
              <w:t>其他不可预计费</w:t>
            </w:r>
          </w:p>
        </w:tc>
        <w:tc>
          <w:tcPr>
            <w:tcW w:w="1457" w:type="dxa"/>
            <w:vAlign w:val="center"/>
          </w:tcPr>
          <w:p>
            <w:pPr>
              <w:widowControl/>
              <w:jc w:val="center"/>
              <w:textAlignment w:val="center"/>
              <w:rPr>
                <w:rFonts w:hint="default" w:ascii="宋体" w:hAnsi="宋体"/>
                <w:sz w:val="24"/>
                <w:szCs w:val="24"/>
                <w:lang w:val="en-US" w:eastAsia="zh-CN"/>
              </w:rPr>
            </w:pPr>
            <w:r>
              <w:rPr>
                <w:rFonts w:hint="eastAsia" w:ascii="宋体" w:hAnsi="宋体"/>
                <w:sz w:val="24"/>
                <w:szCs w:val="24"/>
                <w:lang w:val="en-US" w:eastAsia="zh-CN"/>
              </w:rPr>
              <w:t>50</w:t>
            </w:r>
          </w:p>
        </w:tc>
        <w:tc>
          <w:tcPr>
            <w:tcW w:w="1732" w:type="dxa"/>
            <w:vAlign w:val="center"/>
          </w:tcPr>
          <w:p>
            <w:pPr>
              <w:widowControl/>
              <w:jc w:val="center"/>
              <w:textAlignment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43.73</w:t>
            </w:r>
          </w:p>
        </w:tc>
        <w:tc>
          <w:tcPr>
            <w:tcW w:w="1527"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87%</w:t>
            </w:r>
          </w:p>
        </w:tc>
        <w:tc>
          <w:tcPr>
            <w:tcW w:w="4332" w:type="dxa"/>
            <w:vAlign w:val="center"/>
          </w:tcPr>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支付未在9月资金计划中列示的营销费12.25万元、软装工程施工工程费19.85万元、工程部打印机租赁费0.13万元、</w:t>
            </w:r>
          </w:p>
          <w:p>
            <w:pPr>
              <w:pStyle w:val="10"/>
              <w:ind w:firstLine="0" w:firstLineChars="0"/>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第二次罚款咨询3.5万元。</w:t>
            </w:r>
          </w:p>
          <w:p>
            <w:pPr>
              <w:pStyle w:val="10"/>
              <w:ind w:firstLine="0" w:firstLineChars="0"/>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支付资金计划外往来款8万元。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241" w:type="dxa"/>
            <w:vAlign w:val="center"/>
          </w:tcPr>
          <w:p>
            <w:pPr>
              <w:widowControl/>
              <w:jc w:val="center"/>
              <w:textAlignment w:val="top"/>
              <w:rPr>
                <w:rFonts w:ascii="宋体" w:hAnsi="宋体" w:cs="宋体"/>
                <w:b/>
                <w:color w:val="000000"/>
                <w:kern w:val="0"/>
                <w:sz w:val="24"/>
                <w:szCs w:val="24"/>
                <w:lang w:bidi="ar"/>
              </w:rPr>
            </w:pPr>
            <w:r>
              <w:rPr>
                <w:rFonts w:hint="eastAsia" w:ascii="宋体" w:hAnsi="宋体" w:cs="宋体"/>
                <w:b/>
                <w:color w:val="000000"/>
                <w:kern w:val="0"/>
                <w:sz w:val="24"/>
                <w:szCs w:val="24"/>
                <w:lang w:bidi="ar"/>
              </w:rPr>
              <w:t>合计</w:t>
            </w:r>
          </w:p>
        </w:tc>
        <w:tc>
          <w:tcPr>
            <w:tcW w:w="1457"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color w:val="000000"/>
                <w:kern w:val="0"/>
                <w:sz w:val="24"/>
                <w:szCs w:val="24"/>
                <w:u w:val="none"/>
                <w:lang w:val="en-US" w:eastAsia="zh-CN" w:bidi="ar"/>
              </w:rPr>
              <w:t>47,965.73</w:t>
            </w:r>
          </w:p>
        </w:tc>
        <w:tc>
          <w:tcPr>
            <w:tcW w:w="1732"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color w:val="000000"/>
                <w:kern w:val="0"/>
                <w:sz w:val="24"/>
                <w:szCs w:val="24"/>
                <w:u w:val="none"/>
                <w:lang w:val="en-US" w:eastAsia="zh-CN" w:bidi="ar"/>
              </w:rPr>
              <w:t>48,162.26</w:t>
            </w:r>
          </w:p>
        </w:tc>
        <w:tc>
          <w:tcPr>
            <w:tcW w:w="1527" w:type="dxa"/>
            <w:vAlign w:val="center"/>
          </w:tcPr>
          <w:p>
            <w:pPr>
              <w:widowControl/>
              <w:jc w:val="center"/>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100.</w:t>
            </w:r>
            <w:r>
              <w:rPr>
                <w:rFonts w:hint="eastAsia" w:ascii="宋体" w:hAnsi="宋体" w:cs="宋体"/>
                <w:b/>
                <w:color w:val="000000"/>
                <w:kern w:val="0"/>
                <w:sz w:val="24"/>
                <w:szCs w:val="24"/>
                <w:lang w:val="en-US" w:eastAsia="zh-CN" w:bidi="ar"/>
              </w:rPr>
              <w:t>41</w:t>
            </w:r>
            <w:r>
              <w:rPr>
                <w:rFonts w:hint="eastAsia" w:ascii="宋体" w:hAnsi="宋体" w:cs="宋体"/>
                <w:b/>
                <w:color w:val="000000"/>
                <w:kern w:val="0"/>
                <w:sz w:val="24"/>
                <w:szCs w:val="24"/>
                <w:lang w:bidi="ar"/>
              </w:rPr>
              <w:t>%</w:t>
            </w:r>
          </w:p>
        </w:tc>
        <w:tc>
          <w:tcPr>
            <w:tcW w:w="4332" w:type="dxa"/>
            <w:vAlign w:val="center"/>
          </w:tcPr>
          <w:p>
            <w:pPr>
              <w:widowControl/>
              <w:jc w:val="center"/>
              <w:textAlignment w:val="top"/>
              <w:rPr>
                <w:rFonts w:ascii="宋体" w:hAnsi="宋体" w:cs="宋体"/>
                <w:b/>
                <w:color w:val="000000"/>
                <w:kern w:val="0"/>
                <w:sz w:val="24"/>
                <w:szCs w:val="24"/>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hint="eastAsia" w:ascii="宋体" w:hAnsi="宋体" w:cs="Times New Roman"/>
          <w:bCs/>
          <w:color w:val="000000"/>
          <w:kern w:val="2"/>
          <w:sz w:val="24"/>
          <w:szCs w:val="24"/>
          <w:lang w:val="en-US" w:eastAsia="zh-CN" w:bidi="zh-CN"/>
        </w:rPr>
      </w:pPr>
      <w:r>
        <w:rPr>
          <w:rFonts w:hint="eastAsia" w:ascii="宋体" w:hAnsi="宋体" w:cs="Times New Roman"/>
          <w:bCs/>
          <w:color w:val="000000"/>
          <w:sz w:val="24"/>
          <w:szCs w:val="24"/>
          <w:lang w:bidi="zh-CN"/>
        </w:rPr>
        <w:t>根据《9月份资金计划金额与执行情况对比表》显示，项目公司的资金支付计划执行较好。</w:t>
      </w:r>
      <w:r>
        <w:rPr>
          <w:rFonts w:hint="eastAsia" w:ascii="宋体" w:hAnsi="宋体" w:cs="Times New Roman"/>
          <w:bCs/>
          <w:color w:val="000000"/>
          <w:kern w:val="2"/>
          <w:sz w:val="24"/>
          <w:szCs w:val="24"/>
          <w:lang w:val="en-US" w:eastAsia="zh-CN" w:bidi="zh-CN"/>
        </w:rPr>
        <w:t>往来款因根据当期实际借款偿还19,155.00万元，超出预算7,155万元。</w:t>
      </w:r>
    </w:p>
    <w:p>
      <w:pPr>
        <w:pStyle w:val="10"/>
        <w:spacing w:after="0" w:line="360" w:lineRule="auto"/>
        <w:ind w:left="0" w:leftChars="0" w:firstLine="0" w:firstLineChars="0"/>
        <w:rPr>
          <w:rFonts w:hint="eastAsia"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项目公司在2020年10月开发报建金额共计</w:t>
      </w:r>
      <w:r>
        <w:rPr>
          <w:rFonts w:hint="eastAsia" w:ascii="宋体" w:hAnsi="宋体"/>
          <w:sz w:val="24"/>
          <w:szCs w:val="24"/>
        </w:rPr>
        <w:t>16.01</w:t>
      </w:r>
      <w:r>
        <w:rPr>
          <w:rFonts w:hint="eastAsia" w:ascii="宋体" w:hAnsi="宋体"/>
          <w:bCs/>
          <w:color w:val="000000"/>
          <w:sz w:val="24"/>
          <w:szCs w:val="24"/>
          <w:lang w:bidi="zh-CN"/>
        </w:rPr>
        <w:t>万元，具体分析如下：</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（1）预计在10月向嘉兴市国华建设工程造价咨询有限公司海盐分公司支付提前预测绘费4.56万元，经核查，该合同尚未签订，此金额为项目公司预估金额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（2）预计在10月向海盐县滨海规划测绘有限公司支付规划预测绘6.00万元，经核查，该合同尚未签订，此金额为项目公司预估金额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（3）预计在10月向浙江恒欣建筑设计股份有限公司桐乡恒欣分公司支付建筑日照分析费5.45万元，经核查，该合同尚未签订，此金额为项目公司预估金额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w:t>
      </w:r>
      <w:r>
        <w:rPr>
          <w:rFonts w:hint="eastAsia" w:ascii="宋体" w:hAnsi="宋体"/>
          <w:sz w:val="24"/>
          <w:szCs w:val="24"/>
        </w:rPr>
        <w:t>需待合同签</w:t>
      </w:r>
      <w:r>
        <w:rPr>
          <w:rFonts w:hint="eastAsia" w:ascii="宋体" w:hAnsi="宋体"/>
          <w:sz w:val="24"/>
          <w:szCs w:val="24"/>
          <w:lang w:val="en-US" w:eastAsia="zh-CN"/>
        </w:rPr>
        <w:t>订</w:t>
      </w:r>
      <w:r>
        <w:rPr>
          <w:rFonts w:hint="eastAsia" w:ascii="宋体" w:hAnsi="宋体"/>
          <w:sz w:val="24"/>
          <w:szCs w:val="24"/>
        </w:rPr>
        <w:t>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工程款资金支出计划说明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项目公司在2020年10月工程款支出金额共计</w:t>
      </w:r>
      <w:r>
        <w:rPr>
          <w:rFonts w:hint="eastAsia" w:ascii="宋体" w:hAnsi="宋体"/>
          <w:sz w:val="24"/>
          <w:szCs w:val="24"/>
        </w:rPr>
        <w:t>14,121.54</w:t>
      </w:r>
      <w:r>
        <w:rPr>
          <w:rFonts w:hint="eastAsia" w:ascii="宋体" w:hAnsi="宋体"/>
          <w:bCs/>
          <w:color w:val="000000"/>
          <w:sz w:val="24"/>
          <w:szCs w:val="24"/>
          <w:lang w:bidi="zh-CN"/>
        </w:rPr>
        <w:t>万元，工程支出明细</w:t>
      </w:r>
      <w:r>
        <w:rPr>
          <w:rFonts w:hint="eastAsia" w:ascii="宋体" w:hAnsi="宋体"/>
          <w:bCs/>
          <w:color w:val="000000"/>
          <w:sz w:val="24"/>
          <w:szCs w:val="24"/>
          <w:lang w:eastAsia="zh-CN" w:bidi="zh-CN"/>
        </w:rPr>
        <w:t>详见附件，</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10日和江苏骏兴建设工程有限公司签订的《海盐恒大都汇华庭项目基坑支护及降排水工程施工合同》，合同金额4,055.13万元，10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color w:val="auto"/>
          <w:sz w:val="24"/>
          <w:szCs w:val="24"/>
          <w:lang w:bidi="zh-CN"/>
        </w:rPr>
        <w:t>我司会对实际验收合格的工程量严格把控，并按合同条款严格审核后执行</w:t>
      </w:r>
      <w:r>
        <w:rPr>
          <w:rFonts w:hint="eastAsia" w:ascii="宋体" w:hAnsi="宋体"/>
          <w:color w:val="auto"/>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依据项目公司2020年7月2日和江苏骏兴建设工程有限公司签订的《海盐恒大都汇华庭项目桩基工程施工合同》，合同金额7,596.27万元，10月预计支付工程进度款4,167.57 万元。按合同约定，进度款按每月实际完成并验收合格的工程量支付80%，8月份核定产值6,705.45万元，根据合同约定应付款5,364,36万元,累计已付8月进度款1,012.87万元，本次申请支付4,167.57万元。本次支付完成后，累计付款比例68%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16日和安徽省安泰科技股份有限公司签订的《海盐恒大都汇华庭售楼处、临时样板房智能化工程施工合同》，合同金额23.72万元，10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28日和广州市恒合工程监理有限公司签订的《建设工程监理合同（海盐恒大都汇华庭项目监理工程（非人防））》，合同金额347.62万元，10月预计支付20%预付款69.52万元。按合同约定，合同签订后7天内支付暂定承包总价的20%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依据项目公司2020年9月17日和湖南美致空间设计空间有限公司签订的《海盐恒大都汇华庭项目滨河左岸销售中心室内软装工程施工合同》，合同金额66.1</w:t>
      </w:r>
      <w:r>
        <w:rPr>
          <w:rFonts w:hint="eastAsia" w:ascii="宋体" w:hAnsi="宋体"/>
          <w:color w:val="auto"/>
          <w:sz w:val="24"/>
          <w:szCs w:val="24"/>
          <w:lang w:val="en-US" w:eastAsia="zh-CN"/>
        </w:rPr>
        <w:t>6</w:t>
      </w:r>
      <w:r>
        <w:rPr>
          <w:rFonts w:hint="eastAsia" w:ascii="宋体" w:hAnsi="宋体"/>
          <w:color w:val="auto"/>
          <w:sz w:val="24"/>
          <w:szCs w:val="24"/>
        </w:rPr>
        <w:t>万元，按合同约定，到货后验收确认后7天内支付暂定总价的50%。售楼处拟于10月完成内部装修，10月预计支付工程进度款33.08万元，本次支付完成后，累计付款比例</w:t>
      </w:r>
      <w:r>
        <w:rPr>
          <w:rFonts w:hint="eastAsia" w:ascii="宋体" w:hAnsi="宋体"/>
          <w:color w:val="auto"/>
          <w:sz w:val="24"/>
          <w:szCs w:val="24"/>
          <w:lang w:val="en-US" w:eastAsia="zh-CN"/>
        </w:rPr>
        <w:t>80</w:t>
      </w:r>
      <w:r>
        <w:rPr>
          <w:rFonts w:hint="eastAsia" w:ascii="宋体" w:hAnsi="宋体"/>
          <w:color w:val="auto"/>
          <w:sz w:val="24"/>
          <w:szCs w:val="24"/>
        </w:rPr>
        <w:t>%。实际支付时，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11日和江苏省苏中建设集团股份有限公司签订的《海盐恒大都汇华庭项目主体及配套建设工程施工合同》，合同金额21,500.00万元，10月预计支付9月工程进度款520.00万元。按合同约定，进度款按每月实际完成并验收合格的工程量支付80%，9月份核定产值为650万元，本次拟支付金额为9月核定产值的80%，本次支付完成后，累计付款比例2.4%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拟于10月完成内部装修，10月预计支付工程进度款6.87万元，本次支付完成后，累计付款比例50%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10月预计支付56.53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10月预计支付工程进度款20.24万元，本次支付完成后，累计付款比例70%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8日和上海徐汇园林发展有限公司签订的《海盐恒大都汇华庭园建施工合同》，合同金额570.08万元，10月预计支付9月工程进度款48.00万元。按合同约定，进场7天内付10%，每期按实际完成工程量支付至双方确认金额的70%，园建单位已进场，9月核定产值60.00万元，本次支付完成后，累计付款比例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22日和上海煜铂广告有限公司签订的《海盐恒大都汇华庭项目围蔽工程施工合同》，合同金额182.50万元，10月预计支付9月工程进度款80.00万元，按合同约定，乙方每月申报一次进度款，经甲方页核定后7天内甲方支付乙方当月实际完成合格工程量的80%作为工程进度款，9月核定产值为100万元，本次拟支付金额为9月核定产值的80%，本次支付完成后，累计付款比例44%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10月预计支付工程进度款6.31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10月预计支付工程进度款1.27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依据项目公司2020年8月5日和深圳恒大材料设备有限公司签订的《海盐恒大都汇华庭材料物资供货合同》，预计在10月向深圳恒大材料设备有限公司支付材料预付款8,000.00万元，实际支付时，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11日和西安高科幕墙门窗有限公司签订的《海盐恒大都汇华庭售楼处、商业外立面幕墙工程施工合同》，合同金额196.95万元，10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华坤建设有限公司签订的《海盐恒大都汇华庭项目临时道路工程施工合同》，合同金额100.04万元，10月预计支付9月工程进度款12.00万元。按合同约定，每月支付实际完成工程量金额80%的进度款，9月核定产值15.00万元，本次拟支付金额为9月核定产值的80%，本次支付完成后，累计付款比例12%，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尚都建设有限公司签订的《海盐恒大都汇华庭项目土石方工程施工合同》，合同金额1,060.70万元，10月预计支付9月工程进度款112.00万元。按合同约定，每月支付实际完成工程量金额80%的进度款，9月核定产值140万元，本次拟支付金额为9月核定产值的80%，本次支付完成后，累计付款比例11%，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浙江中材工程勘测设计有限公司签订的《海盐恒大都汇华庭项目勘察工程施工合同》，合同金额60.75万元，10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杭州市勘测设计研究院签订的《海盐恒大都汇华庭项目基坑支护设计合同》，合同金额40.00万元，10月预计支付工程设计款26.8万元，按合同约定，乙方在合同签订5日内缴纳合同总价的3%履约保证金、施工图经过相关部门审查后15天内发包人支付合同总价的80%。本次申请支付合同总价的70%，扣除3%履约保证金。实际支付时，</w:t>
      </w:r>
      <w:r>
        <w:rPr>
          <w:rFonts w:hint="eastAsia" w:ascii="宋体" w:hAnsi="宋体"/>
          <w:color w:val="auto"/>
          <w:sz w:val="24"/>
          <w:szCs w:val="24"/>
          <w:lang w:bidi="zh-CN"/>
        </w:rPr>
        <w:t>我司会对实际验收合格的设计严格把控，并按合同条款严格审核后执行。</w:t>
      </w:r>
    </w:p>
    <w:p>
      <w:pPr>
        <w:spacing w:before="156" w:beforeLines="50" w:after="156" w:afterLines="50"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rPr>
        <w:t>严格按照相关合同付款条款严格执行，</w:t>
      </w:r>
      <w:r>
        <w:rPr>
          <w:rFonts w:hint="eastAsia" w:ascii="宋体" w:hAnsi="宋体"/>
          <w:color w:val="auto"/>
          <w:sz w:val="24"/>
          <w:szCs w:val="24"/>
          <w:lang w:bidi="zh-CN"/>
        </w:rPr>
        <w:t>确保资金支付合理、合规。</w:t>
      </w:r>
    </w:p>
    <w:p>
      <w:pPr>
        <w:spacing w:before="156" w:beforeLines="50" w:after="156" w:afterLines="50" w:line="360" w:lineRule="auto"/>
        <w:ind w:firstLine="480" w:firstLineChars="200"/>
        <w:rPr>
          <w:rFonts w:hint="eastAsia" w:ascii="宋体" w:hAnsi="宋体"/>
          <w:color w:val="auto"/>
          <w:sz w:val="24"/>
          <w:szCs w:val="24"/>
          <w:lang w:bidi="zh-CN"/>
        </w:rPr>
      </w:pP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项目公司在2020年10月的管理费用支出金额共计51.00万元，具体分析如下：</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项目工程部水电费31.00万元，水电费支出较9月有较大增加，增加原因为施工量及人员增加，导致水电费增加。</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工资社保费用20.00万元，较上月增加的原因是临近开盘，项目需提前招人准备。</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项目公司在2020年10月的营销费用支出金额共计65.18万元，具体分析如下</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10月预计支付2020年6月份-9月份全案广告费32.93万元，实际支付时，</w:t>
      </w:r>
      <w:r>
        <w:rPr>
          <w:rFonts w:hint="eastAsia" w:ascii="宋体" w:hAnsi="宋体"/>
          <w:sz w:val="24"/>
          <w:szCs w:val="24"/>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19日和广东天广联会展有限公司签订的《海盐恒大都汇华庭智慧社区展示区物料包装合同》，合同金额43.00万元，按合同约定，合同签订后7日内付款20%、工程进度完成60%，15个工作日内支付35%，10月预计支付售楼处智慧社区展示区</w:t>
      </w:r>
      <w:r>
        <w:rPr>
          <w:rFonts w:hint="eastAsia" w:ascii="宋体" w:hAnsi="宋体"/>
          <w:sz w:val="24"/>
          <w:szCs w:val="24"/>
          <w:lang w:val="en-US" w:eastAsia="zh-CN"/>
        </w:rPr>
        <w:t>物料包装费</w:t>
      </w:r>
      <w:r>
        <w:rPr>
          <w:rFonts w:hint="eastAsia" w:ascii="宋体" w:hAnsi="宋体"/>
          <w:sz w:val="24"/>
          <w:szCs w:val="24"/>
        </w:rPr>
        <w:t>23.65万元，支付比例55%。实际支付时，</w:t>
      </w:r>
      <w:r>
        <w:rPr>
          <w:rFonts w:hint="eastAsia" w:ascii="宋体" w:hAnsi="宋体"/>
          <w:sz w:val="24"/>
          <w:szCs w:val="24"/>
          <w:lang w:bidi="zh-CN"/>
        </w:rPr>
        <w:t>我司会对实际验收合格的工程量严格把控，并按合同条款严格审核后执行。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预计在10月向上海锋艺广告有限公司支付示范区开放包装物料采购货款6.20万元，经核查，该合同尚未签订，此金额为项目公司预估金额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依据项目公司和中国联合网络通信有限公司嘉兴市分公司签订的《框架合作协议（华东公司浙江区域通讯合作协议）》，10月预计支付</w:t>
      </w:r>
      <w:r>
        <w:rPr>
          <w:rFonts w:hint="eastAsia" w:ascii="宋体" w:hAnsi="宋体"/>
          <w:sz w:val="24"/>
          <w:szCs w:val="24"/>
          <w:lang w:bidi="zh-CN"/>
        </w:rPr>
        <w:t>售楼部2020.10.09-2021.10.09宽带费（2根100M）2.4万元。</w:t>
      </w:r>
    </w:p>
    <w:p>
      <w:pPr>
        <w:numPr>
          <w:ilvl w:val="255"/>
          <w:numId w:val="0"/>
        </w:num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经审核，营销部4笔付款中已签订合同部分的计划资金支付均符合合同的规定付款时间，未签订合同的需待合同签</w:t>
      </w:r>
      <w:r>
        <w:rPr>
          <w:rFonts w:hint="eastAsia" w:ascii="宋体" w:hAnsi="宋体"/>
          <w:bCs/>
          <w:color w:val="000000"/>
          <w:sz w:val="24"/>
          <w:szCs w:val="24"/>
          <w:lang w:val="en-US" w:bidi="zh-CN"/>
        </w:rPr>
        <w:t>订</w:t>
      </w:r>
      <w:r>
        <w:rPr>
          <w:rFonts w:hint="eastAsia" w:ascii="宋体" w:hAnsi="宋体"/>
          <w:bCs/>
          <w:color w:val="000000"/>
          <w:sz w:val="24"/>
          <w:szCs w:val="24"/>
          <w:lang w:bidi="zh-CN"/>
        </w:rPr>
        <w:t>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往来款项支出计划说明</w:t>
      </w:r>
      <w:r>
        <w:rPr>
          <w:rFonts w:hint="eastAsia" w:ascii="宋体" w:hAnsi="宋体"/>
          <w:b/>
          <w:color w:val="000000"/>
          <w:sz w:val="24"/>
          <w:szCs w:val="24"/>
          <w:lang w:bidi="zh-CN"/>
        </w:rPr>
        <w:tab/>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项目公司在2020年10月计划向上海颖骏投资管理有限公司归还借款</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00.00万元，</w:t>
      </w:r>
      <w:r>
        <w:rPr>
          <w:rFonts w:hint="eastAsia" w:ascii="宋体" w:hAnsi="宋体"/>
          <w:sz w:val="24"/>
          <w:szCs w:val="24"/>
          <w:lang w:val="en-US" w:eastAsia="zh-CN"/>
        </w:rPr>
        <w:t>待</w:t>
      </w:r>
      <w:r>
        <w:rPr>
          <w:rFonts w:hint="eastAsia" w:ascii="宋体" w:hAnsi="宋体"/>
          <w:sz w:val="24"/>
          <w:szCs w:val="24"/>
        </w:rPr>
        <w:t>项目公司</w:t>
      </w:r>
      <w:r>
        <w:rPr>
          <w:rFonts w:hint="eastAsia" w:ascii="宋体" w:hAnsi="宋体"/>
          <w:sz w:val="24"/>
          <w:szCs w:val="24"/>
          <w:lang w:val="en-US" w:eastAsia="zh-CN"/>
        </w:rPr>
        <w:t>还款时，我司将严格按照实际借款金额进行审核，</w:t>
      </w:r>
      <w:r>
        <w:rPr>
          <w:rFonts w:hint="eastAsia" w:ascii="宋体" w:hAnsi="宋体"/>
          <w:sz w:val="24"/>
          <w:szCs w:val="24"/>
          <w:lang w:bidi="zh-CN"/>
        </w:rPr>
        <w:t>对付款申请、流程、合同等依据进行审核，上报信托，经审批后再予以执行。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val="en-US" w:bidi="zh-CN"/>
        </w:rPr>
        <w:t>四</w:t>
      </w:r>
      <w:r>
        <w:rPr>
          <w:rFonts w:hint="eastAsia" w:ascii="宋体" w:hAnsi="宋体"/>
          <w:b/>
          <w:bCs/>
          <w:color w:val="000000"/>
          <w:sz w:val="24"/>
          <w:szCs w:val="24"/>
          <w:lang w:bidi="zh-CN"/>
        </w:rPr>
        <w:t>、结论：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七</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p>
      <w:pPr>
        <w:spacing w:before="0" w:beforeLines="-2147483648" w:line="240" w:lineRule="auto"/>
        <w:ind w:left="0" w:leftChars="0" w:firstLine="0" w:firstLineChars="0"/>
        <w:rPr>
          <w:rFonts w:ascii="宋体" w:hAnsi="宋体"/>
          <w:color w:val="000000"/>
          <w:sz w:val="24"/>
          <w:lang w:bidi="zh-CN"/>
        </w:rPr>
      </w:pPr>
    </w:p>
    <w:p>
      <w:pPr>
        <w:spacing w:before="156" w:beforeLines="50" w:line="360" w:lineRule="auto"/>
        <w:rPr>
          <w:rFonts w:hint="eastAsia" w:ascii="宋体" w:hAnsi="宋体"/>
          <w:b/>
          <w:bCs/>
          <w:color w:val="000000"/>
          <w:sz w:val="24"/>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56" w:beforeLines="50" w:line="360" w:lineRule="auto"/>
        <w:rPr>
          <w:rFonts w:hint="eastAsia" w:ascii="宋体" w:hAnsi="宋体"/>
          <w:b/>
          <w:bCs/>
          <w:color w:val="000000"/>
          <w:sz w:val="24"/>
          <w:lang w:val="en-US" w:bidi="zh-CN"/>
        </w:rPr>
      </w:pPr>
      <w:r>
        <w:rPr>
          <w:rFonts w:hint="eastAsia" w:ascii="宋体" w:hAnsi="宋体"/>
          <w:b/>
          <w:bCs/>
          <w:color w:val="000000"/>
          <w:sz w:val="24"/>
          <w:lang w:bidi="zh-CN"/>
        </w:rPr>
        <w:t>附件</w:t>
      </w:r>
      <w:r>
        <w:rPr>
          <w:rFonts w:hint="eastAsia" w:ascii="宋体" w:hAnsi="宋体"/>
          <w:b/>
          <w:bCs/>
          <w:color w:val="000000"/>
          <w:sz w:val="24"/>
          <w:lang w:val="en-US" w:bidi="zh-CN"/>
        </w:rPr>
        <w:t xml:space="preserve">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34"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费用类型</w:t>
            </w:r>
          </w:p>
        </w:tc>
        <w:tc>
          <w:tcPr>
            <w:tcW w:w="14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施工单位名称</w:t>
            </w:r>
          </w:p>
        </w:tc>
        <w:tc>
          <w:tcPr>
            <w:tcW w:w="2182"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款项用途</w:t>
            </w:r>
          </w:p>
        </w:tc>
        <w:tc>
          <w:tcPr>
            <w:tcW w:w="11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合同金额（万元）</w:t>
            </w:r>
          </w:p>
        </w:tc>
        <w:tc>
          <w:tcPr>
            <w:tcW w:w="1928"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合同付款条件</w:t>
            </w:r>
          </w:p>
        </w:tc>
        <w:tc>
          <w:tcPr>
            <w:tcW w:w="120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已完成产值（万元）</w:t>
            </w:r>
          </w:p>
        </w:tc>
        <w:tc>
          <w:tcPr>
            <w:tcW w:w="10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累计已付款（万元）</w:t>
            </w:r>
          </w:p>
        </w:tc>
        <w:tc>
          <w:tcPr>
            <w:tcW w:w="7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累计支付比例(%)</w:t>
            </w:r>
          </w:p>
        </w:tc>
        <w:tc>
          <w:tcPr>
            <w:tcW w:w="115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本月拟支付额（万元）</w:t>
            </w:r>
          </w:p>
        </w:tc>
        <w:tc>
          <w:tcPr>
            <w:tcW w:w="75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付款后累计支付比例(%)</w:t>
            </w:r>
          </w:p>
        </w:tc>
        <w:tc>
          <w:tcPr>
            <w:tcW w:w="100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西安高科幕墙门窗有限公司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海盐都汇华庭售楼处、商业、临时样板房外立面铝板备料款及进度款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196.95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进场7天内付10%--按月付产值的70%--结算付至97.5%--三年质保期满付清</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196.95</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157.57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海盐恒大都汇华庭支护工程进度款，用于支付农民工工资和材料款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4,055.13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进度款付月产值80%--结算付清</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2,404.92</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1,187.13</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29%</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736.81</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47%</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海盐恒大都汇华庭基桩工程进度款，用于支付农民工工资和材料款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7,596.27</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6,705.45</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1,012.87</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13%</w:t>
            </w:r>
          </w:p>
        </w:tc>
        <w:tc>
          <w:tcPr>
            <w:tcW w:w="1155"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4,167.57</w:t>
            </w:r>
          </w:p>
        </w:tc>
        <w:tc>
          <w:tcPr>
            <w:tcW w:w="75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234"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上海电气承广电力工程有限公司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海盐恒大都汇华庭临时电工程款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56.53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合同生效之日起3天内，甲方向乙方预付设计及施工费用的100%。</w:t>
            </w:r>
          </w:p>
        </w:tc>
        <w:tc>
          <w:tcPr>
            <w:tcW w:w="1200" w:type="dxa"/>
            <w:vAlign w:val="center"/>
          </w:tcPr>
          <w:p>
            <w:pPr>
              <w:jc w:val="center"/>
              <w:rPr>
                <w:rFonts w:hint="eastAsia"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56.53</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100%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江苏省苏中建设集团股份有限公司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海盐恒大都汇华庭项目主体及配套建设工程进度款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21,500.00</w:t>
            </w:r>
          </w:p>
        </w:tc>
        <w:tc>
          <w:tcPr>
            <w:tcW w:w="1928"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按月进度的80%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650.00</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520.00</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2.4%</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监理费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广州市恒合工程监理有限公司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海盐恒大都汇华庭监理工程预付款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347.62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首付款付20%+主体基础开工付20%+封顶付40%+竣工验收付余款</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69.52</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海盐恒大都汇华庭售楼处小型中央空调工程</w:t>
            </w:r>
            <w:r>
              <w:rPr>
                <w:rFonts w:hint="eastAsia" w:ascii="宋体" w:hAnsi="宋体" w:cs="宋体"/>
                <w:i w:val="0"/>
                <w:color w:val="auto"/>
                <w:kern w:val="0"/>
                <w:sz w:val="18"/>
                <w:szCs w:val="18"/>
                <w:u w:val="none"/>
                <w:lang w:val="en-US" w:eastAsia="zh-CN" w:bidi="ar"/>
              </w:rPr>
              <w:t>安装</w:t>
            </w:r>
            <w:r>
              <w:rPr>
                <w:rFonts w:hint="eastAsia" w:ascii="宋体" w:hAnsi="宋体" w:eastAsia="宋体" w:cs="宋体"/>
                <w:i w:val="0"/>
                <w:color w:val="auto"/>
                <w:kern w:val="0"/>
                <w:sz w:val="18"/>
                <w:szCs w:val="18"/>
                <w:u w:val="none"/>
                <w:lang w:val="en-US" w:eastAsia="zh-CN" w:bidi="ar"/>
              </w:rPr>
              <w:t>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10.52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6.31</w:t>
            </w:r>
          </w:p>
        </w:tc>
        <w:tc>
          <w:tcPr>
            <w:tcW w:w="750" w:type="dxa"/>
            <w:vAlign w:val="center"/>
          </w:tcPr>
          <w:p>
            <w:pPr>
              <w:jc w:val="center"/>
              <w:rPr>
                <w:rFonts w:hint="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海盐恒大都汇华庭临时样板房小型中央空调安装工程款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2.11</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1.27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上海煜铂广告有限公司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海盐恒大都汇华庭围蔽进度款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182.5</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进度款按月产值80%--竣工验收97%--质保期满100%</w:t>
            </w:r>
          </w:p>
        </w:tc>
        <w:tc>
          <w:tcPr>
            <w:tcW w:w="1200" w:type="dxa"/>
            <w:vAlign w:val="center"/>
          </w:tcPr>
          <w:p>
            <w:pPr>
              <w:keepNext w:val="0"/>
              <w:keepLines w:val="0"/>
              <w:widowControl/>
              <w:suppressLineNumbers w:val="0"/>
              <w:jc w:val="center"/>
              <w:textAlignment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100.00</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w:t>
            </w:r>
          </w:p>
        </w:tc>
        <w:tc>
          <w:tcPr>
            <w:tcW w:w="75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南京长岛建设工程有限公司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海盐恒大都汇华庭临时样板房室内装修备料款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合同签订后乙方进场施工后7天内，支付50%的工程备料款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安徽省安泰科技股份有限公司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售楼处、临时样板房智能化工程进度款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23.72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乙方进场施工后10天内，甲方支付乙方合同暂定总价的10%作为预付款，进度款按每月实际完成并验收合格的工程量支付70%</w:t>
            </w:r>
          </w:p>
        </w:tc>
        <w:tc>
          <w:tcPr>
            <w:tcW w:w="1200" w:type="dxa"/>
            <w:vAlign w:val="center"/>
          </w:tcPr>
          <w:p>
            <w:pPr>
              <w:keepNext w:val="0"/>
              <w:keepLines w:val="0"/>
              <w:widowControl/>
              <w:suppressLineNumbers w:val="0"/>
              <w:jc w:val="center"/>
              <w:textAlignment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23.72</w:t>
            </w:r>
          </w:p>
        </w:tc>
        <w:tc>
          <w:tcPr>
            <w:tcW w:w="10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18.97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工程勘察费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浙江中材工程勘测设计有限公司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海盐恒大都汇华庭勘察工程进度款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按合同约定，完成全部土方开挖工程经甲方确认后30天内，甲方支付暂定总价的50%作为进度款;完成全部土方回填工程经甲方确认后30天内，甲方支付暂定总价的30%作为进度款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79%</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上海徐汇园林发展有限公司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海盐恒大都汇华庭展示区园建工程进度款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570.08</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进场7天内付10%--每月按产值70%报进度款--竣工验收合格付至97%--质保期2年后付清</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浙江尚都建设有限公司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海盐恒大都汇华庭土方工程进度款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1,060.70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浙江华坤建设工程有限公司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海盐恒大都汇华庭临时道路进度款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100.04</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15.00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上海继昱建设工程有限公司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（海盐恒大都汇华庭项目展示区售楼处、临时样板房、商业消防工程施工合同）</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进度款付月产值70%--竣工验收付至97%--质保期满付清</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20.24</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湖南美致空间设计工程有限公司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售楼部软装80%预付款，总金额为529260.8元，</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2020年9月25日支付商承198472.8元</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66.16</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到货后验收确认后7天内支付暂定总价的50%</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19.85</w:t>
            </w:r>
          </w:p>
        </w:tc>
        <w:tc>
          <w:tcPr>
            <w:tcW w:w="7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33.08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深圳恒大材料设备有限公司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材料预付款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jc w:val="center"/>
              <w:rPr>
                <w:color w:val="auto"/>
                <w:sz w:val="18"/>
                <w:szCs w:val="18"/>
                <w:vertAlign w:val="baseline"/>
              </w:rPr>
            </w:pPr>
            <w:r>
              <w:rPr>
                <w:rFonts w:hint="eastAsia"/>
                <w:color w:val="auto"/>
                <w:sz w:val="18"/>
                <w:szCs w:val="18"/>
                <w:vertAlign w:val="baseline"/>
              </w:rPr>
              <w:t>每月</w:t>
            </w:r>
            <w:r>
              <w:rPr>
                <w:rFonts w:hint="eastAsia" w:ascii="宋体" w:hAnsi="宋体" w:eastAsia="宋体" w:cs="宋体"/>
                <w:i w:val="0"/>
                <w:color w:val="auto"/>
                <w:kern w:val="0"/>
                <w:sz w:val="18"/>
                <w:szCs w:val="18"/>
                <w:u w:val="none"/>
                <w:lang w:val="en-US" w:eastAsia="zh-CN" w:bidi="ar"/>
              </w:rPr>
              <w:t>20</w:t>
            </w:r>
            <w:r>
              <w:rPr>
                <w:rFonts w:hint="eastAsia"/>
                <w:color w:val="auto"/>
                <w:sz w:val="18"/>
                <w:szCs w:val="18"/>
                <w:vertAlign w:val="baseline"/>
              </w:rPr>
              <w:t>日前</w:t>
            </w:r>
            <w:r>
              <w:rPr>
                <w:rFonts w:hint="eastAsia"/>
                <w:color w:val="auto"/>
                <w:sz w:val="18"/>
                <w:szCs w:val="18"/>
                <w:vertAlign w:val="baseline"/>
                <w:lang w:eastAsia="zh-CN"/>
              </w:rPr>
              <w:t>支付</w:t>
            </w:r>
            <w:r>
              <w:rPr>
                <w:rFonts w:hint="eastAsia"/>
                <w:color w:val="auto"/>
                <w:sz w:val="18"/>
                <w:szCs w:val="18"/>
                <w:vertAlign w:val="baseline"/>
              </w:rPr>
              <w:t>上月所领用的所有材料物资款</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杭州市勘测设计研究院</w:t>
            </w:r>
          </w:p>
        </w:tc>
        <w:tc>
          <w:tcPr>
            <w:tcW w:w="2182"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海盐恒大都汇华庭基坑支护设计进度款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40.00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乙方在合同签订5日内缴纳合同总价的3%履约保证金、施工图经过相关部门审查后15天内发包人支付合同总价的80%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hint="default"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合计</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10,324.96</w:t>
            </w:r>
          </w:p>
        </w:tc>
        <w:tc>
          <w:tcPr>
            <w:tcW w:w="102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2,228.31</w:t>
            </w:r>
          </w:p>
        </w:tc>
        <w:tc>
          <w:tcPr>
            <w:tcW w:w="72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14,121.54</w:t>
            </w:r>
          </w:p>
        </w:tc>
        <w:tc>
          <w:tcPr>
            <w:tcW w:w="75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005" w:type="dxa"/>
            <w:vAlign w:val="center"/>
          </w:tcPr>
          <w:p>
            <w:pPr>
              <w:jc w:val="center"/>
              <w:rPr>
                <w:b/>
                <w:bCs/>
                <w:color w:val="auto"/>
                <w:sz w:val="18"/>
                <w:szCs w:val="18"/>
                <w:vertAlign w:val="baseline"/>
              </w:rPr>
            </w:pPr>
          </w:p>
        </w:tc>
      </w:tr>
    </w:tbl>
    <w:p>
      <w:pPr>
        <w:spacing w:before="156" w:beforeLines="50" w:line="360" w:lineRule="auto"/>
        <w:rPr>
          <w:rFonts w:hint="default" w:ascii="宋体" w:hAnsi="宋体"/>
          <w:b/>
          <w:bCs/>
          <w:color w:val="000000"/>
          <w:sz w:val="24"/>
          <w:lang w:val="en-US" w:bidi="zh-CN"/>
        </w:rPr>
      </w:pPr>
    </w:p>
    <w:p>
      <w:pPr>
        <w:spacing w:before="156" w:beforeLines="50" w:line="360" w:lineRule="auto"/>
        <w:ind w:left="420" w:leftChars="200" w:firstLine="480" w:firstLineChars="200"/>
        <w:rPr>
          <w:rFonts w:ascii="宋体" w:hAnsi="宋体"/>
          <w:color w:val="000000"/>
          <w:sz w:val="24"/>
          <w:lang w:bidi="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25E47"/>
    <w:rsid w:val="0048705F"/>
    <w:rsid w:val="00490DAF"/>
    <w:rsid w:val="00544FDE"/>
    <w:rsid w:val="00616666"/>
    <w:rsid w:val="00626167"/>
    <w:rsid w:val="00832F58"/>
    <w:rsid w:val="00941F33"/>
    <w:rsid w:val="0096261F"/>
    <w:rsid w:val="00BA0515"/>
    <w:rsid w:val="00C54F78"/>
    <w:rsid w:val="00CD1AC5"/>
    <w:rsid w:val="02BB3A0D"/>
    <w:rsid w:val="02C03493"/>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E067F70"/>
    <w:rsid w:val="0FD710E1"/>
    <w:rsid w:val="0FEA6922"/>
    <w:rsid w:val="10B13D06"/>
    <w:rsid w:val="118F615A"/>
    <w:rsid w:val="11960DBA"/>
    <w:rsid w:val="136E61C0"/>
    <w:rsid w:val="14182DF5"/>
    <w:rsid w:val="15614126"/>
    <w:rsid w:val="157C74F2"/>
    <w:rsid w:val="161D13A8"/>
    <w:rsid w:val="16616814"/>
    <w:rsid w:val="177F06B4"/>
    <w:rsid w:val="178873E1"/>
    <w:rsid w:val="17C81BDF"/>
    <w:rsid w:val="18A616A2"/>
    <w:rsid w:val="18CB1101"/>
    <w:rsid w:val="1A8B5D6E"/>
    <w:rsid w:val="1AF42078"/>
    <w:rsid w:val="1B10755C"/>
    <w:rsid w:val="1BB52C68"/>
    <w:rsid w:val="1C407F46"/>
    <w:rsid w:val="1CF37E49"/>
    <w:rsid w:val="1E153492"/>
    <w:rsid w:val="1E245472"/>
    <w:rsid w:val="1EF517A9"/>
    <w:rsid w:val="20263578"/>
    <w:rsid w:val="20441E4E"/>
    <w:rsid w:val="21885471"/>
    <w:rsid w:val="227B234B"/>
    <w:rsid w:val="243775D1"/>
    <w:rsid w:val="26E3788F"/>
    <w:rsid w:val="281A5806"/>
    <w:rsid w:val="28480EB0"/>
    <w:rsid w:val="28E87E2A"/>
    <w:rsid w:val="2A9918BD"/>
    <w:rsid w:val="2AD9736D"/>
    <w:rsid w:val="2B7A32EB"/>
    <w:rsid w:val="2BEA0ECF"/>
    <w:rsid w:val="2DE728DD"/>
    <w:rsid w:val="2E790945"/>
    <w:rsid w:val="2E940617"/>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8446A30"/>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CBF1F60"/>
    <w:rsid w:val="4E1F51BB"/>
    <w:rsid w:val="4E3E2F42"/>
    <w:rsid w:val="4F232F75"/>
    <w:rsid w:val="50597B4D"/>
    <w:rsid w:val="51CF319D"/>
    <w:rsid w:val="521627BF"/>
    <w:rsid w:val="539A5C50"/>
    <w:rsid w:val="545C1228"/>
    <w:rsid w:val="54BD1A39"/>
    <w:rsid w:val="550C465E"/>
    <w:rsid w:val="589E609E"/>
    <w:rsid w:val="59DE52E9"/>
    <w:rsid w:val="5B28509C"/>
    <w:rsid w:val="5C4641C7"/>
    <w:rsid w:val="5D9745B4"/>
    <w:rsid w:val="5EFC0D42"/>
    <w:rsid w:val="5F6B30E4"/>
    <w:rsid w:val="602757D8"/>
    <w:rsid w:val="60E45E98"/>
    <w:rsid w:val="616C3692"/>
    <w:rsid w:val="62705BD4"/>
    <w:rsid w:val="63144E40"/>
    <w:rsid w:val="6340157E"/>
    <w:rsid w:val="634F23CD"/>
    <w:rsid w:val="63D41790"/>
    <w:rsid w:val="63E6307C"/>
    <w:rsid w:val="654C23AD"/>
    <w:rsid w:val="661B4AFF"/>
    <w:rsid w:val="66631303"/>
    <w:rsid w:val="67C33A99"/>
    <w:rsid w:val="67E06EB8"/>
    <w:rsid w:val="68282526"/>
    <w:rsid w:val="694407AC"/>
    <w:rsid w:val="694532CE"/>
    <w:rsid w:val="6A610905"/>
    <w:rsid w:val="6AD54014"/>
    <w:rsid w:val="6C6F5300"/>
    <w:rsid w:val="6C9C7B61"/>
    <w:rsid w:val="6E005869"/>
    <w:rsid w:val="6FAA4F1A"/>
    <w:rsid w:val="6FC22C5E"/>
    <w:rsid w:val="701228D1"/>
    <w:rsid w:val="704F2583"/>
    <w:rsid w:val="70BB53BE"/>
    <w:rsid w:val="724F71D6"/>
    <w:rsid w:val="73D50563"/>
    <w:rsid w:val="73F773CD"/>
    <w:rsid w:val="7414318F"/>
    <w:rsid w:val="742D7562"/>
    <w:rsid w:val="7586575E"/>
    <w:rsid w:val="761B4740"/>
    <w:rsid w:val="7A396FD1"/>
    <w:rsid w:val="7B586819"/>
    <w:rsid w:val="7C510C71"/>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1027</Words>
  <Characters>5858</Characters>
  <Lines>48</Lines>
  <Paragraphs>13</Paragraphs>
  <TotalTime>6</TotalTime>
  <ScaleCrop>false</ScaleCrop>
  <LinksUpToDate>false</LinksUpToDate>
  <CharactersWithSpaces>6872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zhenny</cp:lastModifiedBy>
  <dcterms:modified xsi:type="dcterms:W3CDTF">2020-10-15T02:48:57Z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