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537" w:rsidRDefault="00820537" w:rsidP="00820537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</w:t>
      </w:r>
      <w:r w:rsidR="00AE7C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内蒙古自治区呼和浩特市中级人民法院</w:t>
      </w: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r w:rsidR="00AE7C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（2023）内01执恢216号</w:t>
      </w: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】涉及的房产评估》收费</w:t>
      </w:r>
      <w:r w:rsidR="007E1BB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通知</w:t>
      </w:r>
    </w:p>
    <w:p w:rsidR="00820537" w:rsidRDefault="007E1BB5" w:rsidP="00820537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中国华融资</w:t>
      </w:r>
      <w:proofErr w:type="gramStart"/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产管理</w:t>
      </w:r>
      <w:proofErr w:type="gramEnd"/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股份有限公司内蒙古自治区分公司</w:t>
      </w:r>
      <w:r w:rsidR="00820537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:rsidR="002A7744" w:rsidRPr="00DF5959" w:rsidRDefault="00820537" w:rsidP="00DE1123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DF5959">
        <w:rPr>
          <w:rFonts w:ascii="Arial" w:eastAsiaTheme="minorEastAsia" w:hAnsi="Arial" w:cs="Arial"/>
          <w:color w:val="000000"/>
          <w:sz w:val="28"/>
          <w:szCs w:val="28"/>
        </w:rPr>
        <w:t>根据</w:t>
      </w:r>
      <w:r w:rsidR="008C0C05">
        <w:rPr>
          <w:rFonts w:ascii="Arial" w:eastAsiaTheme="minorEastAsia" w:hAnsi="Arial" w:cs="Arial" w:hint="eastAsia"/>
          <w:color w:val="000000"/>
          <w:sz w:val="28"/>
          <w:szCs w:val="28"/>
        </w:rPr>
        <w:t>内蒙古自治区呼和浩特市中级人民法院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出具的《</w:t>
      </w:r>
      <w:r w:rsidR="00AE7C2A">
        <w:rPr>
          <w:rFonts w:ascii="Arial" w:eastAsiaTheme="minorEastAsia" w:hAnsi="Arial" w:cs="Arial" w:hint="eastAsia"/>
          <w:color w:val="000000"/>
          <w:sz w:val="28"/>
          <w:szCs w:val="28"/>
        </w:rPr>
        <w:t>内蒙古自治区呼和浩特市中级人民法院</w:t>
      </w:r>
      <w:r w:rsidR="00DE1123">
        <w:rPr>
          <w:rFonts w:ascii="Arial" w:eastAsiaTheme="minorEastAsia" w:hAnsi="Arial" w:cs="Arial" w:hint="eastAsia"/>
          <w:color w:val="000000"/>
          <w:sz w:val="28"/>
          <w:szCs w:val="28"/>
        </w:rPr>
        <w:t>价格评估委托书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AE7C2A">
        <w:rPr>
          <w:rFonts w:ascii="Arial" w:eastAsiaTheme="minorEastAsia" w:hAnsi="Arial" w:cs="Arial" w:hint="eastAsia"/>
          <w:color w:val="000000"/>
          <w:sz w:val="28"/>
          <w:szCs w:val="28"/>
        </w:rPr>
        <w:t>（</w:t>
      </w:r>
      <w:r w:rsidR="00AE7C2A">
        <w:rPr>
          <w:rFonts w:ascii="Arial" w:eastAsiaTheme="minorEastAsia" w:hAnsi="Arial" w:cs="Arial" w:hint="eastAsia"/>
          <w:color w:val="000000"/>
          <w:sz w:val="28"/>
          <w:szCs w:val="28"/>
        </w:rPr>
        <w:t>2023</w:t>
      </w:r>
      <w:r w:rsidR="00AE7C2A">
        <w:rPr>
          <w:rFonts w:ascii="Arial" w:eastAsiaTheme="minorEastAsia" w:hAnsi="Arial" w:cs="Arial" w:hint="eastAsia"/>
          <w:color w:val="000000"/>
          <w:sz w:val="28"/>
          <w:szCs w:val="28"/>
        </w:rPr>
        <w:t>）内</w:t>
      </w:r>
      <w:r w:rsidR="00AE7C2A">
        <w:rPr>
          <w:rFonts w:ascii="Arial" w:eastAsiaTheme="minorEastAsia" w:hAnsi="Arial" w:cs="Arial" w:hint="eastAsia"/>
          <w:color w:val="000000"/>
          <w:sz w:val="28"/>
          <w:szCs w:val="28"/>
        </w:rPr>
        <w:t>01</w:t>
      </w:r>
      <w:r w:rsidR="00AE7C2A">
        <w:rPr>
          <w:rFonts w:ascii="Arial" w:eastAsiaTheme="minorEastAsia" w:hAnsi="Arial" w:cs="Arial" w:hint="eastAsia"/>
          <w:color w:val="000000"/>
          <w:sz w:val="28"/>
          <w:szCs w:val="28"/>
        </w:rPr>
        <w:t>执恢</w:t>
      </w:r>
      <w:r w:rsidR="00AE7C2A">
        <w:rPr>
          <w:rFonts w:ascii="Arial" w:eastAsiaTheme="minorEastAsia" w:hAnsi="Arial" w:cs="Arial" w:hint="eastAsia"/>
          <w:color w:val="000000"/>
          <w:sz w:val="28"/>
          <w:szCs w:val="28"/>
        </w:rPr>
        <w:t>216</w:t>
      </w:r>
      <w:r w:rsidR="00AE7C2A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bookmarkStart w:id="0" w:name="_Hlk148702205"/>
      <w:r w:rsidR="00607A2F" w:rsidRPr="00607A2F">
        <w:rPr>
          <w:rFonts w:ascii="Arial" w:eastAsiaTheme="minorEastAsia" w:hAnsi="Arial" w:cs="Arial" w:hint="eastAsia"/>
          <w:color w:val="000000"/>
          <w:sz w:val="28"/>
          <w:szCs w:val="28"/>
        </w:rPr>
        <w:t>北京市丰台区六里桥</w:t>
      </w:r>
      <w:proofErr w:type="gramStart"/>
      <w:r w:rsidR="00607A2F" w:rsidRPr="00607A2F">
        <w:rPr>
          <w:rFonts w:ascii="Arial" w:eastAsiaTheme="minorEastAsia" w:hAnsi="Arial" w:cs="Arial" w:hint="eastAsia"/>
          <w:color w:val="000000"/>
          <w:sz w:val="28"/>
          <w:szCs w:val="28"/>
        </w:rPr>
        <w:t>西北角民福</w:t>
      </w:r>
      <w:proofErr w:type="gramEnd"/>
      <w:r w:rsidR="00607A2F" w:rsidRPr="00607A2F">
        <w:rPr>
          <w:rFonts w:ascii="Arial" w:eastAsiaTheme="minorEastAsia" w:hAnsi="Arial" w:cs="Arial" w:hint="eastAsia"/>
          <w:color w:val="000000"/>
          <w:sz w:val="28"/>
          <w:szCs w:val="28"/>
        </w:rPr>
        <w:t>大厦奈伦集团所有的部分房产及其占用的土地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的房屋</w:t>
      </w:r>
      <w:bookmarkEnd w:id="0"/>
      <w:r>
        <w:rPr>
          <w:rFonts w:ascii="Arial" w:eastAsiaTheme="minorEastAsia" w:hAnsi="Arial" w:cs="Arial" w:hint="eastAsia"/>
          <w:color w:val="000000"/>
          <w:sz w:val="28"/>
          <w:szCs w:val="28"/>
        </w:rPr>
        <w:t>市场价值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进行鉴定</w:t>
      </w:r>
      <w:r w:rsidR="00F24E2E" w:rsidRPr="00DF5959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:rsidR="002A7744" w:rsidRDefault="00F24E2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1" w:name="_Toc151893762"/>
      <w:r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《国家计委建设部关于房地产中介服务的通知》【计价格[1995]971号】，我司制定的房地产评估的评估费收费标准如下：</w:t>
      </w:r>
    </w:p>
    <w:p w:rsidR="002A7744" w:rsidRDefault="00F24E2E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:rsidR="00607A2F" w:rsidRDefault="00607A2F" w:rsidP="00607A2F">
      <w:pPr>
        <w:adjustRightInd w:val="0"/>
        <w:snapToGrid w:val="0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2A7744" w:rsidRDefault="00F24E2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测算，此项目</w:t>
      </w:r>
      <w:r w:rsidR="00607A2F">
        <w:rPr>
          <w:rFonts w:asciiTheme="minorEastAsia" w:eastAsiaTheme="minorEastAsia" w:hAnsiTheme="minorEastAsia" w:hint="eastAsia"/>
          <w:color w:val="000000"/>
          <w:sz w:val="28"/>
          <w:szCs w:val="28"/>
        </w:rPr>
        <w:t>应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纳评估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FC4F70">
        <w:rPr>
          <w:rFonts w:asciiTheme="minorEastAsia" w:eastAsiaTheme="minorEastAsia" w:hAnsiTheme="minorEastAsia"/>
          <w:color w:val="000000"/>
          <w:sz w:val="28"/>
          <w:szCs w:val="28"/>
        </w:rPr>
        <w:t>155500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元（大写：人民币</w:t>
      </w:r>
      <w:r w:rsidR="00FC4F70">
        <w:rPr>
          <w:rFonts w:asciiTheme="minorEastAsia" w:eastAsiaTheme="minorEastAsia" w:hAnsiTheme="minorEastAsia" w:hint="eastAsia"/>
          <w:color w:val="000000"/>
          <w:sz w:val="28"/>
          <w:szCs w:val="28"/>
        </w:rPr>
        <w:t>壹拾伍万伍仟伍佰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  <w:bookmarkStart w:id="2" w:name="_GoBack"/>
      <w:bookmarkEnd w:id="2"/>
    </w:p>
    <w:p w:rsidR="008C0C05" w:rsidRPr="008C0C05" w:rsidRDefault="008C0C05" w:rsidP="008C0C0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8C0C05">
        <w:rPr>
          <w:rFonts w:asciiTheme="minorEastAsia" w:eastAsiaTheme="minorEastAsia" w:hAnsiTheme="minorEastAsia" w:hint="eastAsia"/>
          <w:color w:val="000000"/>
          <w:sz w:val="28"/>
          <w:szCs w:val="28"/>
        </w:rPr>
        <w:t>特此说明。</w:t>
      </w:r>
    </w:p>
    <w:p w:rsidR="008C0C05" w:rsidRPr="008C0C05" w:rsidRDefault="008C0C0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FA397E" w:rsidRDefault="00FA397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2A7744" w:rsidRDefault="00820537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/>
          <w:b/>
          <w:color w:val="000000"/>
          <w:sz w:val="30"/>
          <w:szCs w:val="30"/>
        </w:rPr>
        <w:t>2023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E54B79">
        <w:rPr>
          <w:rFonts w:asciiTheme="minorEastAsia" w:eastAsiaTheme="minorEastAsia" w:hAnsiTheme="minorEastAsia"/>
          <w:b/>
          <w:color w:val="000000"/>
          <w:sz w:val="30"/>
          <w:szCs w:val="30"/>
        </w:rPr>
        <w:t>10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E54B79">
        <w:rPr>
          <w:rFonts w:asciiTheme="minorEastAsia" w:eastAsiaTheme="minorEastAsia" w:hAnsiTheme="minorEastAsia"/>
          <w:b/>
          <w:color w:val="000000"/>
          <w:sz w:val="30"/>
          <w:szCs w:val="30"/>
        </w:rPr>
        <w:t>20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p w:rsidR="00FA397E" w:rsidRDefault="00FA397E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proofErr w:type="gramStart"/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北京康正宏</w:t>
      </w:r>
      <w:proofErr w:type="gramEnd"/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基房地产评估有限公司</w:t>
      </w:r>
    </w:p>
    <w:p w:rsidR="00607A2F" w:rsidRDefault="00607A2F" w:rsidP="00607A2F">
      <w:pPr>
        <w:adjustRightInd w:val="0"/>
        <w:snapToGrid w:val="0"/>
        <w:spacing w:line="360" w:lineRule="auto"/>
        <w:ind w:firstLineChars="200" w:firstLine="602"/>
        <w:jc w:val="lef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</w:p>
    <w:p w:rsidR="00607A2F" w:rsidRDefault="00607A2F" w:rsidP="00607A2F">
      <w:pPr>
        <w:adjustRightInd w:val="0"/>
        <w:snapToGrid w:val="0"/>
        <w:spacing w:line="360" w:lineRule="auto"/>
        <w:ind w:firstLineChars="200" w:firstLine="602"/>
        <w:jc w:val="lef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附件：</w:t>
      </w:r>
    </w:p>
    <w:p w:rsidR="00607A2F" w:rsidRPr="00607A2F" w:rsidRDefault="00607A2F" w:rsidP="00607A2F">
      <w:pPr>
        <w:adjustRightInd w:val="0"/>
        <w:snapToGrid w:val="0"/>
        <w:spacing w:line="360" w:lineRule="auto"/>
        <w:ind w:firstLineChars="200" w:firstLine="576"/>
        <w:jc w:val="lef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</w:p>
    <w:p w:rsidR="00607A2F" w:rsidRDefault="00607A2F" w:rsidP="00607A2F">
      <w:pPr>
        <w:adjustRightInd w:val="0"/>
        <w:snapToGrid w:val="0"/>
        <w:spacing w:line="360" w:lineRule="auto"/>
        <w:ind w:firstLineChars="200" w:firstLine="576"/>
        <w:jc w:val="lef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 w:rsidRPr="00607A2F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</w:rPr>
        <w:t>名称：</w:t>
      </w:r>
      <w:proofErr w:type="gramStart"/>
      <w:r w:rsidRPr="00607A2F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</w:rPr>
        <w:t>北京康正宏</w:t>
      </w:r>
      <w:proofErr w:type="gramEnd"/>
      <w:r w:rsidRPr="00607A2F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</w:rPr>
        <w:t xml:space="preserve">基房地产评估有限公司 </w:t>
      </w:r>
    </w:p>
    <w:p w:rsidR="00607A2F" w:rsidRPr="00607A2F" w:rsidRDefault="00607A2F" w:rsidP="00607A2F">
      <w:pPr>
        <w:adjustRightInd w:val="0"/>
        <w:snapToGrid w:val="0"/>
        <w:spacing w:line="360" w:lineRule="auto"/>
        <w:ind w:firstLineChars="200" w:firstLine="576"/>
        <w:jc w:val="lef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 w:rsidRPr="00607A2F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</w:rPr>
        <w:t>开户行：交通银行北京和平里支行</w:t>
      </w:r>
    </w:p>
    <w:p w:rsidR="00607A2F" w:rsidRPr="00607A2F" w:rsidRDefault="00607A2F" w:rsidP="00607A2F">
      <w:pPr>
        <w:adjustRightInd w:val="0"/>
        <w:snapToGrid w:val="0"/>
        <w:spacing w:line="360" w:lineRule="auto"/>
        <w:ind w:firstLineChars="200" w:firstLine="576"/>
        <w:jc w:val="lef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 w:rsidRPr="00607A2F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</w:rPr>
        <w:t xml:space="preserve">账号: 110060739012015026873 </w:t>
      </w:r>
    </w:p>
    <w:p w:rsidR="00607A2F" w:rsidRPr="00607A2F" w:rsidRDefault="00607A2F" w:rsidP="00607A2F">
      <w:pPr>
        <w:adjustRightInd w:val="0"/>
        <w:snapToGrid w:val="0"/>
        <w:spacing w:line="360" w:lineRule="auto"/>
        <w:ind w:firstLineChars="200" w:firstLine="576"/>
        <w:jc w:val="lef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</w:p>
    <w:p w:rsidR="00607A2F" w:rsidRPr="00607A2F" w:rsidRDefault="00607A2F" w:rsidP="00607A2F">
      <w:pPr>
        <w:adjustRightInd w:val="0"/>
        <w:snapToGrid w:val="0"/>
        <w:spacing w:line="360" w:lineRule="auto"/>
        <w:ind w:firstLineChars="200" w:firstLine="576"/>
        <w:jc w:val="lef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</w:p>
    <w:p w:rsidR="00607A2F" w:rsidRDefault="00607A2F" w:rsidP="00607A2F">
      <w:pPr>
        <w:adjustRightInd w:val="0"/>
        <w:snapToGrid w:val="0"/>
        <w:spacing w:line="360" w:lineRule="auto"/>
        <w:ind w:firstLineChars="200" w:firstLine="576"/>
        <w:jc w:val="lef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</w:p>
    <w:sectPr w:rsidR="00607A2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C69" w:rsidRDefault="00904C69">
      <w:r>
        <w:separator/>
      </w:r>
    </w:p>
  </w:endnote>
  <w:endnote w:type="continuationSeparator" w:id="0">
    <w:p w:rsidR="00904C69" w:rsidRDefault="0090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C69" w:rsidRDefault="00904C69">
      <w:r>
        <w:separator/>
      </w:r>
    </w:p>
  </w:footnote>
  <w:footnote w:type="continuationSeparator" w:id="0">
    <w:p w:rsidR="00904C69" w:rsidRDefault="00904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744" w:rsidRDefault="002A7744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I0YTgwZWFlNTQxODE0NTkyNTBkYjM5YTFhYzFlZTgifQ=="/>
  </w:docVars>
  <w:rsids>
    <w:rsidRoot w:val="00D76696"/>
    <w:rsid w:val="00003C9F"/>
    <w:rsid w:val="000538DE"/>
    <w:rsid w:val="000551BB"/>
    <w:rsid w:val="0005714E"/>
    <w:rsid w:val="000613C0"/>
    <w:rsid w:val="00094892"/>
    <w:rsid w:val="000C69BD"/>
    <w:rsid w:val="000D4444"/>
    <w:rsid w:val="000E6051"/>
    <w:rsid w:val="000E63CF"/>
    <w:rsid w:val="00140D74"/>
    <w:rsid w:val="001551AC"/>
    <w:rsid w:val="00185BA7"/>
    <w:rsid w:val="001972EB"/>
    <w:rsid w:val="001A49E2"/>
    <w:rsid w:val="001F02F0"/>
    <w:rsid w:val="001F4C5D"/>
    <w:rsid w:val="00201DF0"/>
    <w:rsid w:val="00227CC6"/>
    <w:rsid w:val="002409C7"/>
    <w:rsid w:val="00251D9F"/>
    <w:rsid w:val="002527E2"/>
    <w:rsid w:val="00266B0C"/>
    <w:rsid w:val="002718AC"/>
    <w:rsid w:val="002A23E0"/>
    <w:rsid w:val="002A7744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E3D01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607A2F"/>
    <w:rsid w:val="00614116"/>
    <w:rsid w:val="0063301E"/>
    <w:rsid w:val="00643C04"/>
    <w:rsid w:val="006664EF"/>
    <w:rsid w:val="0069751C"/>
    <w:rsid w:val="006C7DF8"/>
    <w:rsid w:val="006D1F6A"/>
    <w:rsid w:val="006D4E3E"/>
    <w:rsid w:val="00727289"/>
    <w:rsid w:val="00733B4F"/>
    <w:rsid w:val="00743DFF"/>
    <w:rsid w:val="00785ED4"/>
    <w:rsid w:val="00793FE0"/>
    <w:rsid w:val="007A0C94"/>
    <w:rsid w:val="007E1BB5"/>
    <w:rsid w:val="007E4B46"/>
    <w:rsid w:val="007F0B22"/>
    <w:rsid w:val="008070A1"/>
    <w:rsid w:val="00820537"/>
    <w:rsid w:val="0084231A"/>
    <w:rsid w:val="00886556"/>
    <w:rsid w:val="008C0C05"/>
    <w:rsid w:val="008E2391"/>
    <w:rsid w:val="008F5490"/>
    <w:rsid w:val="00904C69"/>
    <w:rsid w:val="00934EDF"/>
    <w:rsid w:val="00973CBC"/>
    <w:rsid w:val="0099659A"/>
    <w:rsid w:val="009C3D2E"/>
    <w:rsid w:val="00A04952"/>
    <w:rsid w:val="00A1031A"/>
    <w:rsid w:val="00A26282"/>
    <w:rsid w:val="00A60257"/>
    <w:rsid w:val="00A6332A"/>
    <w:rsid w:val="00AE15E4"/>
    <w:rsid w:val="00AE7C2A"/>
    <w:rsid w:val="00AF577A"/>
    <w:rsid w:val="00B03314"/>
    <w:rsid w:val="00B07BB4"/>
    <w:rsid w:val="00B3461D"/>
    <w:rsid w:val="00B523E5"/>
    <w:rsid w:val="00B562B2"/>
    <w:rsid w:val="00B7401D"/>
    <w:rsid w:val="00B937FB"/>
    <w:rsid w:val="00BA2FC7"/>
    <w:rsid w:val="00BD0C21"/>
    <w:rsid w:val="00BD6828"/>
    <w:rsid w:val="00BE340E"/>
    <w:rsid w:val="00C04B3E"/>
    <w:rsid w:val="00C27CDA"/>
    <w:rsid w:val="00C648C0"/>
    <w:rsid w:val="00C74008"/>
    <w:rsid w:val="00C754EF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2B7B"/>
    <w:rsid w:val="00DD5D86"/>
    <w:rsid w:val="00DE1123"/>
    <w:rsid w:val="00DF5959"/>
    <w:rsid w:val="00E068CC"/>
    <w:rsid w:val="00E0722C"/>
    <w:rsid w:val="00E11A61"/>
    <w:rsid w:val="00E2689D"/>
    <w:rsid w:val="00E42ABF"/>
    <w:rsid w:val="00E54B79"/>
    <w:rsid w:val="00E70656"/>
    <w:rsid w:val="00E74E37"/>
    <w:rsid w:val="00EA6622"/>
    <w:rsid w:val="00EB4B2E"/>
    <w:rsid w:val="00EC5E08"/>
    <w:rsid w:val="00EF31E1"/>
    <w:rsid w:val="00F24E2E"/>
    <w:rsid w:val="00F43E96"/>
    <w:rsid w:val="00F46785"/>
    <w:rsid w:val="00F82F94"/>
    <w:rsid w:val="00FA397E"/>
    <w:rsid w:val="00FB01DC"/>
    <w:rsid w:val="00FB0D4F"/>
    <w:rsid w:val="00FC1C44"/>
    <w:rsid w:val="00FC2A7B"/>
    <w:rsid w:val="00FC4F70"/>
    <w:rsid w:val="00FE62F5"/>
    <w:rsid w:val="00FF285F"/>
    <w:rsid w:val="00FF457D"/>
    <w:rsid w:val="01A67464"/>
    <w:rsid w:val="02DE0F28"/>
    <w:rsid w:val="02EE4B98"/>
    <w:rsid w:val="0C0D5576"/>
    <w:rsid w:val="11472AF4"/>
    <w:rsid w:val="19FE4DB7"/>
    <w:rsid w:val="35031158"/>
    <w:rsid w:val="41913FB3"/>
    <w:rsid w:val="42EA1843"/>
    <w:rsid w:val="433B324F"/>
    <w:rsid w:val="46074735"/>
    <w:rsid w:val="4CBA5CCC"/>
    <w:rsid w:val="5ADA4F49"/>
    <w:rsid w:val="6913491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A2B03"/>
  <w15:docId w15:val="{F01B1CB6-1189-4B85-897A-2DFCB0CD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E2D78-868D-4C01-9DCD-F9526E21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85</Words>
  <Characters>485</Characters>
  <Application>Microsoft Office Word</Application>
  <DocSecurity>0</DocSecurity>
  <Lines>4</Lines>
  <Paragraphs>1</Paragraphs>
  <ScaleCrop>false</ScaleCrop>
  <Company>jia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Windows User</cp:lastModifiedBy>
  <cp:revision>24</cp:revision>
  <cp:lastPrinted>2023-10-23T02:29:00Z</cp:lastPrinted>
  <dcterms:created xsi:type="dcterms:W3CDTF">2020-12-11T02:04:00Z</dcterms:created>
  <dcterms:modified xsi:type="dcterms:W3CDTF">2023-10-23T02:29:00Z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902259F6BBF646C58B49B187CBCB597D</vt:lpwstr>
  </property>
</Properties>
</file>