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FD1" w:rsidRPr="00D75801" w:rsidRDefault="00011FD1" w:rsidP="00C33B70">
      <w:pPr>
        <w:pStyle w:val="1"/>
        <w:spacing w:after="0"/>
        <w:jc w:val="center"/>
      </w:pPr>
      <w:bookmarkStart w:id="0" w:name="_Toc503736423"/>
      <w:r w:rsidRPr="00D75801">
        <w:rPr>
          <w:rFonts w:cs="宋体" w:hint="eastAsia"/>
        </w:rPr>
        <w:t>项目报价书</w:t>
      </w:r>
      <w:bookmarkEnd w:id="0"/>
    </w:p>
    <w:p w:rsidR="00011FD1" w:rsidRPr="00C33B70" w:rsidRDefault="00C33B70" w:rsidP="007F7A80">
      <w:pPr>
        <w:spacing w:line="500" w:lineRule="exact"/>
        <w:rPr>
          <w:rFonts w:ascii="Arial" w:eastAsia="楷体_GB2312" w:hAnsi="Arial"/>
          <w:sz w:val="24"/>
          <w:szCs w:val="24"/>
        </w:rPr>
      </w:pPr>
      <w:r w:rsidRPr="00C33B70">
        <w:rPr>
          <w:rFonts w:ascii="Arial" w:eastAsia="楷体_GB2312" w:hAnsi="Arial" w:cs="楷体_GB2312" w:hint="eastAsia"/>
          <w:sz w:val="24"/>
          <w:szCs w:val="24"/>
        </w:rPr>
        <w:t>北京城茂房地产开发有限公司</w:t>
      </w:r>
      <w:r w:rsidR="00011FD1" w:rsidRPr="00C33B70">
        <w:rPr>
          <w:rFonts w:ascii="Arial" w:eastAsia="楷体_GB2312" w:hAnsi="Arial" w:cs="楷体_GB2312" w:hint="eastAsia"/>
          <w:sz w:val="24"/>
          <w:szCs w:val="24"/>
        </w:rPr>
        <w:t>：</w:t>
      </w:r>
    </w:p>
    <w:p w:rsidR="00011FD1" w:rsidRPr="00C33B70" w:rsidRDefault="00011FD1" w:rsidP="00C33B70">
      <w:pPr>
        <w:spacing w:line="500" w:lineRule="exact"/>
        <w:ind w:firstLineChars="200" w:firstLine="480"/>
        <w:rPr>
          <w:rFonts w:ascii="Arial" w:eastAsia="楷体_GB2312" w:hAnsi="Arial"/>
          <w:sz w:val="24"/>
          <w:szCs w:val="24"/>
        </w:rPr>
      </w:pPr>
      <w:r w:rsidRPr="00C33B70">
        <w:rPr>
          <w:rFonts w:ascii="Arial" w:eastAsia="楷体_GB2312" w:hAnsi="Arial" w:cs="楷体_GB2312" w:hint="eastAsia"/>
          <w:sz w:val="24"/>
          <w:szCs w:val="24"/>
        </w:rPr>
        <w:t>关于</w:t>
      </w:r>
      <w:r w:rsidR="00C33B70" w:rsidRPr="00C33B70">
        <w:rPr>
          <w:rFonts w:ascii="Arial" w:eastAsia="楷体_GB2312" w:hAnsi="Arial" w:cs="楷体_GB2312" w:hint="eastAsia"/>
          <w:sz w:val="24"/>
          <w:szCs w:val="24"/>
        </w:rPr>
        <w:t>北京市顺义区北小营镇顺义新城第</w:t>
      </w:r>
      <w:r w:rsidR="00C33B70" w:rsidRPr="00C33B70">
        <w:rPr>
          <w:rFonts w:ascii="Arial" w:eastAsia="楷体_GB2312" w:hAnsi="Arial" w:cs="楷体_GB2312" w:hint="eastAsia"/>
          <w:sz w:val="24"/>
          <w:szCs w:val="24"/>
        </w:rPr>
        <w:t>30</w:t>
      </w:r>
      <w:r w:rsidR="00C33B70" w:rsidRPr="00C33B70">
        <w:rPr>
          <w:rFonts w:ascii="Arial" w:eastAsia="楷体_GB2312" w:hAnsi="Arial" w:cs="楷体_GB2312" w:hint="eastAsia"/>
          <w:sz w:val="24"/>
          <w:szCs w:val="24"/>
        </w:rPr>
        <w:t>街区</w:t>
      </w:r>
      <w:r w:rsidR="00C33B70" w:rsidRPr="00C33B70">
        <w:rPr>
          <w:rFonts w:ascii="Arial" w:eastAsia="楷体_GB2312" w:hAnsi="Arial" w:cs="楷体_GB2312" w:hint="eastAsia"/>
          <w:sz w:val="24"/>
          <w:szCs w:val="24"/>
        </w:rPr>
        <w:t>30-01-02</w:t>
      </w:r>
      <w:r w:rsidR="00C33B70" w:rsidRPr="00C33B70">
        <w:rPr>
          <w:rFonts w:ascii="Arial" w:eastAsia="楷体_GB2312" w:hAnsi="Arial" w:cs="楷体_GB2312" w:hint="eastAsia"/>
          <w:sz w:val="24"/>
          <w:szCs w:val="24"/>
        </w:rPr>
        <w:t>地块部分住宅、商业、地下仓储及地下车库用房分摊的出让国有建设用地使用权及在建建筑物房地产</w:t>
      </w:r>
      <w:r w:rsidRPr="00C33B70">
        <w:rPr>
          <w:rFonts w:ascii="Arial" w:eastAsia="楷体_GB2312" w:hAnsi="Arial" w:cs="楷体_GB2312" w:hint="eastAsia"/>
          <w:sz w:val="24"/>
          <w:szCs w:val="24"/>
        </w:rPr>
        <w:t>报价说明如下：</w:t>
      </w:r>
    </w:p>
    <w:p w:rsidR="00011FD1" w:rsidRPr="00C33B70" w:rsidRDefault="00011FD1" w:rsidP="00C33B70">
      <w:pPr>
        <w:spacing w:line="500" w:lineRule="exact"/>
        <w:ind w:firstLineChars="200" w:firstLine="480"/>
        <w:rPr>
          <w:rFonts w:ascii="Arial" w:eastAsia="楷体_GB2312" w:hAnsi="Arial"/>
          <w:sz w:val="24"/>
          <w:szCs w:val="24"/>
        </w:rPr>
      </w:pPr>
      <w:r w:rsidRPr="00C33B70">
        <w:rPr>
          <w:rFonts w:ascii="Arial" w:eastAsia="楷体_GB2312" w:hAnsi="Arial" w:cs="楷体_GB2312" w:hint="eastAsia"/>
          <w:sz w:val="24"/>
          <w:szCs w:val="24"/>
        </w:rPr>
        <w:t>根据北京市物价局、北京市房屋土地管理局《关于房地产中介服务收费的通知》【京（价）字（</w:t>
      </w:r>
      <w:r w:rsidRPr="00C33B70">
        <w:rPr>
          <w:rFonts w:ascii="Arial" w:eastAsia="楷体_GB2312" w:hAnsi="Arial" w:cs="Arial"/>
          <w:sz w:val="24"/>
          <w:szCs w:val="24"/>
        </w:rPr>
        <w:t>1997</w:t>
      </w:r>
      <w:r w:rsidRPr="00C33B70">
        <w:rPr>
          <w:rFonts w:ascii="Arial" w:eastAsia="楷体_GB2312" w:hAnsi="Arial" w:cs="楷体_GB2312" w:hint="eastAsia"/>
          <w:sz w:val="24"/>
          <w:szCs w:val="24"/>
        </w:rPr>
        <w:t>）第</w:t>
      </w:r>
      <w:r w:rsidRPr="00C33B70">
        <w:rPr>
          <w:rFonts w:ascii="Arial" w:eastAsia="楷体_GB2312" w:hAnsi="Arial" w:cs="Arial"/>
          <w:sz w:val="24"/>
          <w:szCs w:val="24"/>
        </w:rPr>
        <w:t>398</w:t>
      </w:r>
      <w:r w:rsidRPr="00C33B70">
        <w:rPr>
          <w:rFonts w:ascii="Arial" w:eastAsia="楷体_GB2312" w:hAnsi="Arial" w:cs="楷体_GB2312" w:hint="eastAsia"/>
          <w:sz w:val="24"/>
          <w:szCs w:val="24"/>
        </w:rPr>
        <w:t>号】的相关收费规定，标准如下：</w:t>
      </w:r>
    </w:p>
    <w:tbl>
      <w:tblPr>
        <w:tblW w:w="7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8"/>
        <w:gridCol w:w="3612"/>
        <w:gridCol w:w="2780"/>
      </w:tblGrid>
      <w:tr w:rsidR="00011FD1" w:rsidRPr="00C33B70" w:rsidTr="00C33B70">
        <w:trPr>
          <w:trHeight w:val="397"/>
          <w:jc w:val="center"/>
        </w:trPr>
        <w:tc>
          <w:tcPr>
            <w:tcW w:w="1488" w:type="dxa"/>
            <w:vAlign w:val="center"/>
          </w:tcPr>
          <w:p w:rsidR="00011FD1" w:rsidRPr="00C33B70" w:rsidRDefault="00011FD1" w:rsidP="00C33B70">
            <w:pPr>
              <w:ind w:firstLineChars="200" w:firstLine="420"/>
              <w:rPr>
                <w:rFonts w:ascii="Arial" w:eastAsia="楷体_GB2312" w:hAnsi="Arial" w:cs="Arial"/>
              </w:rPr>
            </w:pPr>
            <w:r w:rsidRPr="00C33B70">
              <w:rPr>
                <w:rFonts w:ascii="Arial" w:eastAsia="楷体_GB2312" w:hAnsi="Arial" w:cs="Arial" w:hint="eastAsia"/>
              </w:rPr>
              <w:t>档次</w:t>
            </w:r>
          </w:p>
        </w:tc>
        <w:tc>
          <w:tcPr>
            <w:tcW w:w="3612" w:type="dxa"/>
            <w:vAlign w:val="center"/>
          </w:tcPr>
          <w:p w:rsidR="00011FD1" w:rsidRPr="00C33B70" w:rsidRDefault="00011FD1" w:rsidP="00C33B70">
            <w:pPr>
              <w:ind w:firstLineChars="200" w:firstLine="420"/>
              <w:rPr>
                <w:rFonts w:ascii="Arial" w:eastAsia="楷体_GB2312" w:hAnsi="Arial" w:cs="Arial"/>
              </w:rPr>
            </w:pPr>
            <w:r w:rsidRPr="00C33B70">
              <w:rPr>
                <w:rFonts w:ascii="Arial" w:eastAsia="楷体_GB2312" w:hAnsi="Arial" w:cs="Arial" w:hint="eastAsia"/>
              </w:rPr>
              <w:t>房地产价格总额（万元）</w:t>
            </w:r>
          </w:p>
        </w:tc>
        <w:tc>
          <w:tcPr>
            <w:tcW w:w="2780" w:type="dxa"/>
            <w:vAlign w:val="center"/>
          </w:tcPr>
          <w:p w:rsidR="00011FD1" w:rsidRPr="00C33B70" w:rsidRDefault="00011FD1" w:rsidP="00C33B70">
            <w:pPr>
              <w:ind w:firstLineChars="200" w:firstLine="420"/>
              <w:rPr>
                <w:rFonts w:ascii="Arial" w:eastAsia="楷体_GB2312" w:hAnsi="Arial" w:cs="Arial"/>
              </w:rPr>
            </w:pPr>
            <w:r w:rsidRPr="00C33B70">
              <w:rPr>
                <w:rFonts w:ascii="Arial" w:eastAsia="楷体_GB2312" w:hAnsi="Arial" w:cs="Arial" w:hint="eastAsia"/>
              </w:rPr>
              <w:t>累计计费率‰</w:t>
            </w:r>
          </w:p>
        </w:tc>
      </w:tr>
      <w:tr w:rsidR="00011FD1" w:rsidRPr="00C33B70" w:rsidTr="00C33B70">
        <w:trPr>
          <w:trHeight w:val="397"/>
          <w:jc w:val="center"/>
        </w:trPr>
        <w:tc>
          <w:tcPr>
            <w:tcW w:w="1488" w:type="dxa"/>
            <w:vAlign w:val="center"/>
          </w:tcPr>
          <w:p w:rsidR="00011FD1" w:rsidRPr="00C33B70" w:rsidRDefault="00011FD1" w:rsidP="00C33B70">
            <w:pPr>
              <w:ind w:firstLineChars="200" w:firstLine="420"/>
              <w:rPr>
                <w:rFonts w:ascii="Arial" w:eastAsia="楷体_GB2312" w:hAnsi="Arial" w:cs="Arial"/>
              </w:rPr>
            </w:pPr>
            <w:r w:rsidRPr="00C33B70">
              <w:rPr>
                <w:rFonts w:ascii="Arial" w:eastAsia="楷体_GB2312" w:hAnsi="Arial" w:cs="Arial"/>
              </w:rPr>
              <w:t>1</w:t>
            </w:r>
          </w:p>
        </w:tc>
        <w:tc>
          <w:tcPr>
            <w:tcW w:w="3612" w:type="dxa"/>
            <w:vAlign w:val="center"/>
          </w:tcPr>
          <w:p w:rsidR="00011FD1" w:rsidRPr="00C33B70" w:rsidRDefault="00011FD1" w:rsidP="00C33B70">
            <w:pPr>
              <w:ind w:firstLineChars="200" w:firstLine="420"/>
              <w:rPr>
                <w:rFonts w:ascii="Arial" w:eastAsia="楷体_GB2312" w:hAnsi="Arial" w:cs="Arial"/>
              </w:rPr>
            </w:pPr>
            <w:r w:rsidRPr="00C33B70">
              <w:rPr>
                <w:rFonts w:ascii="Arial" w:eastAsia="楷体_GB2312" w:hAnsi="Arial" w:cs="Arial"/>
              </w:rPr>
              <w:t>100</w:t>
            </w:r>
            <w:r w:rsidRPr="00C33B70">
              <w:rPr>
                <w:rFonts w:ascii="Arial" w:eastAsia="楷体_GB2312" w:hAnsi="Arial" w:cs="Arial" w:hint="eastAsia"/>
              </w:rPr>
              <w:t>以下</w:t>
            </w:r>
            <w:r w:rsidRPr="00C33B70">
              <w:rPr>
                <w:rFonts w:ascii="Arial" w:eastAsia="楷体_GB2312" w:hAnsi="Arial" w:cs="Arial"/>
              </w:rPr>
              <w:t>(</w:t>
            </w:r>
            <w:r w:rsidRPr="00C33B70">
              <w:rPr>
                <w:rFonts w:ascii="Arial" w:eastAsia="楷体_GB2312" w:hAnsi="Arial" w:cs="Arial" w:hint="eastAsia"/>
              </w:rPr>
              <w:t>含</w:t>
            </w:r>
            <w:r w:rsidRPr="00C33B70">
              <w:rPr>
                <w:rFonts w:ascii="Arial" w:eastAsia="楷体_GB2312" w:hAnsi="Arial" w:cs="Arial"/>
              </w:rPr>
              <w:t>100)</w:t>
            </w:r>
          </w:p>
        </w:tc>
        <w:tc>
          <w:tcPr>
            <w:tcW w:w="2780" w:type="dxa"/>
            <w:vAlign w:val="center"/>
          </w:tcPr>
          <w:p w:rsidR="00011FD1" w:rsidRPr="00C33B70" w:rsidRDefault="00011FD1" w:rsidP="00C33B70">
            <w:pPr>
              <w:ind w:firstLineChars="550" w:firstLine="1155"/>
              <w:rPr>
                <w:rFonts w:ascii="Arial" w:eastAsia="楷体_GB2312" w:hAnsi="Arial" w:cs="Arial"/>
              </w:rPr>
            </w:pPr>
            <w:r w:rsidRPr="00C33B70">
              <w:rPr>
                <w:rFonts w:ascii="Arial" w:eastAsia="楷体_GB2312" w:hAnsi="Arial" w:cs="Arial"/>
              </w:rPr>
              <w:t>5</w:t>
            </w:r>
          </w:p>
        </w:tc>
      </w:tr>
      <w:tr w:rsidR="00011FD1" w:rsidRPr="00C33B70" w:rsidTr="00C33B70">
        <w:trPr>
          <w:trHeight w:val="397"/>
          <w:jc w:val="center"/>
        </w:trPr>
        <w:tc>
          <w:tcPr>
            <w:tcW w:w="1488" w:type="dxa"/>
            <w:vAlign w:val="center"/>
          </w:tcPr>
          <w:p w:rsidR="00011FD1" w:rsidRPr="00C33B70" w:rsidRDefault="00011FD1" w:rsidP="00C33B70">
            <w:pPr>
              <w:ind w:firstLineChars="200" w:firstLine="420"/>
              <w:rPr>
                <w:rFonts w:ascii="Arial" w:eastAsia="楷体_GB2312" w:hAnsi="Arial" w:cs="Arial"/>
              </w:rPr>
            </w:pPr>
            <w:r w:rsidRPr="00C33B70">
              <w:rPr>
                <w:rFonts w:ascii="Arial" w:eastAsia="楷体_GB2312" w:hAnsi="Arial" w:cs="Arial"/>
              </w:rPr>
              <w:t>2</w:t>
            </w:r>
          </w:p>
        </w:tc>
        <w:tc>
          <w:tcPr>
            <w:tcW w:w="3612" w:type="dxa"/>
            <w:vAlign w:val="center"/>
          </w:tcPr>
          <w:p w:rsidR="00011FD1" w:rsidRPr="00C33B70" w:rsidRDefault="00011FD1" w:rsidP="00C33B70">
            <w:pPr>
              <w:ind w:firstLineChars="200" w:firstLine="420"/>
              <w:rPr>
                <w:rFonts w:ascii="Arial" w:eastAsia="楷体_GB2312" w:hAnsi="Arial" w:cs="Arial"/>
              </w:rPr>
            </w:pPr>
            <w:r w:rsidRPr="00C33B70">
              <w:rPr>
                <w:rFonts w:ascii="Arial" w:eastAsia="楷体_GB2312" w:hAnsi="Arial" w:cs="Arial"/>
              </w:rPr>
              <w:t>101</w:t>
            </w:r>
            <w:r w:rsidRPr="00C33B70">
              <w:rPr>
                <w:rFonts w:ascii="Arial" w:eastAsia="楷体_GB2312" w:hAnsi="Arial" w:cs="Arial" w:hint="eastAsia"/>
              </w:rPr>
              <w:t>以上至</w:t>
            </w:r>
            <w:r w:rsidRPr="00C33B70">
              <w:rPr>
                <w:rFonts w:ascii="Arial" w:eastAsia="楷体_GB2312" w:hAnsi="Arial" w:cs="Arial"/>
              </w:rPr>
              <w:t>1000</w:t>
            </w:r>
            <w:r w:rsidRPr="00C33B70">
              <w:rPr>
                <w:rFonts w:ascii="Arial" w:eastAsia="楷体_GB2312" w:hAnsi="Arial" w:cs="Arial" w:hint="eastAsia"/>
              </w:rPr>
              <w:t>部分</w:t>
            </w:r>
          </w:p>
        </w:tc>
        <w:tc>
          <w:tcPr>
            <w:tcW w:w="2780" w:type="dxa"/>
            <w:vAlign w:val="center"/>
          </w:tcPr>
          <w:p w:rsidR="00011FD1" w:rsidRPr="00C33B70" w:rsidRDefault="00011FD1" w:rsidP="00C33B70">
            <w:pPr>
              <w:jc w:val="center"/>
              <w:rPr>
                <w:rFonts w:ascii="Arial" w:eastAsia="楷体_GB2312" w:hAnsi="Arial" w:cs="Arial"/>
              </w:rPr>
            </w:pPr>
            <w:r w:rsidRPr="00C33B70">
              <w:rPr>
                <w:rFonts w:ascii="Arial" w:eastAsia="楷体_GB2312" w:hAnsi="Arial" w:cs="Arial"/>
              </w:rPr>
              <w:t>2.5</w:t>
            </w:r>
          </w:p>
        </w:tc>
      </w:tr>
      <w:tr w:rsidR="00011FD1" w:rsidRPr="00C33B70" w:rsidTr="00C33B70">
        <w:trPr>
          <w:trHeight w:val="397"/>
          <w:jc w:val="center"/>
        </w:trPr>
        <w:tc>
          <w:tcPr>
            <w:tcW w:w="1488" w:type="dxa"/>
            <w:vAlign w:val="center"/>
          </w:tcPr>
          <w:p w:rsidR="00011FD1" w:rsidRPr="00C33B70" w:rsidRDefault="00011FD1" w:rsidP="00C33B70">
            <w:pPr>
              <w:ind w:firstLineChars="200" w:firstLine="420"/>
              <w:rPr>
                <w:rFonts w:ascii="Arial" w:eastAsia="楷体_GB2312" w:hAnsi="Arial" w:cs="Arial"/>
              </w:rPr>
            </w:pPr>
            <w:r w:rsidRPr="00C33B70">
              <w:rPr>
                <w:rFonts w:ascii="Arial" w:eastAsia="楷体_GB2312" w:hAnsi="Arial" w:cs="Arial"/>
              </w:rPr>
              <w:t>3</w:t>
            </w:r>
          </w:p>
        </w:tc>
        <w:tc>
          <w:tcPr>
            <w:tcW w:w="3612" w:type="dxa"/>
            <w:vAlign w:val="center"/>
          </w:tcPr>
          <w:p w:rsidR="00011FD1" w:rsidRPr="00C33B70" w:rsidRDefault="00011FD1" w:rsidP="00C33B70">
            <w:pPr>
              <w:ind w:firstLineChars="200" w:firstLine="420"/>
              <w:rPr>
                <w:rFonts w:ascii="Arial" w:eastAsia="楷体_GB2312" w:hAnsi="Arial" w:cs="Arial"/>
              </w:rPr>
            </w:pPr>
            <w:r w:rsidRPr="00C33B70">
              <w:rPr>
                <w:rFonts w:ascii="Arial" w:eastAsia="楷体_GB2312" w:hAnsi="Arial" w:cs="Arial"/>
              </w:rPr>
              <w:t>1001</w:t>
            </w:r>
            <w:r w:rsidRPr="00C33B70">
              <w:rPr>
                <w:rFonts w:ascii="Arial" w:eastAsia="楷体_GB2312" w:hAnsi="Arial" w:cs="Arial" w:hint="eastAsia"/>
              </w:rPr>
              <w:t>以上至</w:t>
            </w:r>
            <w:r w:rsidRPr="00C33B70">
              <w:rPr>
                <w:rFonts w:ascii="Arial" w:eastAsia="楷体_GB2312" w:hAnsi="Arial" w:cs="Arial"/>
              </w:rPr>
              <w:t>2000</w:t>
            </w:r>
            <w:r w:rsidRPr="00C33B70">
              <w:rPr>
                <w:rFonts w:ascii="Arial" w:eastAsia="楷体_GB2312" w:hAnsi="Arial" w:cs="Arial" w:hint="eastAsia"/>
              </w:rPr>
              <w:t>部分</w:t>
            </w:r>
          </w:p>
        </w:tc>
        <w:tc>
          <w:tcPr>
            <w:tcW w:w="2780" w:type="dxa"/>
            <w:vAlign w:val="center"/>
          </w:tcPr>
          <w:p w:rsidR="00011FD1" w:rsidRPr="00C33B70" w:rsidRDefault="00011FD1" w:rsidP="00C33B70">
            <w:pPr>
              <w:jc w:val="center"/>
              <w:rPr>
                <w:rFonts w:ascii="Arial" w:eastAsia="楷体_GB2312" w:hAnsi="Arial" w:cs="Arial"/>
              </w:rPr>
            </w:pPr>
            <w:r w:rsidRPr="00C33B70">
              <w:rPr>
                <w:rFonts w:ascii="Arial" w:eastAsia="楷体_GB2312" w:hAnsi="Arial" w:cs="Arial"/>
              </w:rPr>
              <w:t>1.5</w:t>
            </w:r>
          </w:p>
        </w:tc>
      </w:tr>
      <w:tr w:rsidR="00011FD1" w:rsidRPr="00C33B70" w:rsidTr="00C33B70">
        <w:trPr>
          <w:trHeight w:val="397"/>
          <w:jc w:val="center"/>
        </w:trPr>
        <w:tc>
          <w:tcPr>
            <w:tcW w:w="1488" w:type="dxa"/>
            <w:vAlign w:val="center"/>
          </w:tcPr>
          <w:p w:rsidR="00011FD1" w:rsidRPr="00C33B70" w:rsidRDefault="00011FD1" w:rsidP="00C33B70">
            <w:pPr>
              <w:ind w:firstLineChars="200" w:firstLine="420"/>
              <w:rPr>
                <w:rFonts w:ascii="Arial" w:eastAsia="楷体_GB2312" w:hAnsi="Arial" w:cs="Arial"/>
              </w:rPr>
            </w:pPr>
            <w:r w:rsidRPr="00C33B70">
              <w:rPr>
                <w:rFonts w:ascii="Arial" w:eastAsia="楷体_GB2312" w:hAnsi="Arial" w:cs="Arial"/>
              </w:rPr>
              <w:t>4</w:t>
            </w:r>
          </w:p>
        </w:tc>
        <w:tc>
          <w:tcPr>
            <w:tcW w:w="3612" w:type="dxa"/>
            <w:vAlign w:val="center"/>
          </w:tcPr>
          <w:p w:rsidR="00011FD1" w:rsidRPr="00C33B70" w:rsidRDefault="00011FD1" w:rsidP="00C33B70">
            <w:pPr>
              <w:ind w:firstLineChars="200" w:firstLine="420"/>
              <w:rPr>
                <w:rFonts w:ascii="Arial" w:eastAsia="楷体_GB2312" w:hAnsi="Arial" w:cs="Arial"/>
              </w:rPr>
            </w:pPr>
            <w:r w:rsidRPr="00C33B70">
              <w:rPr>
                <w:rFonts w:ascii="Arial" w:eastAsia="楷体_GB2312" w:hAnsi="Arial" w:cs="Arial"/>
              </w:rPr>
              <w:t>2001</w:t>
            </w:r>
            <w:r w:rsidRPr="00C33B70">
              <w:rPr>
                <w:rFonts w:ascii="Arial" w:eastAsia="楷体_GB2312" w:hAnsi="Arial" w:cs="Arial" w:hint="eastAsia"/>
              </w:rPr>
              <w:t>以上至</w:t>
            </w:r>
            <w:r w:rsidRPr="00C33B70">
              <w:rPr>
                <w:rFonts w:ascii="Arial" w:eastAsia="楷体_GB2312" w:hAnsi="Arial" w:cs="Arial"/>
              </w:rPr>
              <w:t>5000</w:t>
            </w:r>
            <w:r w:rsidRPr="00C33B70">
              <w:rPr>
                <w:rFonts w:ascii="Arial" w:eastAsia="楷体_GB2312" w:hAnsi="Arial" w:cs="Arial" w:hint="eastAsia"/>
              </w:rPr>
              <w:t>部分</w:t>
            </w:r>
          </w:p>
        </w:tc>
        <w:tc>
          <w:tcPr>
            <w:tcW w:w="2780" w:type="dxa"/>
            <w:vAlign w:val="center"/>
          </w:tcPr>
          <w:p w:rsidR="00011FD1" w:rsidRPr="00C33B70" w:rsidRDefault="00011FD1" w:rsidP="00C33B70">
            <w:pPr>
              <w:jc w:val="center"/>
              <w:rPr>
                <w:rFonts w:ascii="Arial" w:eastAsia="楷体_GB2312" w:hAnsi="Arial" w:cs="Arial"/>
              </w:rPr>
            </w:pPr>
            <w:r w:rsidRPr="00C33B70">
              <w:rPr>
                <w:rFonts w:ascii="Arial" w:eastAsia="楷体_GB2312" w:hAnsi="Arial" w:cs="Arial"/>
              </w:rPr>
              <w:t>0.8</w:t>
            </w:r>
          </w:p>
        </w:tc>
      </w:tr>
      <w:tr w:rsidR="00011FD1" w:rsidRPr="00C33B70" w:rsidTr="00C33B70">
        <w:trPr>
          <w:trHeight w:val="397"/>
          <w:jc w:val="center"/>
        </w:trPr>
        <w:tc>
          <w:tcPr>
            <w:tcW w:w="1488" w:type="dxa"/>
            <w:vAlign w:val="center"/>
          </w:tcPr>
          <w:p w:rsidR="00011FD1" w:rsidRPr="00C33B70" w:rsidRDefault="00011FD1" w:rsidP="00C33B70">
            <w:pPr>
              <w:ind w:firstLineChars="200" w:firstLine="420"/>
              <w:rPr>
                <w:rFonts w:ascii="Arial" w:eastAsia="楷体_GB2312" w:hAnsi="Arial" w:cs="Arial"/>
              </w:rPr>
            </w:pPr>
            <w:r w:rsidRPr="00C33B70">
              <w:rPr>
                <w:rFonts w:ascii="Arial" w:eastAsia="楷体_GB2312" w:hAnsi="Arial" w:cs="Arial"/>
              </w:rPr>
              <w:t>5</w:t>
            </w:r>
          </w:p>
        </w:tc>
        <w:tc>
          <w:tcPr>
            <w:tcW w:w="3612" w:type="dxa"/>
            <w:vAlign w:val="center"/>
          </w:tcPr>
          <w:p w:rsidR="00011FD1" w:rsidRPr="00C33B70" w:rsidRDefault="00011FD1" w:rsidP="00C33B70">
            <w:pPr>
              <w:ind w:firstLineChars="200" w:firstLine="420"/>
              <w:rPr>
                <w:rFonts w:ascii="Arial" w:eastAsia="楷体_GB2312" w:hAnsi="Arial" w:cs="Arial"/>
              </w:rPr>
            </w:pPr>
            <w:r w:rsidRPr="00C33B70">
              <w:rPr>
                <w:rFonts w:ascii="Arial" w:eastAsia="楷体_GB2312" w:hAnsi="Arial" w:cs="Arial"/>
              </w:rPr>
              <w:t>5001</w:t>
            </w:r>
            <w:r w:rsidRPr="00C33B70">
              <w:rPr>
                <w:rFonts w:ascii="Arial" w:eastAsia="楷体_GB2312" w:hAnsi="Arial" w:cs="Arial" w:hint="eastAsia"/>
              </w:rPr>
              <w:t>以上至</w:t>
            </w:r>
            <w:r w:rsidRPr="00C33B70">
              <w:rPr>
                <w:rFonts w:ascii="Arial" w:eastAsia="楷体_GB2312" w:hAnsi="Arial" w:cs="Arial"/>
              </w:rPr>
              <w:t>8000</w:t>
            </w:r>
            <w:r w:rsidRPr="00C33B70">
              <w:rPr>
                <w:rFonts w:ascii="Arial" w:eastAsia="楷体_GB2312" w:hAnsi="Arial" w:cs="Arial" w:hint="eastAsia"/>
              </w:rPr>
              <w:t>部分</w:t>
            </w:r>
          </w:p>
        </w:tc>
        <w:tc>
          <w:tcPr>
            <w:tcW w:w="2780" w:type="dxa"/>
            <w:vAlign w:val="center"/>
          </w:tcPr>
          <w:p w:rsidR="00011FD1" w:rsidRPr="00C33B70" w:rsidRDefault="00011FD1" w:rsidP="00C33B70">
            <w:pPr>
              <w:jc w:val="center"/>
              <w:rPr>
                <w:rFonts w:ascii="Arial" w:eastAsia="楷体_GB2312" w:hAnsi="Arial" w:cs="Arial"/>
              </w:rPr>
            </w:pPr>
            <w:r w:rsidRPr="00C33B70">
              <w:rPr>
                <w:rFonts w:ascii="Arial" w:eastAsia="楷体_GB2312" w:hAnsi="Arial" w:cs="Arial"/>
              </w:rPr>
              <w:t>0.4</w:t>
            </w:r>
          </w:p>
        </w:tc>
      </w:tr>
      <w:tr w:rsidR="00011FD1" w:rsidRPr="00C33B70" w:rsidTr="00C33B70">
        <w:trPr>
          <w:trHeight w:val="397"/>
          <w:jc w:val="center"/>
        </w:trPr>
        <w:tc>
          <w:tcPr>
            <w:tcW w:w="1488" w:type="dxa"/>
            <w:vAlign w:val="center"/>
          </w:tcPr>
          <w:p w:rsidR="00011FD1" w:rsidRPr="00C33B70" w:rsidRDefault="00011FD1" w:rsidP="00C33B70">
            <w:pPr>
              <w:ind w:firstLineChars="200" w:firstLine="420"/>
              <w:rPr>
                <w:rFonts w:ascii="Arial" w:eastAsia="楷体_GB2312" w:hAnsi="Arial" w:cs="Arial"/>
              </w:rPr>
            </w:pPr>
            <w:r w:rsidRPr="00C33B70">
              <w:rPr>
                <w:rFonts w:ascii="Arial" w:eastAsia="楷体_GB2312" w:hAnsi="Arial" w:cs="Arial"/>
              </w:rPr>
              <w:t>6</w:t>
            </w:r>
          </w:p>
        </w:tc>
        <w:tc>
          <w:tcPr>
            <w:tcW w:w="3612" w:type="dxa"/>
            <w:vAlign w:val="center"/>
          </w:tcPr>
          <w:p w:rsidR="00011FD1" w:rsidRPr="00C33B70" w:rsidRDefault="00011FD1" w:rsidP="00C33B70">
            <w:pPr>
              <w:ind w:firstLineChars="200" w:firstLine="420"/>
              <w:rPr>
                <w:rFonts w:ascii="Arial" w:eastAsia="楷体_GB2312" w:hAnsi="Arial" w:cs="Arial"/>
              </w:rPr>
            </w:pPr>
            <w:r w:rsidRPr="00C33B70">
              <w:rPr>
                <w:rFonts w:ascii="Arial" w:eastAsia="楷体_GB2312" w:hAnsi="Arial" w:cs="Arial"/>
              </w:rPr>
              <w:t>8001</w:t>
            </w:r>
            <w:r w:rsidRPr="00C33B70">
              <w:rPr>
                <w:rFonts w:ascii="Arial" w:eastAsia="楷体_GB2312" w:hAnsi="Arial" w:cs="Arial" w:hint="eastAsia"/>
              </w:rPr>
              <w:t>以上至</w:t>
            </w:r>
            <w:r w:rsidRPr="00C33B70">
              <w:rPr>
                <w:rFonts w:ascii="Arial" w:eastAsia="楷体_GB2312" w:hAnsi="Arial" w:cs="Arial"/>
              </w:rPr>
              <w:t>10000</w:t>
            </w:r>
            <w:r w:rsidRPr="00C33B70">
              <w:rPr>
                <w:rFonts w:ascii="Arial" w:eastAsia="楷体_GB2312" w:hAnsi="Arial" w:cs="Arial" w:hint="eastAsia"/>
              </w:rPr>
              <w:t>部分</w:t>
            </w:r>
          </w:p>
        </w:tc>
        <w:tc>
          <w:tcPr>
            <w:tcW w:w="2780" w:type="dxa"/>
            <w:vAlign w:val="center"/>
          </w:tcPr>
          <w:p w:rsidR="00011FD1" w:rsidRPr="00C33B70" w:rsidRDefault="00011FD1" w:rsidP="00C33B70">
            <w:pPr>
              <w:jc w:val="center"/>
              <w:rPr>
                <w:rFonts w:ascii="Arial" w:eastAsia="楷体_GB2312" w:hAnsi="Arial" w:cs="Arial"/>
              </w:rPr>
            </w:pPr>
            <w:r w:rsidRPr="00C33B70">
              <w:rPr>
                <w:rFonts w:ascii="Arial" w:eastAsia="楷体_GB2312" w:hAnsi="Arial" w:cs="Arial"/>
              </w:rPr>
              <w:t>0.2</w:t>
            </w:r>
          </w:p>
        </w:tc>
      </w:tr>
      <w:tr w:rsidR="00011FD1" w:rsidRPr="00C33B70" w:rsidTr="00C33B70">
        <w:trPr>
          <w:trHeight w:val="397"/>
          <w:jc w:val="center"/>
        </w:trPr>
        <w:tc>
          <w:tcPr>
            <w:tcW w:w="1488" w:type="dxa"/>
            <w:vAlign w:val="center"/>
          </w:tcPr>
          <w:p w:rsidR="00011FD1" w:rsidRPr="00C33B70" w:rsidRDefault="00011FD1" w:rsidP="00C33B70">
            <w:pPr>
              <w:ind w:firstLineChars="200" w:firstLine="420"/>
              <w:rPr>
                <w:rFonts w:ascii="Arial" w:eastAsia="楷体_GB2312" w:hAnsi="Arial" w:cs="Arial"/>
              </w:rPr>
            </w:pPr>
            <w:r w:rsidRPr="00C33B70">
              <w:rPr>
                <w:rFonts w:ascii="Arial" w:eastAsia="楷体_GB2312" w:hAnsi="Arial" w:cs="Arial"/>
              </w:rPr>
              <w:t>7</w:t>
            </w:r>
          </w:p>
        </w:tc>
        <w:tc>
          <w:tcPr>
            <w:tcW w:w="3612" w:type="dxa"/>
            <w:vAlign w:val="center"/>
          </w:tcPr>
          <w:p w:rsidR="00011FD1" w:rsidRPr="00C33B70" w:rsidRDefault="00011FD1" w:rsidP="00C33B70">
            <w:pPr>
              <w:ind w:firstLineChars="200" w:firstLine="420"/>
              <w:rPr>
                <w:rFonts w:ascii="Arial" w:eastAsia="楷体_GB2312" w:hAnsi="Arial" w:cs="Arial"/>
              </w:rPr>
            </w:pPr>
            <w:r w:rsidRPr="00C33B70">
              <w:rPr>
                <w:rFonts w:ascii="Arial" w:eastAsia="楷体_GB2312" w:hAnsi="Arial" w:cs="Arial"/>
              </w:rPr>
              <w:t>10000</w:t>
            </w:r>
            <w:r w:rsidRPr="00C33B70">
              <w:rPr>
                <w:rFonts w:ascii="Arial" w:eastAsia="楷体_GB2312" w:hAnsi="Arial" w:cs="Arial" w:hint="eastAsia"/>
              </w:rPr>
              <w:t>以上部分</w:t>
            </w:r>
          </w:p>
        </w:tc>
        <w:tc>
          <w:tcPr>
            <w:tcW w:w="2780" w:type="dxa"/>
            <w:vAlign w:val="center"/>
          </w:tcPr>
          <w:p w:rsidR="00011FD1" w:rsidRPr="00C33B70" w:rsidRDefault="00011FD1" w:rsidP="00C33B70">
            <w:pPr>
              <w:jc w:val="center"/>
              <w:rPr>
                <w:rFonts w:ascii="Arial" w:eastAsia="楷体_GB2312" w:hAnsi="Arial" w:cs="Arial"/>
              </w:rPr>
            </w:pPr>
            <w:r w:rsidRPr="00C33B70">
              <w:rPr>
                <w:rFonts w:ascii="Arial" w:eastAsia="楷体_GB2312" w:hAnsi="Arial" w:cs="Arial"/>
              </w:rPr>
              <w:t>0.1</w:t>
            </w:r>
          </w:p>
        </w:tc>
      </w:tr>
    </w:tbl>
    <w:p w:rsidR="00011FD1" w:rsidRPr="00C33B70" w:rsidRDefault="00011FD1" w:rsidP="00C33B70">
      <w:pPr>
        <w:spacing w:line="500" w:lineRule="exact"/>
        <w:ind w:firstLineChars="200" w:firstLine="480"/>
        <w:rPr>
          <w:rFonts w:ascii="Arial" w:eastAsia="楷体_GB2312" w:hAnsi="Arial"/>
          <w:sz w:val="24"/>
          <w:szCs w:val="24"/>
        </w:rPr>
      </w:pPr>
      <w:r w:rsidRPr="00C33B70">
        <w:rPr>
          <w:rFonts w:ascii="Arial" w:eastAsia="楷体_GB2312" w:hAnsi="Arial" w:cs="楷体_GB2312" w:hint="eastAsia"/>
          <w:sz w:val="24"/>
          <w:szCs w:val="24"/>
        </w:rPr>
        <w:t>位于</w:t>
      </w:r>
      <w:r w:rsidR="00C33B70" w:rsidRPr="00C33B70">
        <w:rPr>
          <w:rFonts w:ascii="Arial" w:eastAsia="楷体_GB2312" w:hAnsi="Arial" w:cs="楷体_GB2312" w:hint="eastAsia"/>
          <w:sz w:val="24"/>
          <w:szCs w:val="24"/>
        </w:rPr>
        <w:t>北京市顺义区北小营镇顺义新城第</w:t>
      </w:r>
      <w:r w:rsidR="00C33B70" w:rsidRPr="00C33B70">
        <w:rPr>
          <w:rFonts w:ascii="Arial" w:eastAsia="楷体_GB2312" w:hAnsi="Arial" w:cs="楷体_GB2312" w:hint="eastAsia"/>
          <w:sz w:val="24"/>
          <w:szCs w:val="24"/>
        </w:rPr>
        <w:t>30</w:t>
      </w:r>
      <w:r w:rsidR="00C33B70" w:rsidRPr="00C33B70">
        <w:rPr>
          <w:rFonts w:ascii="Arial" w:eastAsia="楷体_GB2312" w:hAnsi="Arial" w:cs="楷体_GB2312" w:hint="eastAsia"/>
          <w:sz w:val="24"/>
          <w:szCs w:val="24"/>
        </w:rPr>
        <w:t>街区</w:t>
      </w:r>
      <w:r w:rsidR="00C33B70" w:rsidRPr="00C33B70">
        <w:rPr>
          <w:rFonts w:ascii="Arial" w:eastAsia="楷体_GB2312" w:hAnsi="Arial" w:cs="楷体_GB2312" w:hint="eastAsia"/>
          <w:sz w:val="24"/>
          <w:szCs w:val="24"/>
        </w:rPr>
        <w:t>30-01-02</w:t>
      </w:r>
      <w:r w:rsidR="00C33B70" w:rsidRPr="00C33B70">
        <w:rPr>
          <w:rFonts w:ascii="Arial" w:eastAsia="楷体_GB2312" w:hAnsi="Arial" w:cs="楷体_GB2312" w:hint="eastAsia"/>
          <w:sz w:val="24"/>
          <w:szCs w:val="24"/>
        </w:rPr>
        <w:t>地块部分住宅、商业、地下仓储及地下车库用房分摊的出让国有建设用地使用权及在建建筑物房地产</w:t>
      </w:r>
      <w:r w:rsidRPr="00C33B70">
        <w:rPr>
          <w:rFonts w:ascii="Arial" w:eastAsia="楷体_GB2312" w:hAnsi="Arial" w:cs="楷体_GB2312" w:hint="eastAsia"/>
          <w:sz w:val="24"/>
          <w:szCs w:val="24"/>
        </w:rPr>
        <w:t>，</w:t>
      </w:r>
      <w:r w:rsidR="00C33B70" w:rsidRPr="00C33B70">
        <w:rPr>
          <w:rFonts w:ascii="Arial" w:eastAsia="楷体_GB2312" w:hAnsi="Arial" w:cs="楷体_GB2312" w:hint="eastAsia"/>
          <w:sz w:val="24"/>
          <w:szCs w:val="24"/>
        </w:rPr>
        <w:t>评估总值为</w:t>
      </w:r>
      <w:r w:rsidR="00C33B70" w:rsidRPr="00C33B70">
        <w:rPr>
          <w:rFonts w:ascii="Arial" w:eastAsia="楷体_GB2312" w:hAnsi="Arial" w:cs="楷体_GB2312" w:hint="eastAsia"/>
          <w:sz w:val="24"/>
          <w:szCs w:val="24"/>
        </w:rPr>
        <w:t>412505</w:t>
      </w:r>
      <w:r w:rsidR="00C33B70" w:rsidRPr="00C33B70">
        <w:rPr>
          <w:rFonts w:ascii="Arial" w:eastAsia="楷体_GB2312" w:hAnsi="Arial" w:cs="楷体_GB2312" w:hint="eastAsia"/>
          <w:sz w:val="24"/>
          <w:szCs w:val="24"/>
        </w:rPr>
        <w:t>万元，应收评估费金额为：</w:t>
      </w:r>
      <w:r w:rsidR="00C33B70" w:rsidRPr="00C33B70">
        <w:rPr>
          <w:rFonts w:ascii="Arial" w:eastAsia="楷体_GB2312" w:hAnsi="Arial" w:cs="楷体_GB2312" w:hint="eastAsia"/>
          <w:sz w:val="24"/>
          <w:szCs w:val="24"/>
        </w:rPr>
        <w:t>485010</w:t>
      </w:r>
      <w:r w:rsidR="00C33B70" w:rsidRPr="00C33B70">
        <w:rPr>
          <w:rFonts w:ascii="Arial" w:eastAsia="楷体_GB2312" w:hAnsi="Arial" w:cs="楷体_GB2312" w:hint="eastAsia"/>
          <w:sz w:val="24"/>
          <w:szCs w:val="24"/>
        </w:rPr>
        <w:t>元（含税价、人民币），本着双方互惠互利、友好合作的原则，</w:t>
      </w:r>
      <w:r w:rsidRPr="00C33B70">
        <w:rPr>
          <w:rFonts w:ascii="Arial" w:eastAsia="楷体_GB2312" w:hAnsi="Arial" w:cs="楷体_GB2312" w:hint="eastAsia"/>
          <w:sz w:val="24"/>
          <w:szCs w:val="24"/>
        </w:rPr>
        <w:t>在按照上述收费标准给予大幅优惠，具体收费金额见下表：</w:t>
      </w:r>
    </w:p>
    <w:tbl>
      <w:tblPr>
        <w:tblpPr w:leftFromText="180" w:rightFromText="180" w:vertAnchor="text" w:horzAnchor="margin" w:tblpX="250"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2694"/>
      </w:tblGrid>
      <w:tr w:rsidR="00011FD1" w:rsidRPr="00D75801" w:rsidTr="00C33B70">
        <w:tc>
          <w:tcPr>
            <w:tcW w:w="5211" w:type="dxa"/>
            <w:vAlign w:val="center"/>
          </w:tcPr>
          <w:p w:rsidR="00011FD1" w:rsidRPr="00D75801" w:rsidRDefault="00011FD1" w:rsidP="00654DC5">
            <w:pPr>
              <w:spacing w:line="360" w:lineRule="auto"/>
              <w:jc w:val="center"/>
              <w:rPr>
                <w:rFonts w:ascii="Arial" w:eastAsia="楷体_GB2312" w:hAnsi="Arial"/>
                <w:b/>
                <w:bCs/>
                <w:sz w:val="24"/>
                <w:szCs w:val="24"/>
              </w:rPr>
            </w:pPr>
            <w:r w:rsidRPr="00D75801">
              <w:rPr>
                <w:rFonts w:ascii="Arial" w:eastAsia="楷体_GB2312" w:hAnsi="Arial" w:cs="楷体_GB2312" w:hint="eastAsia"/>
                <w:b/>
                <w:bCs/>
                <w:sz w:val="24"/>
                <w:szCs w:val="24"/>
              </w:rPr>
              <w:t>估价对象种类</w:t>
            </w:r>
          </w:p>
        </w:tc>
        <w:tc>
          <w:tcPr>
            <w:tcW w:w="2694" w:type="dxa"/>
            <w:vAlign w:val="center"/>
          </w:tcPr>
          <w:p w:rsidR="00011FD1" w:rsidRPr="00D75801" w:rsidRDefault="00011FD1" w:rsidP="00336DDB">
            <w:pPr>
              <w:spacing w:line="360" w:lineRule="auto"/>
              <w:jc w:val="center"/>
              <w:rPr>
                <w:rFonts w:ascii="Arial" w:eastAsia="楷体_GB2312" w:hAnsi="Arial"/>
                <w:b/>
                <w:bCs/>
                <w:sz w:val="24"/>
                <w:szCs w:val="24"/>
              </w:rPr>
            </w:pPr>
            <w:r w:rsidRPr="00D75801">
              <w:rPr>
                <w:rFonts w:ascii="Arial" w:eastAsia="楷体_GB2312" w:hAnsi="Arial" w:cs="楷体_GB2312" w:hint="eastAsia"/>
                <w:b/>
                <w:bCs/>
                <w:sz w:val="24"/>
                <w:szCs w:val="24"/>
              </w:rPr>
              <w:t>收费金额</w:t>
            </w:r>
          </w:p>
        </w:tc>
      </w:tr>
      <w:tr w:rsidR="00011FD1" w:rsidRPr="00D75801" w:rsidTr="00C33B70">
        <w:trPr>
          <w:trHeight w:val="969"/>
        </w:trPr>
        <w:tc>
          <w:tcPr>
            <w:tcW w:w="5211" w:type="dxa"/>
            <w:vAlign w:val="center"/>
          </w:tcPr>
          <w:p w:rsidR="00011FD1" w:rsidRPr="00D75801" w:rsidRDefault="00C33B70" w:rsidP="00C33B70">
            <w:pPr>
              <w:spacing w:line="360" w:lineRule="auto"/>
              <w:jc w:val="left"/>
              <w:rPr>
                <w:rFonts w:ascii="Arial" w:eastAsia="楷体_GB2312" w:hAnsi="Arial"/>
                <w:sz w:val="24"/>
                <w:szCs w:val="24"/>
              </w:rPr>
            </w:pPr>
            <w:r w:rsidRPr="00C33B70">
              <w:rPr>
                <w:rFonts w:ascii="Arial" w:eastAsia="楷体_GB2312" w:hAnsi="Arial" w:cs="楷体_GB2312" w:hint="eastAsia"/>
                <w:sz w:val="24"/>
                <w:szCs w:val="24"/>
              </w:rPr>
              <w:t>北京市顺义区北小营镇顺义新城第</w:t>
            </w:r>
            <w:r w:rsidRPr="00C33B70">
              <w:rPr>
                <w:rFonts w:ascii="Arial" w:eastAsia="楷体_GB2312" w:hAnsi="Arial" w:cs="楷体_GB2312" w:hint="eastAsia"/>
                <w:sz w:val="24"/>
                <w:szCs w:val="24"/>
              </w:rPr>
              <w:t>30</w:t>
            </w:r>
            <w:r w:rsidRPr="00C33B70">
              <w:rPr>
                <w:rFonts w:ascii="Arial" w:eastAsia="楷体_GB2312" w:hAnsi="Arial" w:cs="楷体_GB2312" w:hint="eastAsia"/>
                <w:sz w:val="24"/>
                <w:szCs w:val="24"/>
              </w:rPr>
              <w:t>街区</w:t>
            </w:r>
            <w:r w:rsidRPr="00C33B70">
              <w:rPr>
                <w:rFonts w:ascii="Arial" w:eastAsia="楷体_GB2312" w:hAnsi="Arial" w:cs="楷体_GB2312" w:hint="eastAsia"/>
                <w:sz w:val="24"/>
                <w:szCs w:val="24"/>
              </w:rPr>
              <w:t>30-01-02</w:t>
            </w:r>
            <w:r w:rsidRPr="00C33B70">
              <w:rPr>
                <w:rFonts w:ascii="Arial" w:eastAsia="楷体_GB2312" w:hAnsi="Arial" w:cs="楷体_GB2312" w:hint="eastAsia"/>
                <w:sz w:val="24"/>
                <w:szCs w:val="24"/>
              </w:rPr>
              <w:t>地块部分住宅、商业、地下仓储及地下车库用房分摊的出让国有建设用地使用权及在建建筑物房地产</w:t>
            </w:r>
          </w:p>
        </w:tc>
        <w:tc>
          <w:tcPr>
            <w:tcW w:w="2694" w:type="dxa"/>
            <w:vAlign w:val="center"/>
          </w:tcPr>
          <w:p w:rsidR="00011FD1" w:rsidRPr="00D75801" w:rsidRDefault="00C33B70" w:rsidP="00654DC5">
            <w:pPr>
              <w:spacing w:line="360" w:lineRule="auto"/>
              <w:jc w:val="center"/>
              <w:rPr>
                <w:rFonts w:ascii="Arial" w:eastAsia="楷体_GB2312" w:hAnsi="Arial"/>
                <w:sz w:val="24"/>
                <w:szCs w:val="24"/>
              </w:rPr>
            </w:pPr>
            <w:r>
              <w:rPr>
                <w:rFonts w:ascii="Arial" w:eastAsia="楷体_GB2312" w:hAnsi="Arial" w:cs="Arial" w:hint="eastAsia"/>
                <w:sz w:val="24"/>
                <w:szCs w:val="24"/>
              </w:rPr>
              <w:t>15</w:t>
            </w:r>
            <w:r w:rsidR="00336DDB">
              <w:rPr>
                <w:rFonts w:ascii="Arial" w:eastAsia="楷体_GB2312" w:hAnsi="Arial" w:cs="Arial" w:hint="eastAsia"/>
                <w:sz w:val="24"/>
                <w:szCs w:val="24"/>
              </w:rPr>
              <w:t>万元</w:t>
            </w:r>
            <w:bookmarkStart w:id="1" w:name="_GoBack"/>
            <w:bookmarkEnd w:id="1"/>
          </w:p>
        </w:tc>
      </w:tr>
    </w:tbl>
    <w:p w:rsidR="00011FD1" w:rsidRPr="00D75801" w:rsidRDefault="00011FD1" w:rsidP="000F0D4C">
      <w:pPr>
        <w:spacing w:line="360" w:lineRule="auto"/>
        <w:ind w:firstLineChars="200" w:firstLine="560"/>
        <w:rPr>
          <w:rFonts w:ascii="Arial" w:eastAsia="楷体_GB2312" w:hAnsi="Arial"/>
          <w:sz w:val="28"/>
          <w:szCs w:val="28"/>
        </w:rPr>
      </w:pPr>
    </w:p>
    <w:p w:rsidR="00011FD1" w:rsidRPr="00C33B70" w:rsidRDefault="00011FD1" w:rsidP="00C33B70">
      <w:pPr>
        <w:spacing w:line="360" w:lineRule="auto"/>
        <w:ind w:firstLineChars="200" w:firstLine="480"/>
        <w:jc w:val="right"/>
        <w:rPr>
          <w:rFonts w:ascii="Arial" w:eastAsia="楷体_GB2312" w:hAnsi="Arial"/>
          <w:sz w:val="24"/>
          <w:szCs w:val="24"/>
        </w:rPr>
      </w:pPr>
      <w:proofErr w:type="gramStart"/>
      <w:r w:rsidRPr="00C33B70">
        <w:rPr>
          <w:rFonts w:ascii="Arial" w:eastAsia="楷体_GB2312" w:hAnsi="Arial" w:cs="楷体_GB2312" w:hint="eastAsia"/>
          <w:sz w:val="24"/>
          <w:szCs w:val="24"/>
        </w:rPr>
        <w:t>北京康正宏</w:t>
      </w:r>
      <w:proofErr w:type="gramEnd"/>
      <w:r w:rsidRPr="00C33B70">
        <w:rPr>
          <w:rFonts w:ascii="Arial" w:eastAsia="楷体_GB2312" w:hAnsi="Arial" w:cs="楷体_GB2312" w:hint="eastAsia"/>
          <w:sz w:val="24"/>
          <w:szCs w:val="24"/>
        </w:rPr>
        <w:t>基房地产评估有限公司</w:t>
      </w:r>
    </w:p>
    <w:p w:rsidR="00011FD1" w:rsidRPr="00C33B70" w:rsidRDefault="00011FD1" w:rsidP="00C33B70">
      <w:pPr>
        <w:ind w:firstLineChars="2150" w:firstLine="5160"/>
        <w:rPr>
          <w:rFonts w:ascii="宋体" w:cs="宋体"/>
          <w:sz w:val="24"/>
          <w:szCs w:val="24"/>
        </w:rPr>
      </w:pPr>
      <w:r w:rsidRPr="00C33B70">
        <w:rPr>
          <w:rFonts w:ascii="Arial" w:eastAsia="楷体_GB2312" w:hAnsi="Arial" w:cs="楷体_GB2312" w:hint="eastAsia"/>
          <w:sz w:val="24"/>
          <w:szCs w:val="24"/>
        </w:rPr>
        <w:t>二</w:t>
      </w:r>
      <w:r w:rsidRPr="00C33B70">
        <w:rPr>
          <w:rFonts w:ascii="Arial" w:eastAsia="楷体_GB2312" w:hAnsi="Arial" w:cs="Arial"/>
          <w:sz w:val="24"/>
          <w:szCs w:val="24"/>
        </w:rPr>
        <w:t>O</w:t>
      </w:r>
      <w:r w:rsidRPr="00C33B70">
        <w:rPr>
          <w:rFonts w:ascii="Arial" w:eastAsia="楷体_GB2312" w:hAnsi="Arial" w:cs="楷体_GB2312" w:hint="eastAsia"/>
          <w:sz w:val="24"/>
          <w:szCs w:val="24"/>
        </w:rPr>
        <w:t>二</w:t>
      </w:r>
      <w:r w:rsidR="00C33B70">
        <w:rPr>
          <w:rFonts w:ascii="Arial" w:eastAsia="楷体_GB2312" w:hAnsi="Arial" w:cs="楷体_GB2312" w:hint="eastAsia"/>
          <w:sz w:val="24"/>
          <w:szCs w:val="24"/>
        </w:rPr>
        <w:t>三</w:t>
      </w:r>
      <w:r w:rsidRPr="00C33B70">
        <w:rPr>
          <w:rFonts w:ascii="Arial" w:eastAsia="楷体_GB2312" w:hAnsi="Arial" w:cs="楷体_GB2312" w:hint="eastAsia"/>
          <w:sz w:val="24"/>
          <w:szCs w:val="24"/>
        </w:rPr>
        <w:t>年</w:t>
      </w:r>
      <w:r w:rsidR="00C33B70">
        <w:rPr>
          <w:rFonts w:ascii="Arial" w:eastAsia="楷体_GB2312" w:hAnsi="Arial" w:cs="楷体_GB2312" w:hint="eastAsia"/>
          <w:sz w:val="24"/>
          <w:szCs w:val="24"/>
        </w:rPr>
        <w:t>三</w:t>
      </w:r>
      <w:r w:rsidR="000F0D4C" w:rsidRPr="00C33B70">
        <w:rPr>
          <w:rFonts w:ascii="Arial" w:eastAsia="楷体_GB2312" w:hAnsi="Arial" w:cs="楷体_GB2312" w:hint="eastAsia"/>
          <w:sz w:val="24"/>
          <w:szCs w:val="24"/>
        </w:rPr>
        <w:t>月</w:t>
      </w:r>
      <w:r w:rsidR="00C33B70">
        <w:rPr>
          <w:rFonts w:ascii="Arial" w:eastAsia="楷体_GB2312" w:hAnsi="Arial" w:cs="楷体_GB2312" w:hint="eastAsia"/>
          <w:sz w:val="24"/>
          <w:szCs w:val="24"/>
        </w:rPr>
        <w:t>六</w:t>
      </w:r>
      <w:r w:rsidRPr="00C33B70">
        <w:rPr>
          <w:rFonts w:ascii="Arial" w:eastAsia="楷体_GB2312" w:hAnsi="Arial" w:cs="楷体_GB2312" w:hint="eastAsia"/>
          <w:sz w:val="24"/>
          <w:szCs w:val="24"/>
        </w:rPr>
        <w:t>日</w:t>
      </w:r>
    </w:p>
    <w:sectPr w:rsidR="00011FD1" w:rsidRPr="00C33B70" w:rsidSect="00E767AE">
      <w:headerReference w:type="default" r:id="rId7"/>
      <w:footerReference w:type="default" r:id="rId8"/>
      <w:pgSz w:w="11906" w:h="16838"/>
      <w:pgMar w:top="873" w:right="1797" w:bottom="873" w:left="1797"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57C" w:rsidRDefault="00B9757C" w:rsidP="00294141">
      <w:r>
        <w:separator/>
      </w:r>
    </w:p>
  </w:endnote>
  <w:endnote w:type="continuationSeparator" w:id="0">
    <w:p w:rsidR="00B9757C" w:rsidRDefault="00B9757C" w:rsidP="0029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FD1" w:rsidRPr="00E767AE" w:rsidRDefault="00011FD1" w:rsidP="00E767AE">
    <w:pPr>
      <w:pStyle w:val="a4"/>
      <w:pBdr>
        <w:top w:val="thinThickSmallGap" w:sz="24" w:space="8" w:color="A50021"/>
      </w:pBdr>
      <w:ind w:right="360"/>
      <w:jc w:val="both"/>
      <w:rPr>
        <w:rFonts w:ascii="宋体"/>
      </w:rPr>
    </w:pPr>
    <w:proofErr w:type="gramStart"/>
    <w:r>
      <w:rPr>
        <w:rFonts w:cs="宋体" w:hint="eastAsia"/>
      </w:rPr>
      <w:t>北京康正宏</w:t>
    </w:r>
    <w:proofErr w:type="gramEnd"/>
    <w:r>
      <w:rPr>
        <w:rFonts w:cs="宋体" w:hint="eastAsia"/>
      </w:rPr>
      <w:t>基房地产评估有限公司电话：</w:t>
    </w:r>
    <w:r>
      <w:rPr>
        <w:rFonts w:ascii="Arial" w:hAnsi="Arial" w:cs="Arial"/>
      </w:rPr>
      <w:t>67641700</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57C" w:rsidRDefault="00B9757C" w:rsidP="00294141">
      <w:r>
        <w:separator/>
      </w:r>
    </w:p>
  </w:footnote>
  <w:footnote w:type="continuationSeparator" w:id="0">
    <w:p w:rsidR="00B9757C" w:rsidRDefault="00B9757C" w:rsidP="00294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FD1" w:rsidRPr="00E767AE" w:rsidRDefault="00B9757C" w:rsidP="00294141">
    <w:pPr>
      <w:pStyle w:val="a3"/>
      <w:pBdr>
        <w:bottom w:val="thickThinSmallGap" w:sz="24" w:space="13" w:color="A50021"/>
      </w:pBdr>
      <w:jc w:val="right"/>
      <w:rPr>
        <w:rFonts w:ascii="宋体" w:cs="宋体"/>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2049" type="#_x0000_t75" style="position:absolute;left:0;text-align:left;margin-left:-2.25pt;margin-top:-12.9pt;width:66.6pt;height:34pt;z-index:1;visibility:visible">
          <v:imagedata r:id="rId1" o:title=""/>
          <w10:wrap type="square"/>
        </v:shape>
      </w:pict>
    </w:r>
    <w:r w:rsidR="00011FD1">
      <w:rPr>
        <w:rFonts w:ascii="宋体" w:hAnsi="宋体" w:cs="宋体" w:hint="eastAsia"/>
      </w:rPr>
      <w:t>项目报价书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oNotHyphenateCaps/>
  <w:drawingGridHorizontalSpacing w:val="105"/>
  <w:displayHorizontalDrawingGridEvery w:val="2"/>
  <w:displayVerticalDrawingGridEvery w:val="2"/>
  <w:characterSpacingControl w:val="doNotCompress"/>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4141"/>
    <w:rsid w:val="00007B07"/>
    <w:rsid w:val="00011FD1"/>
    <w:rsid w:val="000379DF"/>
    <w:rsid w:val="000A3B4F"/>
    <w:rsid w:val="000F0D4C"/>
    <w:rsid w:val="001468E9"/>
    <w:rsid w:val="00193E1F"/>
    <w:rsid w:val="001A42BC"/>
    <w:rsid w:val="001B16F3"/>
    <w:rsid w:val="001D3043"/>
    <w:rsid w:val="001D3309"/>
    <w:rsid w:val="001E64C8"/>
    <w:rsid w:val="00210509"/>
    <w:rsid w:val="0024167E"/>
    <w:rsid w:val="0025449B"/>
    <w:rsid w:val="0026386E"/>
    <w:rsid w:val="00294141"/>
    <w:rsid w:val="00295FD6"/>
    <w:rsid w:val="002A4839"/>
    <w:rsid w:val="002B7AF8"/>
    <w:rsid w:val="002C2920"/>
    <w:rsid w:val="002D2CA9"/>
    <w:rsid w:val="00323B43"/>
    <w:rsid w:val="00336DDB"/>
    <w:rsid w:val="003B681B"/>
    <w:rsid w:val="003D37D8"/>
    <w:rsid w:val="003E3C88"/>
    <w:rsid w:val="003E6474"/>
    <w:rsid w:val="004050B5"/>
    <w:rsid w:val="004132DB"/>
    <w:rsid w:val="004358AB"/>
    <w:rsid w:val="0046050D"/>
    <w:rsid w:val="004A22AF"/>
    <w:rsid w:val="004A4F96"/>
    <w:rsid w:val="004A6A00"/>
    <w:rsid w:val="004C332F"/>
    <w:rsid w:val="004F3205"/>
    <w:rsid w:val="005257F0"/>
    <w:rsid w:val="00561E68"/>
    <w:rsid w:val="00577D7A"/>
    <w:rsid w:val="0059001A"/>
    <w:rsid w:val="00591C34"/>
    <w:rsid w:val="005B688A"/>
    <w:rsid w:val="005C5FEC"/>
    <w:rsid w:val="005D182E"/>
    <w:rsid w:val="005F698C"/>
    <w:rsid w:val="006407B2"/>
    <w:rsid w:val="00642701"/>
    <w:rsid w:val="00650249"/>
    <w:rsid w:val="006527B6"/>
    <w:rsid w:val="00653C6B"/>
    <w:rsid w:val="00654DC5"/>
    <w:rsid w:val="006751EF"/>
    <w:rsid w:val="00695142"/>
    <w:rsid w:val="006C7E8D"/>
    <w:rsid w:val="006F0F20"/>
    <w:rsid w:val="006F5064"/>
    <w:rsid w:val="00746EB1"/>
    <w:rsid w:val="007A3B0C"/>
    <w:rsid w:val="007B2F0A"/>
    <w:rsid w:val="007F7A80"/>
    <w:rsid w:val="0083682D"/>
    <w:rsid w:val="008B7726"/>
    <w:rsid w:val="008F463F"/>
    <w:rsid w:val="009235D0"/>
    <w:rsid w:val="0095210F"/>
    <w:rsid w:val="00971267"/>
    <w:rsid w:val="0098531A"/>
    <w:rsid w:val="00994939"/>
    <w:rsid w:val="009D62A4"/>
    <w:rsid w:val="009E642E"/>
    <w:rsid w:val="00A76E6F"/>
    <w:rsid w:val="00AB5593"/>
    <w:rsid w:val="00AD3164"/>
    <w:rsid w:val="00AF0F24"/>
    <w:rsid w:val="00AF4F0B"/>
    <w:rsid w:val="00B05CFC"/>
    <w:rsid w:val="00B36795"/>
    <w:rsid w:val="00B451B7"/>
    <w:rsid w:val="00B972A7"/>
    <w:rsid w:val="00B9757C"/>
    <w:rsid w:val="00BB2449"/>
    <w:rsid w:val="00BF5F79"/>
    <w:rsid w:val="00C2501D"/>
    <w:rsid w:val="00C33B70"/>
    <w:rsid w:val="00C422A6"/>
    <w:rsid w:val="00C56F6D"/>
    <w:rsid w:val="00CD3E00"/>
    <w:rsid w:val="00CF2D0D"/>
    <w:rsid w:val="00CF6D04"/>
    <w:rsid w:val="00D25BD4"/>
    <w:rsid w:val="00D6618C"/>
    <w:rsid w:val="00D71582"/>
    <w:rsid w:val="00D75801"/>
    <w:rsid w:val="00D96A35"/>
    <w:rsid w:val="00DC2200"/>
    <w:rsid w:val="00E060B5"/>
    <w:rsid w:val="00E208A3"/>
    <w:rsid w:val="00E2538A"/>
    <w:rsid w:val="00E767AE"/>
    <w:rsid w:val="00EB734E"/>
    <w:rsid w:val="00EC69C5"/>
    <w:rsid w:val="00EE4375"/>
    <w:rsid w:val="00F20B73"/>
    <w:rsid w:val="00FD0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141"/>
    <w:pPr>
      <w:widowControl w:val="0"/>
      <w:jc w:val="both"/>
    </w:pPr>
    <w:rPr>
      <w:rFonts w:ascii="Times New Roman" w:eastAsia="宋体" w:hAnsi="Times New Roman"/>
      <w:kern w:val="2"/>
      <w:sz w:val="21"/>
      <w:szCs w:val="21"/>
    </w:rPr>
  </w:style>
  <w:style w:type="paragraph" w:styleId="1">
    <w:name w:val="heading 1"/>
    <w:basedOn w:val="a"/>
    <w:next w:val="a"/>
    <w:link w:val="1Char"/>
    <w:uiPriority w:val="99"/>
    <w:qFormat/>
    <w:rsid w:val="000A3B4F"/>
    <w:pPr>
      <w:keepNext/>
      <w:keepLines/>
      <w:spacing w:before="340" w:after="330" w:line="578" w:lineRule="auto"/>
      <w:outlineLvl w:val="0"/>
    </w:pPr>
    <w:rPr>
      <w:b/>
      <w:bCs/>
      <w:kern w:val="44"/>
      <w:sz w:val="44"/>
      <w:szCs w:val="44"/>
    </w:rPr>
  </w:style>
  <w:style w:type="paragraph" w:styleId="2">
    <w:name w:val="heading 2"/>
    <w:aliases w:val="H2,heading 2+ Indent: Left 0.25 in,l2,2nd level,h2,2,Header 2,Titre2,UNDERRUBRIK 1-2"/>
    <w:basedOn w:val="a"/>
    <w:next w:val="a"/>
    <w:link w:val="2Char"/>
    <w:uiPriority w:val="99"/>
    <w:qFormat/>
    <w:rsid w:val="001A42BC"/>
    <w:pPr>
      <w:keepNext/>
      <w:keepLines/>
      <w:adjustRightInd w:val="0"/>
      <w:spacing w:before="260" w:after="260" w:line="416" w:lineRule="atLeast"/>
      <w:jc w:val="left"/>
      <w:textAlignment w:val="baseline"/>
      <w:outlineLvl w:val="1"/>
    </w:pPr>
    <w:rPr>
      <w:rFonts w:ascii="Arial" w:eastAsia="黑体" w:hAnsi="Arial" w:cs="Arial"/>
      <w:b/>
      <w:bCs/>
      <w:kern w:val="0"/>
      <w:sz w:val="32"/>
      <w:szCs w:val="32"/>
    </w:rPr>
  </w:style>
  <w:style w:type="paragraph" w:styleId="3">
    <w:name w:val="heading 3"/>
    <w:basedOn w:val="a"/>
    <w:next w:val="a"/>
    <w:link w:val="3Char"/>
    <w:uiPriority w:val="99"/>
    <w:qFormat/>
    <w:rsid w:val="00007B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0A3B4F"/>
    <w:rPr>
      <w:rFonts w:ascii="Times New Roman" w:eastAsia="宋体" w:hAnsi="Times New Roman" w:cs="Times New Roman"/>
      <w:b/>
      <w:bCs/>
      <w:kern w:val="44"/>
      <w:sz w:val="44"/>
      <w:szCs w:val="44"/>
    </w:rPr>
  </w:style>
  <w:style w:type="character" w:customStyle="1" w:styleId="2Char">
    <w:name w:val="标题 2 Char"/>
    <w:aliases w:val="H2 Char,heading 2+ Indent: Left 0.25 in Char,l2 Char,2nd level Char,h2 Char,2 Char,Header 2 Char,Titre2 Char,UNDERRUBRIK 1-2 Char"/>
    <w:link w:val="2"/>
    <w:uiPriority w:val="99"/>
    <w:locked/>
    <w:rsid w:val="001A42BC"/>
    <w:rPr>
      <w:rFonts w:ascii="Arial" w:eastAsia="黑体" w:hAnsi="Arial" w:cs="Arial"/>
      <w:b/>
      <w:bCs/>
      <w:sz w:val="20"/>
      <w:szCs w:val="20"/>
    </w:rPr>
  </w:style>
  <w:style w:type="character" w:customStyle="1" w:styleId="3Char">
    <w:name w:val="标题 3 Char"/>
    <w:link w:val="3"/>
    <w:uiPriority w:val="99"/>
    <w:semiHidden/>
    <w:locked/>
    <w:rsid w:val="00007B07"/>
    <w:rPr>
      <w:rFonts w:ascii="Times New Roman" w:eastAsia="宋体" w:hAnsi="Times New Roman" w:cs="Times New Roman"/>
      <w:b/>
      <w:bCs/>
      <w:kern w:val="2"/>
      <w:sz w:val="32"/>
      <w:szCs w:val="32"/>
    </w:rPr>
  </w:style>
  <w:style w:type="paragraph" w:styleId="10">
    <w:name w:val="index 1"/>
    <w:basedOn w:val="a"/>
    <w:next w:val="a"/>
    <w:autoRedefine/>
    <w:uiPriority w:val="99"/>
    <w:semiHidden/>
    <w:rsid w:val="00294141"/>
  </w:style>
  <w:style w:type="paragraph" w:styleId="a3">
    <w:name w:val="header"/>
    <w:basedOn w:val="a"/>
    <w:link w:val="Char"/>
    <w:uiPriority w:val="99"/>
    <w:rsid w:val="0029414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294141"/>
    <w:rPr>
      <w:rFonts w:ascii="Times New Roman" w:eastAsia="宋体" w:hAnsi="Times New Roman" w:cs="Times New Roman"/>
      <w:kern w:val="2"/>
      <w:sz w:val="18"/>
      <w:szCs w:val="18"/>
    </w:rPr>
  </w:style>
  <w:style w:type="paragraph" w:styleId="a4">
    <w:name w:val="footer"/>
    <w:basedOn w:val="a"/>
    <w:link w:val="Char0"/>
    <w:uiPriority w:val="99"/>
    <w:rsid w:val="00294141"/>
    <w:pPr>
      <w:tabs>
        <w:tab w:val="center" w:pos="4153"/>
        <w:tab w:val="right" w:pos="8306"/>
      </w:tabs>
      <w:snapToGrid w:val="0"/>
      <w:jc w:val="left"/>
    </w:pPr>
    <w:rPr>
      <w:sz w:val="18"/>
      <w:szCs w:val="18"/>
    </w:rPr>
  </w:style>
  <w:style w:type="character" w:customStyle="1" w:styleId="Char0">
    <w:name w:val="页脚 Char"/>
    <w:link w:val="a4"/>
    <w:uiPriority w:val="99"/>
    <w:locked/>
    <w:rsid w:val="00294141"/>
    <w:rPr>
      <w:rFonts w:ascii="Times New Roman" w:eastAsia="宋体" w:hAnsi="Times New Roman" w:cs="Times New Roman"/>
      <w:kern w:val="2"/>
      <w:sz w:val="18"/>
      <w:szCs w:val="18"/>
    </w:rPr>
  </w:style>
  <w:style w:type="paragraph" w:styleId="a5">
    <w:name w:val="Balloon Text"/>
    <w:basedOn w:val="a"/>
    <w:link w:val="Char1"/>
    <w:uiPriority w:val="99"/>
    <w:semiHidden/>
    <w:rsid w:val="00294141"/>
    <w:rPr>
      <w:sz w:val="18"/>
      <w:szCs w:val="18"/>
    </w:rPr>
  </w:style>
  <w:style w:type="character" w:customStyle="1" w:styleId="Char1">
    <w:name w:val="批注框文本 Char"/>
    <w:link w:val="a5"/>
    <w:uiPriority w:val="99"/>
    <w:semiHidden/>
    <w:locked/>
    <w:rsid w:val="00294141"/>
    <w:rPr>
      <w:rFonts w:ascii="Times New Roman" w:eastAsia="宋体" w:hAnsi="Times New Roman" w:cs="Times New Roman"/>
      <w:kern w:val="2"/>
      <w:sz w:val="18"/>
      <w:szCs w:val="18"/>
    </w:rPr>
  </w:style>
  <w:style w:type="paragraph" w:styleId="a6">
    <w:name w:val="Document Map"/>
    <w:basedOn w:val="a"/>
    <w:link w:val="Char2"/>
    <w:uiPriority w:val="99"/>
    <w:semiHidden/>
    <w:rsid w:val="001A42BC"/>
    <w:rPr>
      <w:rFonts w:ascii="宋体" w:cs="宋体"/>
      <w:sz w:val="18"/>
      <w:szCs w:val="18"/>
    </w:rPr>
  </w:style>
  <w:style w:type="character" w:customStyle="1" w:styleId="Char2">
    <w:name w:val="文档结构图 Char"/>
    <w:link w:val="a6"/>
    <w:uiPriority w:val="99"/>
    <w:semiHidden/>
    <w:locked/>
    <w:rsid w:val="001A42BC"/>
    <w:rPr>
      <w:rFonts w:ascii="宋体" w:eastAsia="宋体" w:hAnsi="Times New Roman" w:cs="宋体"/>
      <w:kern w:val="2"/>
      <w:sz w:val="18"/>
      <w:szCs w:val="18"/>
    </w:rPr>
  </w:style>
  <w:style w:type="paragraph" w:styleId="a7">
    <w:name w:val="Plain Text"/>
    <w:aliases w:val="普通文字 Char"/>
    <w:basedOn w:val="a"/>
    <w:link w:val="Char3"/>
    <w:uiPriority w:val="99"/>
    <w:rsid w:val="000A3B4F"/>
    <w:rPr>
      <w:rFonts w:ascii="宋体" w:hAnsi="Courier New" w:cs="宋体"/>
    </w:rPr>
  </w:style>
  <w:style w:type="character" w:customStyle="1" w:styleId="Char3">
    <w:name w:val="纯文本 Char"/>
    <w:aliases w:val="普通文字 Char Char"/>
    <w:link w:val="a7"/>
    <w:uiPriority w:val="99"/>
    <w:locked/>
    <w:rsid w:val="000A3B4F"/>
    <w:rPr>
      <w:rFonts w:ascii="宋体" w:eastAsia="宋体" w:hAnsi="Courier New" w:cs="宋体"/>
      <w:kern w:val="2"/>
      <w:sz w:val="21"/>
      <w:szCs w:val="21"/>
    </w:rPr>
  </w:style>
  <w:style w:type="character" w:styleId="a8">
    <w:name w:val="Hyperlink"/>
    <w:uiPriority w:val="99"/>
    <w:rsid w:val="00D96A35"/>
    <w:rPr>
      <w:color w:val="0000FF"/>
      <w:u w:val="single"/>
    </w:rPr>
  </w:style>
  <w:style w:type="table" w:styleId="a9">
    <w:name w:val="Table Grid"/>
    <w:basedOn w:val="a1"/>
    <w:uiPriority w:val="99"/>
    <w:rsid w:val="00E767AE"/>
    <w:rPr>
      <w:rFonts w:eastAsia="宋体" w:cs="Calibri"/>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uiPriority w:val="99"/>
    <w:semiHidden/>
    <w:rsid w:val="00D25BD4"/>
    <w:rPr>
      <w:sz w:val="21"/>
      <w:szCs w:val="21"/>
    </w:rPr>
  </w:style>
  <w:style w:type="paragraph" w:styleId="ab">
    <w:name w:val="annotation text"/>
    <w:basedOn w:val="a"/>
    <w:link w:val="Char4"/>
    <w:uiPriority w:val="99"/>
    <w:semiHidden/>
    <w:rsid w:val="00D25BD4"/>
    <w:pPr>
      <w:jc w:val="left"/>
    </w:pPr>
  </w:style>
  <w:style w:type="character" w:customStyle="1" w:styleId="Char4">
    <w:name w:val="批注文字 Char"/>
    <w:link w:val="ab"/>
    <w:uiPriority w:val="99"/>
    <w:semiHidden/>
    <w:locked/>
    <w:rsid w:val="00D25BD4"/>
    <w:rPr>
      <w:rFonts w:ascii="Times New Roman" w:eastAsia="宋体" w:hAnsi="Times New Roman" w:cs="Times New Roman"/>
      <w:kern w:val="2"/>
      <w:sz w:val="20"/>
      <w:szCs w:val="20"/>
    </w:rPr>
  </w:style>
  <w:style w:type="paragraph" w:styleId="ac">
    <w:name w:val="annotation subject"/>
    <w:basedOn w:val="ab"/>
    <w:next w:val="ab"/>
    <w:link w:val="Char5"/>
    <w:uiPriority w:val="99"/>
    <w:semiHidden/>
    <w:rsid w:val="00D25BD4"/>
    <w:rPr>
      <w:b/>
      <w:bCs/>
    </w:rPr>
  </w:style>
  <w:style w:type="character" w:customStyle="1" w:styleId="Char5">
    <w:name w:val="批注主题 Char"/>
    <w:link w:val="ac"/>
    <w:uiPriority w:val="99"/>
    <w:semiHidden/>
    <w:locked/>
    <w:rsid w:val="00D25BD4"/>
    <w:rPr>
      <w:rFonts w:ascii="Times New Roman" w:eastAsia="宋体" w:hAnsi="Times New Roman" w:cs="Times New Roman"/>
      <w:b/>
      <w:bCs/>
      <w:kern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90</Words>
  <Characters>517</Characters>
  <Application>Microsoft Office Word</Application>
  <DocSecurity>0</DocSecurity>
  <Lines>4</Lines>
  <Paragraphs>1</Paragraphs>
  <ScaleCrop>false</ScaleCrop>
  <Company>微软中国</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项目报价书</dc:title>
  <dc:subject/>
  <dc:creator>微软用户</dc:creator>
  <cp:keywords/>
  <dc:description/>
  <cp:lastModifiedBy>Windows User</cp:lastModifiedBy>
  <cp:revision>7</cp:revision>
  <cp:lastPrinted>2018-01-15T00:38:00Z</cp:lastPrinted>
  <dcterms:created xsi:type="dcterms:W3CDTF">2021-08-30T10:32:00Z</dcterms:created>
  <dcterms:modified xsi:type="dcterms:W3CDTF">2023-03-06T07:26:00Z</dcterms:modified>
</cp:coreProperties>
</file>