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Arial" w:hAnsi="Arial" w:cs="Arial"/>
          <w:b/>
          <w:bCs/>
          <w:sz w:val="36"/>
          <w:szCs w:val="36"/>
        </w:rPr>
      </w:pPr>
    </w:p>
    <w:p>
      <w:pPr>
        <w:spacing w:line="360" w:lineRule="auto"/>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r>
        <w:rPr>
          <w:rFonts w:hint="eastAsia" w:ascii="Arial" w:hAnsi="Arial" w:cs="Arial"/>
          <w:b/>
          <w:bCs/>
          <w:sz w:val="36"/>
          <w:szCs w:val="36"/>
        </w:rPr>
        <w:t>光信·光坤·新安</w:t>
      </w:r>
      <w:r>
        <w:rPr>
          <w:rFonts w:ascii="Arial" w:hAnsi="Arial" w:cs="Arial"/>
          <w:b/>
          <w:bCs/>
          <w:sz w:val="36"/>
          <w:szCs w:val="36"/>
        </w:rPr>
        <w:t>21号集合资金信托计划</w:t>
      </w:r>
    </w:p>
    <w:p>
      <w:pPr>
        <w:spacing w:line="480" w:lineRule="auto"/>
        <w:jc w:val="center"/>
        <w:rPr>
          <w:rFonts w:ascii="Arial" w:hAnsi="Arial" w:cs="Arial"/>
          <w:b/>
          <w:bCs/>
          <w:sz w:val="36"/>
          <w:szCs w:val="36"/>
        </w:rPr>
      </w:pPr>
      <w:r>
        <w:rPr>
          <w:rFonts w:ascii="Arial" w:hAnsi="Arial" w:cs="Arial"/>
          <w:b/>
          <w:bCs/>
          <w:sz w:val="36"/>
          <w:szCs w:val="36"/>
        </w:rPr>
        <w:t>（</w:t>
      </w:r>
      <w:r>
        <w:rPr>
          <w:rFonts w:hint="eastAsia" w:ascii="Arial" w:hAnsi="Arial" w:cs="Arial"/>
          <w:b/>
          <w:bCs/>
          <w:sz w:val="36"/>
          <w:szCs w:val="36"/>
        </w:rPr>
        <w:t>光大</w:t>
      </w:r>
      <w:r>
        <w:rPr>
          <w:rFonts w:ascii="Arial" w:hAnsi="Arial" w:cs="Arial"/>
          <w:b/>
          <w:bCs/>
          <w:sz w:val="36"/>
          <w:szCs w:val="36"/>
        </w:rPr>
        <w:t>信托·</w:t>
      </w:r>
      <w:r>
        <w:rPr>
          <w:rFonts w:hint="eastAsia" w:ascii="Arial" w:hAnsi="Arial" w:cs="Arial"/>
          <w:b/>
          <w:bCs/>
          <w:sz w:val="36"/>
          <w:szCs w:val="36"/>
        </w:rPr>
        <w:t>重庆恒大锦城项目</w:t>
      </w:r>
      <w:r>
        <w:rPr>
          <w:rFonts w:ascii="Arial" w:hAnsi="Arial" w:cs="Arial"/>
          <w:b/>
          <w:bCs/>
          <w:sz w:val="36"/>
          <w:szCs w:val="36"/>
        </w:rPr>
        <w:t>）</w:t>
      </w:r>
    </w:p>
    <w:p>
      <w:pPr>
        <w:spacing w:line="480" w:lineRule="auto"/>
        <w:jc w:val="center"/>
        <w:rPr>
          <w:rFonts w:ascii="Arial" w:hAnsi="Arial" w:cs="Arial"/>
          <w:b/>
          <w:bCs/>
        </w:rPr>
      </w:pPr>
    </w:p>
    <w:p>
      <w:pPr>
        <w:spacing w:line="500" w:lineRule="exact"/>
        <w:jc w:val="center"/>
        <w:rPr>
          <w:rFonts w:ascii="Arial" w:hAnsi="Arial" w:cs="Arial"/>
        </w:rPr>
      </w:pPr>
    </w:p>
    <w:p>
      <w:pPr>
        <w:spacing w:line="500" w:lineRule="exact"/>
        <w:jc w:val="center"/>
        <w:rPr>
          <w:rFonts w:ascii="Arial" w:hAnsi="Arial" w:cs="Arial"/>
        </w:rPr>
      </w:pPr>
    </w:p>
    <w:p>
      <w:pPr>
        <w:spacing w:line="500" w:lineRule="exact"/>
        <w:jc w:val="center"/>
        <w:rPr>
          <w:rFonts w:ascii="Arial" w:hAnsi="Arial" w:cs="Arial"/>
        </w:rPr>
      </w:pPr>
    </w:p>
    <w:p>
      <w:pPr>
        <w:spacing w:line="480" w:lineRule="auto"/>
        <w:rPr>
          <w:rFonts w:ascii="Arial" w:hAnsi="Arial" w:cs="Arial"/>
          <w:b/>
          <w:bCs/>
          <w:sz w:val="21"/>
          <w:szCs w:val="21"/>
        </w:rPr>
      </w:pPr>
      <w:r>
        <w:rPr>
          <w:rFonts w:hint="eastAsia" w:ascii="Arial" w:hAnsi="Arial" w:cs="Arial"/>
          <w:b/>
          <w:bCs/>
          <w:sz w:val="21"/>
          <w:szCs w:val="21"/>
        </w:rPr>
        <w:t>项目名称</w:t>
      </w:r>
      <w:r>
        <w:rPr>
          <w:rFonts w:ascii="Arial" w:hAnsi="Arial" w:cs="Arial"/>
          <w:b/>
          <w:bCs/>
          <w:sz w:val="21"/>
          <w:szCs w:val="21"/>
        </w:rPr>
        <w:t>：</w:t>
      </w:r>
      <w:r>
        <w:rPr>
          <w:rFonts w:hint="eastAsia" w:ascii="Arial" w:hAnsi="Arial" w:cs="Arial"/>
          <w:b/>
          <w:bCs/>
          <w:sz w:val="21"/>
          <w:szCs w:val="21"/>
        </w:rPr>
        <w:t>光信·光坤·新安21号集合资金信托计划</w:t>
      </w:r>
    </w:p>
    <w:p>
      <w:pPr>
        <w:spacing w:line="480" w:lineRule="auto"/>
        <w:rPr>
          <w:rFonts w:ascii="Arial" w:hAnsi="Arial" w:cs="Arial"/>
          <w:b/>
          <w:bCs/>
          <w:sz w:val="21"/>
          <w:szCs w:val="21"/>
        </w:rPr>
      </w:pPr>
      <w:r>
        <w:rPr>
          <w:rFonts w:hint="eastAsia" w:ascii="Arial" w:hAnsi="Arial" w:cs="Arial"/>
          <w:b/>
          <w:bCs/>
          <w:sz w:val="21"/>
          <w:szCs w:val="21"/>
        </w:rPr>
        <w:t>委托方</w:t>
      </w:r>
      <w:r>
        <w:rPr>
          <w:rFonts w:ascii="Arial" w:hAnsi="Arial" w:cs="Arial"/>
          <w:b/>
          <w:bCs/>
          <w:sz w:val="21"/>
          <w:szCs w:val="21"/>
        </w:rPr>
        <w:t>：</w:t>
      </w:r>
      <w:r>
        <w:rPr>
          <w:rFonts w:hint="eastAsia" w:ascii="Arial" w:hAnsi="Arial" w:cs="Arial"/>
          <w:b/>
          <w:bCs/>
          <w:sz w:val="21"/>
          <w:szCs w:val="21"/>
        </w:rPr>
        <w:t>光大兴陇信托有限责任公司</w:t>
      </w:r>
    </w:p>
    <w:p>
      <w:pPr>
        <w:spacing w:line="480" w:lineRule="auto"/>
        <w:rPr>
          <w:rFonts w:ascii="Arial" w:hAnsi="Arial" w:cs="Arial"/>
          <w:b/>
          <w:bCs/>
          <w:sz w:val="21"/>
          <w:szCs w:val="21"/>
        </w:rPr>
      </w:pPr>
      <w:r>
        <w:rPr>
          <w:rFonts w:ascii="Arial" w:hAnsi="Arial" w:cs="Arial"/>
          <w:b/>
          <w:color w:val="000000"/>
          <w:sz w:val="21"/>
          <w:szCs w:val="21"/>
        </w:rPr>
        <w:t>受托方：</w:t>
      </w:r>
      <w:r>
        <w:rPr>
          <w:rFonts w:ascii="Arial" w:hAnsi="Arial" w:cs="Arial"/>
          <w:b/>
          <w:sz w:val="21"/>
          <w:szCs w:val="21"/>
        </w:rPr>
        <w:t>北京康信君安资产管理有限公司</w:t>
      </w:r>
    </w:p>
    <w:p>
      <w:pPr>
        <w:spacing w:line="480" w:lineRule="auto"/>
        <w:rPr>
          <w:rFonts w:ascii="Arial" w:hAnsi="Arial" w:cs="Arial"/>
          <w:b/>
          <w:bCs/>
          <w:sz w:val="21"/>
          <w:szCs w:val="21"/>
          <w:lang w:val="zh-CN"/>
        </w:rPr>
      </w:pPr>
      <w:r>
        <w:rPr>
          <w:rFonts w:hint="eastAsia" w:ascii="Arial" w:hAnsi="Arial" w:cs="Arial"/>
          <w:b/>
          <w:bCs/>
          <w:sz w:val="21"/>
          <w:szCs w:val="21"/>
        </w:rPr>
        <w:t>监管人员：张霞</w:t>
      </w:r>
    </w:p>
    <w:p>
      <w:pPr>
        <w:spacing w:line="480" w:lineRule="auto"/>
        <w:rPr>
          <w:rFonts w:ascii="Arial" w:hAnsi="Arial" w:cs="Arial"/>
          <w:sz w:val="21"/>
          <w:szCs w:val="21"/>
        </w:rPr>
      </w:pPr>
      <w:r>
        <w:rPr>
          <w:rFonts w:ascii="Arial" w:hAnsi="Arial" w:cs="Arial"/>
          <w:b/>
          <w:color w:val="000000"/>
          <w:sz w:val="21"/>
          <w:szCs w:val="21"/>
        </w:rPr>
        <w:t>日期：二</w:t>
      </w:r>
      <w:r>
        <w:rPr>
          <w:rFonts w:hint="eastAsia" w:ascii="Arial" w:hAnsi="Arial" w:cs="Arial"/>
          <w:b/>
          <w:color w:val="000000"/>
          <w:sz w:val="21"/>
          <w:szCs w:val="21"/>
        </w:rPr>
        <w:t>零</w:t>
      </w:r>
      <w:r>
        <w:rPr>
          <w:rFonts w:ascii="Arial" w:hAnsi="Arial" w:cs="Arial"/>
          <w:b/>
          <w:color w:val="000000"/>
          <w:sz w:val="21"/>
          <w:szCs w:val="21"/>
        </w:rPr>
        <w:t>二</w:t>
      </w:r>
      <w:r>
        <w:rPr>
          <w:rFonts w:hint="eastAsia" w:ascii="Arial" w:hAnsi="Arial" w:cs="Arial"/>
          <w:b/>
          <w:color w:val="000000"/>
          <w:sz w:val="21"/>
          <w:szCs w:val="21"/>
        </w:rPr>
        <w:t>壹</w:t>
      </w:r>
      <w:r>
        <w:rPr>
          <w:rFonts w:ascii="Arial" w:hAnsi="Arial" w:cs="Arial"/>
          <w:b/>
          <w:color w:val="000000"/>
          <w:sz w:val="21"/>
          <w:szCs w:val="21"/>
        </w:rPr>
        <w:t>年</w:t>
      </w:r>
      <w:r>
        <w:rPr>
          <w:rFonts w:hint="eastAsia" w:ascii="Arial" w:hAnsi="Arial" w:cs="Arial"/>
          <w:b/>
          <w:color w:val="000000"/>
          <w:sz w:val="21"/>
          <w:szCs w:val="21"/>
        </w:rPr>
        <w:t>一</w:t>
      </w:r>
      <w:r>
        <w:rPr>
          <w:rFonts w:ascii="Arial" w:hAnsi="Arial" w:cs="Arial"/>
          <w:b/>
          <w:color w:val="000000"/>
          <w:sz w:val="21"/>
          <w:szCs w:val="21"/>
        </w:rPr>
        <w:t>月</w:t>
      </w:r>
      <w:r>
        <w:rPr>
          <w:rFonts w:hint="eastAsia" w:ascii="Arial" w:hAnsi="Arial" w:cs="Arial"/>
          <w:b/>
          <w:color w:val="000000"/>
          <w:sz w:val="21"/>
          <w:szCs w:val="21"/>
          <w:lang w:val="en-US" w:eastAsia="zh-CN"/>
        </w:rPr>
        <w:t>五</w:t>
      </w:r>
      <w:r>
        <w:rPr>
          <w:rFonts w:ascii="Arial" w:hAnsi="Arial" w:cs="Arial"/>
          <w:b/>
          <w:color w:val="000000"/>
          <w:sz w:val="21"/>
          <w:szCs w:val="21"/>
        </w:rPr>
        <w:t>日</w:t>
      </w:r>
    </w:p>
    <w:sdt>
      <w:sdtPr>
        <w:rPr>
          <w:b/>
          <w:bCs/>
          <w:sz w:val="28"/>
          <w:szCs w:val="28"/>
        </w:rPr>
        <w:id w:val="147477929"/>
        <w:docPartObj>
          <w:docPartGallery w:val="Table of Contents"/>
          <w:docPartUnique/>
        </w:docPartObj>
      </w:sdtPr>
      <w:sdtEndPr>
        <w:rPr>
          <w:b/>
          <w:bCs/>
          <w:sz w:val="28"/>
          <w:szCs w:val="28"/>
        </w:rPr>
      </w:sdtEndPr>
      <w:sdtContent>
        <w:p>
          <w:pPr>
            <w:jc w:val="center"/>
            <w:rPr>
              <w:b/>
              <w:bCs/>
              <w:sz w:val="28"/>
              <w:szCs w:val="28"/>
            </w:rPr>
          </w:pPr>
        </w:p>
        <w:p>
          <w:pPr>
            <w:jc w:val="center"/>
            <w:rPr>
              <w:b/>
              <w:bCs/>
              <w:sz w:val="28"/>
              <w:szCs w:val="28"/>
            </w:rPr>
          </w:pPr>
        </w:p>
        <w:p>
          <w:pPr>
            <w:spacing w:line="360" w:lineRule="auto"/>
            <w:jc w:val="center"/>
            <w:rPr>
              <w:b/>
              <w:bCs/>
              <w:sz w:val="28"/>
              <w:szCs w:val="28"/>
            </w:rPr>
          </w:pPr>
          <w:r>
            <w:rPr>
              <w:b/>
              <w:bCs/>
              <w:sz w:val="28"/>
              <w:szCs w:val="28"/>
            </w:rPr>
            <w:t>目录</w:t>
          </w:r>
        </w:p>
        <w:p>
          <w:pPr>
            <w:pStyle w:val="11"/>
            <w:tabs>
              <w:tab w:val="right" w:leader="dot" w:pos="9638"/>
              <w:tab w:val="clear" w:pos="8222"/>
            </w:tabs>
            <w:adjustRightInd w:val="0"/>
            <w:snapToGrid w:val="0"/>
            <w:spacing w:line="360" w:lineRule="auto"/>
            <w:rPr>
              <w:rFonts w:ascii="Arial" w:hAnsi="Arial" w:eastAsia="宋体" w:cs="Arial"/>
              <w:sz w:val="21"/>
              <w:szCs w:val="21"/>
            </w:rPr>
          </w:pPr>
          <w:r>
            <w:fldChar w:fldCharType="begin"/>
          </w:r>
          <w:r>
            <w:instrText xml:space="preserve">TOC \o "1-2" \h \u </w:instrText>
          </w:r>
          <w:r>
            <w:fldChar w:fldCharType="separate"/>
          </w:r>
          <w:r>
            <w:fldChar w:fldCharType="begin"/>
          </w:r>
          <w:r>
            <w:instrText xml:space="preserve"> HYPERLINK \l "_Toc31850" </w:instrText>
          </w:r>
          <w:r>
            <w:fldChar w:fldCharType="separate"/>
          </w:r>
          <w:r>
            <w:rPr>
              <w:rFonts w:ascii="Arial" w:hAnsi="Arial" w:eastAsia="宋体" w:cs="Arial"/>
              <w:sz w:val="21"/>
              <w:szCs w:val="21"/>
            </w:rPr>
            <w:t>一、项目进展情况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_Toc31850 </w:instrText>
          </w:r>
          <w:r>
            <w:rPr>
              <w:rFonts w:ascii="Arial" w:hAnsi="Arial" w:eastAsia="宋体" w:cs="Arial"/>
              <w:sz w:val="21"/>
              <w:szCs w:val="21"/>
            </w:rPr>
            <w:fldChar w:fldCharType="separate"/>
          </w:r>
          <w:r>
            <w:rPr>
              <w:rFonts w:ascii="Arial" w:hAnsi="Arial" w:eastAsia="宋体" w:cs="Arial"/>
              <w:sz w:val="21"/>
              <w:szCs w:val="21"/>
            </w:rPr>
            <w:t>1</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"_Toc28523" </w:instrText>
          </w:r>
          <w:r>
            <w:fldChar w:fldCharType="separate"/>
          </w:r>
          <w:r>
            <w:rPr>
              <w:rFonts w:ascii="Arial" w:hAnsi="Arial" w:eastAsia="宋体" w:cs="Arial"/>
              <w:sz w:val="21"/>
              <w:szCs w:val="21"/>
            </w:rPr>
            <w:t>1、报建情况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_Toc28523 </w:instrText>
          </w:r>
          <w:r>
            <w:rPr>
              <w:rFonts w:ascii="Arial" w:hAnsi="Arial" w:eastAsia="宋体" w:cs="Arial"/>
              <w:sz w:val="21"/>
              <w:szCs w:val="21"/>
            </w:rPr>
            <w:fldChar w:fldCharType="separate"/>
          </w:r>
          <w:r>
            <w:rPr>
              <w:rFonts w:ascii="Arial" w:hAnsi="Arial" w:eastAsia="宋体" w:cs="Arial"/>
              <w:sz w:val="21"/>
              <w:szCs w:val="21"/>
            </w:rPr>
            <w:t>1</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"_Toc25052" </w:instrText>
          </w:r>
          <w:r>
            <w:fldChar w:fldCharType="separate"/>
          </w:r>
          <w:r>
            <w:rPr>
              <w:rFonts w:ascii="Arial" w:hAnsi="Arial" w:eastAsia="宋体" w:cs="Arial"/>
              <w:sz w:val="21"/>
              <w:szCs w:val="21"/>
            </w:rPr>
            <w:t>2、营销情况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_Toc25052 </w:instrText>
          </w:r>
          <w:r>
            <w:rPr>
              <w:rFonts w:ascii="Arial" w:hAnsi="Arial" w:eastAsia="宋体" w:cs="Arial"/>
              <w:sz w:val="21"/>
              <w:szCs w:val="21"/>
            </w:rPr>
            <w:fldChar w:fldCharType="separate"/>
          </w:r>
          <w:r>
            <w:rPr>
              <w:rFonts w:ascii="Arial" w:hAnsi="Arial" w:eastAsia="宋体" w:cs="Arial"/>
              <w:sz w:val="21"/>
              <w:szCs w:val="21"/>
            </w:rPr>
            <w:t>3</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"_Toc22047" </w:instrText>
          </w:r>
          <w:r>
            <w:fldChar w:fldCharType="separate"/>
          </w:r>
          <w:r>
            <w:rPr>
              <w:rFonts w:ascii="Arial" w:hAnsi="Arial" w:eastAsia="宋体" w:cs="Arial"/>
              <w:sz w:val="21"/>
              <w:szCs w:val="21"/>
            </w:rPr>
            <w:t>3、项目开发进展情况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_Toc22047 </w:instrText>
          </w:r>
          <w:r>
            <w:rPr>
              <w:rFonts w:ascii="Arial" w:hAnsi="Arial" w:eastAsia="宋体" w:cs="Arial"/>
              <w:sz w:val="21"/>
              <w:szCs w:val="21"/>
            </w:rPr>
            <w:fldChar w:fldCharType="separate"/>
          </w:r>
          <w:r>
            <w:rPr>
              <w:rFonts w:ascii="Arial" w:hAnsi="Arial" w:eastAsia="宋体" w:cs="Arial"/>
              <w:sz w:val="21"/>
              <w:szCs w:val="21"/>
            </w:rPr>
            <w:t>9</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"_Toc19646" </w:instrText>
          </w:r>
          <w:r>
            <w:fldChar w:fldCharType="separate"/>
          </w:r>
          <w:r>
            <w:rPr>
              <w:rFonts w:ascii="Arial" w:hAnsi="Arial" w:eastAsia="宋体" w:cs="Arial"/>
              <w:sz w:val="21"/>
              <w:szCs w:val="21"/>
            </w:rPr>
            <w:t>4、资金使用情况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_Toc19646 </w:instrText>
          </w:r>
          <w:r>
            <w:rPr>
              <w:rFonts w:ascii="Arial" w:hAnsi="Arial" w:eastAsia="宋体" w:cs="Arial"/>
              <w:sz w:val="21"/>
              <w:szCs w:val="21"/>
            </w:rPr>
            <w:fldChar w:fldCharType="separate"/>
          </w:r>
          <w:r>
            <w:rPr>
              <w:rFonts w:ascii="Arial" w:hAnsi="Arial" w:eastAsia="宋体" w:cs="Arial"/>
              <w:sz w:val="21"/>
              <w:szCs w:val="21"/>
            </w:rPr>
            <w:t>12</w:t>
          </w:r>
          <w:r>
            <w:rPr>
              <w:rFonts w:ascii="Arial" w:hAnsi="Arial" w:eastAsia="宋体" w:cs="Arial"/>
              <w:sz w:val="21"/>
              <w:szCs w:val="21"/>
            </w:rPr>
            <w:fldChar w:fldCharType="end"/>
          </w:r>
          <w:r>
            <w:rPr>
              <w:rFonts w:ascii="Arial" w:hAnsi="Arial" w:eastAsia="宋体" w:cs="Arial"/>
              <w:sz w:val="21"/>
              <w:szCs w:val="21"/>
            </w:rPr>
            <w:fldChar w:fldCharType="end"/>
          </w:r>
        </w:p>
        <w:p>
          <w:pPr>
            <w:pStyle w:val="11"/>
            <w:tabs>
              <w:tab w:val="right" w:leader="dot" w:pos="9638"/>
              <w:tab w:val="clear" w:pos="8222"/>
            </w:tabs>
            <w:adjustRightInd w:val="0"/>
            <w:snapToGrid w:val="0"/>
            <w:spacing w:line="360" w:lineRule="auto"/>
            <w:rPr>
              <w:rFonts w:ascii="Arial" w:hAnsi="Arial" w:eastAsia="宋体" w:cs="Arial"/>
              <w:sz w:val="21"/>
              <w:szCs w:val="21"/>
            </w:rPr>
          </w:pPr>
          <w:r>
            <w:fldChar w:fldCharType="begin"/>
          </w:r>
          <w:r>
            <w:instrText xml:space="preserve"> HYPERLINK \l "_Toc3095" </w:instrText>
          </w:r>
          <w:r>
            <w:fldChar w:fldCharType="separate"/>
          </w:r>
          <w:r>
            <w:rPr>
              <w:rFonts w:ascii="Arial" w:hAnsi="Arial" w:eastAsia="宋体" w:cs="Arial"/>
              <w:sz w:val="21"/>
              <w:szCs w:val="21"/>
            </w:rPr>
            <w:t>二、项目评价</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_Toc3095 </w:instrText>
          </w:r>
          <w:r>
            <w:rPr>
              <w:rFonts w:ascii="Arial" w:hAnsi="Arial" w:eastAsia="宋体" w:cs="Arial"/>
              <w:sz w:val="21"/>
              <w:szCs w:val="21"/>
            </w:rPr>
            <w:fldChar w:fldCharType="separate"/>
          </w:r>
          <w:r>
            <w:rPr>
              <w:rFonts w:ascii="Arial" w:hAnsi="Arial" w:eastAsia="宋体" w:cs="Arial"/>
              <w:sz w:val="21"/>
              <w:szCs w:val="21"/>
            </w:rPr>
            <w:t>13</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"_Toc19482" </w:instrText>
          </w:r>
          <w:r>
            <w:fldChar w:fldCharType="separate"/>
          </w:r>
          <w:r>
            <w:rPr>
              <w:rFonts w:ascii="Arial" w:hAnsi="Arial" w:eastAsia="宋体" w:cs="Arial"/>
              <w:sz w:val="21"/>
              <w:szCs w:val="21"/>
            </w:rPr>
            <w:t>1、报建评价</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_Toc19482 </w:instrText>
          </w:r>
          <w:r>
            <w:rPr>
              <w:rFonts w:ascii="Arial" w:hAnsi="Arial" w:eastAsia="宋体" w:cs="Arial"/>
              <w:sz w:val="21"/>
              <w:szCs w:val="21"/>
            </w:rPr>
            <w:fldChar w:fldCharType="separate"/>
          </w:r>
          <w:r>
            <w:rPr>
              <w:rFonts w:ascii="Arial" w:hAnsi="Arial" w:eastAsia="宋体" w:cs="Arial"/>
              <w:sz w:val="21"/>
              <w:szCs w:val="21"/>
            </w:rPr>
            <w:t>13</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"_Toc6873" </w:instrText>
          </w:r>
          <w:r>
            <w:fldChar w:fldCharType="separate"/>
          </w:r>
          <w:r>
            <w:rPr>
              <w:rFonts w:ascii="Arial" w:hAnsi="Arial" w:eastAsia="宋体" w:cs="Arial"/>
              <w:sz w:val="21"/>
              <w:szCs w:val="21"/>
            </w:rPr>
            <w:t>2、营销评价</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_Toc6873 </w:instrText>
          </w:r>
          <w:r>
            <w:rPr>
              <w:rFonts w:ascii="Arial" w:hAnsi="Arial" w:eastAsia="宋体" w:cs="Arial"/>
              <w:sz w:val="21"/>
              <w:szCs w:val="21"/>
            </w:rPr>
            <w:fldChar w:fldCharType="separate"/>
          </w:r>
          <w:r>
            <w:rPr>
              <w:rFonts w:ascii="Arial" w:hAnsi="Arial" w:eastAsia="宋体" w:cs="Arial"/>
              <w:sz w:val="21"/>
              <w:szCs w:val="21"/>
            </w:rPr>
            <w:t>13</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"_Toc10103" </w:instrText>
          </w:r>
          <w:r>
            <w:fldChar w:fldCharType="separate"/>
          </w:r>
          <w:r>
            <w:rPr>
              <w:rFonts w:ascii="Arial" w:hAnsi="Arial" w:eastAsia="宋体" w:cs="Arial"/>
              <w:sz w:val="21"/>
              <w:szCs w:val="21"/>
            </w:rPr>
            <w:t>3、开发建设评价</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_Toc10103 </w:instrText>
          </w:r>
          <w:r>
            <w:rPr>
              <w:rFonts w:ascii="Arial" w:hAnsi="Arial" w:eastAsia="宋体" w:cs="Arial"/>
              <w:sz w:val="21"/>
              <w:szCs w:val="21"/>
            </w:rPr>
            <w:fldChar w:fldCharType="separate"/>
          </w:r>
          <w:r>
            <w:rPr>
              <w:rFonts w:ascii="Arial" w:hAnsi="Arial" w:eastAsia="宋体" w:cs="Arial"/>
              <w:sz w:val="21"/>
              <w:szCs w:val="21"/>
            </w:rPr>
            <w:t>13</w:t>
          </w:r>
          <w:r>
            <w:rPr>
              <w:rFonts w:ascii="Arial" w:hAnsi="Arial" w:eastAsia="宋体" w:cs="Arial"/>
              <w:sz w:val="21"/>
              <w:szCs w:val="21"/>
            </w:rPr>
            <w:fldChar w:fldCharType="end"/>
          </w:r>
          <w:r>
            <w:rPr>
              <w:rFonts w:ascii="Arial" w:hAnsi="Arial" w:eastAsia="宋体" w:cs="Arial"/>
              <w:sz w:val="21"/>
              <w:szCs w:val="21"/>
            </w:rPr>
            <w:fldChar w:fldCharType="end"/>
          </w:r>
        </w:p>
        <w:p>
          <w:pPr>
            <w:pStyle w:val="11"/>
            <w:tabs>
              <w:tab w:val="right" w:leader="dot" w:pos="9638"/>
              <w:tab w:val="clear" w:pos="8222"/>
            </w:tabs>
            <w:adjustRightInd w:val="0"/>
            <w:snapToGrid w:val="0"/>
            <w:spacing w:line="360" w:lineRule="auto"/>
            <w:rPr>
              <w:rFonts w:ascii="Arial" w:hAnsi="Arial" w:eastAsia="宋体" w:cs="Arial"/>
              <w:sz w:val="21"/>
              <w:szCs w:val="21"/>
            </w:rPr>
          </w:pPr>
          <w:r>
            <w:fldChar w:fldCharType="begin"/>
          </w:r>
          <w:r>
            <w:instrText xml:space="preserve"> HYPERLINK \l "_Toc26496" </w:instrText>
          </w:r>
          <w:r>
            <w:fldChar w:fldCharType="separate"/>
          </w:r>
          <w:r>
            <w:rPr>
              <w:rFonts w:ascii="Arial" w:hAnsi="Arial" w:eastAsia="宋体" w:cs="Arial"/>
              <w:sz w:val="21"/>
              <w:szCs w:val="21"/>
            </w:rPr>
            <w:t>三、附件</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_Toc26496 </w:instrText>
          </w:r>
          <w:r>
            <w:rPr>
              <w:rFonts w:ascii="Arial" w:hAnsi="Arial" w:eastAsia="宋体" w:cs="Arial"/>
              <w:sz w:val="21"/>
              <w:szCs w:val="21"/>
            </w:rPr>
            <w:fldChar w:fldCharType="separate"/>
          </w:r>
          <w:r>
            <w:rPr>
              <w:rFonts w:ascii="Arial" w:hAnsi="Arial" w:eastAsia="宋体" w:cs="Arial"/>
              <w:sz w:val="21"/>
              <w:szCs w:val="21"/>
            </w:rPr>
            <w:t>13</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"_Toc17514" </w:instrText>
          </w:r>
          <w:r>
            <w:fldChar w:fldCharType="separate"/>
          </w:r>
          <w:r>
            <w:rPr>
              <w:rFonts w:ascii="Arial" w:hAnsi="Arial" w:eastAsia="宋体" w:cs="Arial"/>
              <w:sz w:val="21"/>
              <w:szCs w:val="21"/>
            </w:rPr>
            <w:t>附件一：本期用印情况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_Toc17514 </w:instrText>
          </w:r>
          <w:r>
            <w:rPr>
              <w:rFonts w:ascii="Arial" w:hAnsi="Arial" w:eastAsia="宋体" w:cs="Arial"/>
              <w:sz w:val="21"/>
              <w:szCs w:val="21"/>
            </w:rPr>
            <w:fldChar w:fldCharType="separate"/>
          </w:r>
          <w:r>
            <w:rPr>
              <w:rFonts w:ascii="Arial" w:hAnsi="Arial" w:eastAsia="宋体" w:cs="Arial"/>
              <w:sz w:val="21"/>
              <w:szCs w:val="21"/>
            </w:rPr>
            <w:t>13</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"_Toc10894" </w:instrText>
          </w:r>
          <w:r>
            <w:fldChar w:fldCharType="separate"/>
          </w:r>
          <w:r>
            <w:rPr>
              <w:rFonts w:ascii="Arial" w:hAnsi="Arial" w:eastAsia="宋体" w:cs="Arial"/>
              <w:sz w:val="21"/>
              <w:szCs w:val="21"/>
            </w:rPr>
            <w:t>附件二：章证照使用登记情况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_Toc10894 </w:instrText>
          </w:r>
          <w:r>
            <w:rPr>
              <w:rFonts w:ascii="Arial" w:hAnsi="Arial" w:eastAsia="宋体" w:cs="Arial"/>
              <w:sz w:val="21"/>
              <w:szCs w:val="21"/>
            </w:rPr>
            <w:fldChar w:fldCharType="separate"/>
          </w:r>
          <w:r>
            <w:rPr>
              <w:rFonts w:ascii="Arial" w:hAnsi="Arial" w:eastAsia="宋体" w:cs="Arial"/>
              <w:sz w:val="21"/>
              <w:szCs w:val="21"/>
            </w:rPr>
            <w:t>19</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"_Toc17832" </w:instrText>
          </w:r>
          <w:r>
            <w:fldChar w:fldCharType="separate"/>
          </w:r>
          <w:r>
            <w:rPr>
              <w:rFonts w:ascii="Arial" w:hAnsi="Arial" w:eastAsia="宋体" w:cs="Arial"/>
              <w:sz w:val="21"/>
              <w:szCs w:val="21"/>
            </w:rPr>
            <w:t>附件三：本期资金支出情况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_Toc17832 </w:instrText>
          </w:r>
          <w:r>
            <w:rPr>
              <w:rFonts w:ascii="Arial" w:hAnsi="Arial" w:eastAsia="宋体" w:cs="Arial"/>
              <w:sz w:val="21"/>
              <w:szCs w:val="21"/>
            </w:rPr>
            <w:fldChar w:fldCharType="separate"/>
          </w:r>
          <w:r>
            <w:rPr>
              <w:rFonts w:ascii="Arial" w:hAnsi="Arial" w:eastAsia="宋体" w:cs="Arial"/>
              <w:sz w:val="21"/>
              <w:szCs w:val="21"/>
            </w:rPr>
            <w:t>23</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"_Toc32568" </w:instrText>
          </w:r>
          <w:r>
            <w:fldChar w:fldCharType="separate"/>
          </w:r>
          <w:r>
            <w:rPr>
              <w:rFonts w:ascii="Arial" w:hAnsi="Arial" w:eastAsia="宋体" w:cs="Arial"/>
              <w:sz w:val="21"/>
              <w:szCs w:val="21"/>
            </w:rPr>
            <w:t>附件四：本期合同签订情况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_Toc32568 </w:instrText>
          </w:r>
          <w:r>
            <w:rPr>
              <w:rFonts w:ascii="Arial" w:hAnsi="Arial" w:eastAsia="宋体" w:cs="Arial"/>
              <w:sz w:val="21"/>
              <w:szCs w:val="21"/>
            </w:rPr>
            <w:fldChar w:fldCharType="separate"/>
          </w:r>
          <w:r>
            <w:rPr>
              <w:rFonts w:ascii="Arial" w:hAnsi="Arial" w:eastAsia="宋体" w:cs="Arial"/>
              <w:sz w:val="21"/>
              <w:szCs w:val="21"/>
            </w:rPr>
            <w:t>24</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cs="Arial"/>
            </w:rPr>
          </w:pPr>
          <w:r>
            <w:fldChar w:fldCharType="begin"/>
          </w:r>
          <w:r>
            <w:instrText xml:space="preserve"> HYPERLINK \l "_Toc6047" </w:instrText>
          </w:r>
          <w:r>
            <w:fldChar w:fldCharType="separate"/>
          </w:r>
          <w:r>
            <w:rPr>
              <w:rFonts w:ascii="Arial" w:hAnsi="Arial" w:eastAsia="宋体" w:cs="Arial"/>
              <w:sz w:val="21"/>
              <w:szCs w:val="21"/>
            </w:rPr>
            <w:t>附件五：项目公司账户余额情况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_Toc6047 </w:instrText>
          </w:r>
          <w:r>
            <w:rPr>
              <w:rFonts w:ascii="Arial" w:hAnsi="Arial" w:eastAsia="宋体" w:cs="Arial"/>
              <w:sz w:val="21"/>
              <w:szCs w:val="21"/>
            </w:rPr>
            <w:fldChar w:fldCharType="separate"/>
          </w:r>
          <w:r>
            <w:rPr>
              <w:rFonts w:ascii="Arial" w:hAnsi="Arial" w:eastAsia="宋体" w:cs="Arial"/>
              <w:sz w:val="21"/>
              <w:szCs w:val="21"/>
            </w:rPr>
            <w:t>27</w:t>
          </w:r>
          <w:r>
            <w:rPr>
              <w:rFonts w:ascii="Arial" w:hAnsi="Arial" w:eastAsia="宋体" w:cs="Arial"/>
              <w:sz w:val="21"/>
              <w:szCs w:val="21"/>
            </w:rPr>
            <w:fldChar w:fldCharType="end"/>
          </w:r>
          <w:r>
            <w:rPr>
              <w:rFonts w:ascii="Arial" w:hAnsi="Arial" w:eastAsia="宋体" w:cs="Arial"/>
              <w:sz w:val="21"/>
              <w:szCs w:val="21"/>
            </w:rPr>
            <w:fldChar w:fldCharType="end"/>
          </w:r>
        </w:p>
        <w:p>
          <w:r>
            <w:fldChar w:fldCharType="end"/>
          </w:r>
        </w:p>
      </w:sdtContent>
    </w:sdt>
    <w:p>
      <w:pPr>
        <w:rPr>
          <w:rFonts w:ascii="Arial" w:hAnsi="Arial" w:cs="Arial"/>
          <w:lang w:val="zh-CN"/>
        </w:rPr>
        <w:sectPr>
          <w:headerReference r:id="rId3" w:type="default"/>
          <w:footerReference r:id="rId4" w:type="default"/>
          <w:pgSz w:w="11906" w:h="16838"/>
          <w:pgMar w:top="1843" w:right="1134" w:bottom="1134" w:left="1134" w:header="851" w:footer="992" w:gutter="0"/>
          <w:pgNumType w:start="1"/>
          <w:cols w:space="425" w:num="1"/>
          <w:titlePg/>
          <w:docGrid w:type="lines" w:linePitch="326" w:charSpace="0"/>
        </w:sectPr>
      </w:pPr>
      <w:r>
        <w:rPr>
          <w:rFonts w:ascii="Arial" w:hAnsi="Arial" w:cs="Arial"/>
          <w:lang w:val="zh-CN"/>
        </w:rPr>
        <w:br w:type="page"/>
      </w:r>
    </w:p>
    <w:p>
      <w:pPr>
        <w:spacing w:line="360" w:lineRule="auto"/>
        <w:ind w:firstLine="420" w:firstLineChars="200"/>
        <w:rPr>
          <w:rFonts w:ascii="Arial" w:hAnsi="Arial" w:cs="Arial"/>
          <w:bCs/>
          <w:kern w:val="44"/>
          <w:sz w:val="21"/>
          <w:szCs w:val="21"/>
        </w:rPr>
      </w:pPr>
      <w:bookmarkStart w:id="0" w:name="_Toc31850"/>
      <w:r>
        <w:rPr>
          <w:rFonts w:ascii="Arial" w:hAnsi="Arial" w:cs="Arial"/>
          <w:bCs/>
          <w:kern w:val="44"/>
          <w:sz w:val="21"/>
          <w:szCs w:val="21"/>
        </w:rPr>
        <w:t>为了方便阅读之目的，本报告中将部分名称简写为：</w:t>
      </w:r>
    </w:p>
    <w:p>
      <w:pPr>
        <w:spacing w:line="360" w:lineRule="auto"/>
        <w:ind w:firstLine="420" w:firstLineChars="200"/>
        <w:rPr>
          <w:rFonts w:ascii="Arial" w:hAnsi="Arial" w:cs="Arial"/>
          <w:bCs/>
          <w:kern w:val="44"/>
          <w:sz w:val="21"/>
          <w:szCs w:val="21"/>
        </w:rPr>
      </w:pPr>
      <w:r>
        <w:rPr>
          <w:rFonts w:ascii="Arial" w:hAnsi="Arial" w:cs="Arial"/>
          <w:bCs/>
          <w:kern w:val="44"/>
          <w:sz w:val="21"/>
          <w:szCs w:val="21"/>
        </w:rPr>
        <w:t>·项目公司：重庆鑫坤房地产开发有限公司</w:t>
      </w:r>
      <w:bookmarkStart w:id="30" w:name="_GoBack"/>
      <w:bookmarkEnd w:id="30"/>
    </w:p>
    <w:p>
      <w:pPr>
        <w:spacing w:line="360" w:lineRule="auto"/>
        <w:ind w:firstLine="420" w:firstLineChars="200"/>
        <w:rPr>
          <w:rFonts w:ascii="Arial" w:hAnsi="Arial" w:cs="Arial"/>
          <w:bCs/>
          <w:kern w:val="44"/>
          <w:sz w:val="21"/>
          <w:szCs w:val="21"/>
        </w:rPr>
      </w:pPr>
      <w:r>
        <w:rPr>
          <w:rFonts w:ascii="Arial" w:hAnsi="Arial" w:cs="Arial"/>
          <w:bCs/>
          <w:kern w:val="44"/>
          <w:sz w:val="21"/>
          <w:szCs w:val="21"/>
        </w:rPr>
        <w:t>·</w:t>
      </w:r>
      <w:r>
        <w:rPr>
          <w:rFonts w:hint="eastAsia" w:ascii="Arial" w:hAnsi="Arial" w:cs="Arial"/>
          <w:bCs/>
          <w:kern w:val="44"/>
          <w:sz w:val="21"/>
          <w:szCs w:val="21"/>
        </w:rPr>
        <w:t>光大</w:t>
      </w:r>
      <w:r>
        <w:rPr>
          <w:rFonts w:ascii="Arial" w:hAnsi="Arial" w:cs="Arial"/>
          <w:bCs/>
          <w:kern w:val="44"/>
          <w:sz w:val="21"/>
          <w:szCs w:val="21"/>
        </w:rPr>
        <w:t>信托：光大兴陇信托有限责任公司</w:t>
      </w:r>
    </w:p>
    <w:p>
      <w:pPr>
        <w:spacing w:line="360" w:lineRule="auto"/>
        <w:ind w:firstLine="420" w:firstLineChars="200"/>
        <w:rPr>
          <w:rFonts w:ascii="Arial" w:hAnsi="Arial" w:cs="Arial"/>
          <w:bCs/>
          <w:kern w:val="44"/>
          <w:sz w:val="21"/>
          <w:szCs w:val="21"/>
        </w:rPr>
      </w:pPr>
      <w:r>
        <w:rPr>
          <w:rFonts w:ascii="Arial" w:hAnsi="Arial" w:cs="Arial"/>
          <w:bCs/>
          <w:kern w:val="44"/>
          <w:sz w:val="21"/>
          <w:szCs w:val="21"/>
        </w:rPr>
        <w:t>·康信</w:t>
      </w:r>
      <w:r>
        <w:rPr>
          <w:rFonts w:hint="eastAsia" w:ascii="Arial" w:hAnsi="Arial" w:cs="Arial"/>
          <w:bCs/>
          <w:kern w:val="44"/>
          <w:sz w:val="21"/>
          <w:szCs w:val="21"/>
        </w:rPr>
        <w:t>君安</w:t>
      </w:r>
      <w:r>
        <w:rPr>
          <w:rFonts w:ascii="Arial" w:hAnsi="Arial" w:cs="Arial"/>
          <w:bCs/>
          <w:kern w:val="44"/>
          <w:sz w:val="21"/>
          <w:szCs w:val="21"/>
        </w:rPr>
        <w:t>：北京康信君安资产管理有限公司</w:t>
      </w:r>
    </w:p>
    <w:p>
      <w:pPr>
        <w:spacing w:before="300" w:after="300" w:line="360" w:lineRule="exact"/>
        <w:outlineLvl w:val="1"/>
        <w:rPr>
          <w:rStyle w:val="22"/>
          <w:b w:val="0"/>
          <w:sz w:val="24"/>
          <w:szCs w:val="24"/>
        </w:rPr>
      </w:pPr>
      <w:r>
        <w:rPr>
          <w:rStyle w:val="22"/>
          <w:sz w:val="24"/>
          <w:szCs w:val="24"/>
        </w:rPr>
        <w:t>一、项目进展情况</w:t>
      </w:r>
      <w:bookmarkEnd w:id="0"/>
    </w:p>
    <w:p>
      <w:pPr>
        <w:spacing w:before="300" w:after="300" w:line="360" w:lineRule="exact"/>
        <w:outlineLvl w:val="1"/>
        <w:rPr>
          <w:rStyle w:val="22"/>
          <w:sz w:val="24"/>
          <w:szCs w:val="24"/>
        </w:rPr>
      </w:pPr>
      <w:bookmarkStart w:id="1" w:name="_Toc3442_WPSOffice_Level2"/>
      <w:bookmarkStart w:id="2" w:name="_Toc28523"/>
      <w:r>
        <w:rPr>
          <w:rStyle w:val="22"/>
          <w:rFonts w:hint="eastAsia"/>
          <w:sz w:val="24"/>
          <w:szCs w:val="24"/>
        </w:rPr>
        <w:t>1、</w:t>
      </w:r>
      <w:r>
        <w:rPr>
          <w:rStyle w:val="22"/>
          <w:sz w:val="24"/>
          <w:szCs w:val="24"/>
        </w:rPr>
        <w:t>报建</w:t>
      </w:r>
      <w:bookmarkEnd w:id="1"/>
      <w:r>
        <w:rPr>
          <w:rStyle w:val="22"/>
          <w:sz w:val="24"/>
          <w:szCs w:val="24"/>
        </w:rPr>
        <w:t>情况</w:t>
      </w:r>
      <w:bookmarkEnd w:id="2"/>
    </w:p>
    <w:tbl>
      <w:tblPr>
        <w:tblStyle w:val="17"/>
        <w:tblW w:w="9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140"/>
        <w:gridCol w:w="2639"/>
        <w:gridCol w:w="1771"/>
        <w:gridCol w:w="1320"/>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11"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14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证件名称</w:t>
            </w:r>
          </w:p>
        </w:tc>
        <w:tc>
          <w:tcPr>
            <w:tcW w:w="263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themeColor="text1"/>
                <w:sz w:val="18"/>
                <w:szCs w:val="18"/>
                <w:lang w:bidi="ar"/>
                <w14:textFill>
                  <w14:solidFill>
                    <w14:schemeClr w14:val="tx1"/>
                  </w14:solidFill>
                </w14:textFill>
              </w:rPr>
              <w:t>政策要求</w:t>
            </w:r>
          </w:p>
        </w:tc>
        <w:tc>
          <w:tcPr>
            <w:tcW w:w="1771"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实际取证日期</w:t>
            </w:r>
          </w:p>
        </w:tc>
        <w:tc>
          <w:tcPr>
            <w:tcW w:w="132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证载面积</w:t>
            </w:r>
          </w:p>
        </w:tc>
        <w:tc>
          <w:tcPr>
            <w:tcW w:w="2154" w:type="dxa"/>
            <w:vAlign w:val="center"/>
          </w:tcPr>
          <w:p>
            <w:pPr>
              <w:jc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611" w:type="dxa"/>
            <w:vMerge w:val="restart"/>
            <w:vAlign w:val="center"/>
          </w:tcPr>
          <w:p>
            <w:pPr>
              <w:jc w:val="center"/>
              <w:textAlignment w:val="center"/>
              <w:rPr>
                <w:rFonts w:ascii="Arial" w:hAnsi="Arial" w:cs="Arial"/>
                <w:b/>
                <w:bCs/>
                <w:color w:val="000000"/>
                <w:sz w:val="18"/>
                <w:szCs w:val="18"/>
                <w:lang w:bidi="ar"/>
              </w:rPr>
            </w:pPr>
            <w:r>
              <w:rPr>
                <w:rFonts w:ascii="Arial" w:hAnsi="Arial" w:cs="Arial"/>
                <w:color w:val="000000"/>
                <w:sz w:val="18"/>
                <w:szCs w:val="18"/>
                <w:lang w:bidi="ar"/>
              </w:rPr>
              <w:t>1</w:t>
            </w:r>
          </w:p>
        </w:tc>
        <w:tc>
          <w:tcPr>
            <w:tcW w:w="1140" w:type="dxa"/>
            <w:vMerge w:val="restart"/>
            <w:vAlign w:val="center"/>
          </w:tcPr>
          <w:p>
            <w:pPr>
              <w:jc w:val="center"/>
              <w:textAlignment w:val="center"/>
              <w:rPr>
                <w:rFonts w:ascii="Arial" w:hAnsi="Arial" w:cs="Arial"/>
                <w:b/>
                <w:bCs/>
                <w:color w:val="000000"/>
                <w:sz w:val="18"/>
                <w:szCs w:val="18"/>
                <w:lang w:bidi="ar"/>
              </w:rPr>
            </w:pPr>
            <w:r>
              <w:rPr>
                <w:rFonts w:ascii="Arial" w:hAnsi="Arial" w:cs="Arial"/>
                <w:color w:val="000000"/>
                <w:sz w:val="18"/>
                <w:szCs w:val="18"/>
                <w:lang w:bidi="ar"/>
              </w:rPr>
              <w:t>不动产权证书</w:t>
            </w:r>
          </w:p>
        </w:tc>
        <w:tc>
          <w:tcPr>
            <w:tcW w:w="2639" w:type="dxa"/>
            <w:vMerge w:val="restart"/>
            <w:vAlign w:val="center"/>
          </w:tcPr>
          <w:p>
            <w:pPr>
              <w:pStyle w:val="35"/>
              <w:spacing w:line="240" w:lineRule="auto"/>
              <w:jc w:val="center"/>
              <w:rPr>
                <w:rFonts w:ascii="Arial" w:hAnsi="Arial" w:eastAsia="宋体" w:cs="Arial"/>
                <w:b/>
                <w:bCs/>
                <w:color w:val="000000" w:themeColor="text1"/>
                <w:sz w:val="18"/>
                <w:szCs w:val="18"/>
                <w:lang w:bidi="ar"/>
                <w14:textFill>
                  <w14:solidFill>
                    <w14:schemeClr w14:val="tx1"/>
                  </w14:solidFill>
                </w14:textFill>
              </w:rPr>
            </w:pPr>
            <w:r>
              <w:rPr>
                <w:rFonts w:ascii="Arial" w:hAnsi="Arial" w:eastAsia="宋体" w:cs="Arial"/>
                <w:sz w:val="18"/>
                <w:szCs w:val="18"/>
                <w:lang w:bidi="ar"/>
              </w:rPr>
              <w:t>法人身份证明；营业执照复印件；委托书及委托人身份证原件；土地合同；交付土地协议；出让金票据及土地契税票据；权籍调查表；宗地图。</w:t>
            </w:r>
          </w:p>
        </w:tc>
        <w:tc>
          <w:tcPr>
            <w:tcW w:w="1771" w:type="dxa"/>
            <w:vAlign w:val="center"/>
          </w:tcPr>
          <w:p>
            <w:pPr>
              <w:jc w:val="center"/>
              <w:textAlignment w:val="center"/>
              <w:rPr>
                <w:rFonts w:ascii="Arial" w:hAnsi="Arial" w:cs="Arial"/>
                <w:b/>
                <w:bCs/>
                <w:color w:val="000000"/>
                <w:sz w:val="18"/>
                <w:szCs w:val="18"/>
                <w:lang w:bidi="ar"/>
              </w:rPr>
            </w:pPr>
            <w:r>
              <w:rPr>
                <w:rFonts w:ascii="Arial" w:hAnsi="Arial" w:cs="Arial"/>
                <w:sz w:val="18"/>
                <w:szCs w:val="18"/>
              </w:rPr>
              <w:t>2020年6月24日</w:t>
            </w:r>
          </w:p>
        </w:tc>
        <w:tc>
          <w:tcPr>
            <w:tcW w:w="1320" w:type="dxa"/>
            <w:vAlign w:val="center"/>
          </w:tcPr>
          <w:p>
            <w:pPr>
              <w:jc w:val="center"/>
              <w:textAlignment w:val="center"/>
              <w:rPr>
                <w:rFonts w:ascii="Arial" w:hAnsi="Arial" w:cs="Arial"/>
                <w:b/>
                <w:bCs/>
                <w:color w:val="000000"/>
                <w:sz w:val="18"/>
                <w:szCs w:val="18"/>
                <w:lang w:bidi="ar"/>
              </w:rPr>
            </w:pPr>
            <w:r>
              <w:rPr>
                <w:rFonts w:ascii="Arial" w:hAnsi="Arial" w:cs="Arial"/>
                <w:sz w:val="18"/>
                <w:szCs w:val="18"/>
              </w:rPr>
              <w:t>46715㎡</w:t>
            </w:r>
          </w:p>
        </w:tc>
        <w:tc>
          <w:tcPr>
            <w:tcW w:w="215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恒大锦城T19-1/03号地块《不动产权证书》/ 渝（2020）巴南区不动产权第0000589766号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11" w:type="dxa"/>
            <w:vMerge w:val="continue"/>
            <w:vAlign w:val="center"/>
          </w:tcPr>
          <w:p>
            <w:pPr>
              <w:jc w:val="center"/>
              <w:textAlignment w:val="center"/>
              <w:rPr>
                <w:rFonts w:ascii="Arial" w:hAnsi="Arial" w:cs="Arial"/>
                <w:b/>
                <w:bCs/>
                <w:color w:val="000000"/>
                <w:sz w:val="18"/>
                <w:szCs w:val="18"/>
                <w:lang w:bidi="ar"/>
              </w:rPr>
            </w:pPr>
          </w:p>
        </w:tc>
        <w:tc>
          <w:tcPr>
            <w:tcW w:w="1140" w:type="dxa"/>
            <w:vMerge w:val="continue"/>
            <w:vAlign w:val="center"/>
          </w:tcPr>
          <w:p>
            <w:pPr>
              <w:jc w:val="center"/>
              <w:textAlignment w:val="center"/>
              <w:rPr>
                <w:rFonts w:ascii="Arial" w:hAnsi="Arial" w:cs="Arial"/>
                <w:b/>
                <w:bCs/>
                <w:color w:val="000000"/>
                <w:sz w:val="18"/>
                <w:szCs w:val="18"/>
                <w:lang w:bidi="ar"/>
              </w:rPr>
            </w:pPr>
          </w:p>
        </w:tc>
        <w:tc>
          <w:tcPr>
            <w:tcW w:w="2639" w:type="dxa"/>
            <w:vMerge w:val="continue"/>
            <w:vAlign w:val="center"/>
          </w:tcPr>
          <w:p>
            <w:pPr>
              <w:pStyle w:val="35"/>
              <w:spacing w:line="240" w:lineRule="auto"/>
              <w:jc w:val="center"/>
              <w:rPr>
                <w:rFonts w:ascii="Arial" w:hAnsi="Arial" w:eastAsia="宋体" w:cs="Arial"/>
                <w:b/>
                <w:bCs/>
                <w:color w:val="000000" w:themeColor="text1"/>
                <w:sz w:val="18"/>
                <w:szCs w:val="18"/>
                <w:lang w:bidi="ar"/>
                <w14:textFill>
                  <w14:solidFill>
                    <w14:schemeClr w14:val="tx1"/>
                  </w14:solidFill>
                </w14:textFill>
              </w:rPr>
            </w:pPr>
          </w:p>
        </w:tc>
        <w:tc>
          <w:tcPr>
            <w:tcW w:w="1771" w:type="dxa"/>
            <w:vAlign w:val="center"/>
          </w:tcPr>
          <w:p>
            <w:pPr>
              <w:jc w:val="center"/>
              <w:textAlignment w:val="center"/>
              <w:rPr>
                <w:rFonts w:ascii="Arial" w:hAnsi="Arial" w:cs="Arial"/>
                <w:b/>
                <w:bCs/>
                <w:color w:val="000000"/>
                <w:sz w:val="18"/>
                <w:szCs w:val="18"/>
                <w:lang w:bidi="ar"/>
              </w:rPr>
            </w:pPr>
            <w:r>
              <w:rPr>
                <w:rFonts w:ascii="Arial" w:hAnsi="Arial" w:cs="Arial"/>
                <w:sz w:val="18"/>
                <w:szCs w:val="18"/>
              </w:rPr>
              <w:t>2020年6月24日</w:t>
            </w:r>
          </w:p>
        </w:tc>
        <w:tc>
          <w:tcPr>
            <w:tcW w:w="1320" w:type="dxa"/>
            <w:vAlign w:val="center"/>
          </w:tcPr>
          <w:p>
            <w:pPr>
              <w:jc w:val="center"/>
              <w:textAlignment w:val="center"/>
              <w:rPr>
                <w:rFonts w:ascii="Arial" w:hAnsi="Arial" w:cs="Arial"/>
                <w:b/>
                <w:bCs/>
                <w:color w:val="000000"/>
                <w:sz w:val="18"/>
                <w:szCs w:val="18"/>
                <w:lang w:bidi="ar"/>
              </w:rPr>
            </w:pPr>
            <w:r>
              <w:rPr>
                <w:rFonts w:ascii="Arial" w:hAnsi="Arial" w:cs="Arial"/>
                <w:sz w:val="18"/>
                <w:szCs w:val="18"/>
              </w:rPr>
              <w:t>9060㎡</w:t>
            </w:r>
          </w:p>
        </w:tc>
        <w:tc>
          <w:tcPr>
            <w:tcW w:w="2154" w:type="dxa"/>
            <w:vAlign w:val="center"/>
          </w:tcPr>
          <w:p>
            <w:pPr>
              <w:jc w:val="center"/>
              <w:rPr>
                <w:rFonts w:ascii="Arial" w:hAnsi="Arial" w:cs="Arial"/>
                <w:b/>
                <w:bCs/>
                <w:color w:val="000000"/>
                <w:sz w:val="18"/>
                <w:szCs w:val="18"/>
                <w:lang w:bidi="ar"/>
              </w:rPr>
            </w:pPr>
            <w:r>
              <w:rPr>
                <w:rFonts w:ascii="Arial" w:hAnsi="Arial" w:cs="Arial"/>
                <w:sz w:val="18"/>
                <w:szCs w:val="18"/>
              </w:rPr>
              <w:t>恒大锦城T20-2/03号地块《不动产权证书》/渝（2020）巴南区不动产权第0000589598号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11" w:type="dxa"/>
            <w:vMerge w:val="continue"/>
            <w:vAlign w:val="center"/>
          </w:tcPr>
          <w:p>
            <w:pPr>
              <w:jc w:val="center"/>
              <w:textAlignment w:val="center"/>
              <w:rPr>
                <w:rFonts w:ascii="Arial" w:hAnsi="Arial" w:cs="Arial"/>
                <w:b/>
                <w:bCs/>
                <w:color w:val="000000"/>
                <w:sz w:val="18"/>
                <w:szCs w:val="18"/>
                <w:lang w:bidi="ar"/>
              </w:rPr>
            </w:pPr>
          </w:p>
        </w:tc>
        <w:tc>
          <w:tcPr>
            <w:tcW w:w="1140" w:type="dxa"/>
            <w:vMerge w:val="continue"/>
            <w:vAlign w:val="center"/>
          </w:tcPr>
          <w:p>
            <w:pPr>
              <w:jc w:val="center"/>
              <w:textAlignment w:val="center"/>
              <w:rPr>
                <w:rFonts w:ascii="Arial" w:hAnsi="Arial" w:cs="Arial"/>
                <w:b/>
                <w:bCs/>
                <w:color w:val="000000"/>
                <w:sz w:val="18"/>
                <w:szCs w:val="18"/>
                <w:lang w:bidi="ar"/>
              </w:rPr>
            </w:pPr>
          </w:p>
        </w:tc>
        <w:tc>
          <w:tcPr>
            <w:tcW w:w="2639" w:type="dxa"/>
            <w:vMerge w:val="continue"/>
            <w:vAlign w:val="center"/>
          </w:tcPr>
          <w:p>
            <w:pPr>
              <w:pStyle w:val="35"/>
              <w:spacing w:line="240" w:lineRule="auto"/>
              <w:jc w:val="center"/>
              <w:rPr>
                <w:rFonts w:ascii="Arial" w:hAnsi="Arial" w:eastAsia="宋体" w:cs="Arial"/>
                <w:b/>
                <w:bCs/>
                <w:color w:val="000000" w:themeColor="text1"/>
                <w:sz w:val="18"/>
                <w:szCs w:val="18"/>
                <w:lang w:bidi="ar"/>
                <w14:textFill>
                  <w14:solidFill>
                    <w14:schemeClr w14:val="tx1"/>
                  </w14:solidFill>
                </w14:textFill>
              </w:rPr>
            </w:pPr>
          </w:p>
        </w:tc>
        <w:tc>
          <w:tcPr>
            <w:tcW w:w="1771" w:type="dxa"/>
            <w:vAlign w:val="center"/>
          </w:tcPr>
          <w:p>
            <w:pPr>
              <w:jc w:val="center"/>
              <w:textAlignment w:val="center"/>
              <w:rPr>
                <w:rFonts w:ascii="Arial" w:hAnsi="Arial" w:cs="Arial"/>
                <w:b/>
                <w:bCs/>
                <w:color w:val="000000"/>
                <w:sz w:val="18"/>
                <w:szCs w:val="18"/>
                <w:lang w:bidi="ar"/>
              </w:rPr>
            </w:pPr>
            <w:r>
              <w:rPr>
                <w:rFonts w:ascii="Arial" w:hAnsi="Arial" w:cs="Arial"/>
                <w:sz w:val="18"/>
                <w:szCs w:val="18"/>
              </w:rPr>
              <w:t>2020年6月24日</w:t>
            </w:r>
          </w:p>
        </w:tc>
        <w:tc>
          <w:tcPr>
            <w:tcW w:w="1320" w:type="dxa"/>
            <w:vAlign w:val="center"/>
          </w:tcPr>
          <w:p>
            <w:pPr>
              <w:jc w:val="center"/>
              <w:textAlignment w:val="center"/>
              <w:rPr>
                <w:rFonts w:ascii="Arial" w:hAnsi="Arial" w:cs="Arial"/>
                <w:b/>
                <w:bCs/>
                <w:color w:val="000000"/>
                <w:sz w:val="18"/>
                <w:szCs w:val="18"/>
                <w:lang w:bidi="ar"/>
              </w:rPr>
            </w:pPr>
            <w:r>
              <w:rPr>
                <w:rFonts w:ascii="Arial" w:hAnsi="Arial" w:cs="Arial"/>
                <w:sz w:val="18"/>
                <w:szCs w:val="18"/>
              </w:rPr>
              <w:t>16429㎡</w:t>
            </w:r>
          </w:p>
        </w:tc>
        <w:tc>
          <w:tcPr>
            <w:tcW w:w="2154" w:type="dxa"/>
            <w:vAlign w:val="center"/>
          </w:tcPr>
          <w:p>
            <w:pPr>
              <w:jc w:val="center"/>
              <w:rPr>
                <w:rFonts w:ascii="Arial" w:hAnsi="Arial" w:cs="Arial"/>
                <w:b/>
                <w:bCs/>
                <w:color w:val="000000"/>
                <w:sz w:val="18"/>
                <w:szCs w:val="18"/>
                <w:lang w:bidi="ar"/>
              </w:rPr>
            </w:pPr>
            <w:r>
              <w:rPr>
                <w:rFonts w:ascii="Arial" w:hAnsi="Arial" w:cs="Arial"/>
                <w:sz w:val="18"/>
                <w:szCs w:val="18"/>
              </w:rPr>
              <w:t>恒大锦城T19-2/03号地块《不动产权证书》/渝（2020）巴南区不动产权第0000589690号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11" w:type="dxa"/>
            <w:vMerge w:val="continue"/>
            <w:vAlign w:val="center"/>
          </w:tcPr>
          <w:p>
            <w:pPr>
              <w:jc w:val="center"/>
              <w:textAlignment w:val="center"/>
              <w:rPr>
                <w:rFonts w:ascii="Arial" w:hAnsi="Arial" w:cs="Arial"/>
                <w:b/>
                <w:bCs/>
                <w:color w:val="000000"/>
                <w:sz w:val="18"/>
                <w:szCs w:val="18"/>
                <w:lang w:bidi="ar"/>
              </w:rPr>
            </w:pPr>
          </w:p>
        </w:tc>
        <w:tc>
          <w:tcPr>
            <w:tcW w:w="1140" w:type="dxa"/>
            <w:vMerge w:val="continue"/>
            <w:vAlign w:val="center"/>
          </w:tcPr>
          <w:p>
            <w:pPr>
              <w:jc w:val="center"/>
              <w:textAlignment w:val="center"/>
              <w:rPr>
                <w:rFonts w:ascii="Arial" w:hAnsi="Arial" w:cs="Arial"/>
                <w:b/>
                <w:bCs/>
                <w:color w:val="000000"/>
                <w:sz w:val="18"/>
                <w:szCs w:val="18"/>
                <w:lang w:bidi="ar"/>
              </w:rPr>
            </w:pPr>
          </w:p>
        </w:tc>
        <w:tc>
          <w:tcPr>
            <w:tcW w:w="2639" w:type="dxa"/>
            <w:vMerge w:val="continue"/>
            <w:vAlign w:val="center"/>
          </w:tcPr>
          <w:p>
            <w:pPr>
              <w:pStyle w:val="35"/>
              <w:spacing w:line="240" w:lineRule="auto"/>
              <w:jc w:val="center"/>
              <w:rPr>
                <w:rFonts w:ascii="Arial" w:hAnsi="Arial" w:eastAsia="宋体" w:cs="Arial"/>
                <w:b/>
                <w:bCs/>
                <w:color w:val="000000" w:themeColor="text1"/>
                <w:sz w:val="18"/>
                <w:szCs w:val="18"/>
                <w:lang w:bidi="ar"/>
                <w14:textFill>
                  <w14:solidFill>
                    <w14:schemeClr w14:val="tx1"/>
                  </w14:solidFill>
                </w14:textFill>
              </w:rPr>
            </w:pPr>
          </w:p>
        </w:tc>
        <w:tc>
          <w:tcPr>
            <w:tcW w:w="1771" w:type="dxa"/>
            <w:vAlign w:val="center"/>
          </w:tcPr>
          <w:p>
            <w:pPr>
              <w:jc w:val="center"/>
              <w:textAlignment w:val="center"/>
              <w:rPr>
                <w:rFonts w:ascii="Arial" w:hAnsi="Arial" w:cs="Arial"/>
                <w:b/>
                <w:bCs/>
                <w:color w:val="000000"/>
                <w:sz w:val="18"/>
                <w:szCs w:val="18"/>
                <w:lang w:bidi="ar"/>
              </w:rPr>
            </w:pPr>
            <w:r>
              <w:rPr>
                <w:rFonts w:ascii="Arial" w:hAnsi="Arial" w:cs="Arial"/>
                <w:sz w:val="18"/>
                <w:szCs w:val="18"/>
              </w:rPr>
              <w:t>2020年6月24日</w:t>
            </w:r>
          </w:p>
        </w:tc>
        <w:tc>
          <w:tcPr>
            <w:tcW w:w="1320" w:type="dxa"/>
            <w:vAlign w:val="center"/>
          </w:tcPr>
          <w:p>
            <w:pPr>
              <w:jc w:val="center"/>
              <w:textAlignment w:val="center"/>
              <w:rPr>
                <w:rFonts w:ascii="Arial" w:hAnsi="Arial" w:cs="Arial"/>
                <w:b/>
                <w:bCs/>
                <w:color w:val="000000"/>
                <w:sz w:val="18"/>
                <w:szCs w:val="18"/>
                <w:lang w:bidi="ar"/>
              </w:rPr>
            </w:pPr>
            <w:r>
              <w:rPr>
                <w:rFonts w:ascii="Arial" w:hAnsi="Arial" w:cs="Arial"/>
                <w:sz w:val="18"/>
                <w:szCs w:val="18"/>
              </w:rPr>
              <w:t>16681㎡</w:t>
            </w:r>
          </w:p>
        </w:tc>
        <w:tc>
          <w:tcPr>
            <w:tcW w:w="2154" w:type="dxa"/>
            <w:vAlign w:val="center"/>
          </w:tcPr>
          <w:p>
            <w:pPr>
              <w:jc w:val="center"/>
              <w:rPr>
                <w:rFonts w:ascii="Arial" w:hAnsi="Arial" w:cs="Arial"/>
                <w:b/>
                <w:bCs/>
                <w:color w:val="000000"/>
                <w:sz w:val="18"/>
                <w:szCs w:val="18"/>
                <w:lang w:bidi="ar"/>
              </w:rPr>
            </w:pPr>
            <w:r>
              <w:rPr>
                <w:rFonts w:ascii="Arial" w:hAnsi="Arial" w:cs="Arial"/>
                <w:sz w:val="18"/>
                <w:szCs w:val="18"/>
              </w:rPr>
              <w:t>恒大锦城T20-6/03号地块《不动产权证书》/渝（2020）巴南区不动产权第0000589110号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611" w:type="dxa"/>
            <w:vMerge w:val="continue"/>
            <w:vAlign w:val="center"/>
          </w:tcPr>
          <w:p>
            <w:pPr>
              <w:jc w:val="center"/>
              <w:textAlignment w:val="center"/>
              <w:rPr>
                <w:rFonts w:ascii="Arial" w:hAnsi="Arial" w:cs="Arial"/>
                <w:b/>
                <w:bCs/>
                <w:color w:val="000000"/>
                <w:sz w:val="18"/>
                <w:szCs w:val="18"/>
                <w:lang w:bidi="ar"/>
              </w:rPr>
            </w:pPr>
          </w:p>
        </w:tc>
        <w:tc>
          <w:tcPr>
            <w:tcW w:w="1140" w:type="dxa"/>
            <w:vMerge w:val="continue"/>
            <w:vAlign w:val="center"/>
          </w:tcPr>
          <w:p>
            <w:pPr>
              <w:jc w:val="center"/>
              <w:textAlignment w:val="center"/>
              <w:rPr>
                <w:rFonts w:ascii="Arial" w:hAnsi="Arial" w:cs="Arial"/>
                <w:b/>
                <w:bCs/>
                <w:color w:val="000000"/>
                <w:sz w:val="18"/>
                <w:szCs w:val="18"/>
                <w:lang w:bidi="ar"/>
              </w:rPr>
            </w:pPr>
          </w:p>
        </w:tc>
        <w:tc>
          <w:tcPr>
            <w:tcW w:w="2639" w:type="dxa"/>
            <w:vMerge w:val="continue"/>
            <w:vAlign w:val="center"/>
          </w:tcPr>
          <w:p>
            <w:pPr>
              <w:pStyle w:val="35"/>
              <w:spacing w:line="240" w:lineRule="auto"/>
              <w:jc w:val="center"/>
              <w:rPr>
                <w:rFonts w:ascii="Arial" w:hAnsi="Arial" w:eastAsia="宋体" w:cs="Arial"/>
                <w:b/>
                <w:bCs/>
                <w:color w:val="000000" w:themeColor="text1"/>
                <w:sz w:val="18"/>
                <w:szCs w:val="18"/>
                <w:lang w:bidi="ar"/>
                <w14:textFill>
                  <w14:solidFill>
                    <w14:schemeClr w14:val="tx1"/>
                  </w14:solidFill>
                </w14:textFill>
              </w:rPr>
            </w:pPr>
          </w:p>
        </w:tc>
        <w:tc>
          <w:tcPr>
            <w:tcW w:w="1771" w:type="dxa"/>
            <w:vAlign w:val="center"/>
          </w:tcPr>
          <w:p>
            <w:pPr>
              <w:jc w:val="center"/>
              <w:textAlignment w:val="center"/>
              <w:rPr>
                <w:rFonts w:ascii="Arial" w:hAnsi="Arial" w:cs="Arial"/>
                <w:b/>
                <w:bCs/>
                <w:color w:val="000000"/>
                <w:sz w:val="18"/>
                <w:szCs w:val="18"/>
                <w:lang w:bidi="ar"/>
              </w:rPr>
            </w:pPr>
            <w:r>
              <w:rPr>
                <w:rFonts w:ascii="Arial" w:hAnsi="Arial" w:cs="Arial"/>
                <w:sz w:val="18"/>
                <w:szCs w:val="18"/>
              </w:rPr>
              <w:t>2020年7月15日</w:t>
            </w:r>
          </w:p>
        </w:tc>
        <w:tc>
          <w:tcPr>
            <w:tcW w:w="1320" w:type="dxa"/>
            <w:vAlign w:val="center"/>
          </w:tcPr>
          <w:p>
            <w:pPr>
              <w:jc w:val="center"/>
              <w:textAlignment w:val="center"/>
              <w:rPr>
                <w:rFonts w:ascii="Arial" w:hAnsi="Arial" w:cs="Arial"/>
                <w:b/>
                <w:bCs/>
                <w:color w:val="000000"/>
                <w:sz w:val="18"/>
                <w:szCs w:val="18"/>
                <w:lang w:bidi="ar"/>
              </w:rPr>
            </w:pPr>
            <w:r>
              <w:rPr>
                <w:rFonts w:ascii="Arial" w:hAnsi="Arial" w:cs="Arial"/>
                <w:sz w:val="18"/>
                <w:szCs w:val="18"/>
              </w:rPr>
              <w:t>42982㎡</w:t>
            </w:r>
          </w:p>
        </w:tc>
        <w:tc>
          <w:tcPr>
            <w:tcW w:w="2154" w:type="dxa"/>
            <w:vAlign w:val="center"/>
          </w:tcPr>
          <w:p>
            <w:pPr>
              <w:jc w:val="center"/>
              <w:rPr>
                <w:rFonts w:ascii="Arial" w:hAnsi="Arial" w:cs="Arial"/>
                <w:b/>
                <w:bCs/>
                <w:color w:val="000000"/>
                <w:sz w:val="18"/>
                <w:szCs w:val="18"/>
                <w:lang w:bidi="ar"/>
              </w:rPr>
            </w:pPr>
            <w:r>
              <w:rPr>
                <w:rFonts w:ascii="Arial" w:hAnsi="Arial" w:cs="Arial"/>
                <w:sz w:val="18"/>
                <w:szCs w:val="18"/>
              </w:rPr>
              <w:t>恒大锦城T18-1/02号地块《不动产权证书》/渝（2020）巴南区不动产权第000666077号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611" w:type="dxa"/>
            <w:vMerge w:val="continue"/>
            <w:vAlign w:val="center"/>
          </w:tcPr>
          <w:p>
            <w:pPr>
              <w:jc w:val="center"/>
              <w:textAlignment w:val="center"/>
              <w:rPr>
                <w:rFonts w:ascii="Arial" w:hAnsi="Arial" w:cs="Arial"/>
                <w:color w:val="000000"/>
                <w:sz w:val="18"/>
                <w:szCs w:val="18"/>
                <w:lang w:bidi="ar"/>
              </w:rPr>
            </w:pPr>
          </w:p>
        </w:tc>
        <w:tc>
          <w:tcPr>
            <w:tcW w:w="1140" w:type="dxa"/>
            <w:vMerge w:val="continue"/>
            <w:vAlign w:val="center"/>
          </w:tcPr>
          <w:p>
            <w:pPr>
              <w:jc w:val="center"/>
              <w:textAlignment w:val="center"/>
              <w:rPr>
                <w:rFonts w:ascii="Arial" w:hAnsi="Arial" w:cs="Arial"/>
                <w:color w:val="000000"/>
                <w:sz w:val="18"/>
                <w:szCs w:val="18"/>
                <w:lang w:bidi="ar"/>
              </w:rPr>
            </w:pPr>
          </w:p>
        </w:tc>
        <w:tc>
          <w:tcPr>
            <w:tcW w:w="2639" w:type="dxa"/>
            <w:vMerge w:val="continue"/>
            <w:vAlign w:val="center"/>
          </w:tcPr>
          <w:p>
            <w:pPr>
              <w:pStyle w:val="35"/>
              <w:spacing w:line="240" w:lineRule="auto"/>
              <w:jc w:val="center"/>
              <w:rPr>
                <w:rFonts w:ascii="Arial" w:hAnsi="Arial" w:eastAsia="宋体" w:cs="Arial"/>
                <w:sz w:val="18"/>
                <w:szCs w:val="18"/>
              </w:rPr>
            </w:pPr>
          </w:p>
        </w:tc>
        <w:tc>
          <w:tcPr>
            <w:tcW w:w="1771" w:type="dxa"/>
            <w:vAlign w:val="center"/>
          </w:tcPr>
          <w:p>
            <w:pPr>
              <w:jc w:val="center"/>
              <w:textAlignment w:val="center"/>
              <w:rPr>
                <w:rFonts w:ascii="Arial" w:hAnsi="Arial" w:cs="Arial"/>
                <w:color w:val="000000"/>
                <w:sz w:val="18"/>
                <w:szCs w:val="18"/>
                <w:lang w:bidi="ar"/>
              </w:rPr>
            </w:pPr>
            <w:r>
              <w:rPr>
                <w:rFonts w:ascii="Arial" w:hAnsi="Arial" w:cs="Arial"/>
                <w:sz w:val="18"/>
                <w:szCs w:val="18"/>
              </w:rPr>
              <w:t>2020年7月15日</w:t>
            </w:r>
          </w:p>
        </w:tc>
        <w:tc>
          <w:tcPr>
            <w:tcW w:w="1320" w:type="dxa"/>
            <w:vAlign w:val="center"/>
          </w:tcPr>
          <w:p>
            <w:pPr>
              <w:jc w:val="center"/>
              <w:textAlignment w:val="center"/>
              <w:rPr>
                <w:rFonts w:ascii="Arial" w:hAnsi="Arial" w:cs="Arial"/>
                <w:color w:val="000000"/>
                <w:sz w:val="18"/>
                <w:szCs w:val="18"/>
                <w:lang w:bidi="ar"/>
              </w:rPr>
            </w:pPr>
            <w:r>
              <w:rPr>
                <w:rFonts w:ascii="Arial" w:hAnsi="Arial" w:cs="Arial"/>
                <w:sz w:val="18"/>
                <w:szCs w:val="18"/>
              </w:rPr>
              <w:t>50878㎡</w:t>
            </w:r>
          </w:p>
        </w:tc>
        <w:tc>
          <w:tcPr>
            <w:tcW w:w="2154" w:type="dxa"/>
            <w:vAlign w:val="center"/>
          </w:tcPr>
          <w:p>
            <w:pPr>
              <w:jc w:val="center"/>
              <w:rPr>
                <w:rFonts w:ascii="Arial" w:hAnsi="Arial" w:cs="Arial"/>
                <w:color w:val="000000"/>
                <w:sz w:val="18"/>
                <w:szCs w:val="18"/>
                <w:lang w:bidi="ar"/>
              </w:rPr>
            </w:pPr>
            <w:r>
              <w:rPr>
                <w:rFonts w:ascii="Arial" w:hAnsi="Arial" w:cs="Arial"/>
                <w:sz w:val="18"/>
                <w:szCs w:val="18"/>
              </w:rPr>
              <w:t>恒大锦城T18-2/03号地块《不动产权证书》/渝（2020）巴南区不动产权第000665521号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611" w:type="dxa"/>
            <w:vMerge w:val="continue"/>
            <w:vAlign w:val="center"/>
          </w:tcPr>
          <w:p>
            <w:pPr>
              <w:jc w:val="center"/>
              <w:textAlignment w:val="center"/>
              <w:rPr>
                <w:rFonts w:ascii="Arial" w:hAnsi="Arial" w:cs="Arial"/>
                <w:color w:val="000000"/>
                <w:sz w:val="18"/>
                <w:szCs w:val="18"/>
                <w:lang w:bidi="ar"/>
              </w:rPr>
            </w:pPr>
          </w:p>
        </w:tc>
        <w:tc>
          <w:tcPr>
            <w:tcW w:w="1140" w:type="dxa"/>
            <w:vMerge w:val="continue"/>
            <w:vAlign w:val="center"/>
          </w:tcPr>
          <w:p>
            <w:pPr>
              <w:jc w:val="center"/>
              <w:textAlignment w:val="center"/>
              <w:rPr>
                <w:rFonts w:ascii="Arial" w:hAnsi="Arial" w:cs="Arial"/>
                <w:color w:val="000000"/>
                <w:sz w:val="18"/>
                <w:szCs w:val="18"/>
                <w:lang w:bidi="ar"/>
              </w:rPr>
            </w:pPr>
          </w:p>
        </w:tc>
        <w:tc>
          <w:tcPr>
            <w:tcW w:w="2639" w:type="dxa"/>
            <w:vMerge w:val="continue"/>
            <w:vAlign w:val="center"/>
          </w:tcPr>
          <w:p>
            <w:pPr>
              <w:pStyle w:val="35"/>
              <w:spacing w:line="240" w:lineRule="auto"/>
              <w:jc w:val="center"/>
              <w:rPr>
                <w:rFonts w:ascii="Arial" w:hAnsi="Arial" w:eastAsia="宋体" w:cs="Arial"/>
                <w:sz w:val="18"/>
                <w:szCs w:val="18"/>
                <w:lang w:bidi="ar"/>
              </w:rPr>
            </w:pPr>
          </w:p>
        </w:tc>
        <w:tc>
          <w:tcPr>
            <w:tcW w:w="1771" w:type="dxa"/>
            <w:vAlign w:val="center"/>
          </w:tcPr>
          <w:p>
            <w:pPr>
              <w:jc w:val="center"/>
              <w:textAlignment w:val="center"/>
              <w:rPr>
                <w:rFonts w:ascii="Arial" w:hAnsi="Arial" w:cs="Arial"/>
                <w:color w:val="000000"/>
                <w:sz w:val="18"/>
                <w:szCs w:val="18"/>
                <w:lang w:bidi="ar"/>
              </w:rPr>
            </w:pPr>
            <w:r>
              <w:rPr>
                <w:rFonts w:ascii="Arial" w:hAnsi="Arial" w:cs="Arial"/>
                <w:sz w:val="18"/>
                <w:szCs w:val="18"/>
              </w:rPr>
              <w:t>2020年7月15日</w:t>
            </w:r>
          </w:p>
        </w:tc>
        <w:tc>
          <w:tcPr>
            <w:tcW w:w="1320" w:type="dxa"/>
            <w:vAlign w:val="center"/>
          </w:tcPr>
          <w:p>
            <w:pPr>
              <w:jc w:val="center"/>
              <w:textAlignment w:val="center"/>
              <w:rPr>
                <w:rFonts w:ascii="Arial" w:hAnsi="Arial" w:cs="Arial"/>
                <w:sz w:val="18"/>
                <w:szCs w:val="18"/>
              </w:rPr>
            </w:pPr>
            <w:r>
              <w:rPr>
                <w:rFonts w:ascii="Arial" w:hAnsi="Arial" w:cs="Arial"/>
                <w:sz w:val="18"/>
                <w:szCs w:val="18"/>
              </w:rPr>
              <w:t>61182㎡</w:t>
            </w:r>
          </w:p>
        </w:tc>
        <w:tc>
          <w:tcPr>
            <w:tcW w:w="2154" w:type="dxa"/>
            <w:vAlign w:val="center"/>
          </w:tcPr>
          <w:p>
            <w:pPr>
              <w:jc w:val="center"/>
              <w:rPr>
                <w:rFonts w:ascii="Arial" w:hAnsi="Arial" w:cs="Arial"/>
                <w:color w:val="000000"/>
                <w:sz w:val="18"/>
                <w:szCs w:val="18"/>
                <w:lang w:bidi="ar"/>
              </w:rPr>
            </w:pPr>
            <w:r>
              <w:rPr>
                <w:rFonts w:ascii="Arial" w:hAnsi="Arial" w:cs="Arial"/>
                <w:sz w:val="18"/>
                <w:szCs w:val="18"/>
              </w:rPr>
              <w:t>恒大锦城T18-3/03号地块《不动产权证书》/渝（2020）巴南区不动产权第000665900号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611" w:type="dxa"/>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140" w:type="dxa"/>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建设用地规划许可证</w:t>
            </w:r>
          </w:p>
        </w:tc>
        <w:tc>
          <w:tcPr>
            <w:tcW w:w="2639" w:type="dxa"/>
            <w:vMerge w:val="restart"/>
            <w:vAlign w:val="center"/>
          </w:tcPr>
          <w:p>
            <w:pPr>
              <w:pStyle w:val="14"/>
              <w:jc w:val="center"/>
              <w:rPr>
                <w:rFonts w:ascii="Arial" w:hAnsi="Arial" w:cs="Arial"/>
                <w:color w:val="000000"/>
                <w:sz w:val="18"/>
                <w:szCs w:val="18"/>
                <w:lang w:bidi="ar"/>
              </w:rPr>
            </w:pPr>
            <w:r>
              <w:rPr>
                <w:rFonts w:ascii="Arial" w:hAnsi="Arial" w:cs="Arial"/>
                <w:color w:val="000000"/>
                <w:sz w:val="18"/>
                <w:szCs w:val="18"/>
                <w:lang w:bidi="ar"/>
              </w:rPr>
              <w:t>申请单位的申请报告；建设项目审批、核准或者备案文件（发改委批文）；用地位置的1：1000现状地形图2份及其电子文件（宗地图）；属于出让土地的: 提供国有土地使用权出让合同和规划条件通知书；属于划拨土地的: 选址意见书及规划设计要求；提供营业执照、组织机构代码及法人身份证复印件、法人授权委托书及委托代理人身份证复印件。</w:t>
            </w:r>
          </w:p>
        </w:tc>
        <w:tc>
          <w:tcPr>
            <w:tcW w:w="1771" w:type="dxa"/>
            <w:vAlign w:val="center"/>
          </w:tcPr>
          <w:p>
            <w:pPr>
              <w:jc w:val="center"/>
              <w:textAlignment w:val="center"/>
              <w:rPr>
                <w:rFonts w:ascii="Arial" w:hAnsi="Arial" w:cs="Arial"/>
                <w:color w:val="000000"/>
                <w:sz w:val="18"/>
                <w:szCs w:val="18"/>
                <w:lang w:bidi="ar"/>
              </w:rPr>
            </w:pPr>
            <w:r>
              <w:rPr>
                <w:rFonts w:ascii="Arial" w:hAnsi="Arial" w:cs="Arial"/>
                <w:sz w:val="18"/>
                <w:szCs w:val="18"/>
              </w:rPr>
              <w:t>2020年6月4日</w:t>
            </w:r>
          </w:p>
        </w:tc>
        <w:tc>
          <w:tcPr>
            <w:tcW w:w="1320" w:type="dxa"/>
            <w:vAlign w:val="center"/>
          </w:tcPr>
          <w:p>
            <w:pPr>
              <w:jc w:val="center"/>
              <w:textAlignment w:val="center"/>
              <w:rPr>
                <w:rFonts w:ascii="Arial" w:hAnsi="Arial" w:cs="Arial"/>
                <w:color w:val="000000"/>
                <w:sz w:val="18"/>
                <w:szCs w:val="18"/>
                <w:lang w:bidi="ar"/>
              </w:rPr>
            </w:pPr>
            <w:r>
              <w:rPr>
                <w:rFonts w:ascii="Arial" w:hAnsi="Arial" w:cs="Arial"/>
                <w:sz w:val="18"/>
                <w:szCs w:val="18"/>
              </w:rPr>
              <w:t>88885㎡</w:t>
            </w:r>
          </w:p>
        </w:tc>
        <w:tc>
          <w:tcPr>
            <w:tcW w:w="2154" w:type="dxa"/>
            <w:vAlign w:val="center"/>
          </w:tcPr>
          <w:p>
            <w:pPr>
              <w:jc w:val="center"/>
              <w:textAlignment w:val="center"/>
              <w:rPr>
                <w:rFonts w:ascii="Arial" w:hAnsi="Arial" w:cs="Arial"/>
                <w:color w:val="000000"/>
                <w:sz w:val="18"/>
                <w:szCs w:val="18"/>
                <w:lang w:bidi="ar"/>
              </w:rPr>
            </w:pPr>
            <w:r>
              <w:rPr>
                <w:rFonts w:ascii="Arial" w:hAnsi="Arial" w:cs="Arial"/>
                <w:sz w:val="18"/>
                <w:szCs w:val="18"/>
              </w:rPr>
              <w:t>建设用地规划许可证（恒大锦城一期）/地字第500113202000024号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11" w:type="dxa"/>
            <w:vMerge w:val="continue"/>
            <w:vAlign w:val="center"/>
          </w:tcPr>
          <w:p>
            <w:pPr>
              <w:jc w:val="center"/>
              <w:textAlignment w:val="center"/>
              <w:rPr>
                <w:rFonts w:ascii="Arial" w:hAnsi="Arial" w:cs="Arial"/>
                <w:color w:val="000000"/>
                <w:sz w:val="18"/>
                <w:szCs w:val="18"/>
                <w:lang w:bidi="ar"/>
              </w:rPr>
            </w:pPr>
          </w:p>
        </w:tc>
        <w:tc>
          <w:tcPr>
            <w:tcW w:w="1140" w:type="dxa"/>
            <w:vMerge w:val="continue"/>
            <w:vAlign w:val="center"/>
          </w:tcPr>
          <w:p>
            <w:pPr>
              <w:jc w:val="center"/>
              <w:textAlignment w:val="center"/>
              <w:rPr>
                <w:rFonts w:ascii="Arial" w:hAnsi="Arial" w:cs="Arial"/>
                <w:color w:val="000000"/>
                <w:sz w:val="18"/>
                <w:szCs w:val="18"/>
                <w:lang w:bidi="ar"/>
              </w:rPr>
            </w:pPr>
          </w:p>
        </w:tc>
        <w:tc>
          <w:tcPr>
            <w:tcW w:w="2639" w:type="dxa"/>
            <w:vMerge w:val="continue"/>
            <w:vAlign w:val="center"/>
          </w:tcPr>
          <w:p>
            <w:pPr>
              <w:ind w:left="410" w:leftChars="171" w:firstLine="405" w:firstLineChars="225"/>
              <w:jc w:val="center"/>
              <w:textAlignment w:val="center"/>
              <w:rPr>
                <w:rFonts w:ascii="Arial" w:hAnsi="Arial" w:cs="Arial"/>
                <w:color w:val="000000"/>
                <w:sz w:val="18"/>
                <w:szCs w:val="18"/>
                <w:lang w:bidi="ar"/>
              </w:rPr>
            </w:pPr>
          </w:p>
        </w:tc>
        <w:tc>
          <w:tcPr>
            <w:tcW w:w="1771" w:type="dxa"/>
            <w:vAlign w:val="center"/>
          </w:tcPr>
          <w:p>
            <w:pPr>
              <w:jc w:val="center"/>
              <w:textAlignment w:val="center"/>
              <w:rPr>
                <w:rFonts w:ascii="Arial" w:hAnsi="Arial" w:cs="Arial"/>
                <w:color w:val="000000"/>
                <w:sz w:val="18"/>
                <w:szCs w:val="18"/>
                <w:lang w:bidi="ar"/>
              </w:rPr>
            </w:pPr>
            <w:r>
              <w:rPr>
                <w:rFonts w:ascii="Arial" w:hAnsi="Arial" w:cs="Arial"/>
                <w:sz w:val="18"/>
                <w:szCs w:val="18"/>
              </w:rPr>
              <w:t>2020年7月17日</w:t>
            </w:r>
          </w:p>
        </w:tc>
        <w:tc>
          <w:tcPr>
            <w:tcW w:w="1320" w:type="dxa"/>
            <w:vAlign w:val="center"/>
          </w:tcPr>
          <w:p>
            <w:pPr>
              <w:jc w:val="center"/>
              <w:textAlignment w:val="center"/>
              <w:rPr>
                <w:rFonts w:ascii="Arial" w:hAnsi="Arial" w:cs="Arial"/>
                <w:color w:val="000000"/>
                <w:sz w:val="18"/>
                <w:szCs w:val="18"/>
                <w:lang w:bidi="ar"/>
              </w:rPr>
            </w:pPr>
            <w:r>
              <w:rPr>
                <w:rFonts w:ascii="Arial" w:hAnsi="Arial" w:cs="Arial"/>
                <w:sz w:val="18"/>
                <w:szCs w:val="18"/>
              </w:rPr>
              <w:t>46715㎡</w:t>
            </w:r>
          </w:p>
        </w:tc>
        <w:tc>
          <w:tcPr>
            <w:tcW w:w="2154" w:type="dxa"/>
            <w:vAlign w:val="center"/>
          </w:tcPr>
          <w:p>
            <w:pPr>
              <w:jc w:val="center"/>
              <w:textAlignment w:val="center"/>
              <w:rPr>
                <w:rFonts w:ascii="Arial" w:hAnsi="Arial" w:cs="Arial"/>
                <w:color w:val="000000"/>
                <w:sz w:val="18"/>
                <w:szCs w:val="18"/>
                <w:lang w:bidi="ar"/>
              </w:rPr>
            </w:pPr>
            <w:r>
              <w:rPr>
                <w:rFonts w:ascii="Arial" w:hAnsi="Arial" w:cs="Arial"/>
                <w:sz w:val="18"/>
                <w:szCs w:val="18"/>
              </w:rPr>
              <w:t>恒大锦城二期《建设用地规划许可证》正本及附件/地字第500113202000029号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11" w:type="dxa"/>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140" w:type="dxa"/>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建设工程规划许可证</w:t>
            </w:r>
          </w:p>
        </w:tc>
        <w:tc>
          <w:tcPr>
            <w:tcW w:w="2639" w:type="dxa"/>
            <w:vMerge w:val="restart"/>
            <w:vAlign w:val="center"/>
          </w:tcPr>
          <w:p>
            <w:pPr>
              <w:pStyle w:val="14"/>
              <w:jc w:val="center"/>
              <w:rPr>
                <w:rFonts w:ascii="Arial" w:hAnsi="Arial" w:cs="Arial"/>
                <w:color w:val="000000"/>
                <w:sz w:val="18"/>
                <w:szCs w:val="18"/>
                <w:lang w:bidi="ar"/>
              </w:rPr>
            </w:pPr>
            <w:r>
              <w:rPr>
                <w:rFonts w:ascii="Arial" w:hAnsi="Arial" w:cs="Arial"/>
                <w:color w:val="000000"/>
                <w:sz w:val="18"/>
                <w:szCs w:val="18"/>
                <w:lang w:bidi="ar"/>
              </w:rPr>
              <w:t>申请报告；营业执照（原件及复印件）、组织机构代码（原件及复印件）；法人身份证复印件、法人授权委托书、委托代理人身份证复印件；建设用地规划条件通知书（原件及复印件）、建设用地规划许可证（原件及复印件）；国有土地使用权证（原件及复印件）、宗地图；发改委项目批准文件（原件及复印件）；批准的总平面图(含电子文档)；配套费缴费证明；墙改基金（墙改办办理）缴费；人防缴费证明和人防工程审查批准意见（人防办办理）。</w:t>
            </w:r>
          </w:p>
        </w:tc>
        <w:tc>
          <w:tcPr>
            <w:tcW w:w="1771" w:type="dxa"/>
            <w:vAlign w:val="center"/>
          </w:tcPr>
          <w:p>
            <w:pPr>
              <w:jc w:val="center"/>
              <w:rPr>
                <w:rFonts w:ascii="Arial" w:hAnsi="Arial" w:cs="Arial"/>
                <w:color w:val="000000"/>
                <w:sz w:val="18"/>
                <w:szCs w:val="18"/>
              </w:rPr>
            </w:pPr>
            <w:r>
              <w:rPr>
                <w:rFonts w:ascii="Arial" w:hAnsi="Arial" w:cs="Arial"/>
                <w:sz w:val="18"/>
                <w:szCs w:val="18"/>
              </w:rPr>
              <w:t>2020年8月7日</w:t>
            </w:r>
          </w:p>
        </w:tc>
        <w:tc>
          <w:tcPr>
            <w:tcW w:w="1320" w:type="dxa"/>
            <w:vAlign w:val="center"/>
          </w:tcPr>
          <w:p>
            <w:pPr>
              <w:jc w:val="center"/>
              <w:rPr>
                <w:rFonts w:ascii="Arial" w:hAnsi="Arial" w:cs="Arial"/>
                <w:color w:val="000000"/>
                <w:sz w:val="18"/>
                <w:szCs w:val="18"/>
              </w:rPr>
            </w:pPr>
            <w:r>
              <w:rPr>
                <w:rFonts w:ascii="Arial" w:hAnsi="Arial" w:cs="Arial"/>
                <w:sz w:val="18"/>
                <w:szCs w:val="18"/>
              </w:rPr>
              <w:t>123745.14㎡</w:t>
            </w:r>
          </w:p>
        </w:tc>
        <w:tc>
          <w:tcPr>
            <w:tcW w:w="2154" w:type="dxa"/>
            <w:vAlign w:val="center"/>
          </w:tcPr>
          <w:p>
            <w:pPr>
              <w:jc w:val="center"/>
              <w:rPr>
                <w:rFonts w:ascii="Arial" w:hAnsi="Arial" w:cs="Arial"/>
                <w:color w:val="000000"/>
                <w:sz w:val="18"/>
                <w:szCs w:val="18"/>
                <w:lang w:bidi="ar"/>
              </w:rPr>
            </w:pPr>
            <w:r>
              <w:rPr>
                <w:rFonts w:ascii="Arial" w:hAnsi="Arial" w:cs="Arial"/>
                <w:sz w:val="18"/>
                <w:szCs w:val="18"/>
              </w:rPr>
              <w:t>恒大锦城二期《建设工程规划许可证》T18-2地块/建字第500113202000100号（施工证原件因恒大欠缴该项目农民工保证金，办出来后压在市建委，因此未交接）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11" w:type="dxa"/>
            <w:vMerge w:val="continue"/>
            <w:vAlign w:val="center"/>
          </w:tcPr>
          <w:p>
            <w:pPr>
              <w:jc w:val="center"/>
              <w:textAlignment w:val="center"/>
              <w:rPr>
                <w:rFonts w:ascii="Arial" w:hAnsi="Arial" w:cs="Arial"/>
                <w:color w:val="000000"/>
                <w:sz w:val="18"/>
                <w:szCs w:val="18"/>
                <w:lang w:bidi="ar"/>
              </w:rPr>
            </w:pPr>
          </w:p>
        </w:tc>
        <w:tc>
          <w:tcPr>
            <w:tcW w:w="1140" w:type="dxa"/>
            <w:vMerge w:val="continue"/>
            <w:vAlign w:val="center"/>
          </w:tcPr>
          <w:p>
            <w:pPr>
              <w:jc w:val="center"/>
              <w:textAlignment w:val="center"/>
              <w:rPr>
                <w:rFonts w:ascii="Arial" w:hAnsi="Arial" w:cs="Arial"/>
                <w:color w:val="000000"/>
                <w:sz w:val="18"/>
                <w:szCs w:val="18"/>
                <w:lang w:bidi="ar"/>
              </w:rPr>
            </w:pPr>
          </w:p>
        </w:tc>
        <w:tc>
          <w:tcPr>
            <w:tcW w:w="2639" w:type="dxa"/>
            <w:vMerge w:val="continue"/>
            <w:vAlign w:val="center"/>
          </w:tcPr>
          <w:p>
            <w:pPr>
              <w:pStyle w:val="14"/>
              <w:jc w:val="center"/>
              <w:rPr>
                <w:rFonts w:ascii="Arial" w:hAnsi="Arial" w:cs="Arial"/>
                <w:color w:val="000000"/>
                <w:sz w:val="18"/>
                <w:szCs w:val="18"/>
                <w:lang w:bidi="ar"/>
              </w:rPr>
            </w:pPr>
          </w:p>
        </w:tc>
        <w:tc>
          <w:tcPr>
            <w:tcW w:w="1771" w:type="dxa"/>
            <w:vAlign w:val="center"/>
          </w:tcPr>
          <w:p>
            <w:pPr>
              <w:jc w:val="center"/>
              <w:rPr>
                <w:rFonts w:ascii="Arial" w:hAnsi="Arial" w:cs="Arial"/>
                <w:color w:val="000000"/>
                <w:sz w:val="18"/>
                <w:szCs w:val="18"/>
              </w:rPr>
            </w:pPr>
            <w:r>
              <w:rPr>
                <w:rFonts w:ascii="Arial" w:hAnsi="Arial" w:cs="Arial"/>
                <w:sz w:val="18"/>
                <w:szCs w:val="18"/>
              </w:rPr>
              <w:t>2020年8月21日</w:t>
            </w:r>
          </w:p>
        </w:tc>
        <w:tc>
          <w:tcPr>
            <w:tcW w:w="1320" w:type="dxa"/>
            <w:vAlign w:val="center"/>
          </w:tcPr>
          <w:p>
            <w:pPr>
              <w:jc w:val="center"/>
              <w:rPr>
                <w:rFonts w:ascii="Arial" w:hAnsi="Arial" w:cs="Arial"/>
                <w:color w:val="000000"/>
                <w:sz w:val="18"/>
                <w:szCs w:val="18"/>
              </w:rPr>
            </w:pPr>
            <w:r>
              <w:rPr>
                <w:rFonts w:ascii="Arial" w:hAnsi="Arial" w:cs="Arial"/>
                <w:sz w:val="18"/>
                <w:szCs w:val="18"/>
              </w:rPr>
              <w:t>248384.85㎡</w:t>
            </w:r>
          </w:p>
        </w:tc>
        <w:tc>
          <w:tcPr>
            <w:tcW w:w="2154" w:type="dxa"/>
            <w:vAlign w:val="center"/>
          </w:tcPr>
          <w:p>
            <w:pPr>
              <w:jc w:val="center"/>
              <w:rPr>
                <w:rFonts w:ascii="Arial" w:hAnsi="Arial" w:cs="Arial"/>
                <w:color w:val="000000"/>
                <w:sz w:val="18"/>
                <w:szCs w:val="18"/>
                <w:lang w:bidi="ar"/>
              </w:rPr>
            </w:pPr>
            <w:r>
              <w:rPr>
                <w:rFonts w:ascii="Arial" w:hAnsi="Arial" w:cs="Arial"/>
                <w:sz w:val="18"/>
                <w:szCs w:val="18"/>
              </w:rPr>
              <w:t>恒大锦城二期《建设工程规划许可证》T18-1、T18-3地块/建字第500113202000105号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11" w:type="dxa"/>
            <w:vMerge w:val="continue"/>
            <w:vAlign w:val="center"/>
          </w:tcPr>
          <w:p>
            <w:pPr>
              <w:jc w:val="center"/>
              <w:textAlignment w:val="center"/>
              <w:rPr>
                <w:rFonts w:ascii="Arial" w:hAnsi="Arial" w:cs="Arial"/>
                <w:color w:val="000000"/>
                <w:sz w:val="18"/>
                <w:szCs w:val="18"/>
                <w:lang w:bidi="ar"/>
              </w:rPr>
            </w:pPr>
          </w:p>
        </w:tc>
        <w:tc>
          <w:tcPr>
            <w:tcW w:w="1140" w:type="dxa"/>
            <w:vMerge w:val="continue"/>
            <w:vAlign w:val="center"/>
          </w:tcPr>
          <w:p>
            <w:pPr>
              <w:jc w:val="center"/>
              <w:textAlignment w:val="center"/>
              <w:rPr>
                <w:rFonts w:ascii="Arial" w:hAnsi="Arial" w:cs="Arial"/>
                <w:color w:val="000000"/>
                <w:sz w:val="18"/>
                <w:szCs w:val="18"/>
                <w:lang w:bidi="ar"/>
              </w:rPr>
            </w:pPr>
          </w:p>
        </w:tc>
        <w:tc>
          <w:tcPr>
            <w:tcW w:w="2639" w:type="dxa"/>
            <w:vMerge w:val="continue"/>
            <w:vAlign w:val="center"/>
          </w:tcPr>
          <w:p>
            <w:pPr>
              <w:pStyle w:val="14"/>
              <w:jc w:val="center"/>
              <w:rPr>
                <w:rFonts w:ascii="Arial" w:hAnsi="Arial" w:cs="Arial"/>
                <w:color w:val="000000"/>
                <w:sz w:val="18"/>
                <w:szCs w:val="18"/>
                <w:lang w:bidi="ar"/>
              </w:rPr>
            </w:pPr>
          </w:p>
        </w:tc>
        <w:tc>
          <w:tcPr>
            <w:tcW w:w="1771" w:type="dxa"/>
            <w:vAlign w:val="center"/>
          </w:tcPr>
          <w:p>
            <w:pPr>
              <w:jc w:val="both"/>
              <w:textAlignment w:val="center"/>
              <w:rPr>
                <w:rFonts w:ascii="Arial" w:hAnsi="Arial" w:cs="Arial"/>
                <w:color w:val="000000"/>
                <w:sz w:val="18"/>
                <w:szCs w:val="18"/>
                <w:lang w:bidi="ar"/>
              </w:rPr>
            </w:pPr>
            <w:r>
              <w:rPr>
                <w:rFonts w:ascii="Arial" w:hAnsi="Arial" w:cs="Arial"/>
                <w:color w:val="000000"/>
                <w:sz w:val="18"/>
                <w:szCs w:val="18"/>
              </w:rPr>
              <w:t>2020年7月8日</w:t>
            </w:r>
          </w:p>
        </w:tc>
        <w:tc>
          <w:tcPr>
            <w:tcW w:w="1320" w:type="dxa"/>
            <w:vAlign w:val="center"/>
          </w:tcPr>
          <w:p>
            <w:pPr>
              <w:jc w:val="both"/>
              <w:rPr>
                <w:rFonts w:ascii="Arial" w:hAnsi="Arial" w:cs="Arial"/>
                <w:color w:val="000000"/>
                <w:sz w:val="18"/>
                <w:szCs w:val="18"/>
              </w:rPr>
            </w:pPr>
            <w:r>
              <w:rPr>
                <w:rFonts w:ascii="Arial" w:hAnsi="Arial" w:cs="Arial"/>
                <w:color w:val="000000"/>
                <w:sz w:val="18"/>
                <w:szCs w:val="18"/>
              </w:rPr>
              <w:t>219447.16</w:t>
            </w:r>
            <w:r>
              <w:rPr>
                <w:rFonts w:ascii="Arial" w:hAnsi="Arial" w:cs="Arial"/>
                <w:sz w:val="18"/>
                <w:szCs w:val="18"/>
              </w:rPr>
              <w:t>㎡</w:t>
            </w:r>
          </w:p>
        </w:tc>
        <w:tc>
          <w:tcPr>
            <w:tcW w:w="215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建设工程规划许可证一期(T19-1地块1-20#、大门、车库/T19-2地块21-26#、门岗、车库/T20-2地块27-29#、门岗、车库/T20-6地块30-34#、门岗、车库）/建字第500113202000079号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1" w:type="dxa"/>
            <w:vMerge w:val="restart"/>
            <w:vAlign w:val="center"/>
          </w:tcPr>
          <w:p>
            <w:pPr>
              <w:jc w:val="center"/>
              <w:textAlignment w:val="center"/>
              <w:rPr>
                <w:rFonts w:ascii="Arial" w:hAnsi="Arial" w:cs="Arial"/>
                <w:color w:val="000000"/>
                <w:sz w:val="18"/>
                <w:szCs w:val="18"/>
                <w:lang w:bidi="ar"/>
              </w:rPr>
            </w:pPr>
            <w:r>
              <w:rPr>
                <w:rFonts w:ascii="Arial" w:hAnsi="Arial" w:cs="Arial"/>
                <w:sz w:val="18"/>
                <w:szCs w:val="18"/>
              </w:rPr>
              <w:t>4</w:t>
            </w:r>
          </w:p>
        </w:tc>
        <w:tc>
          <w:tcPr>
            <w:tcW w:w="1140" w:type="dxa"/>
            <w:vMerge w:val="restart"/>
            <w:vAlign w:val="center"/>
          </w:tcPr>
          <w:p>
            <w:pPr>
              <w:jc w:val="center"/>
              <w:textAlignment w:val="center"/>
              <w:rPr>
                <w:rFonts w:ascii="Arial" w:hAnsi="Arial" w:cs="Arial"/>
                <w:color w:val="000000"/>
                <w:sz w:val="18"/>
                <w:szCs w:val="18"/>
                <w:lang w:bidi="ar"/>
              </w:rPr>
            </w:pPr>
            <w:r>
              <w:rPr>
                <w:rFonts w:ascii="Arial" w:hAnsi="Arial" w:cs="Arial"/>
                <w:sz w:val="18"/>
                <w:szCs w:val="18"/>
              </w:rPr>
              <w:t>建筑工程施工许可证</w:t>
            </w:r>
          </w:p>
        </w:tc>
        <w:tc>
          <w:tcPr>
            <w:tcW w:w="2639" w:type="dxa"/>
            <w:vMerge w:val="restart"/>
            <w:vAlign w:val="center"/>
          </w:tcPr>
          <w:p>
            <w:pPr>
              <w:pStyle w:val="14"/>
              <w:jc w:val="center"/>
              <w:rPr>
                <w:rFonts w:ascii="Arial" w:hAnsi="Arial" w:cs="Arial"/>
                <w:color w:val="000000"/>
                <w:sz w:val="18"/>
                <w:szCs w:val="18"/>
                <w:lang w:bidi="ar"/>
              </w:rPr>
            </w:pPr>
            <w:r>
              <w:rPr>
                <w:rFonts w:ascii="Arial" w:hAnsi="Arial" w:cs="Arial"/>
                <w:sz w:val="18"/>
                <w:szCs w:val="18"/>
              </w:rPr>
              <w:t>1、规划条件通知书2、建设条件通知书3、建筑项目用地界址测绘平面图及界址点成果表4、建设工程规划许可证5、加盖规划部门骑缝章总平面图6、国有土地使用权出让合同</w:t>
            </w:r>
          </w:p>
        </w:tc>
        <w:tc>
          <w:tcPr>
            <w:tcW w:w="1771" w:type="dxa"/>
            <w:vAlign w:val="center"/>
          </w:tcPr>
          <w:p>
            <w:pPr>
              <w:jc w:val="center"/>
              <w:rPr>
                <w:rFonts w:ascii="Arial" w:hAnsi="Arial" w:cs="Arial"/>
                <w:color w:val="000000"/>
                <w:sz w:val="18"/>
                <w:szCs w:val="18"/>
              </w:rPr>
            </w:pPr>
            <w:r>
              <w:rPr>
                <w:rFonts w:ascii="Arial" w:hAnsi="Arial" w:cs="Arial"/>
                <w:sz w:val="18"/>
                <w:szCs w:val="18"/>
              </w:rPr>
              <w:t>2020年8月1日</w:t>
            </w:r>
          </w:p>
        </w:tc>
        <w:tc>
          <w:tcPr>
            <w:tcW w:w="1320" w:type="dxa"/>
            <w:vAlign w:val="center"/>
          </w:tcPr>
          <w:p>
            <w:pPr>
              <w:jc w:val="center"/>
              <w:rPr>
                <w:rFonts w:ascii="Arial" w:hAnsi="Arial" w:cs="Arial"/>
                <w:color w:val="000000"/>
                <w:sz w:val="18"/>
                <w:szCs w:val="18"/>
              </w:rPr>
            </w:pPr>
            <w:r>
              <w:rPr>
                <w:rFonts w:ascii="Arial" w:hAnsi="Arial" w:cs="Arial"/>
                <w:sz w:val="18"/>
                <w:szCs w:val="18"/>
              </w:rPr>
              <w:t>51632.72㎡</w:t>
            </w:r>
          </w:p>
        </w:tc>
        <w:tc>
          <w:tcPr>
            <w:tcW w:w="2154" w:type="dxa"/>
            <w:vAlign w:val="center"/>
          </w:tcPr>
          <w:p>
            <w:pPr>
              <w:jc w:val="center"/>
              <w:rPr>
                <w:rFonts w:ascii="Arial" w:hAnsi="Arial" w:cs="Arial"/>
                <w:color w:val="000000"/>
                <w:sz w:val="18"/>
                <w:szCs w:val="18"/>
                <w:lang w:bidi="ar"/>
              </w:rPr>
            </w:pPr>
            <w:r>
              <w:rPr>
                <w:rFonts w:ascii="Arial" w:hAnsi="Arial" w:cs="Arial"/>
                <w:sz w:val="18"/>
                <w:szCs w:val="18"/>
              </w:rPr>
              <w:t>恒大锦城一期4#，13#，14#楼及4#车库施工许可证/500113202008010101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1" w:type="dxa"/>
            <w:vMerge w:val="continue"/>
            <w:vAlign w:val="center"/>
          </w:tcPr>
          <w:p>
            <w:pPr>
              <w:jc w:val="center"/>
              <w:textAlignment w:val="center"/>
              <w:rPr>
                <w:rFonts w:ascii="Arial" w:hAnsi="Arial" w:cs="Arial"/>
                <w:color w:val="000000"/>
                <w:sz w:val="18"/>
                <w:szCs w:val="18"/>
                <w:lang w:bidi="ar"/>
              </w:rPr>
            </w:pPr>
          </w:p>
        </w:tc>
        <w:tc>
          <w:tcPr>
            <w:tcW w:w="1140" w:type="dxa"/>
            <w:vMerge w:val="continue"/>
            <w:vAlign w:val="center"/>
          </w:tcPr>
          <w:p>
            <w:pPr>
              <w:jc w:val="center"/>
              <w:textAlignment w:val="center"/>
              <w:rPr>
                <w:rFonts w:ascii="Arial" w:hAnsi="Arial" w:cs="Arial"/>
                <w:color w:val="000000"/>
                <w:sz w:val="18"/>
                <w:szCs w:val="18"/>
                <w:lang w:bidi="ar"/>
              </w:rPr>
            </w:pPr>
          </w:p>
        </w:tc>
        <w:tc>
          <w:tcPr>
            <w:tcW w:w="2639" w:type="dxa"/>
            <w:vMerge w:val="continue"/>
            <w:vAlign w:val="center"/>
          </w:tcPr>
          <w:p>
            <w:pPr>
              <w:pStyle w:val="14"/>
              <w:jc w:val="center"/>
              <w:rPr>
                <w:rFonts w:ascii="Arial" w:hAnsi="Arial" w:cs="Arial"/>
                <w:color w:val="000000"/>
                <w:sz w:val="18"/>
                <w:szCs w:val="18"/>
                <w:lang w:bidi="ar"/>
              </w:rPr>
            </w:pPr>
          </w:p>
        </w:tc>
        <w:tc>
          <w:tcPr>
            <w:tcW w:w="1771" w:type="dxa"/>
            <w:vAlign w:val="center"/>
          </w:tcPr>
          <w:p>
            <w:pPr>
              <w:jc w:val="center"/>
              <w:rPr>
                <w:rFonts w:ascii="Arial" w:hAnsi="Arial" w:cs="Arial"/>
                <w:color w:val="000000"/>
                <w:sz w:val="18"/>
                <w:szCs w:val="18"/>
              </w:rPr>
            </w:pPr>
            <w:r>
              <w:rPr>
                <w:rFonts w:ascii="Arial" w:hAnsi="Arial" w:cs="Arial"/>
                <w:sz w:val="18"/>
                <w:szCs w:val="18"/>
              </w:rPr>
              <w:t>2020年9月7日</w:t>
            </w:r>
          </w:p>
        </w:tc>
        <w:tc>
          <w:tcPr>
            <w:tcW w:w="1320" w:type="dxa"/>
            <w:vAlign w:val="center"/>
          </w:tcPr>
          <w:p>
            <w:pPr>
              <w:jc w:val="center"/>
              <w:rPr>
                <w:rFonts w:ascii="Arial" w:hAnsi="Arial" w:cs="Arial"/>
                <w:color w:val="000000"/>
                <w:sz w:val="18"/>
                <w:szCs w:val="18"/>
              </w:rPr>
            </w:pPr>
            <w:r>
              <w:rPr>
                <w:rFonts w:ascii="Arial" w:hAnsi="Arial" w:cs="Arial"/>
                <w:sz w:val="18"/>
                <w:szCs w:val="18"/>
              </w:rPr>
              <w:t>167814.44㎡</w:t>
            </w:r>
          </w:p>
        </w:tc>
        <w:tc>
          <w:tcPr>
            <w:tcW w:w="2154" w:type="dxa"/>
            <w:vAlign w:val="center"/>
          </w:tcPr>
          <w:p>
            <w:pPr>
              <w:jc w:val="center"/>
              <w:rPr>
                <w:rFonts w:ascii="Arial" w:hAnsi="Arial" w:cs="Arial"/>
                <w:color w:val="000000"/>
                <w:sz w:val="18"/>
                <w:szCs w:val="18"/>
                <w:lang w:bidi="ar"/>
              </w:rPr>
            </w:pPr>
            <w:r>
              <w:rPr>
                <w:rFonts w:ascii="Arial" w:hAnsi="Arial" w:cs="Arial"/>
                <w:sz w:val="18"/>
                <w:szCs w:val="18"/>
              </w:rPr>
              <w:t>恒大锦城一期1-3、5-12、15-34#施工许可证/500113202009070401（由于恒大欠缴该项目农民工保证金，证办出来后压于市建委处未交接）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611" w:type="dxa"/>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140" w:type="dxa"/>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商品房预售许可证</w:t>
            </w:r>
          </w:p>
        </w:tc>
        <w:tc>
          <w:tcPr>
            <w:tcW w:w="2639" w:type="dxa"/>
            <w:vMerge w:val="restart"/>
            <w:vAlign w:val="center"/>
          </w:tcPr>
          <w:p>
            <w:pPr>
              <w:pStyle w:val="14"/>
              <w:jc w:val="center"/>
              <w:rPr>
                <w:rFonts w:ascii="Arial" w:hAnsi="Arial" w:cs="Arial"/>
                <w:color w:val="000000"/>
                <w:sz w:val="18"/>
                <w:szCs w:val="18"/>
                <w:lang w:bidi="ar"/>
              </w:rPr>
            </w:pPr>
            <w:r>
              <w:rPr>
                <w:rFonts w:ascii="Arial" w:hAnsi="Arial" w:cs="Arial"/>
                <w:color w:val="000000"/>
                <w:sz w:val="18"/>
                <w:szCs w:val="18"/>
                <w:lang w:bidi="ar"/>
              </w:rPr>
              <w:t>房地产开发资质证书和营业执照复印件(核对原件)；《国有土地使用证》复印件(核对原件)；《建设工程规划许可证》复印件(核对原件)；《建筑工程施工许可证》复印件(核对原件)；工程施工合同及关于施工进度的说明；有关建筑节能标准及节能措施的证明复印件(核对原件)；商品房预售方案（应包括商品房位置、装修标准、竣工交付日期、预售总面积、交付后的物业管理、总平面图、分层平面图）；工程进度达到设计形象进度25%以上的证明；预售资金监管账户开具。</w:t>
            </w:r>
          </w:p>
        </w:tc>
        <w:tc>
          <w:tcPr>
            <w:tcW w:w="1771" w:type="dxa"/>
            <w:vAlign w:val="center"/>
          </w:tcPr>
          <w:p>
            <w:pPr>
              <w:jc w:val="center"/>
              <w:textAlignment w:val="center"/>
              <w:rPr>
                <w:rFonts w:ascii="Arial" w:hAnsi="Arial" w:cs="Arial"/>
                <w:color w:val="000000"/>
                <w:sz w:val="18"/>
                <w:szCs w:val="18"/>
                <w:lang w:bidi="ar"/>
              </w:rPr>
            </w:pPr>
            <w:r>
              <w:rPr>
                <w:rFonts w:ascii="Arial" w:hAnsi="Arial" w:cs="Arial"/>
                <w:sz w:val="18"/>
                <w:szCs w:val="18"/>
              </w:rPr>
              <w:t>2020年8月14日</w:t>
            </w:r>
          </w:p>
        </w:tc>
        <w:tc>
          <w:tcPr>
            <w:tcW w:w="1320" w:type="dxa"/>
            <w:vAlign w:val="center"/>
          </w:tcPr>
          <w:p>
            <w:pPr>
              <w:jc w:val="center"/>
              <w:textAlignment w:val="center"/>
              <w:rPr>
                <w:rFonts w:ascii="Arial" w:hAnsi="Arial" w:cs="Arial"/>
                <w:color w:val="000000"/>
                <w:sz w:val="18"/>
                <w:szCs w:val="18"/>
                <w:lang w:bidi="ar"/>
              </w:rPr>
            </w:pPr>
            <w:r>
              <w:rPr>
                <w:rFonts w:ascii="Arial" w:hAnsi="Arial" w:cs="Arial"/>
                <w:sz w:val="18"/>
                <w:szCs w:val="18"/>
              </w:rPr>
              <w:t>2896.3㎡</w:t>
            </w:r>
          </w:p>
        </w:tc>
        <w:tc>
          <w:tcPr>
            <w:tcW w:w="2154" w:type="dxa"/>
            <w:vAlign w:val="center"/>
          </w:tcPr>
          <w:p>
            <w:pPr>
              <w:jc w:val="center"/>
              <w:textAlignment w:val="center"/>
              <w:rPr>
                <w:rFonts w:ascii="Arial" w:hAnsi="Arial" w:cs="Arial"/>
                <w:color w:val="000000"/>
                <w:sz w:val="18"/>
                <w:szCs w:val="18"/>
                <w:lang w:bidi="ar"/>
              </w:rPr>
            </w:pPr>
            <w:r>
              <w:rPr>
                <w:rFonts w:ascii="Arial" w:hAnsi="Arial" w:cs="Arial"/>
                <w:sz w:val="18"/>
                <w:szCs w:val="18"/>
              </w:rPr>
              <w:t>恒大锦城4#楼《重庆市商品房预售（预租）许可证（正本）》/渝住建委（2020）预字第（976）号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611" w:type="dxa"/>
            <w:vMerge w:val="continue"/>
            <w:vAlign w:val="center"/>
          </w:tcPr>
          <w:p>
            <w:pPr>
              <w:jc w:val="center"/>
              <w:textAlignment w:val="center"/>
              <w:rPr>
                <w:rFonts w:ascii="Arial" w:hAnsi="Arial" w:cs="Arial"/>
                <w:color w:val="000000"/>
                <w:sz w:val="18"/>
                <w:szCs w:val="18"/>
                <w:lang w:bidi="ar"/>
              </w:rPr>
            </w:pPr>
          </w:p>
        </w:tc>
        <w:tc>
          <w:tcPr>
            <w:tcW w:w="1140" w:type="dxa"/>
            <w:vMerge w:val="continue"/>
            <w:vAlign w:val="center"/>
          </w:tcPr>
          <w:p>
            <w:pPr>
              <w:jc w:val="center"/>
              <w:textAlignment w:val="center"/>
              <w:rPr>
                <w:rFonts w:ascii="Arial" w:hAnsi="Arial" w:cs="Arial"/>
                <w:color w:val="000000"/>
                <w:sz w:val="18"/>
                <w:szCs w:val="18"/>
                <w:lang w:bidi="ar"/>
              </w:rPr>
            </w:pPr>
          </w:p>
        </w:tc>
        <w:tc>
          <w:tcPr>
            <w:tcW w:w="2639" w:type="dxa"/>
            <w:vMerge w:val="continue"/>
            <w:vAlign w:val="center"/>
          </w:tcPr>
          <w:p>
            <w:pPr>
              <w:pStyle w:val="14"/>
              <w:jc w:val="center"/>
              <w:rPr>
                <w:rFonts w:ascii="Arial" w:hAnsi="Arial" w:cs="Arial"/>
                <w:color w:val="000000"/>
                <w:sz w:val="18"/>
                <w:szCs w:val="18"/>
                <w:lang w:bidi="ar"/>
              </w:rPr>
            </w:pPr>
          </w:p>
        </w:tc>
        <w:tc>
          <w:tcPr>
            <w:tcW w:w="1771" w:type="dxa"/>
            <w:vAlign w:val="center"/>
          </w:tcPr>
          <w:p>
            <w:pPr>
              <w:jc w:val="center"/>
              <w:textAlignment w:val="center"/>
              <w:rPr>
                <w:rFonts w:ascii="Arial" w:hAnsi="Arial" w:cs="Arial"/>
                <w:color w:val="000000"/>
                <w:sz w:val="18"/>
                <w:szCs w:val="18"/>
                <w:lang w:bidi="ar"/>
              </w:rPr>
            </w:pPr>
            <w:r>
              <w:rPr>
                <w:rFonts w:ascii="Arial" w:hAnsi="Arial" w:cs="Arial"/>
                <w:sz w:val="18"/>
                <w:szCs w:val="18"/>
              </w:rPr>
              <w:t>2020年7月8日</w:t>
            </w:r>
          </w:p>
        </w:tc>
        <w:tc>
          <w:tcPr>
            <w:tcW w:w="1320" w:type="dxa"/>
            <w:vAlign w:val="center"/>
          </w:tcPr>
          <w:p>
            <w:pPr>
              <w:jc w:val="center"/>
              <w:textAlignment w:val="center"/>
              <w:rPr>
                <w:rFonts w:ascii="Arial" w:hAnsi="Arial" w:cs="Arial"/>
                <w:color w:val="000000"/>
                <w:sz w:val="18"/>
                <w:szCs w:val="18"/>
                <w:lang w:bidi="ar"/>
              </w:rPr>
            </w:pPr>
            <w:r>
              <w:rPr>
                <w:rFonts w:ascii="Arial" w:hAnsi="Arial" w:cs="Arial"/>
                <w:sz w:val="18"/>
                <w:szCs w:val="18"/>
              </w:rPr>
              <w:t>219447.16㎡</w:t>
            </w:r>
          </w:p>
        </w:tc>
        <w:tc>
          <w:tcPr>
            <w:tcW w:w="2154" w:type="dxa"/>
            <w:vAlign w:val="center"/>
          </w:tcPr>
          <w:p>
            <w:pPr>
              <w:jc w:val="center"/>
              <w:textAlignment w:val="center"/>
              <w:rPr>
                <w:rFonts w:ascii="Arial" w:hAnsi="Arial" w:cs="Arial"/>
                <w:color w:val="000000"/>
                <w:sz w:val="18"/>
                <w:szCs w:val="18"/>
                <w:lang w:bidi="ar"/>
              </w:rPr>
            </w:pPr>
            <w:r>
              <w:rPr>
                <w:rFonts w:ascii="Arial" w:hAnsi="Arial" w:cs="Arial"/>
                <w:sz w:val="18"/>
                <w:szCs w:val="18"/>
              </w:rPr>
              <w:t>重庆市商品房预售许可证（恒大锦城一期1、2、5-17、21-26、30-34#楼）/渝住建委（2020）预字第（1360）号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611" w:type="dxa"/>
            <w:vMerge w:val="continue"/>
            <w:vAlign w:val="center"/>
          </w:tcPr>
          <w:p>
            <w:pPr>
              <w:jc w:val="center"/>
              <w:textAlignment w:val="center"/>
              <w:rPr>
                <w:rFonts w:ascii="Arial" w:hAnsi="Arial" w:cs="Arial"/>
                <w:color w:val="000000"/>
                <w:sz w:val="18"/>
                <w:szCs w:val="18"/>
                <w:lang w:bidi="ar"/>
              </w:rPr>
            </w:pPr>
          </w:p>
        </w:tc>
        <w:tc>
          <w:tcPr>
            <w:tcW w:w="1140" w:type="dxa"/>
            <w:vMerge w:val="continue"/>
            <w:vAlign w:val="center"/>
          </w:tcPr>
          <w:p>
            <w:pPr>
              <w:jc w:val="center"/>
              <w:textAlignment w:val="center"/>
              <w:rPr>
                <w:rFonts w:ascii="Arial" w:hAnsi="Arial" w:cs="Arial"/>
                <w:color w:val="000000"/>
                <w:sz w:val="18"/>
                <w:szCs w:val="18"/>
                <w:lang w:bidi="ar"/>
              </w:rPr>
            </w:pPr>
          </w:p>
        </w:tc>
        <w:tc>
          <w:tcPr>
            <w:tcW w:w="2639" w:type="dxa"/>
            <w:vMerge w:val="continue"/>
            <w:vAlign w:val="center"/>
          </w:tcPr>
          <w:p>
            <w:pPr>
              <w:pStyle w:val="14"/>
              <w:jc w:val="center"/>
              <w:rPr>
                <w:rFonts w:ascii="Arial" w:hAnsi="Arial" w:cs="Arial"/>
                <w:color w:val="000000"/>
                <w:sz w:val="18"/>
                <w:szCs w:val="18"/>
                <w:lang w:bidi="ar"/>
              </w:rPr>
            </w:pPr>
          </w:p>
        </w:tc>
        <w:tc>
          <w:tcPr>
            <w:tcW w:w="1771" w:type="dxa"/>
            <w:vAlign w:val="center"/>
          </w:tcPr>
          <w:p>
            <w:pPr>
              <w:jc w:val="center"/>
              <w:textAlignment w:val="center"/>
              <w:rPr>
                <w:rFonts w:ascii="Arial" w:hAnsi="Arial" w:cs="Arial"/>
                <w:sz w:val="18"/>
                <w:szCs w:val="18"/>
              </w:rPr>
            </w:pPr>
            <w:r>
              <w:rPr>
                <w:rFonts w:hint="eastAsia" w:ascii="Arial" w:hAnsi="Arial" w:cs="Arial"/>
                <w:sz w:val="18"/>
                <w:szCs w:val="18"/>
              </w:rPr>
              <w:t>2020年12月18日</w:t>
            </w:r>
          </w:p>
        </w:tc>
        <w:tc>
          <w:tcPr>
            <w:tcW w:w="1320" w:type="dxa"/>
            <w:vAlign w:val="center"/>
          </w:tcPr>
          <w:p>
            <w:pPr>
              <w:jc w:val="center"/>
              <w:textAlignment w:val="center"/>
              <w:rPr>
                <w:rFonts w:ascii="Arial" w:hAnsi="Arial" w:cs="Arial"/>
                <w:sz w:val="18"/>
                <w:szCs w:val="18"/>
              </w:rPr>
            </w:pPr>
            <w:r>
              <w:rPr>
                <w:rFonts w:hint="eastAsia" w:ascii="Arial" w:hAnsi="Arial" w:cs="Arial"/>
                <w:sz w:val="18"/>
                <w:szCs w:val="18"/>
              </w:rPr>
              <w:t>10227.32</w:t>
            </w:r>
            <w:r>
              <w:rPr>
                <w:rFonts w:ascii="Arial" w:hAnsi="Arial" w:cs="Arial"/>
                <w:sz w:val="18"/>
                <w:szCs w:val="18"/>
              </w:rPr>
              <w:t>㎡</w:t>
            </w:r>
          </w:p>
        </w:tc>
        <w:tc>
          <w:tcPr>
            <w:tcW w:w="2154" w:type="dxa"/>
            <w:vAlign w:val="center"/>
          </w:tcPr>
          <w:p>
            <w:pPr>
              <w:jc w:val="center"/>
              <w:textAlignment w:val="center"/>
              <w:rPr>
                <w:rFonts w:ascii="Arial" w:hAnsi="Arial" w:cs="Arial"/>
                <w:sz w:val="18"/>
                <w:szCs w:val="18"/>
              </w:rPr>
            </w:pPr>
            <w:r>
              <w:rPr>
                <w:rFonts w:hint="eastAsia" w:ascii="Arial" w:hAnsi="Arial" w:cs="Arial"/>
                <w:sz w:val="18"/>
                <w:szCs w:val="18"/>
              </w:rPr>
              <w:t>恒大锦城50#、51#</w:t>
            </w:r>
            <w:r>
              <w:rPr>
                <w:rFonts w:ascii="Arial" w:hAnsi="Arial" w:cs="Arial"/>
                <w:sz w:val="18"/>
                <w:szCs w:val="18"/>
              </w:rPr>
              <w:t>商品房预售许可证</w:t>
            </w:r>
            <w:r>
              <w:rPr>
                <w:rFonts w:hint="eastAsia" w:ascii="Arial" w:hAnsi="Arial" w:cs="Arial"/>
                <w:sz w:val="18"/>
                <w:szCs w:val="18"/>
              </w:rPr>
              <w:t>（</w:t>
            </w:r>
            <w:r>
              <w:rPr>
                <w:rFonts w:ascii="Arial" w:hAnsi="Arial" w:cs="Arial"/>
                <w:sz w:val="18"/>
                <w:szCs w:val="18"/>
              </w:rPr>
              <w:t>渝住建委（2020）预字第（</w:t>
            </w:r>
            <w:r>
              <w:rPr>
                <w:rFonts w:hint="eastAsia" w:ascii="Arial" w:hAnsi="Arial" w:cs="Arial"/>
                <w:sz w:val="18"/>
                <w:szCs w:val="18"/>
              </w:rPr>
              <w:t>1947</w:t>
            </w:r>
            <w:r>
              <w:rPr>
                <w:rFonts w:ascii="Arial" w:hAnsi="Arial" w:cs="Arial"/>
                <w:sz w:val="18"/>
                <w:szCs w:val="18"/>
              </w:rPr>
              <w:t>）号</w:t>
            </w:r>
          </w:p>
        </w:tc>
      </w:tr>
    </w:tbl>
    <w:p>
      <w:pPr>
        <w:spacing w:before="300" w:after="300" w:line="360" w:lineRule="exact"/>
        <w:outlineLvl w:val="1"/>
        <w:rPr>
          <w:rStyle w:val="22"/>
          <w:sz w:val="24"/>
          <w:szCs w:val="24"/>
        </w:rPr>
      </w:pPr>
      <w:bookmarkStart w:id="3" w:name="_Toc25052"/>
      <w:r>
        <w:rPr>
          <w:rStyle w:val="22"/>
          <w:sz w:val="24"/>
          <w:szCs w:val="24"/>
        </w:rPr>
        <w:t>2</w:t>
      </w:r>
      <w:r>
        <w:rPr>
          <w:rStyle w:val="22"/>
          <w:rFonts w:hint="eastAsia"/>
          <w:sz w:val="24"/>
          <w:szCs w:val="24"/>
        </w:rPr>
        <w:t>、营销情况</w:t>
      </w:r>
      <w:bookmarkEnd w:id="3"/>
    </w:p>
    <w:p>
      <w:pPr>
        <w:spacing w:before="300" w:after="300" w:line="360" w:lineRule="exact"/>
        <w:outlineLvl w:val="1"/>
        <w:rPr>
          <w:rStyle w:val="22"/>
          <w:sz w:val="24"/>
          <w:szCs w:val="24"/>
        </w:rPr>
      </w:pPr>
      <w:r>
        <w:rPr>
          <w:rStyle w:val="22"/>
          <w:rFonts w:hint="eastAsia"/>
          <w:sz w:val="24"/>
          <w:szCs w:val="24"/>
        </w:rPr>
        <w:t>（</w:t>
      </w:r>
      <w:r>
        <w:rPr>
          <w:rStyle w:val="22"/>
          <w:sz w:val="24"/>
          <w:szCs w:val="24"/>
        </w:rPr>
        <w:t>1</w:t>
      </w:r>
      <w:r>
        <w:rPr>
          <w:rStyle w:val="22"/>
          <w:rFonts w:hint="eastAsia"/>
          <w:sz w:val="24"/>
          <w:szCs w:val="24"/>
        </w:rPr>
        <w:t>）</w:t>
      </w:r>
      <w:r>
        <w:rPr>
          <w:rStyle w:val="22"/>
          <w:sz w:val="24"/>
          <w:szCs w:val="24"/>
        </w:rPr>
        <w:t>项目销售及推盘计划</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ascii="Arial" w:hAnsi="Arial" w:cs="Arial"/>
          <w:bCs/>
          <w:kern w:val="44"/>
          <w:sz w:val="21"/>
          <w:szCs w:val="21"/>
        </w:rPr>
      </w:pPr>
      <w:r>
        <w:rPr>
          <w:rFonts w:hint="eastAsia" w:ascii="Arial" w:hAnsi="Arial" w:cs="Arial"/>
          <w:bCs/>
          <w:kern w:val="44"/>
          <w:sz w:val="21"/>
          <w:szCs w:val="21"/>
        </w:rPr>
        <w:t>重庆恒大锦城首一期项目于</w:t>
      </w:r>
      <w:r>
        <w:rPr>
          <w:rFonts w:ascii="Arial" w:hAnsi="Arial" w:cs="Arial"/>
          <w:bCs/>
          <w:kern w:val="44"/>
          <w:sz w:val="21"/>
          <w:szCs w:val="21"/>
        </w:rPr>
        <w:t>2020年10月8日开盘，目前已推出房源套数1092套，面积约109037㎡，总货值约9.2亿，累计已售1031套，面积101998.41㎡，金额8.84亿元，其中累计已签约房屋947套、面积93579.27㎡、金额8.04亿元，9月15日至10月7日认筹金0.31亿元，10月8日至12月31日累计销售实际回款6.85亿元，9月15日至1</w:t>
      </w:r>
      <w:r>
        <w:rPr>
          <w:rFonts w:hint="eastAsia" w:ascii="Arial" w:hAnsi="Arial" w:cs="Arial"/>
          <w:bCs/>
          <w:kern w:val="44"/>
          <w:sz w:val="21"/>
          <w:szCs w:val="21"/>
        </w:rPr>
        <w:t>2</w:t>
      </w:r>
      <w:r>
        <w:rPr>
          <w:rFonts w:ascii="Arial" w:hAnsi="Arial" w:cs="Arial"/>
          <w:bCs/>
          <w:kern w:val="44"/>
          <w:sz w:val="21"/>
          <w:szCs w:val="21"/>
        </w:rPr>
        <w:t>月3</w:t>
      </w:r>
      <w:r>
        <w:rPr>
          <w:rFonts w:hint="eastAsia" w:ascii="Arial" w:hAnsi="Arial" w:cs="Arial"/>
          <w:bCs/>
          <w:kern w:val="44"/>
          <w:sz w:val="21"/>
          <w:szCs w:val="21"/>
        </w:rPr>
        <w:t>1</w:t>
      </w:r>
      <w:r>
        <w:rPr>
          <w:rFonts w:ascii="Arial" w:hAnsi="Arial" w:cs="Arial"/>
          <w:bCs/>
          <w:kern w:val="44"/>
          <w:sz w:val="21"/>
          <w:szCs w:val="21"/>
        </w:rPr>
        <w:t>日合计收款7.16亿元，取得预售证（推货）剩余货值0.36亿元未销售，去化率85.82%（（已签约面积/已推出面积*100%）</w:t>
      </w:r>
      <w:r>
        <w:rPr>
          <w:rFonts w:hint="eastAsia" w:ascii="Arial" w:hAnsi="Arial" w:cs="Arial"/>
          <w:bCs/>
          <w:kern w:val="44"/>
          <w:sz w:val="21"/>
          <w:szCs w:val="21"/>
        </w:rPr>
        <w:t>。</w:t>
      </w:r>
    </w:p>
    <w:p>
      <w:pPr>
        <w:widowControl w:val="0"/>
        <w:spacing w:line="480" w:lineRule="auto"/>
        <w:ind w:firstLine="420" w:firstLineChars="200"/>
        <w:jc w:val="both"/>
        <w:rPr>
          <w:rFonts w:ascii="Arial" w:hAnsi="Arial" w:cs="Arial"/>
          <w:bCs/>
          <w:kern w:val="44"/>
          <w:sz w:val="21"/>
          <w:szCs w:val="21"/>
        </w:rPr>
      </w:pPr>
      <w:r>
        <w:rPr>
          <w:rFonts w:hint="eastAsia" w:ascii="Arial" w:hAnsi="Arial" w:cs="Arial"/>
          <w:bCs/>
          <w:kern w:val="44"/>
          <w:sz w:val="21"/>
          <w:szCs w:val="21"/>
        </w:rPr>
        <w:t>恒大锦城二期于</w:t>
      </w:r>
      <w:r>
        <w:rPr>
          <w:rFonts w:ascii="Arial" w:hAnsi="Arial" w:cs="Arial"/>
          <w:bCs/>
          <w:kern w:val="44"/>
          <w:sz w:val="21"/>
          <w:szCs w:val="21"/>
        </w:rPr>
        <w:t>2020年12月6日开始认筹，目前已推出房源套数108套,面积约10227.32㎡,总货值约0.93亿；截至2020年12月31日，累计销售107套，货值8912.15万元，面积10142.70㎡，已签约93套，货值7648.66万元，面积8811.36㎡，截至2020年12月31日合计收款为0.57亿元，去化率为86.16%。</w:t>
      </w:r>
    </w:p>
    <w:p>
      <w:pPr>
        <w:widowControl w:val="0"/>
        <w:spacing w:before="312" w:beforeLines="100"/>
        <w:jc w:val="center"/>
        <w:rPr>
          <w:rFonts w:ascii="Arial" w:hAnsi="Arial" w:cs="Arial"/>
          <w:b/>
          <w:bCs/>
          <w:kern w:val="44"/>
        </w:rPr>
      </w:pPr>
      <w:r>
        <w:rPr>
          <w:rFonts w:hint="eastAsia" w:ascii="Arial" w:hAnsi="Arial" w:cs="Arial"/>
          <w:b/>
          <w:bCs/>
          <w:kern w:val="44"/>
        </w:rPr>
        <w:t>恒大锦城首开一期</w:t>
      </w:r>
      <w:r>
        <w:rPr>
          <w:rFonts w:ascii="Arial" w:hAnsi="Arial" w:cs="Arial"/>
          <w:b/>
          <w:bCs/>
          <w:kern w:val="44"/>
        </w:rPr>
        <w:t>项目销售情况</w:t>
      </w:r>
      <w:r>
        <w:rPr>
          <w:rFonts w:hint="eastAsia" w:ascii="Arial" w:hAnsi="Arial" w:cs="Arial"/>
          <w:b/>
          <w:bCs/>
          <w:kern w:val="44"/>
        </w:rPr>
        <w:t>表</w:t>
      </w:r>
    </w:p>
    <w:tbl>
      <w:tblPr>
        <w:tblStyle w:val="17"/>
        <w:tblW w:w="5000" w:type="pct"/>
        <w:jc w:val="center"/>
        <w:tblLayout w:type="autofit"/>
        <w:tblCellMar>
          <w:top w:w="0" w:type="dxa"/>
          <w:left w:w="108" w:type="dxa"/>
          <w:bottom w:w="0" w:type="dxa"/>
          <w:right w:w="108" w:type="dxa"/>
        </w:tblCellMar>
      </w:tblPr>
      <w:tblGrid>
        <w:gridCol w:w="1365"/>
        <w:gridCol w:w="1374"/>
        <w:gridCol w:w="1362"/>
        <w:gridCol w:w="962"/>
        <w:gridCol w:w="1196"/>
        <w:gridCol w:w="1167"/>
        <w:gridCol w:w="962"/>
        <w:gridCol w:w="1466"/>
      </w:tblGrid>
      <w:tr>
        <w:tblPrEx>
          <w:tblCellMar>
            <w:top w:w="0" w:type="dxa"/>
            <w:left w:w="108" w:type="dxa"/>
            <w:bottom w:w="0" w:type="dxa"/>
            <w:right w:w="108" w:type="dxa"/>
          </w:tblCellMar>
        </w:tblPrEx>
        <w:trPr>
          <w:trHeight w:val="442" w:hRule="atLeast"/>
          <w:tblHeader/>
          <w:jc w:val="center"/>
        </w:trPr>
        <w:tc>
          <w:tcPr>
            <w:tcW w:w="69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日期</w:t>
            </w:r>
          </w:p>
        </w:tc>
        <w:tc>
          <w:tcPr>
            <w:tcW w:w="69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销售金额</w:t>
            </w:r>
          </w:p>
          <w:p>
            <w:pPr>
              <w:jc w:val="center"/>
              <w:rPr>
                <w:rFonts w:ascii="Arial" w:hAnsi="Arial" w:cs="Arial"/>
                <w:b/>
                <w:bCs/>
                <w:color w:val="000000"/>
                <w:sz w:val="18"/>
                <w:szCs w:val="18"/>
              </w:rPr>
            </w:pPr>
            <w:r>
              <w:rPr>
                <w:rFonts w:ascii="Arial" w:hAnsi="Arial" w:cs="Arial"/>
                <w:b/>
                <w:bCs/>
                <w:color w:val="000000"/>
                <w:sz w:val="18"/>
                <w:szCs w:val="18"/>
              </w:rPr>
              <w:t>（万元）</w:t>
            </w:r>
          </w:p>
        </w:tc>
        <w:tc>
          <w:tcPr>
            <w:tcW w:w="69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销售面积</w:t>
            </w:r>
          </w:p>
          <w:p>
            <w:pPr>
              <w:jc w:val="center"/>
              <w:rPr>
                <w:rFonts w:ascii="Arial" w:hAnsi="Arial" w:cs="Arial"/>
                <w:b/>
                <w:bCs/>
                <w:color w:val="000000"/>
                <w:sz w:val="18"/>
                <w:szCs w:val="18"/>
              </w:rPr>
            </w:pPr>
            <w:r>
              <w:rPr>
                <w:rFonts w:ascii="Arial" w:hAnsi="Arial" w:cs="Arial"/>
                <w:b/>
                <w:bCs/>
                <w:color w:val="000000"/>
                <w:sz w:val="18"/>
                <w:szCs w:val="18"/>
              </w:rPr>
              <w:t>（㎡）</w:t>
            </w:r>
          </w:p>
        </w:tc>
        <w:tc>
          <w:tcPr>
            <w:tcW w:w="48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销售套数</w:t>
            </w:r>
          </w:p>
        </w:tc>
        <w:tc>
          <w:tcPr>
            <w:tcW w:w="60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签约金额</w:t>
            </w:r>
          </w:p>
          <w:p>
            <w:pPr>
              <w:jc w:val="center"/>
              <w:rPr>
                <w:rFonts w:ascii="Arial" w:hAnsi="Arial" w:cs="Arial"/>
                <w:b/>
                <w:bCs/>
                <w:color w:val="000000"/>
                <w:sz w:val="18"/>
                <w:szCs w:val="18"/>
              </w:rPr>
            </w:pPr>
            <w:r>
              <w:rPr>
                <w:rFonts w:ascii="Arial" w:hAnsi="Arial" w:cs="Arial"/>
                <w:b/>
                <w:bCs/>
                <w:color w:val="000000"/>
                <w:sz w:val="18"/>
                <w:szCs w:val="18"/>
              </w:rPr>
              <w:t>（万元）</w:t>
            </w:r>
          </w:p>
        </w:tc>
        <w:tc>
          <w:tcPr>
            <w:tcW w:w="59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签约面积</w:t>
            </w:r>
          </w:p>
          <w:p>
            <w:pPr>
              <w:jc w:val="center"/>
              <w:rPr>
                <w:rFonts w:ascii="Arial" w:hAnsi="Arial" w:cs="Arial"/>
                <w:b/>
                <w:bCs/>
                <w:color w:val="000000"/>
                <w:sz w:val="18"/>
                <w:szCs w:val="18"/>
              </w:rPr>
            </w:pPr>
            <w:r>
              <w:rPr>
                <w:rFonts w:ascii="Arial" w:hAnsi="Arial" w:cs="Arial"/>
                <w:b/>
                <w:bCs/>
                <w:color w:val="000000"/>
                <w:sz w:val="18"/>
                <w:szCs w:val="18"/>
              </w:rPr>
              <w:t>（㎡）</w:t>
            </w:r>
          </w:p>
        </w:tc>
        <w:tc>
          <w:tcPr>
            <w:tcW w:w="48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签约套数</w:t>
            </w:r>
          </w:p>
        </w:tc>
        <w:tc>
          <w:tcPr>
            <w:tcW w:w="74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去化率</w:t>
            </w:r>
          </w:p>
          <w:p>
            <w:pPr>
              <w:jc w:val="center"/>
              <w:rPr>
                <w:rFonts w:ascii="Arial" w:hAnsi="Arial" w:cs="Arial"/>
                <w:b/>
                <w:bCs/>
                <w:color w:val="000000"/>
                <w:sz w:val="18"/>
                <w:szCs w:val="18"/>
              </w:rPr>
            </w:pPr>
            <w:r>
              <w:rPr>
                <w:rFonts w:ascii="Arial" w:hAnsi="Arial" w:cs="Arial"/>
                <w:b/>
                <w:bCs/>
                <w:color w:val="000000"/>
                <w:sz w:val="18"/>
                <w:szCs w:val="18"/>
              </w:rPr>
              <w:t>（已签约货值/已推出货值*100%）</w:t>
            </w:r>
          </w:p>
        </w:tc>
      </w:tr>
      <w:tr>
        <w:tblPrEx>
          <w:tblCellMar>
            <w:top w:w="0" w:type="dxa"/>
            <w:left w:w="108" w:type="dxa"/>
            <w:bottom w:w="0" w:type="dxa"/>
            <w:right w:w="108" w:type="dxa"/>
          </w:tblCellMar>
        </w:tblPrEx>
        <w:trPr>
          <w:trHeight w:val="526" w:hRule="atLeast"/>
          <w:tblHeader/>
          <w:jc w:val="center"/>
        </w:trPr>
        <w:tc>
          <w:tcPr>
            <w:tcW w:w="693"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691"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48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607"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592"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48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745"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w:t>
            </w:r>
            <w:r>
              <w:rPr>
                <w:rFonts w:hint="eastAsia" w:ascii="Arial" w:hAnsi="Arial" w:cs="Arial"/>
                <w:sz w:val="18"/>
                <w:szCs w:val="18"/>
                <w:lang w:val="en-US" w:eastAsia="zh-CN"/>
              </w:rPr>
              <w:t>0</w:t>
            </w:r>
            <w:r>
              <w:rPr>
                <w:rFonts w:ascii="Arial" w:hAnsi="Arial" w:cs="Arial"/>
                <w:sz w:val="18"/>
                <w:szCs w:val="18"/>
              </w:rPr>
              <w:t>1</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118.95</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124.02</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72.06%</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w:t>
            </w:r>
            <w:r>
              <w:rPr>
                <w:rFonts w:hint="eastAsia" w:ascii="Arial" w:hAnsi="Arial" w:cs="Arial"/>
                <w:sz w:val="18"/>
                <w:szCs w:val="18"/>
                <w:lang w:val="en-US" w:eastAsia="zh-CN"/>
              </w:rPr>
              <w:t>0</w:t>
            </w:r>
            <w:r>
              <w:rPr>
                <w:rFonts w:ascii="Arial" w:hAnsi="Arial" w:cs="Arial"/>
                <w:sz w:val="18"/>
                <w:szCs w:val="18"/>
              </w:rPr>
              <w:t>2</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72.03</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94.5</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159.32</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185.8</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72.23%</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w:t>
            </w:r>
            <w:r>
              <w:rPr>
                <w:rFonts w:hint="eastAsia" w:ascii="Arial" w:hAnsi="Arial" w:cs="Arial"/>
                <w:sz w:val="18"/>
                <w:szCs w:val="18"/>
                <w:lang w:val="en-US" w:eastAsia="zh-CN"/>
              </w:rPr>
              <w:t>0</w:t>
            </w:r>
            <w:r>
              <w:rPr>
                <w:rFonts w:ascii="Arial" w:hAnsi="Arial" w:cs="Arial"/>
                <w:sz w:val="18"/>
                <w:szCs w:val="18"/>
              </w:rPr>
              <w:t>3</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72.23%</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w:t>
            </w:r>
            <w:r>
              <w:rPr>
                <w:rFonts w:hint="eastAsia" w:ascii="Arial" w:hAnsi="Arial" w:cs="Arial"/>
                <w:sz w:val="18"/>
                <w:szCs w:val="18"/>
                <w:lang w:val="en-US" w:eastAsia="zh-CN"/>
              </w:rPr>
              <w:t>0</w:t>
            </w:r>
            <w:r>
              <w:rPr>
                <w:rFonts w:ascii="Arial" w:hAnsi="Arial" w:cs="Arial"/>
                <w:sz w:val="18"/>
                <w:szCs w:val="18"/>
              </w:rPr>
              <w:t>4</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86.18</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90.6</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205.79</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247.9</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72.46%</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w:t>
            </w:r>
            <w:r>
              <w:rPr>
                <w:rFonts w:hint="eastAsia" w:ascii="Arial" w:hAnsi="Arial" w:cs="Arial"/>
                <w:sz w:val="18"/>
                <w:szCs w:val="18"/>
                <w:lang w:val="en-US" w:eastAsia="zh-CN"/>
              </w:rPr>
              <w:t>0</w:t>
            </w:r>
            <w:r>
              <w:rPr>
                <w:rFonts w:ascii="Arial" w:hAnsi="Arial" w:cs="Arial"/>
                <w:sz w:val="18"/>
                <w:szCs w:val="18"/>
              </w:rPr>
              <w:t>5</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105.33</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107.66</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184.04</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199.48</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72.64%</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w:t>
            </w:r>
            <w:r>
              <w:rPr>
                <w:rFonts w:hint="eastAsia" w:ascii="Arial" w:hAnsi="Arial" w:cs="Arial"/>
                <w:sz w:val="18"/>
                <w:szCs w:val="18"/>
                <w:lang w:val="en-US" w:eastAsia="zh-CN"/>
              </w:rPr>
              <w:t>0</w:t>
            </w:r>
            <w:r>
              <w:rPr>
                <w:rFonts w:ascii="Arial" w:hAnsi="Arial" w:cs="Arial"/>
                <w:sz w:val="18"/>
                <w:szCs w:val="18"/>
              </w:rPr>
              <w:t>6</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223.31</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231.91</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127.83</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164.91</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72.79%</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w:t>
            </w:r>
            <w:r>
              <w:rPr>
                <w:rFonts w:hint="eastAsia" w:ascii="Arial" w:hAnsi="Arial" w:cs="Arial"/>
                <w:sz w:val="18"/>
                <w:szCs w:val="18"/>
                <w:lang w:val="en-US" w:eastAsia="zh-CN"/>
              </w:rPr>
              <w:t>0</w:t>
            </w:r>
            <w:r>
              <w:rPr>
                <w:rFonts w:ascii="Arial" w:hAnsi="Arial" w:cs="Arial"/>
                <w:sz w:val="18"/>
                <w:szCs w:val="18"/>
              </w:rPr>
              <w:t>7</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357.33</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427.96</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4</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73.18%</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w:t>
            </w:r>
            <w:r>
              <w:rPr>
                <w:rFonts w:hint="eastAsia" w:ascii="Arial" w:hAnsi="Arial" w:cs="Arial"/>
                <w:sz w:val="18"/>
                <w:szCs w:val="18"/>
                <w:lang w:val="en-US" w:eastAsia="zh-CN"/>
              </w:rPr>
              <w:t>0</w:t>
            </w:r>
            <w:r>
              <w:rPr>
                <w:rFonts w:ascii="Arial" w:hAnsi="Arial" w:cs="Arial"/>
                <w:sz w:val="18"/>
                <w:szCs w:val="18"/>
              </w:rPr>
              <w:t>8</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233.40</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232.25</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194.57</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214.62</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73.38%</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w:t>
            </w:r>
            <w:r>
              <w:rPr>
                <w:rFonts w:hint="eastAsia" w:ascii="Arial" w:hAnsi="Arial" w:cs="Arial"/>
                <w:sz w:val="18"/>
                <w:szCs w:val="18"/>
                <w:lang w:val="en-US" w:eastAsia="zh-CN"/>
              </w:rPr>
              <w:t>0</w:t>
            </w:r>
            <w:r>
              <w:rPr>
                <w:rFonts w:ascii="Arial" w:hAnsi="Arial" w:cs="Arial"/>
                <w:sz w:val="18"/>
                <w:szCs w:val="18"/>
              </w:rPr>
              <w:t>9</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105.33</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107.66</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73.48%</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2020-12-10</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318.15</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338.92</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73.79%</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2020-12-11</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98.04</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106.7</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73.79%</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2020-12-12</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118.58</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124.25</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67.26</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84.62</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73.87%</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2020-12-13</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174.14</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192.48</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95.59</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107.52</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73.97%</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2020-12-14</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303.22</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338.92</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74.28%</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2020-12-15</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324.31</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354.37</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74.60%</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2020-12-16</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101.75</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108.81</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74.60%</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2020-12-17</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391.62</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468.03</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5</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75.03%</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2020-12-18</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1,951.70</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2355.89</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26</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77.19%</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2020-12-19</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77.19%</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2020-12-20</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576.92</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703.41</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77.84%</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2020-12-21</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208.94</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231.77</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1,156.06</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1386.02</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15</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79.11%</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2020-12-22</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106.11</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123.95</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331.20</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394.08</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4</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79.47%</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2020-12-23</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119.26</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124.34</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161.34</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197.49</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79.65%</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2020-12-24</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108.19</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108.98</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728.29</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841.24</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80.42%</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2020-12-25</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1,029.44</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1199.39</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12</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81.52%</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2020-12-26</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1,092.74</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1270.01</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12</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82.69%</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2020-12-27</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522.81</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609.26</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6</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83.25%</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2020-12-28</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269.55</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308.34</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83.53%</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2020-12-29</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227.13</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248.5</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459.76</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533.73</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5</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84.02%</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2020-12-30</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216.90</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217.96</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355.97</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402.43</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4</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84.39%</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2020-12-31</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sz w:val="18"/>
                <w:szCs w:val="18"/>
              </w:rPr>
            </w:pPr>
            <w:r>
              <w:rPr>
                <w:rFonts w:ascii="Arial" w:hAnsi="Arial" w:cs="Arial"/>
                <w:sz w:val="18"/>
                <w:szCs w:val="18"/>
              </w:rPr>
              <w:t>231.99</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231.73</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sz w:val="18"/>
                <w:szCs w:val="18"/>
              </w:rPr>
            </w:pPr>
            <w:r>
              <w:rPr>
                <w:rFonts w:ascii="Arial" w:hAnsi="Arial" w:cs="Arial"/>
                <w:sz w:val="18"/>
                <w:szCs w:val="18"/>
              </w:rPr>
              <w:t>1,417.52</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1566.36</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15</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85.82%</w:t>
            </w:r>
          </w:p>
        </w:tc>
      </w:tr>
      <w:tr>
        <w:tblPrEx>
          <w:tblCellMar>
            <w:top w:w="0" w:type="dxa"/>
            <w:left w:w="108" w:type="dxa"/>
            <w:bottom w:w="0" w:type="dxa"/>
            <w:right w:w="108" w:type="dxa"/>
          </w:tblCellMar>
        </w:tblPrEx>
        <w:trPr>
          <w:trHeight w:val="340" w:hRule="atLeast"/>
          <w:jc w:val="center"/>
        </w:trPr>
        <w:tc>
          <w:tcPr>
            <w:tcW w:w="69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合计</w:t>
            </w:r>
          </w:p>
        </w:tc>
        <w:tc>
          <w:tcPr>
            <w:tcW w:w="69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sz w:val="18"/>
                <w:szCs w:val="18"/>
              </w:rPr>
              <w:t>2,550.21</w:t>
            </w:r>
          </w:p>
        </w:tc>
        <w:tc>
          <w:tcPr>
            <w:tcW w:w="691"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sz w:val="18"/>
                <w:szCs w:val="18"/>
              </w:rPr>
              <w:t>2,700.41</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sz w:val="18"/>
                <w:szCs w:val="18"/>
              </w:rPr>
              <w:t>24.00</w:t>
            </w:r>
          </w:p>
        </w:tc>
        <w:tc>
          <w:tcPr>
            <w:tcW w:w="60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sz w:val="18"/>
                <w:szCs w:val="18"/>
              </w:rPr>
              <w:t>12,887.67</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sz w:val="18"/>
                <w:szCs w:val="18"/>
              </w:rPr>
              <w:t>15,008.36</w:t>
            </w:r>
          </w:p>
        </w:tc>
        <w:tc>
          <w:tcPr>
            <w:tcW w:w="48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sz w:val="18"/>
                <w:szCs w:val="18"/>
              </w:rPr>
              <w:t>151.00</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sz w:val="18"/>
                <w:szCs w:val="18"/>
              </w:rPr>
              <w:t>85.82%</w:t>
            </w:r>
          </w:p>
        </w:tc>
      </w:tr>
    </w:tbl>
    <w:p>
      <w:pPr>
        <w:widowControl w:val="0"/>
        <w:spacing w:before="312" w:beforeLines="100"/>
        <w:rPr>
          <w:rFonts w:hint="eastAsia" w:ascii="Arial" w:hAnsi="Arial" w:cs="Arial"/>
          <w:b/>
          <w:bCs/>
          <w:kern w:val="44"/>
        </w:rPr>
      </w:pPr>
    </w:p>
    <w:p>
      <w:pPr>
        <w:widowControl w:val="0"/>
        <w:spacing w:before="312" w:beforeLines="100"/>
        <w:jc w:val="center"/>
        <w:rPr>
          <w:rFonts w:ascii="Arial" w:hAnsi="Arial" w:cs="Arial"/>
          <w:b/>
          <w:bCs/>
          <w:kern w:val="44"/>
        </w:rPr>
      </w:pPr>
      <w:r>
        <w:rPr>
          <w:rFonts w:hint="eastAsia" w:ascii="Arial" w:hAnsi="Arial" w:cs="Arial"/>
          <w:b/>
          <w:bCs/>
          <w:kern w:val="44"/>
        </w:rPr>
        <w:t>恒大锦城首开二期项目销售情况表</w:t>
      </w:r>
    </w:p>
    <w:tbl>
      <w:tblPr>
        <w:tblStyle w:val="17"/>
        <w:tblW w:w="5135" w:type="pct"/>
        <w:tblInd w:w="0" w:type="dxa"/>
        <w:tblLayout w:type="fixed"/>
        <w:tblCellMar>
          <w:top w:w="0" w:type="dxa"/>
          <w:left w:w="108" w:type="dxa"/>
          <w:bottom w:w="0" w:type="dxa"/>
          <w:right w:w="108" w:type="dxa"/>
        </w:tblCellMar>
      </w:tblPr>
      <w:tblGrid>
        <w:gridCol w:w="1361"/>
        <w:gridCol w:w="1107"/>
        <w:gridCol w:w="1264"/>
        <w:gridCol w:w="1153"/>
        <w:gridCol w:w="1177"/>
        <w:gridCol w:w="1347"/>
        <w:gridCol w:w="953"/>
        <w:gridCol w:w="1520"/>
        <w:gridCol w:w="240"/>
      </w:tblGrid>
      <w:tr>
        <w:tblPrEx>
          <w:tblCellMar>
            <w:top w:w="0" w:type="dxa"/>
            <w:left w:w="108" w:type="dxa"/>
            <w:bottom w:w="0" w:type="dxa"/>
            <w:right w:w="108" w:type="dxa"/>
          </w:tblCellMar>
        </w:tblPrEx>
        <w:trPr>
          <w:gridAfter w:val="1"/>
          <w:wAfter w:w="118" w:type="pct"/>
          <w:trHeight w:val="440" w:hRule="atLeast"/>
          <w:tblHeader/>
        </w:trPr>
        <w:tc>
          <w:tcPr>
            <w:tcW w:w="67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日期</w:t>
            </w:r>
          </w:p>
        </w:tc>
        <w:tc>
          <w:tcPr>
            <w:tcW w:w="5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销售金额（万元）</w:t>
            </w:r>
          </w:p>
        </w:tc>
        <w:tc>
          <w:tcPr>
            <w:tcW w:w="62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销售面积（㎡）</w:t>
            </w:r>
          </w:p>
        </w:tc>
        <w:tc>
          <w:tcPr>
            <w:tcW w:w="56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销售套数</w:t>
            </w:r>
          </w:p>
        </w:tc>
        <w:tc>
          <w:tcPr>
            <w:tcW w:w="58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签约金额（万元）</w:t>
            </w:r>
          </w:p>
        </w:tc>
        <w:tc>
          <w:tcPr>
            <w:tcW w:w="66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签约面积（㎡）</w:t>
            </w:r>
          </w:p>
        </w:tc>
        <w:tc>
          <w:tcPr>
            <w:tcW w:w="47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签约套数</w:t>
            </w:r>
          </w:p>
        </w:tc>
        <w:tc>
          <w:tcPr>
            <w:tcW w:w="7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去化率（已签约面积/已推出面积*100%）</w:t>
            </w:r>
          </w:p>
        </w:tc>
      </w:tr>
      <w:tr>
        <w:tblPrEx>
          <w:tblCellMar>
            <w:top w:w="0" w:type="dxa"/>
            <w:left w:w="108" w:type="dxa"/>
            <w:bottom w:w="0" w:type="dxa"/>
            <w:right w:w="108" w:type="dxa"/>
          </w:tblCellMar>
        </w:tblPrEx>
        <w:trPr>
          <w:trHeight w:val="440" w:hRule="atLeast"/>
          <w:tblHeader/>
        </w:trPr>
        <w:tc>
          <w:tcPr>
            <w:tcW w:w="672"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546"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624"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569"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581"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665"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470"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750"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118" w:type="pct"/>
            <w:tcBorders>
              <w:top w:val="nil"/>
              <w:left w:val="nil"/>
              <w:bottom w:val="nil"/>
              <w:right w:val="nil"/>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40" w:hRule="atLeast"/>
          <w:tblHeader/>
        </w:trPr>
        <w:tc>
          <w:tcPr>
            <w:tcW w:w="672"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2020-12-21</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156.98</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181.45</w:t>
            </w:r>
          </w:p>
        </w:tc>
        <w:tc>
          <w:tcPr>
            <w:tcW w:w="56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581"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588.23</w:t>
            </w:r>
          </w:p>
        </w:tc>
        <w:tc>
          <w:tcPr>
            <w:tcW w:w="66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664.44</w:t>
            </w:r>
          </w:p>
        </w:tc>
        <w:tc>
          <w:tcPr>
            <w:tcW w:w="4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w:t>
            </w:r>
          </w:p>
        </w:tc>
        <w:tc>
          <w:tcPr>
            <w:tcW w:w="75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6.50%</w:t>
            </w:r>
          </w:p>
        </w:tc>
        <w:tc>
          <w:tcPr>
            <w:tcW w:w="118" w:type="pct"/>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440" w:hRule="atLeast"/>
          <w:tblHeader/>
        </w:trPr>
        <w:tc>
          <w:tcPr>
            <w:tcW w:w="672"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2020-12-22</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805.79</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908.1</w:t>
            </w:r>
          </w:p>
        </w:tc>
        <w:tc>
          <w:tcPr>
            <w:tcW w:w="56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w:t>
            </w:r>
          </w:p>
        </w:tc>
        <w:tc>
          <w:tcPr>
            <w:tcW w:w="581"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2145.88</w:t>
            </w:r>
          </w:p>
        </w:tc>
        <w:tc>
          <w:tcPr>
            <w:tcW w:w="66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2425.65</w:t>
            </w:r>
          </w:p>
        </w:tc>
        <w:tc>
          <w:tcPr>
            <w:tcW w:w="4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27</w:t>
            </w:r>
          </w:p>
        </w:tc>
        <w:tc>
          <w:tcPr>
            <w:tcW w:w="75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30.21%</w:t>
            </w:r>
          </w:p>
        </w:tc>
        <w:tc>
          <w:tcPr>
            <w:tcW w:w="118" w:type="pct"/>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440" w:hRule="atLeast"/>
          <w:tblHeader/>
        </w:trPr>
        <w:tc>
          <w:tcPr>
            <w:tcW w:w="672"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2020-12-23</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424.06</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484.32</w:t>
            </w:r>
          </w:p>
        </w:tc>
        <w:tc>
          <w:tcPr>
            <w:tcW w:w="56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w:t>
            </w:r>
          </w:p>
        </w:tc>
        <w:tc>
          <w:tcPr>
            <w:tcW w:w="581"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1363.32</w:t>
            </w:r>
          </w:p>
        </w:tc>
        <w:tc>
          <w:tcPr>
            <w:tcW w:w="66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1543.38</w:t>
            </w:r>
          </w:p>
        </w:tc>
        <w:tc>
          <w:tcPr>
            <w:tcW w:w="4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16</w:t>
            </w:r>
          </w:p>
        </w:tc>
        <w:tc>
          <w:tcPr>
            <w:tcW w:w="75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45.30%</w:t>
            </w:r>
          </w:p>
        </w:tc>
        <w:tc>
          <w:tcPr>
            <w:tcW w:w="118" w:type="pct"/>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440" w:hRule="atLeast"/>
          <w:tblHeader/>
        </w:trPr>
        <w:tc>
          <w:tcPr>
            <w:tcW w:w="672"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2020-12-24</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233.88</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273.11</w:t>
            </w:r>
          </w:p>
        </w:tc>
        <w:tc>
          <w:tcPr>
            <w:tcW w:w="56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581"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737.69</w:t>
            </w:r>
          </w:p>
        </w:tc>
        <w:tc>
          <w:tcPr>
            <w:tcW w:w="66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849.59</w:t>
            </w:r>
          </w:p>
        </w:tc>
        <w:tc>
          <w:tcPr>
            <w:tcW w:w="4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w:t>
            </w:r>
          </w:p>
        </w:tc>
        <w:tc>
          <w:tcPr>
            <w:tcW w:w="75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53.61%</w:t>
            </w:r>
          </w:p>
        </w:tc>
        <w:tc>
          <w:tcPr>
            <w:tcW w:w="118" w:type="pct"/>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440" w:hRule="atLeast"/>
          <w:tblHeader/>
        </w:trPr>
        <w:tc>
          <w:tcPr>
            <w:tcW w:w="672"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2020-12-25</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181.92</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211.19</w:t>
            </w:r>
          </w:p>
        </w:tc>
        <w:tc>
          <w:tcPr>
            <w:tcW w:w="56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581"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848.67</w:t>
            </w:r>
          </w:p>
        </w:tc>
        <w:tc>
          <w:tcPr>
            <w:tcW w:w="66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998.86</w:t>
            </w:r>
          </w:p>
        </w:tc>
        <w:tc>
          <w:tcPr>
            <w:tcW w:w="4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11</w:t>
            </w:r>
          </w:p>
        </w:tc>
        <w:tc>
          <w:tcPr>
            <w:tcW w:w="75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63.38%</w:t>
            </w:r>
          </w:p>
        </w:tc>
        <w:tc>
          <w:tcPr>
            <w:tcW w:w="118" w:type="pct"/>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440" w:hRule="atLeast"/>
          <w:tblHeader/>
        </w:trPr>
        <w:tc>
          <w:tcPr>
            <w:tcW w:w="672"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2020-12-26</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80.70</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90.51</w:t>
            </w:r>
          </w:p>
        </w:tc>
        <w:tc>
          <w:tcPr>
            <w:tcW w:w="56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581"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462.14</w:t>
            </w:r>
          </w:p>
        </w:tc>
        <w:tc>
          <w:tcPr>
            <w:tcW w:w="66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546.4</w:t>
            </w:r>
          </w:p>
        </w:tc>
        <w:tc>
          <w:tcPr>
            <w:tcW w:w="4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75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68.72%</w:t>
            </w:r>
          </w:p>
        </w:tc>
        <w:tc>
          <w:tcPr>
            <w:tcW w:w="118" w:type="pct"/>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440" w:hRule="atLeast"/>
          <w:tblHeader/>
        </w:trPr>
        <w:tc>
          <w:tcPr>
            <w:tcW w:w="672"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2020-12-27</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106.99</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120.97</w:t>
            </w:r>
          </w:p>
        </w:tc>
        <w:tc>
          <w:tcPr>
            <w:tcW w:w="56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581"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83.04</w:t>
            </w:r>
          </w:p>
        </w:tc>
        <w:tc>
          <w:tcPr>
            <w:tcW w:w="66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90.6</w:t>
            </w:r>
          </w:p>
        </w:tc>
        <w:tc>
          <w:tcPr>
            <w:tcW w:w="4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75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69.61%</w:t>
            </w:r>
          </w:p>
        </w:tc>
        <w:tc>
          <w:tcPr>
            <w:tcW w:w="118" w:type="pct"/>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440" w:hRule="atLeast"/>
          <w:tblHeader/>
        </w:trPr>
        <w:tc>
          <w:tcPr>
            <w:tcW w:w="672"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2020-12-28</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102.87</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121.04</w:t>
            </w:r>
          </w:p>
        </w:tc>
        <w:tc>
          <w:tcPr>
            <w:tcW w:w="56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581"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491.20</w:t>
            </w:r>
          </w:p>
        </w:tc>
        <w:tc>
          <w:tcPr>
            <w:tcW w:w="66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573.84</w:t>
            </w:r>
          </w:p>
        </w:tc>
        <w:tc>
          <w:tcPr>
            <w:tcW w:w="4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75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75.22%</w:t>
            </w:r>
          </w:p>
        </w:tc>
        <w:tc>
          <w:tcPr>
            <w:tcW w:w="118" w:type="pct"/>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440" w:hRule="atLeast"/>
          <w:tblHeader/>
        </w:trPr>
        <w:tc>
          <w:tcPr>
            <w:tcW w:w="672"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2020-12-29</w:t>
            </w:r>
          </w:p>
        </w:tc>
        <w:tc>
          <w:tcPr>
            <w:tcW w:w="546"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w:t>
            </w:r>
          </w:p>
        </w:tc>
        <w:tc>
          <w:tcPr>
            <w:tcW w:w="62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56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581"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79.22</w:t>
            </w:r>
          </w:p>
        </w:tc>
        <w:tc>
          <w:tcPr>
            <w:tcW w:w="66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91.3</w:t>
            </w:r>
          </w:p>
        </w:tc>
        <w:tc>
          <w:tcPr>
            <w:tcW w:w="4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75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76.11%</w:t>
            </w:r>
          </w:p>
        </w:tc>
        <w:tc>
          <w:tcPr>
            <w:tcW w:w="118" w:type="pct"/>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440" w:hRule="atLeast"/>
          <w:tblHeader/>
        </w:trPr>
        <w:tc>
          <w:tcPr>
            <w:tcW w:w="672"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2020-12-30</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318.02</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362.98</w:t>
            </w:r>
          </w:p>
        </w:tc>
        <w:tc>
          <w:tcPr>
            <w:tcW w:w="56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581"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267.32</w:t>
            </w:r>
          </w:p>
        </w:tc>
        <w:tc>
          <w:tcPr>
            <w:tcW w:w="66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301.27</w:t>
            </w:r>
          </w:p>
        </w:tc>
        <w:tc>
          <w:tcPr>
            <w:tcW w:w="4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75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79.06%</w:t>
            </w:r>
          </w:p>
        </w:tc>
        <w:tc>
          <w:tcPr>
            <w:tcW w:w="118" w:type="pct"/>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440" w:hRule="atLeast"/>
          <w:tblHeader/>
        </w:trPr>
        <w:tc>
          <w:tcPr>
            <w:tcW w:w="672"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2020-12-31</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310.64</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363.05</w:t>
            </w:r>
          </w:p>
        </w:tc>
        <w:tc>
          <w:tcPr>
            <w:tcW w:w="56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581" w:type="pct"/>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581.95</w:t>
            </w:r>
          </w:p>
        </w:tc>
        <w:tc>
          <w:tcPr>
            <w:tcW w:w="66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726.03</w:t>
            </w:r>
          </w:p>
        </w:tc>
        <w:tc>
          <w:tcPr>
            <w:tcW w:w="47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75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86.16%</w:t>
            </w:r>
          </w:p>
        </w:tc>
        <w:tc>
          <w:tcPr>
            <w:tcW w:w="118" w:type="pct"/>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420" w:hRule="atLeast"/>
          <w:tblHeader/>
        </w:trPr>
        <w:tc>
          <w:tcPr>
            <w:tcW w:w="672"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合计</w:t>
            </w:r>
          </w:p>
        </w:tc>
        <w:tc>
          <w:tcPr>
            <w:tcW w:w="546"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color w:val="000000"/>
                <w:sz w:val="18"/>
                <w:szCs w:val="18"/>
              </w:rPr>
              <w:t>8912.15</w:t>
            </w:r>
          </w:p>
        </w:tc>
        <w:tc>
          <w:tcPr>
            <w:tcW w:w="62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10142.70</w:t>
            </w:r>
          </w:p>
        </w:tc>
        <w:tc>
          <w:tcPr>
            <w:tcW w:w="569"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107</w:t>
            </w:r>
          </w:p>
        </w:tc>
        <w:tc>
          <w:tcPr>
            <w:tcW w:w="58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color w:val="000000"/>
                <w:sz w:val="18"/>
                <w:szCs w:val="18"/>
              </w:rPr>
              <w:t>7648.66</w:t>
            </w:r>
          </w:p>
        </w:tc>
        <w:tc>
          <w:tcPr>
            <w:tcW w:w="66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8811.36</w:t>
            </w:r>
          </w:p>
        </w:tc>
        <w:tc>
          <w:tcPr>
            <w:tcW w:w="47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93</w:t>
            </w:r>
          </w:p>
        </w:tc>
        <w:tc>
          <w:tcPr>
            <w:tcW w:w="750" w:type="pct"/>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86.16%</w:t>
            </w:r>
          </w:p>
        </w:tc>
        <w:tc>
          <w:tcPr>
            <w:tcW w:w="118" w:type="pct"/>
            <w:vAlign w:val="center"/>
          </w:tcPr>
          <w:p>
            <w:pPr>
              <w:jc w:val="center"/>
              <w:rPr>
                <w:rFonts w:ascii="Arial" w:hAnsi="Arial" w:cs="Arial"/>
                <w:sz w:val="18"/>
                <w:szCs w:val="18"/>
              </w:rPr>
            </w:pPr>
          </w:p>
        </w:tc>
      </w:tr>
    </w:tbl>
    <w:p>
      <w:pPr>
        <w:widowControl w:val="0"/>
        <w:spacing w:before="312" w:beforeLines="100"/>
        <w:jc w:val="center"/>
        <w:rPr>
          <w:rFonts w:ascii="Arial" w:hAnsi="Arial" w:cs="Arial"/>
          <w:b/>
          <w:bCs/>
          <w:kern w:val="44"/>
        </w:rPr>
      </w:pPr>
      <w:r>
        <w:rPr>
          <w:rFonts w:hint="eastAsia" w:ascii="Arial" w:hAnsi="Arial" w:cs="Arial"/>
          <w:b/>
          <w:bCs/>
          <w:kern w:val="44"/>
        </w:rPr>
        <w:t>销售回款情况表</w:t>
      </w:r>
    </w:p>
    <w:tbl>
      <w:tblPr>
        <w:tblStyle w:val="17"/>
        <w:tblW w:w="0" w:type="auto"/>
        <w:tblInd w:w="0" w:type="dxa"/>
        <w:tblLayout w:type="autofit"/>
        <w:tblCellMar>
          <w:top w:w="0" w:type="dxa"/>
          <w:left w:w="108" w:type="dxa"/>
          <w:bottom w:w="0" w:type="dxa"/>
          <w:right w:w="108" w:type="dxa"/>
        </w:tblCellMar>
      </w:tblPr>
      <w:tblGrid>
        <w:gridCol w:w="1262"/>
        <w:gridCol w:w="917"/>
        <w:gridCol w:w="985"/>
        <w:gridCol w:w="1125"/>
        <w:gridCol w:w="1239"/>
        <w:gridCol w:w="941"/>
        <w:gridCol w:w="964"/>
        <w:gridCol w:w="965"/>
        <w:gridCol w:w="1230"/>
      </w:tblGrid>
      <w:tr>
        <w:tblPrEx>
          <w:tblCellMar>
            <w:top w:w="0" w:type="dxa"/>
            <w:left w:w="108" w:type="dxa"/>
            <w:bottom w:w="0" w:type="dxa"/>
            <w:right w:w="108" w:type="dxa"/>
          </w:tblCellMar>
        </w:tblPrEx>
        <w:trPr>
          <w:trHeight w:val="440" w:hRule="atLeast"/>
          <w:tblHeader/>
        </w:trPr>
        <w:tc>
          <w:tcPr>
            <w:tcW w:w="126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日期</w:t>
            </w:r>
          </w:p>
        </w:tc>
        <w:tc>
          <w:tcPr>
            <w:tcW w:w="4266" w:type="dxa"/>
            <w:gridSpan w:val="4"/>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恒大锦城首开一期销售回款   单位:（万元）</w:t>
            </w:r>
          </w:p>
        </w:tc>
        <w:tc>
          <w:tcPr>
            <w:tcW w:w="4100" w:type="dxa"/>
            <w:gridSpan w:val="4"/>
            <w:tcBorders>
              <w:top w:val="single" w:color="auto" w:sz="4" w:space="0"/>
              <w:left w:val="nil"/>
              <w:bottom w:val="single" w:color="auto" w:sz="4" w:space="0"/>
              <w:right w:val="single" w:color="auto" w:sz="4" w:space="0"/>
            </w:tcBorders>
            <w:shd w:val="clear" w:color="auto" w:fill="auto"/>
            <w:vAlign w:val="center"/>
          </w:tcPr>
          <w:p>
            <w:pPr>
              <w:ind w:firstLine="181" w:firstLineChars="100"/>
              <w:jc w:val="center"/>
              <w:rPr>
                <w:rFonts w:ascii="Arial" w:hAnsi="Arial" w:cs="Arial"/>
                <w:b/>
                <w:bCs/>
                <w:color w:val="000000"/>
                <w:sz w:val="18"/>
                <w:szCs w:val="18"/>
              </w:rPr>
            </w:pPr>
            <w:r>
              <w:rPr>
                <w:rFonts w:ascii="Arial" w:hAnsi="Arial" w:cs="Arial"/>
                <w:b/>
                <w:bCs/>
                <w:color w:val="000000"/>
                <w:sz w:val="18"/>
                <w:szCs w:val="18"/>
              </w:rPr>
              <w:t>恒大锦城首开二期销售回款    单位:（万元）</w:t>
            </w:r>
          </w:p>
        </w:tc>
      </w:tr>
      <w:tr>
        <w:tblPrEx>
          <w:tblCellMar>
            <w:top w:w="0" w:type="dxa"/>
            <w:left w:w="108" w:type="dxa"/>
            <w:bottom w:w="0" w:type="dxa"/>
            <w:right w:w="108" w:type="dxa"/>
          </w:tblCellMar>
        </w:tblPrEx>
        <w:trPr>
          <w:trHeight w:val="420" w:hRule="atLeast"/>
          <w:tblHeader/>
        </w:trPr>
        <w:tc>
          <w:tcPr>
            <w:tcW w:w="12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房款</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定金</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按揭款</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回款合计</w:t>
            </w:r>
          </w:p>
        </w:tc>
        <w:tc>
          <w:tcPr>
            <w:tcW w:w="941"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房款</w:t>
            </w:r>
          </w:p>
        </w:tc>
        <w:tc>
          <w:tcPr>
            <w:tcW w:w="964"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定金</w:t>
            </w:r>
          </w:p>
        </w:tc>
        <w:tc>
          <w:tcPr>
            <w:tcW w:w="965"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按揭款</w:t>
            </w:r>
          </w:p>
        </w:tc>
        <w:tc>
          <w:tcPr>
            <w:tcW w:w="123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回款合计</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2020-12-1</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2.00</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2.00</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2020-12-2</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134.79</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2.00</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136.79</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2020-12-3</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141.10</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270.40</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411.50</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2020-12-4</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135.69</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1,714.20</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1,849.89</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2020-12-5</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129.21</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2.00</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131.21</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2020-12-6</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227.00</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4.00</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231.00</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20.00</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2020-12-7</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118.91</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118.91</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28.00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28.00</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2020-12-8</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78.68</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4.00</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60.00</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142.68</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18.00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18.00</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2020-12-9</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162.06</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86.00</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248.06</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12.00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12.00</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2020-12-10</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188.73</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144.00</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332.73</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2.00</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2020-12-11</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15.01</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2.00</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382.00</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399.01</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2020-12-12</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19.57</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2.00</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21.57</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4.00</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2020-12-13</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85.39</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4.00</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89.39</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8.00</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2020-12-14</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159.54</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159.54</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4.00</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2020-12-15</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83.78</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83.78</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4.00</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2020-12-16</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39.68</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2.00</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326.00</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367.68</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4.00</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2020-12-17</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74.19</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217.30</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291.49</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14.00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14.00</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2020-12-18</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622.49</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207.00</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829.49</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14.00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14.00</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2020-12-19</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64.42</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64.42</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6.00</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2020-12-20</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202.82</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202.82</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146.00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146.00</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2020-12-21</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310.81</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4.00</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314.81</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262.49</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4.00</w:t>
            </w:r>
          </w:p>
        </w:tc>
        <w:tc>
          <w:tcPr>
            <w:tcW w:w="965" w:type="dxa"/>
            <w:tcBorders>
              <w:top w:val="nil"/>
              <w:left w:val="nil"/>
              <w:bottom w:val="single" w:color="auto" w:sz="4" w:space="0"/>
              <w:right w:val="single" w:color="auto" w:sz="4" w:space="0"/>
            </w:tcBorders>
            <w:shd w:val="clear" w:color="auto" w:fill="auto"/>
            <w:noWrap/>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266.49</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2020-12-22</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141.48</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5.00</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146.48</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986.06</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20.00</w:t>
            </w:r>
          </w:p>
        </w:tc>
        <w:tc>
          <w:tcPr>
            <w:tcW w:w="965" w:type="dxa"/>
            <w:tcBorders>
              <w:top w:val="nil"/>
              <w:left w:val="nil"/>
              <w:bottom w:val="single" w:color="auto" w:sz="4" w:space="0"/>
              <w:right w:val="single" w:color="auto" w:sz="4" w:space="0"/>
            </w:tcBorders>
            <w:shd w:val="clear" w:color="auto" w:fill="auto"/>
            <w:noWrap/>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1006.06</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2020-12-23</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75.34</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2.00</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569.20</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646.54</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715.30</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10.00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725.30</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2020-12-24</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258.67</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2.00</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90.80</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351.47</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471.70</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477.70</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2020-12-25</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342.77</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4.00</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432.30</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779.07</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371.10</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343.80</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714.90</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2020-12-26</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294.74</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2.00</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296.74</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287.49</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287.49</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2020-12-27</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310.16</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2.00</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312.16</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24.78</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24.78</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2020-12-28</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177.74</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99.00</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276.74</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180.37</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182.37</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2020-12-29</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239.90</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4.00</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781.10</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1,025.00</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39.75</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706.00</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745.75</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2020-12-30</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153.45</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4.00</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705.70</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863.15</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183.08</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475.70</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664.78</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2020-12-31</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563.23</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2.00</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565.23</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394.82</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402.82</w:t>
            </w:r>
          </w:p>
        </w:tc>
      </w:tr>
      <w:tr>
        <w:tblPrEx>
          <w:tblCellMar>
            <w:top w:w="0" w:type="dxa"/>
            <w:left w:w="108" w:type="dxa"/>
            <w:bottom w:w="0" w:type="dxa"/>
            <w:right w:w="108" w:type="dxa"/>
          </w:tblCellMar>
        </w:tblPrEx>
        <w:trPr>
          <w:trHeight w:val="340" w:hRule="atLeast"/>
        </w:trPr>
        <w:tc>
          <w:tcPr>
            <w:tcW w:w="12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合计</w:t>
            </w:r>
          </w:p>
        </w:tc>
        <w:tc>
          <w:tcPr>
            <w:tcW w:w="9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5,551.35</w:t>
            </w:r>
          </w:p>
        </w:tc>
        <w:tc>
          <w:tcPr>
            <w:tcW w:w="98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55.00</w:t>
            </w:r>
          </w:p>
        </w:tc>
        <w:tc>
          <w:tcPr>
            <w:tcW w:w="11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6,085.00</w:t>
            </w:r>
          </w:p>
        </w:tc>
        <w:tc>
          <w:tcPr>
            <w:tcW w:w="123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11,691.35</w:t>
            </w:r>
          </w:p>
        </w:tc>
        <w:tc>
          <w:tcPr>
            <w:tcW w:w="94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3916.94</w:t>
            </w:r>
          </w:p>
        </w:tc>
        <w:tc>
          <w:tcPr>
            <w:tcW w:w="96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340.00</w:t>
            </w:r>
          </w:p>
        </w:tc>
        <w:tc>
          <w:tcPr>
            <w:tcW w:w="9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1525.50</w:t>
            </w:r>
          </w:p>
        </w:tc>
        <w:tc>
          <w:tcPr>
            <w:tcW w:w="12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5782.44</w:t>
            </w:r>
          </w:p>
        </w:tc>
      </w:tr>
    </w:tbl>
    <w:p>
      <w:pPr>
        <w:rPr>
          <w:rFonts w:hint="eastAsia" w:ascii="Arial" w:hAnsi="Arial" w:cs="Arial"/>
          <w:szCs w:val="15"/>
        </w:rPr>
      </w:pPr>
    </w:p>
    <w:p>
      <w:pPr>
        <w:spacing w:before="300" w:after="300" w:line="360" w:lineRule="exact"/>
        <w:outlineLvl w:val="1"/>
        <w:rPr>
          <w:rStyle w:val="22"/>
          <w:sz w:val="24"/>
          <w:szCs w:val="24"/>
        </w:rPr>
      </w:pPr>
      <w:r>
        <w:rPr>
          <w:rStyle w:val="22"/>
          <w:rFonts w:hint="eastAsia"/>
          <w:sz w:val="24"/>
          <w:szCs w:val="24"/>
        </w:rPr>
        <w:t>（</w:t>
      </w:r>
      <w:r>
        <w:rPr>
          <w:rStyle w:val="22"/>
          <w:sz w:val="24"/>
          <w:szCs w:val="24"/>
        </w:rPr>
        <w:t>2</w:t>
      </w:r>
      <w:r>
        <w:rPr>
          <w:rStyle w:val="22"/>
          <w:rFonts w:hint="eastAsia"/>
          <w:sz w:val="24"/>
          <w:szCs w:val="24"/>
        </w:rPr>
        <w:t>）</w:t>
      </w:r>
      <w:r>
        <w:rPr>
          <w:rStyle w:val="22"/>
          <w:sz w:val="24"/>
          <w:szCs w:val="24"/>
        </w:rPr>
        <w:t>渠道推广及促销活动描述</w:t>
      </w:r>
    </w:p>
    <w:p>
      <w:pPr>
        <w:spacing w:before="300" w:after="300" w:line="360" w:lineRule="exact"/>
        <w:ind w:firstLine="420" w:firstLineChars="200"/>
        <w:outlineLvl w:val="3"/>
        <w:rPr>
          <w:rFonts w:ascii="Arial" w:hAnsi="Arial" w:cs="Arial"/>
          <w:bCs/>
          <w:sz w:val="21"/>
          <w:szCs w:val="21"/>
        </w:rPr>
      </w:pPr>
      <w:r>
        <w:rPr>
          <w:rFonts w:hint="eastAsia" w:ascii="Arial" w:hAnsi="Arial" w:cs="Arial"/>
          <w:bCs/>
          <w:sz w:val="21"/>
          <w:szCs w:val="21"/>
        </w:rPr>
        <w:t>①</w:t>
      </w:r>
      <w:r>
        <w:rPr>
          <w:rFonts w:ascii="Arial" w:hAnsi="Arial" w:cs="Arial"/>
          <w:bCs/>
          <w:sz w:val="21"/>
          <w:szCs w:val="21"/>
        </w:rPr>
        <w:t>渠道、拓客方式</w:t>
      </w:r>
      <w:r>
        <w:rPr>
          <w:rFonts w:hint="eastAsia" w:ascii="Arial" w:hAnsi="Arial" w:cs="Arial"/>
          <w:bCs/>
          <w:sz w:val="21"/>
          <w:szCs w:val="21"/>
        </w:rPr>
        <w:t>：</w:t>
      </w:r>
    </w:p>
    <w:p>
      <w:pPr>
        <w:spacing w:line="480" w:lineRule="auto"/>
        <w:ind w:firstLine="420" w:firstLineChars="200"/>
        <w:jc w:val="both"/>
        <w:rPr>
          <w:rFonts w:ascii="Arial" w:hAnsi="Arial" w:cs="Arial"/>
          <w:bCs/>
          <w:kern w:val="44"/>
          <w:sz w:val="21"/>
          <w:szCs w:val="21"/>
        </w:rPr>
      </w:pPr>
      <w:r>
        <w:rPr>
          <w:rFonts w:hint="eastAsia" w:ascii="Arial" w:hAnsi="Arial" w:cs="Arial"/>
          <w:bCs/>
          <w:kern w:val="44"/>
          <w:sz w:val="21"/>
          <w:szCs w:val="21"/>
        </w:rPr>
        <w:t>重庆恒大锦城项目</w:t>
      </w:r>
      <w:r>
        <w:rPr>
          <w:rFonts w:ascii="Arial" w:hAnsi="Arial" w:cs="Arial"/>
          <w:bCs/>
          <w:kern w:val="44"/>
          <w:sz w:val="21"/>
          <w:szCs w:val="21"/>
        </w:rPr>
        <w:t>已于2020</w:t>
      </w:r>
      <w:r>
        <w:rPr>
          <w:rFonts w:hint="eastAsia" w:ascii="Arial" w:hAnsi="Arial" w:cs="Arial"/>
          <w:bCs/>
          <w:kern w:val="44"/>
          <w:sz w:val="21"/>
          <w:szCs w:val="21"/>
        </w:rPr>
        <w:t>年10</w:t>
      </w:r>
      <w:r>
        <w:rPr>
          <w:rFonts w:ascii="Arial" w:hAnsi="Arial" w:cs="Arial"/>
          <w:bCs/>
          <w:kern w:val="44"/>
          <w:sz w:val="21"/>
          <w:szCs w:val="21"/>
        </w:rPr>
        <w:t>月</w:t>
      </w:r>
      <w:r>
        <w:rPr>
          <w:rFonts w:hint="eastAsia" w:ascii="Arial" w:hAnsi="Arial" w:cs="Arial"/>
          <w:bCs/>
          <w:kern w:val="44"/>
          <w:sz w:val="21"/>
          <w:szCs w:val="21"/>
        </w:rPr>
        <w:t>8</w:t>
      </w:r>
      <w:r>
        <w:rPr>
          <w:rFonts w:ascii="Arial" w:hAnsi="Arial" w:cs="Arial"/>
          <w:bCs/>
          <w:kern w:val="44"/>
          <w:sz w:val="21"/>
          <w:szCs w:val="21"/>
        </w:rPr>
        <w:t>日批准对外开放</w:t>
      </w:r>
      <w:r>
        <w:rPr>
          <w:rFonts w:hint="eastAsia" w:ascii="Arial" w:hAnsi="Arial" w:cs="Arial"/>
          <w:bCs/>
          <w:kern w:val="44"/>
          <w:sz w:val="21"/>
          <w:szCs w:val="21"/>
        </w:rPr>
        <w:t>开盘</w:t>
      </w:r>
      <w:r>
        <w:rPr>
          <w:rFonts w:ascii="Arial" w:hAnsi="Arial" w:cs="Arial"/>
          <w:bCs/>
          <w:kern w:val="44"/>
          <w:sz w:val="21"/>
          <w:szCs w:val="21"/>
        </w:rPr>
        <w:t>，</w:t>
      </w:r>
      <w:r>
        <w:rPr>
          <w:rFonts w:hint="eastAsia" w:ascii="Arial" w:hAnsi="Arial" w:cs="Arial"/>
          <w:bCs/>
          <w:kern w:val="44"/>
          <w:sz w:val="21"/>
          <w:szCs w:val="21"/>
        </w:rPr>
        <w:t>客户</w:t>
      </w:r>
      <w:r>
        <w:rPr>
          <w:rFonts w:ascii="Arial" w:hAnsi="Arial" w:cs="Arial"/>
          <w:bCs/>
          <w:kern w:val="44"/>
          <w:sz w:val="21"/>
          <w:szCs w:val="21"/>
        </w:rPr>
        <w:t>可现场到访，保留采取线上渠道推广及日常拓客</w:t>
      </w:r>
      <w:r>
        <w:rPr>
          <w:rFonts w:hint="eastAsia" w:ascii="Arial" w:hAnsi="Arial" w:cs="Arial"/>
          <w:bCs/>
          <w:kern w:val="44"/>
          <w:sz w:val="21"/>
          <w:szCs w:val="21"/>
        </w:rPr>
        <w:t>方式。</w:t>
      </w:r>
    </w:p>
    <w:p>
      <w:pPr>
        <w:spacing w:before="300" w:after="300" w:line="360" w:lineRule="exact"/>
        <w:ind w:firstLine="420" w:firstLineChars="200"/>
        <w:outlineLvl w:val="3"/>
        <w:rPr>
          <w:rFonts w:ascii="Arial" w:hAnsi="Arial" w:cs="Arial"/>
          <w:bCs/>
          <w:sz w:val="21"/>
          <w:szCs w:val="21"/>
        </w:rPr>
      </w:pPr>
      <w:r>
        <w:rPr>
          <w:rFonts w:hint="eastAsia" w:ascii="Arial" w:hAnsi="Arial" w:cs="Arial"/>
          <w:bCs/>
          <w:sz w:val="21"/>
          <w:szCs w:val="21"/>
        </w:rPr>
        <w:t>②</w:t>
      </w:r>
      <w:r>
        <w:rPr>
          <w:rFonts w:ascii="Arial" w:hAnsi="Arial" w:cs="Arial"/>
          <w:bCs/>
          <w:sz w:val="21"/>
          <w:szCs w:val="21"/>
        </w:rPr>
        <w:t>促销活动</w:t>
      </w:r>
      <w:r>
        <w:rPr>
          <w:rFonts w:hint="eastAsia" w:ascii="Arial" w:hAnsi="Arial" w:cs="Arial"/>
          <w:bCs/>
          <w:sz w:val="21"/>
          <w:szCs w:val="21"/>
        </w:rPr>
        <w:t>：</w:t>
      </w:r>
    </w:p>
    <w:p>
      <w:pPr>
        <w:spacing w:line="480" w:lineRule="auto"/>
        <w:ind w:firstLine="420" w:firstLineChars="200"/>
        <w:jc w:val="both"/>
        <w:rPr>
          <w:rFonts w:ascii="Arial" w:hAnsi="Arial" w:cs="Arial"/>
          <w:bCs/>
          <w:kern w:val="44"/>
          <w:sz w:val="21"/>
          <w:szCs w:val="21"/>
        </w:rPr>
      </w:pPr>
      <w:r>
        <w:rPr>
          <w:rFonts w:hint="eastAsia" w:ascii="Arial" w:hAnsi="Arial" w:cs="Arial"/>
          <w:bCs/>
          <w:kern w:val="44"/>
          <w:sz w:val="21"/>
          <w:szCs w:val="21"/>
        </w:rPr>
        <w:t>恒房通</w:t>
      </w:r>
      <w:r>
        <w:rPr>
          <w:rFonts w:ascii="Arial" w:hAnsi="Arial" w:cs="Arial"/>
          <w:bCs/>
          <w:kern w:val="44"/>
          <w:sz w:val="21"/>
          <w:szCs w:val="21"/>
        </w:rPr>
        <w:t>10,000元优惠券，推荐到访98折，网上认购交2,000元预约金，抵房款20,000元，房车宝推荐享受96折，清尾优惠95或者9折或者85折。</w:t>
      </w:r>
    </w:p>
    <w:p>
      <w:pPr>
        <w:spacing w:before="300" w:after="300" w:line="360" w:lineRule="exact"/>
        <w:outlineLvl w:val="1"/>
        <w:rPr>
          <w:rStyle w:val="22"/>
          <w:rFonts w:hint="eastAsia"/>
          <w:sz w:val="24"/>
          <w:szCs w:val="24"/>
        </w:rPr>
      </w:pPr>
    </w:p>
    <w:p>
      <w:pPr>
        <w:spacing w:before="300" w:after="300" w:line="360" w:lineRule="exact"/>
        <w:outlineLvl w:val="1"/>
        <w:rPr>
          <w:rStyle w:val="22"/>
          <w:sz w:val="24"/>
          <w:szCs w:val="24"/>
        </w:rPr>
      </w:pPr>
      <w:r>
        <w:rPr>
          <w:rStyle w:val="22"/>
          <w:rFonts w:hint="eastAsia"/>
          <w:sz w:val="24"/>
          <w:szCs w:val="24"/>
        </w:rPr>
        <w:t>（</w:t>
      </w:r>
      <w:r>
        <w:rPr>
          <w:rStyle w:val="22"/>
          <w:sz w:val="24"/>
          <w:szCs w:val="24"/>
        </w:rPr>
        <w:t>3</w:t>
      </w:r>
      <w:r>
        <w:rPr>
          <w:rStyle w:val="22"/>
          <w:rFonts w:hint="eastAsia"/>
          <w:sz w:val="24"/>
          <w:szCs w:val="24"/>
        </w:rPr>
        <w:t>）</w:t>
      </w:r>
      <w:r>
        <w:rPr>
          <w:rStyle w:val="22"/>
          <w:sz w:val="24"/>
          <w:szCs w:val="24"/>
        </w:rPr>
        <w:t>当地预售政策、限</w:t>
      </w:r>
      <w:r>
        <w:rPr>
          <w:rStyle w:val="22"/>
          <w:rFonts w:hint="eastAsia"/>
          <w:sz w:val="24"/>
          <w:szCs w:val="24"/>
        </w:rPr>
        <w:t>贷</w:t>
      </w:r>
      <w:r>
        <w:rPr>
          <w:rStyle w:val="22"/>
          <w:sz w:val="24"/>
          <w:szCs w:val="24"/>
        </w:rPr>
        <w:t>政策描述</w:t>
      </w:r>
    </w:p>
    <w:p>
      <w:pPr>
        <w:spacing w:before="300" w:after="300" w:line="360" w:lineRule="exact"/>
        <w:ind w:firstLine="420" w:firstLineChars="200"/>
        <w:outlineLvl w:val="3"/>
        <w:rPr>
          <w:rFonts w:ascii="Arial" w:hAnsi="Arial" w:cs="Arial"/>
          <w:bCs/>
          <w:sz w:val="21"/>
          <w:szCs w:val="21"/>
        </w:rPr>
      </w:pPr>
      <w:r>
        <w:rPr>
          <w:rFonts w:hint="eastAsia" w:ascii="Arial" w:hAnsi="Arial" w:cs="Arial"/>
          <w:bCs/>
          <w:sz w:val="21"/>
          <w:szCs w:val="21"/>
        </w:rPr>
        <w:t>①</w:t>
      </w:r>
      <w:r>
        <w:rPr>
          <w:rFonts w:ascii="Arial" w:hAnsi="Arial" w:cs="Arial"/>
          <w:bCs/>
          <w:sz w:val="21"/>
          <w:szCs w:val="21"/>
        </w:rPr>
        <w:t>预售政策</w:t>
      </w:r>
      <w:r>
        <w:rPr>
          <w:rFonts w:hint="eastAsia" w:ascii="Arial" w:hAnsi="Arial" w:cs="Arial"/>
          <w:bCs/>
          <w:sz w:val="21"/>
          <w:szCs w:val="21"/>
        </w:rPr>
        <w:t>：</w:t>
      </w:r>
    </w:p>
    <w:p>
      <w:pPr>
        <w:pStyle w:val="16"/>
        <w:spacing w:line="360" w:lineRule="auto"/>
        <w:ind w:firstLineChars="200"/>
        <w:rPr>
          <w:rFonts w:ascii="Arial" w:hAnsi="Arial" w:cs="Arial"/>
          <w:bCs/>
          <w:kern w:val="44"/>
          <w:szCs w:val="21"/>
        </w:rPr>
      </w:pPr>
      <w:r>
        <w:rPr>
          <w:rFonts w:hint="eastAsia" w:ascii="Arial" w:hAnsi="Arial" w:cs="Arial"/>
          <w:bCs/>
          <w:kern w:val="44"/>
          <w:szCs w:val="21"/>
        </w:rPr>
        <w:t>高层住宅主体二分之一办理预售，洋房、别墅、多层住宅主体封顶办理预售</w:t>
      </w:r>
      <w:r>
        <w:rPr>
          <w:rFonts w:ascii="Arial" w:hAnsi="Arial" w:cs="Arial"/>
          <w:bCs/>
          <w:kern w:val="44"/>
          <w:szCs w:val="21"/>
        </w:rPr>
        <w:t>。</w:t>
      </w:r>
    </w:p>
    <w:p>
      <w:pPr>
        <w:spacing w:before="300" w:after="300" w:line="360" w:lineRule="exact"/>
        <w:ind w:firstLine="420" w:firstLineChars="200"/>
        <w:outlineLvl w:val="3"/>
        <w:rPr>
          <w:rFonts w:ascii="Arial" w:hAnsi="Arial" w:cs="Arial"/>
          <w:bCs/>
          <w:sz w:val="21"/>
          <w:szCs w:val="21"/>
        </w:rPr>
      </w:pPr>
      <w:r>
        <w:rPr>
          <w:rFonts w:hint="eastAsia" w:ascii="Arial" w:hAnsi="Arial" w:cs="Arial"/>
          <w:bCs/>
          <w:sz w:val="21"/>
          <w:szCs w:val="21"/>
        </w:rPr>
        <w:t>②</w:t>
      </w:r>
      <w:r>
        <w:rPr>
          <w:rFonts w:ascii="Arial" w:hAnsi="Arial" w:cs="Arial"/>
          <w:bCs/>
          <w:sz w:val="21"/>
          <w:szCs w:val="21"/>
        </w:rPr>
        <w:t>限</w:t>
      </w:r>
      <w:r>
        <w:rPr>
          <w:rFonts w:hint="eastAsia" w:ascii="Arial" w:hAnsi="Arial" w:cs="Arial"/>
          <w:bCs/>
          <w:sz w:val="21"/>
          <w:szCs w:val="21"/>
        </w:rPr>
        <w:t>贷</w:t>
      </w:r>
      <w:r>
        <w:rPr>
          <w:rFonts w:ascii="Arial" w:hAnsi="Arial" w:cs="Arial"/>
          <w:bCs/>
          <w:sz w:val="21"/>
          <w:szCs w:val="21"/>
        </w:rPr>
        <w:t>政策</w:t>
      </w:r>
      <w:r>
        <w:rPr>
          <w:rFonts w:hint="eastAsia" w:ascii="Arial" w:hAnsi="Arial" w:cs="Arial"/>
          <w:bCs/>
          <w:sz w:val="21"/>
          <w:szCs w:val="21"/>
        </w:rPr>
        <w:t>：</w:t>
      </w:r>
    </w:p>
    <w:p>
      <w:pPr>
        <w:spacing w:line="480" w:lineRule="auto"/>
        <w:ind w:firstLine="420" w:firstLineChars="200"/>
        <w:jc w:val="both"/>
        <w:rPr>
          <w:rFonts w:ascii="Arial" w:hAnsi="Arial" w:cs="Arial"/>
          <w:kern w:val="2"/>
          <w:sz w:val="21"/>
          <w:szCs w:val="21"/>
        </w:rPr>
      </w:pPr>
      <w:r>
        <w:rPr>
          <w:rFonts w:ascii="Arial" w:hAnsi="Arial" w:cs="Arial"/>
          <w:kern w:val="2"/>
          <w:sz w:val="21"/>
          <w:szCs w:val="21"/>
        </w:rPr>
        <w:t>1）</w:t>
      </w:r>
      <w:r>
        <w:rPr>
          <w:rFonts w:hint="eastAsia" w:ascii="Arial" w:hAnsi="Arial" w:cs="Arial"/>
          <w:kern w:val="2"/>
          <w:sz w:val="21"/>
          <w:szCs w:val="21"/>
        </w:rPr>
        <w:t>重庆户籍，最多同时申请两笔贷款，首套房贷款，首付三成，二套房贷款，首套已结清，首付三成；首套未结清，首付四成；三套房及以上贷款，前两套已结清，首付四成；有未结清贷款，拒贷；若使用公积金贷款或使用公积金</w:t>
      </w:r>
      <w:r>
        <w:rPr>
          <w:rFonts w:ascii="Arial" w:hAnsi="Arial" w:cs="Arial"/>
          <w:kern w:val="2"/>
          <w:sz w:val="21"/>
          <w:szCs w:val="21"/>
        </w:rPr>
        <w:t>+商业贷款的组合贷款方式，则只能在主城九区(渝中区、江北区、沙坪坝区、九龙坡区、大渡口区、南岸区、北碚区、渝北区、巴南区、两江新区)限贷一套，远郊区限贷两套</w:t>
      </w:r>
      <w:r>
        <w:rPr>
          <w:rFonts w:hint="eastAsia" w:ascii="Arial" w:hAnsi="Arial" w:cs="Arial"/>
          <w:kern w:val="2"/>
          <w:sz w:val="21"/>
          <w:szCs w:val="21"/>
        </w:rPr>
        <w:t>。</w:t>
      </w:r>
    </w:p>
    <w:p>
      <w:pPr>
        <w:pStyle w:val="16"/>
        <w:spacing w:after="0" w:line="480" w:lineRule="auto"/>
        <w:ind w:firstLineChars="200"/>
        <w:rPr>
          <w:rFonts w:ascii="Arial" w:hAnsi="Arial" w:cs="Arial"/>
          <w:color w:val="000000"/>
          <w:kern w:val="0"/>
          <w:szCs w:val="21"/>
        </w:rPr>
      </w:pPr>
      <w:r>
        <w:rPr>
          <w:rFonts w:ascii="Arial" w:hAnsi="Arial" w:cs="Arial"/>
          <w:szCs w:val="21"/>
        </w:rPr>
        <w:t>2）</w:t>
      </w:r>
      <w:r>
        <w:rPr>
          <w:rFonts w:hint="eastAsia" w:ascii="Arial" w:hAnsi="Arial" w:cs="Arial"/>
          <w:szCs w:val="21"/>
        </w:rPr>
        <w:t>非重庆户籍，最多贷款两套房；只要能提供一年以上社保证明，或在重庆经营公司满一年，能提供相关纳税证明，非重庆户籍也能贷款两套房（需在全国范围内没有或仅有一次申请住房贷款未结清记录，两次以上银行拒贷）</w:t>
      </w:r>
      <w:r>
        <w:rPr>
          <w:rFonts w:hint="eastAsia" w:ascii="Arial" w:hAnsi="Arial" w:cs="Arial"/>
          <w:color w:val="000000"/>
          <w:kern w:val="0"/>
          <w:szCs w:val="21"/>
        </w:rPr>
        <w:t>；贷款首付比例：首套房贷款，首付三成；二套房贷款，首套已结清，首付三成；首套未结清，首付四成；三套房及以上贷款，前两套已结清，首付四成；有未结清贷款，拒贷；如果申请异地公积金贷款，申请需入户重庆半年以上。</w:t>
      </w:r>
    </w:p>
    <w:p>
      <w:pPr>
        <w:pStyle w:val="16"/>
        <w:spacing w:after="0" w:line="480" w:lineRule="auto"/>
        <w:ind w:firstLineChars="200"/>
        <w:rPr>
          <w:rFonts w:ascii="Arial" w:hAnsi="Arial" w:cs="Arial"/>
          <w:color w:val="000000"/>
          <w:kern w:val="0"/>
          <w:szCs w:val="21"/>
        </w:rPr>
      </w:pPr>
      <w:r>
        <w:rPr>
          <w:rFonts w:hint="eastAsia" w:ascii="Arial" w:hAnsi="Arial" w:cs="Arial"/>
          <w:color w:val="000000"/>
          <w:kern w:val="0"/>
          <w:szCs w:val="21"/>
        </w:rPr>
        <w:t>3）在重庆市同时无户籍、无企业、无工作的个人新购首套及以上的普通住房，需缴纳房产税，税率为</w:t>
      </w:r>
      <w:r>
        <w:rPr>
          <w:rFonts w:ascii="Arial" w:hAnsi="Arial" w:cs="Arial"/>
          <w:color w:val="000000"/>
          <w:kern w:val="0"/>
          <w:szCs w:val="21"/>
        </w:rPr>
        <w:t>0.5%。房产税试点区域为主城九区 (</w:t>
      </w:r>
      <w:r>
        <w:rPr>
          <w:rFonts w:hint="eastAsia" w:ascii="Arial" w:hAnsi="Arial" w:cs="Arial"/>
          <w:color w:val="000000"/>
          <w:kern w:val="0"/>
          <w:szCs w:val="21"/>
        </w:rPr>
        <w:t>主城九区为</w:t>
      </w:r>
      <w:r>
        <w:rPr>
          <w:rFonts w:ascii="Arial" w:hAnsi="Arial" w:cs="Arial"/>
          <w:color w:val="000000"/>
          <w:kern w:val="0"/>
          <w:szCs w:val="21"/>
        </w:rPr>
        <w:t>渝中区、江北区、沙坪坝区、九龙坡区、大渡口区、南岸区、北碚区、渝北区、巴南区、两江新区)</w:t>
      </w:r>
      <w:r>
        <w:rPr>
          <w:rFonts w:hint="eastAsia" w:ascii="Arial" w:hAnsi="Arial" w:cs="Arial"/>
          <w:color w:val="000000"/>
          <w:kern w:val="0"/>
          <w:szCs w:val="21"/>
        </w:rPr>
        <w:t>。</w:t>
      </w:r>
    </w:p>
    <w:p>
      <w:pPr>
        <w:pStyle w:val="16"/>
        <w:spacing w:after="0" w:line="480" w:lineRule="auto"/>
        <w:ind w:firstLineChars="200"/>
        <w:rPr>
          <w:rFonts w:hint="eastAsia" w:ascii="Arial" w:hAnsi="Arial" w:cs="Arial"/>
          <w:color w:val="000000"/>
          <w:kern w:val="0"/>
          <w:szCs w:val="21"/>
        </w:rPr>
      </w:pPr>
    </w:p>
    <w:p>
      <w:pPr>
        <w:pStyle w:val="16"/>
        <w:spacing w:after="0" w:line="480" w:lineRule="auto"/>
        <w:ind w:firstLineChars="200"/>
        <w:rPr>
          <w:rFonts w:hint="eastAsia" w:ascii="Arial" w:hAnsi="Arial" w:cs="Arial"/>
          <w:color w:val="000000"/>
          <w:kern w:val="0"/>
          <w:szCs w:val="21"/>
        </w:rPr>
      </w:pPr>
    </w:p>
    <w:p>
      <w:pPr>
        <w:pStyle w:val="16"/>
        <w:spacing w:after="0" w:line="480" w:lineRule="auto"/>
        <w:ind w:firstLineChars="200"/>
        <w:rPr>
          <w:rFonts w:hint="eastAsia" w:ascii="Arial" w:hAnsi="Arial" w:cs="Arial"/>
          <w:color w:val="000000"/>
          <w:kern w:val="0"/>
          <w:szCs w:val="21"/>
        </w:rPr>
      </w:pPr>
    </w:p>
    <w:p>
      <w:pPr>
        <w:pStyle w:val="16"/>
        <w:spacing w:after="0" w:line="480" w:lineRule="auto"/>
        <w:ind w:firstLineChars="200"/>
        <w:rPr>
          <w:rFonts w:hint="eastAsia" w:ascii="Arial" w:hAnsi="Arial" w:cs="Arial"/>
          <w:color w:val="000000"/>
          <w:kern w:val="0"/>
          <w:szCs w:val="21"/>
        </w:rPr>
      </w:pPr>
    </w:p>
    <w:p>
      <w:pPr>
        <w:pStyle w:val="16"/>
        <w:spacing w:after="0" w:line="480" w:lineRule="auto"/>
        <w:ind w:firstLineChars="200"/>
        <w:rPr>
          <w:rFonts w:hint="eastAsia" w:ascii="Arial" w:hAnsi="Arial" w:cs="Arial"/>
          <w:color w:val="000000"/>
          <w:kern w:val="0"/>
          <w:szCs w:val="21"/>
        </w:rPr>
      </w:pPr>
    </w:p>
    <w:p>
      <w:pPr>
        <w:pStyle w:val="4"/>
        <w:keepNext w:val="0"/>
        <w:keepLines w:val="0"/>
        <w:spacing w:before="300" w:after="300" w:line="360" w:lineRule="exact"/>
        <w:jc w:val="left"/>
        <w:rPr>
          <w:rFonts w:ascii="Arial" w:hAnsi="Arial" w:eastAsia="宋体" w:cs="Arial"/>
          <w:sz w:val="24"/>
          <w:szCs w:val="24"/>
        </w:rPr>
      </w:pPr>
      <w:r>
        <w:rPr>
          <w:rFonts w:hint="eastAsia" w:ascii="Arial" w:hAnsi="Arial" w:eastAsia="宋体" w:cs="Arial"/>
          <w:sz w:val="24"/>
          <w:szCs w:val="24"/>
        </w:rPr>
        <w:t>（</w:t>
      </w:r>
      <w:r>
        <w:rPr>
          <w:rFonts w:ascii="Arial" w:hAnsi="Arial" w:eastAsia="宋体" w:cs="Arial"/>
          <w:sz w:val="24"/>
          <w:szCs w:val="24"/>
        </w:rPr>
        <w:t>4</w:t>
      </w:r>
      <w:r>
        <w:rPr>
          <w:rFonts w:hint="eastAsia" w:ascii="Arial" w:hAnsi="Arial" w:eastAsia="宋体" w:cs="Arial"/>
          <w:sz w:val="24"/>
          <w:szCs w:val="24"/>
        </w:rPr>
        <w:t>）</w:t>
      </w:r>
      <w:r>
        <w:rPr>
          <w:rFonts w:ascii="Arial" w:hAnsi="Arial" w:eastAsia="宋体" w:cs="Arial"/>
          <w:sz w:val="24"/>
          <w:szCs w:val="24"/>
        </w:rPr>
        <w:t>按揭情况</w:t>
      </w:r>
    </w:p>
    <w:p>
      <w:pPr>
        <w:widowControl w:val="0"/>
        <w:adjustRightInd w:val="0"/>
        <w:snapToGrid w:val="0"/>
        <w:spacing w:before="312" w:beforeLines="100"/>
        <w:contextualSpacing/>
        <w:jc w:val="center"/>
        <w:rPr>
          <w:rFonts w:ascii="Arial" w:hAnsi="Arial" w:cs="Arial"/>
          <w:b/>
          <w:szCs w:val="28"/>
        </w:rPr>
      </w:pPr>
      <w:r>
        <w:rPr>
          <w:rFonts w:ascii="Arial" w:hAnsi="Arial" w:cs="Arial"/>
          <w:b/>
          <w:szCs w:val="28"/>
        </w:rPr>
        <w:t>按揭行审批情况</w:t>
      </w:r>
    </w:p>
    <w:tbl>
      <w:tblPr>
        <w:tblStyle w:val="17"/>
        <w:tblpPr w:leftFromText="180" w:rightFromText="180" w:vertAnchor="text" w:tblpXSpec="center" w:tblpY="1"/>
        <w:tblOverlap w:val="never"/>
        <w:tblW w:w="5000" w:type="pct"/>
        <w:jc w:val="center"/>
        <w:tblLayout w:type="autofit"/>
        <w:tblCellMar>
          <w:top w:w="15" w:type="dxa"/>
          <w:left w:w="15" w:type="dxa"/>
          <w:bottom w:w="15" w:type="dxa"/>
          <w:right w:w="15" w:type="dxa"/>
        </w:tblCellMar>
      </w:tblPr>
      <w:tblGrid>
        <w:gridCol w:w="663"/>
        <w:gridCol w:w="661"/>
        <w:gridCol w:w="1181"/>
        <w:gridCol w:w="545"/>
        <w:gridCol w:w="785"/>
        <w:gridCol w:w="545"/>
        <w:gridCol w:w="802"/>
        <w:gridCol w:w="1582"/>
        <w:gridCol w:w="1290"/>
        <w:gridCol w:w="1614"/>
      </w:tblGrid>
      <w:tr>
        <w:tblPrEx>
          <w:tblCellMar>
            <w:top w:w="15" w:type="dxa"/>
            <w:left w:w="15" w:type="dxa"/>
            <w:bottom w:w="15" w:type="dxa"/>
            <w:right w:w="15" w:type="dxa"/>
          </w:tblCellMar>
        </w:tblPrEx>
        <w:trPr>
          <w:trHeight w:val="252" w:hRule="atLeast"/>
          <w:tblHeader/>
          <w:jc w:val="center"/>
        </w:trPr>
        <w:tc>
          <w:tcPr>
            <w:tcW w:w="343" w:type="pct"/>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合作</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银行</w:t>
            </w:r>
          </w:p>
        </w:tc>
        <w:tc>
          <w:tcPr>
            <w:tcW w:w="342" w:type="pct"/>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签订协议日期</w:t>
            </w:r>
          </w:p>
        </w:tc>
        <w:tc>
          <w:tcPr>
            <w:tcW w:w="611" w:type="pct"/>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按揭</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类型</w:t>
            </w:r>
          </w:p>
        </w:tc>
        <w:tc>
          <w:tcPr>
            <w:tcW w:w="1385" w:type="pct"/>
            <w:gridSpan w:val="4"/>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贷款政策</w:t>
            </w:r>
          </w:p>
        </w:tc>
        <w:tc>
          <w:tcPr>
            <w:tcW w:w="818" w:type="pct"/>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保证金</w:t>
            </w:r>
          </w:p>
        </w:tc>
        <w:tc>
          <w:tcPr>
            <w:tcW w:w="667" w:type="pct"/>
            <w:vMerge w:val="restart"/>
            <w:tcBorders>
              <w:top w:val="single" w:color="000000" w:sz="4" w:space="0"/>
              <w:left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担保期间</w:t>
            </w:r>
          </w:p>
        </w:tc>
        <w:tc>
          <w:tcPr>
            <w:tcW w:w="834" w:type="pct"/>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累计已发放贷款</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（元）（截至12月4日）</w:t>
            </w:r>
          </w:p>
        </w:tc>
      </w:tr>
      <w:tr>
        <w:tblPrEx>
          <w:tblCellMar>
            <w:top w:w="15" w:type="dxa"/>
            <w:left w:w="15" w:type="dxa"/>
            <w:bottom w:w="15" w:type="dxa"/>
            <w:right w:w="15" w:type="dxa"/>
          </w:tblCellMar>
        </w:tblPrEx>
        <w:trPr>
          <w:trHeight w:val="343" w:hRule="atLeast"/>
          <w:tblHeader/>
          <w:jc w:val="center"/>
        </w:trPr>
        <w:tc>
          <w:tcPr>
            <w:tcW w:w="343"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342"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611"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688" w:type="pct"/>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首套房</w:t>
            </w:r>
          </w:p>
        </w:tc>
        <w:tc>
          <w:tcPr>
            <w:tcW w:w="697" w:type="pct"/>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二套房</w:t>
            </w:r>
          </w:p>
        </w:tc>
        <w:tc>
          <w:tcPr>
            <w:tcW w:w="81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tc>
        <w:tc>
          <w:tcPr>
            <w:tcW w:w="667" w:type="pct"/>
            <w:vMerge w:val="continue"/>
            <w:tcBorders>
              <w:left w:val="single" w:color="000000" w:sz="4" w:space="0"/>
              <w:right w:val="single" w:color="000000" w:sz="4" w:space="0"/>
            </w:tcBorders>
            <w:vAlign w:val="center"/>
          </w:tcPr>
          <w:p>
            <w:pPr>
              <w:jc w:val="center"/>
              <w:rPr>
                <w:rFonts w:ascii="Arial" w:hAnsi="Arial" w:cs="Arial"/>
                <w:color w:val="000000"/>
                <w:sz w:val="18"/>
                <w:szCs w:val="18"/>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tc>
      </w:tr>
      <w:tr>
        <w:tblPrEx>
          <w:tblCellMar>
            <w:top w:w="15" w:type="dxa"/>
            <w:left w:w="15" w:type="dxa"/>
            <w:bottom w:w="15" w:type="dxa"/>
            <w:right w:w="15" w:type="dxa"/>
          </w:tblCellMar>
        </w:tblPrEx>
        <w:trPr>
          <w:trHeight w:val="168" w:hRule="atLeast"/>
          <w:tblHeader/>
          <w:jc w:val="center"/>
        </w:trPr>
        <w:tc>
          <w:tcPr>
            <w:tcW w:w="343"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342"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611"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28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首付</w:t>
            </w:r>
          </w:p>
        </w:tc>
        <w:tc>
          <w:tcPr>
            <w:tcW w:w="40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利率</w:t>
            </w:r>
          </w:p>
        </w:tc>
        <w:tc>
          <w:tcPr>
            <w:tcW w:w="28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首付</w:t>
            </w:r>
          </w:p>
        </w:tc>
        <w:tc>
          <w:tcPr>
            <w:tcW w:w="41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利率</w:t>
            </w:r>
          </w:p>
        </w:tc>
        <w:tc>
          <w:tcPr>
            <w:tcW w:w="81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tc>
        <w:tc>
          <w:tcPr>
            <w:tcW w:w="667" w:type="pct"/>
            <w:vMerge w:val="continue"/>
            <w:tcBorders>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tc>
      </w:tr>
      <w:tr>
        <w:tblPrEx>
          <w:tblCellMar>
            <w:top w:w="15" w:type="dxa"/>
            <w:left w:w="15" w:type="dxa"/>
            <w:bottom w:w="15" w:type="dxa"/>
            <w:right w:w="15" w:type="dxa"/>
          </w:tblCellMar>
        </w:tblPrEx>
        <w:trPr>
          <w:trHeight w:val="298" w:hRule="atLeast"/>
          <w:jc w:val="center"/>
        </w:trPr>
        <w:tc>
          <w:tcPr>
            <w:tcW w:w="343"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建行</w:t>
            </w:r>
          </w:p>
        </w:tc>
        <w:tc>
          <w:tcPr>
            <w:tcW w:w="34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61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商贷/公积金</w:t>
            </w:r>
          </w:p>
        </w:tc>
        <w:tc>
          <w:tcPr>
            <w:tcW w:w="2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15"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818"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83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rPr>
              <w:t>102,373,000.00</w:t>
            </w:r>
          </w:p>
        </w:tc>
      </w:tr>
      <w:tr>
        <w:tblPrEx>
          <w:tblCellMar>
            <w:top w:w="15" w:type="dxa"/>
            <w:left w:w="15" w:type="dxa"/>
            <w:bottom w:w="15" w:type="dxa"/>
            <w:right w:w="15" w:type="dxa"/>
          </w:tblCellMar>
        </w:tblPrEx>
        <w:trPr>
          <w:trHeight w:val="283" w:hRule="atLeast"/>
          <w:jc w:val="center"/>
        </w:trPr>
        <w:tc>
          <w:tcPr>
            <w:tcW w:w="343"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工行</w:t>
            </w:r>
          </w:p>
        </w:tc>
        <w:tc>
          <w:tcPr>
            <w:tcW w:w="34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61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商贷/公积金</w:t>
            </w:r>
          </w:p>
        </w:tc>
        <w:tc>
          <w:tcPr>
            <w:tcW w:w="2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15"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818"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83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rPr>
              <w:t>57,389,000.00</w:t>
            </w:r>
          </w:p>
        </w:tc>
      </w:tr>
      <w:tr>
        <w:tblPrEx>
          <w:tblCellMar>
            <w:top w:w="15" w:type="dxa"/>
            <w:left w:w="15" w:type="dxa"/>
            <w:bottom w:w="15" w:type="dxa"/>
            <w:right w:w="15" w:type="dxa"/>
          </w:tblCellMar>
        </w:tblPrEx>
        <w:trPr>
          <w:trHeight w:val="178" w:hRule="atLeast"/>
          <w:jc w:val="center"/>
        </w:trPr>
        <w:tc>
          <w:tcPr>
            <w:tcW w:w="343"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民生</w:t>
            </w:r>
          </w:p>
        </w:tc>
        <w:tc>
          <w:tcPr>
            <w:tcW w:w="34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61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w:t>
            </w:r>
          </w:p>
        </w:tc>
        <w:tc>
          <w:tcPr>
            <w:tcW w:w="2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15"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818"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83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rPr>
              <w:t>48,662,000.00</w:t>
            </w:r>
          </w:p>
        </w:tc>
      </w:tr>
      <w:tr>
        <w:tblPrEx>
          <w:tblCellMar>
            <w:top w:w="15" w:type="dxa"/>
            <w:left w:w="15" w:type="dxa"/>
            <w:bottom w:w="15" w:type="dxa"/>
            <w:right w:w="15" w:type="dxa"/>
          </w:tblCellMar>
        </w:tblPrEx>
        <w:trPr>
          <w:trHeight w:val="283" w:hRule="atLeast"/>
          <w:jc w:val="center"/>
        </w:trPr>
        <w:tc>
          <w:tcPr>
            <w:tcW w:w="343"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农商</w:t>
            </w:r>
          </w:p>
        </w:tc>
        <w:tc>
          <w:tcPr>
            <w:tcW w:w="34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61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w:t>
            </w:r>
          </w:p>
        </w:tc>
        <w:tc>
          <w:tcPr>
            <w:tcW w:w="2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15"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818"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83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57,017,000.00</w:t>
            </w:r>
          </w:p>
        </w:tc>
      </w:tr>
      <w:tr>
        <w:tblPrEx>
          <w:tblCellMar>
            <w:top w:w="15" w:type="dxa"/>
            <w:left w:w="15" w:type="dxa"/>
            <w:bottom w:w="15" w:type="dxa"/>
            <w:right w:w="15" w:type="dxa"/>
          </w:tblCellMar>
        </w:tblPrEx>
        <w:trPr>
          <w:trHeight w:val="148" w:hRule="atLeast"/>
          <w:jc w:val="center"/>
        </w:trPr>
        <w:tc>
          <w:tcPr>
            <w:tcW w:w="343"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农行</w:t>
            </w:r>
          </w:p>
        </w:tc>
        <w:tc>
          <w:tcPr>
            <w:tcW w:w="34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61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w:t>
            </w:r>
          </w:p>
        </w:tc>
        <w:tc>
          <w:tcPr>
            <w:tcW w:w="2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15"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818"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83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9,298,000.00</w:t>
            </w:r>
          </w:p>
        </w:tc>
      </w:tr>
      <w:tr>
        <w:tblPrEx>
          <w:tblCellMar>
            <w:top w:w="15" w:type="dxa"/>
            <w:left w:w="15" w:type="dxa"/>
            <w:bottom w:w="15" w:type="dxa"/>
            <w:right w:w="15" w:type="dxa"/>
          </w:tblCellMar>
        </w:tblPrEx>
        <w:trPr>
          <w:trHeight w:val="128" w:hRule="atLeast"/>
          <w:jc w:val="center"/>
        </w:trPr>
        <w:tc>
          <w:tcPr>
            <w:tcW w:w="343"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中行</w:t>
            </w:r>
          </w:p>
        </w:tc>
        <w:tc>
          <w:tcPr>
            <w:tcW w:w="34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61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w:t>
            </w:r>
          </w:p>
        </w:tc>
        <w:tc>
          <w:tcPr>
            <w:tcW w:w="2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15"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818"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83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3,319,000.00</w:t>
            </w:r>
          </w:p>
        </w:tc>
      </w:tr>
    </w:tbl>
    <w:p>
      <w:pPr>
        <w:pStyle w:val="4"/>
        <w:keepNext w:val="0"/>
        <w:keepLines w:val="0"/>
        <w:spacing w:before="300" w:after="300" w:line="360" w:lineRule="exact"/>
        <w:jc w:val="left"/>
        <w:rPr>
          <w:rFonts w:ascii="Arial" w:hAnsi="Arial" w:eastAsia="宋体" w:cs="Arial"/>
          <w:sz w:val="24"/>
          <w:szCs w:val="24"/>
        </w:rPr>
      </w:pPr>
      <w:r>
        <w:rPr>
          <w:rFonts w:hint="eastAsia" w:ascii="Arial" w:hAnsi="Arial" w:eastAsia="宋体" w:cs="Arial"/>
          <w:sz w:val="24"/>
          <w:szCs w:val="24"/>
        </w:rPr>
        <w:t>（</w:t>
      </w:r>
      <w:r>
        <w:rPr>
          <w:rFonts w:ascii="Arial" w:hAnsi="Arial" w:eastAsia="宋体" w:cs="Arial"/>
          <w:sz w:val="24"/>
          <w:szCs w:val="24"/>
        </w:rPr>
        <w:t>5</w:t>
      </w:r>
      <w:r>
        <w:rPr>
          <w:rFonts w:hint="eastAsia" w:ascii="Arial" w:hAnsi="Arial" w:eastAsia="宋体" w:cs="Arial"/>
          <w:sz w:val="24"/>
          <w:szCs w:val="24"/>
        </w:rPr>
        <w:t>）</w:t>
      </w:r>
      <w:r>
        <w:rPr>
          <w:rFonts w:ascii="Arial" w:hAnsi="Arial" w:eastAsia="宋体" w:cs="Arial"/>
          <w:sz w:val="24"/>
          <w:szCs w:val="24"/>
        </w:rPr>
        <w:t>周边竞品楼盘情况</w:t>
      </w:r>
    </w:p>
    <w:p>
      <w:pPr>
        <w:widowControl w:val="0"/>
        <w:adjustRightInd w:val="0"/>
        <w:snapToGrid w:val="0"/>
        <w:spacing w:before="312" w:beforeLines="100"/>
        <w:contextualSpacing/>
        <w:jc w:val="center"/>
        <w:rPr>
          <w:rFonts w:ascii="Arial" w:hAnsi="Arial" w:cs="Arial"/>
          <w:b/>
          <w:szCs w:val="28"/>
        </w:rPr>
      </w:pPr>
      <w:r>
        <w:rPr>
          <w:rFonts w:ascii="Arial" w:hAnsi="Arial" w:cs="Arial"/>
          <w:b/>
          <w:szCs w:val="28"/>
        </w:rPr>
        <w:t>项目周边竞品情况</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6"/>
        <w:gridCol w:w="1352"/>
        <w:gridCol w:w="1033"/>
        <w:gridCol w:w="1374"/>
        <w:gridCol w:w="2239"/>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楼盘名</w:t>
            </w:r>
          </w:p>
        </w:tc>
        <w:tc>
          <w:tcPr>
            <w:tcW w:w="6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开盘时间</w:t>
            </w:r>
          </w:p>
          <w:p>
            <w:pPr>
              <w:jc w:val="center"/>
              <w:rPr>
                <w:rFonts w:ascii="Arial" w:hAnsi="Arial" w:cs="Arial"/>
                <w:b/>
                <w:sz w:val="18"/>
                <w:szCs w:val="18"/>
              </w:rPr>
            </w:pPr>
            <w:r>
              <w:rPr>
                <w:rFonts w:ascii="Arial" w:hAnsi="Arial" w:cs="Arial"/>
                <w:b/>
                <w:sz w:val="18"/>
                <w:szCs w:val="18"/>
              </w:rPr>
              <w:t>（首次）</w:t>
            </w:r>
          </w:p>
        </w:tc>
        <w:tc>
          <w:tcPr>
            <w:tcW w:w="5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容积率</w:t>
            </w:r>
          </w:p>
        </w:tc>
        <w:tc>
          <w:tcPr>
            <w:tcW w:w="69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建筑面积</w:t>
            </w:r>
          </w:p>
          <w:p>
            <w:pPr>
              <w:jc w:val="center"/>
              <w:rPr>
                <w:rFonts w:ascii="Arial" w:hAnsi="Arial" w:cs="Arial"/>
                <w:b/>
                <w:sz w:val="18"/>
                <w:szCs w:val="18"/>
              </w:rPr>
            </w:pPr>
            <w:r>
              <w:rPr>
                <w:rFonts w:ascii="Arial" w:hAnsi="Arial" w:cs="Arial"/>
                <w:b/>
                <w:sz w:val="18"/>
                <w:szCs w:val="18"/>
              </w:rPr>
              <w:t>（万㎡）</w:t>
            </w:r>
          </w:p>
        </w:tc>
        <w:tc>
          <w:tcPr>
            <w:tcW w:w="11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物业类型：</w:t>
            </w:r>
          </w:p>
          <w:p>
            <w:pPr>
              <w:jc w:val="center"/>
              <w:rPr>
                <w:rFonts w:ascii="Arial" w:hAnsi="Arial" w:cs="Arial"/>
                <w:b/>
                <w:sz w:val="18"/>
                <w:szCs w:val="18"/>
              </w:rPr>
            </w:pPr>
            <w:r>
              <w:rPr>
                <w:rFonts w:ascii="Arial" w:hAnsi="Arial" w:cs="Arial"/>
                <w:b/>
                <w:sz w:val="18"/>
                <w:szCs w:val="18"/>
              </w:rPr>
              <w:t>售价（元/㎡）</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车距</w:t>
            </w:r>
          </w:p>
          <w:p>
            <w:pPr>
              <w:jc w:val="center"/>
              <w:rPr>
                <w:rFonts w:ascii="Arial" w:hAnsi="Arial" w:cs="Arial"/>
                <w:sz w:val="18"/>
                <w:szCs w:val="18"/>
              </w:rPr>
            </w:pPr>
            <w:r>
              <w:rPr>
                <w:rFonts w:ascii="Arial" w:hAnsi="Arial" w:cs="Arial"/>
                <w:b/>
                <w:sz w:val="18"/>
                <w:szCs w:val="18"/>
              </w:rPr>
              <w:t>/去化情况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南溪绿郡</w:t>
            </w:r>
          </w:p>
        </w:tc>
        <w:tc>
          <w:tcPr>
            <w:tcW w:w="6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2014-03-28</w:t>
            </w:r>
          </w:p>
        </w:tc>
        <w:tc>
          <w:tcPr>
            <w:tcW w:w="5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1.9</w:t>
            </w:r>
          </w:p>
        </w:tc>
        <w:tc>
          <w:tcPr>
            <w:tcW w:w="69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71</w:t>
            </w:r>
          </w:p>
        </w:tc>
        <w:tc>
          <w:tcPr>
            <w:tcW w:w="11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二手房：</w:t>
            </w:r>
          </w:p>
          <w:p>
            <w:pPr>
              <w:jc w:val="center"/>
              <w:rPr>
                <w:rFonts w:ascii="Arial" w:hAnsi="Arial" w:cs="Arial"/>
                <w:color w:val="FF0000"/>
                <w:sz w:val="18"/>
                <w:szCs w:val="18"/>
              </w:rPr>
            </w:pPr>
            <w:r>
              <w:rPr>
                <w:rFonts w:ascii="Arial" w:hAnsi="Arial" w:cs="Arial"/>
                <w:sz w:val="18"/>
                <w:szCs w:val="18"/>
              </w:rPr>
              <w:t>高层/毛坯：7500</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0.2km</w:t>
            </w:r>
          </w:p>
          <w:p>
            <w:pPr>
              <w:jc w:val="center"/>
              <w:rPr>
                <w:rFonts w:ascii="Arial" w:hAnsi="Arial" w:cs="Arial"/>
                <w:color w:val="FF0000"/>
                <w:sz w:val="18"/>
                <w:szCs w:val="18"/>
              </w:rPr>
            </w:pPr>
            <w:r>
              <w:rPr>
                <w:rFonts w:ascii="Arial" w:hAnsi="Arial" w:cs="Arial"/>
                <w:sz w:val="18"/>
                <w:szCs w:val="18"/>
              </w:rPr>
              <w:t>2016年5月售罄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新科城市广场</w:t>
            </w:r>
          </w:p>
        </w:tc>
        <w:tc>
          <w:tcPr>
            <w:tcW w:w="6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2014-12-27</w:t>
            </w:r>
          </w:p>
        </w:tc>
        <w:tc>
          <w:tcPr>
            <w:tcW w:w="5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2.8</w:t>
            </w:r>
          </w:p>
        </w:tc>
        <w:tc>
          <w:tcPr>
            <w:tcW w:w="69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8</w:t>
            </w:r>
          </w:p>
        </w:tc>
        <w:tc>
          <w:tcPr>
            <w:tcW w:w="11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二手房：</w:t>
            </w:r>
          </w:p>
          <w:p>
            <w:pPr>
              <w:jc w:val="center"/>
              <w:rPr>
                <w:rFonts w:ascii="Arial" w:hAnsi="Arial" w:cs="Arial"/>
                <w:color w:val="FF0000"/>
                <w:sz w:val="18"/>
                <w:szCs w:val="18"/>
              </w:rPr>
            </w:pPr>
            <w:r>
              <w:rPr>
                <w:rFonts w:ascii="Arial" w:hAnsi="Arial" w:cs="Arial"/>
                <w:sz w:val="18"/>
                <w:szCs w:val="18"/>
              </w:rPr>
              <w:t>高层/毛坯：8500</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1.2km</w:t>
            </w:r>
          </w:p>
          <w:p>
            <w:pPr>
              <w:jc w:val="center"/>
              <w:rPr>
                <w:rFonts w:ascii="Arial" w:hAnsi="Arial" w:cs="Arial"/>
                <w:color w:val="FF0000"/>
                <w:sz w:val="18"/>
                <w:szCs w:val="18"/>
              </w:rPr>
            </w:pPr>
            <w:r>
              <w:rPr>
                <w:rFonts w:ascii="Arial" w:hAnsi="Arial" w:cs="Arial"/>
                <w:sz w:val="18"/>
                <w:szCs w:val="18"/>
              </w:rPr>
              <w:t>2016年6月售罄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翡丽锦悦</w:t>
            </w:r>
          </w:p>
        </w:tc>
        <w:tc>
          <w:tcPr>
            <w:tcW w:w="6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2019-01-04</w:t>
            </w:r>
          </w:p>
        </w:tc>
        <w:tc>
          <w:tcPr>
            <w:tcW w:w="5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2.5</w:t>
            </w:r>
          </w:p>
        </w:tc>
        <w:tc>
          <w:tcPr>
            <w:tcW w:w="69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22</w:t>
            </w:r>
          </w:p>
        </w:tc>
        <w:tc>
          <w:tcPr>
            <w:tcW w:w="11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高层／毛坯：9000</w:t>
            </w:r>
          </w:p>
          <w:p>
            <w:pPr>
              <w:jc w:val="center"/>
              <w:rPr>
                <w:rFonts w:ascii="Arial" w:hAnsi="Arial" w:cs="Arial"/>
                <w:sz w:val="18"/>
                <w:szCs w:val="18"/>
              </w:rPr>
            </w:pPr>
            <w:r>
              <w:rPr>
                <w:rFonts w:ascii="Arial" w:hAnsi="Arial" w:cs="Arial"/>
                <w:sz w:val="18"/>
                <w:szCs w:val="18"/>
              </w:rPr>
              <w:t>洋房/毛坯：10500</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1.7km</w:t>
            </w:r>
          </w:p>
          <w:p>
            <w:pPr>
              <w:jc w:val="center"/>
              <w:rPr>
                <w:rFonts w:ascii="Arial" w:hAnsi="Arial" w:cs="Arial"/>
                <w:sz w:val="18"/>
                <w:szCs w:val="18"/>
              </w:rPr>
            </w:pPr>
            <w:r>
              <w:rPr>
                <w:rFonts w:ascii="Arial" w:hAnsi="Arial" w:cs="Arial"/>
                <w:sz w:val="18"/>
                <w:szCs w:val="18"/>
              </w:rPr>
              <w:t>月去化20套</w:t>
            </w:r>
          </w:p>
          <w:p>
            <w:pPr>
              <w:jc w:val="center"/>
              <w:rPr>
                <w:rFonts w:ascii="Arial" w:hAnsi="Arial" w:cs="Arial"/>
                <w:color w:val="FF0000"/>
                <w:sz w:val="18"/>
                <w:szCs w:val="18"/>
              </w:rPr>
            </w:pPr>
            <w:r>
              <w:rPr>
                <w:rFonts w:ascii="Arial" w:hAnsi="Arial" w:cs="Arial"/>
                <w:sz w:val="18"/>
                <w:szCs w:val="18"/>
              </w:rPr>
              <w:t>去化率30%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御华兰亭</w:t>
            </w:r>
          </w:p>
        </w:tc>
        <w:tc>
          <w:tcPr>
            <w:tcW w:w="6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2019-04-04</w:t>
            </w:r>
          </w:p>
        </w:tc>
        <w:tc>
          <w:tcPr>
            <w:tcW w:w="5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2.3</w:t>
            </w:r>
          </w:p>
        </w:tc>
        <w:tc>
          <w:tcPr>
            <w:tcW w:w="69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57</w:t>
            </w:r>
          </w:p>
        </w:tc>
        <w:tc>
          <w:tcPr>
            <w:tcW w:w="11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高层／毛坯：9400</w:t>
            </w:r>
          </w:p>
          <w:p>
            <w:pPr>
              <w:jc w:val="center"/>
              <w:rPr>
                <w:rFonts w:ascii="Arial" w:hAnsi="Arial" w:cs="Arial"/>
                <w:sz w:val="18"/>
                <w:szCs w:val="18"/>
              </w:rPr>
            </w:pPr>
            <w:r>
              <w:rPr>
                <w:rFonts w:ascii="Arial" w:hAnsi="Arial" w:cs="Arial"/>
                <w:sz w:val="18"/>
                <w:szCs w:val="18"/>
              </w:rPr>
              <w:t>洋房/毛坯：11000</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3.3km</w:t>
            </w:r>
          </w:p>
          <w:p>
            <w:pPr>
              <w:jc w:val="center"/>
              <w:rPr>
                <w:rFonts w:ascii="Arial" w:hAnsi="Arial" w:cs="Arial"/>
                <w:sz w:val="18"/>
                <w:szCs w:val="18"/>
              </w:rPr>
            </w:pPr>
            <w:r>
              <w:rPr>
                <w:rFonts w:ascii="Arial" w:hAnsi="Arial" w:cs="Arial"/>
                <w:sz w:val="18"/>
                <w:szCs w:val="18"/>
              </w:rPr>
              <w:t>月去化110套</w:t>
            </w:r>
          </w:p>
          <w:p>
            <w:pPr>
              <w:jc w:val="center"/>
              <w:rPr>
                <w:rFonts w:ascii="Arial" w:hAnsi="Arial" w:cs="Arial"/>
                <w:color w:val="FF0000"/>
                <w:sz w:val="18"/>
                <w:szCs w:val="18"/>
              </w:rPr>
            </w:pPr>
            <w:r>
              <w:rPr>
                <w:rFonts w:ascii="Arial" w:hAnsi="Arial" w:cs="Arial"/>
                <w:sz w:val="18"/>
                <w:szCs w:val="18"/>
              </w:rPr>
              <w:t>去化率22%</w:t>
            </w:r>
          </w:p>
        </w:tc>
      </w:tr>
    </w:tbl>
    <w:p>
      <w:bookmarkStart w:id="4" w:name="_Toc22047"/>
    </w:p>
    <w:p/>
    <w:p/>
    <w:p/>
    <w:p/>
    <w:p/>
    <w:p/>
    <w:p/>
    <w:p/>
    <w:p/>
    <w:p>
      <w:pPr>
        <w:rPr>
          <w:rFonts w:hint="eastAsia"/>
        </w:rPr>
      </w:pPr>
    </w:p>
    <w:p>
      <w:pPr>
        <w:pStyle w:val="4"/>
        <w:keepNext w:val="0"/>
        <w:keepLines w:val="0"/>
        <w:spacing w:before="300" w:after="300" w:line="360" w:lineRule="exact"/>
        <w:jc w:val="left"/>
        <w:rPr>
          <w:rFonts w:ascii="Arial" w:hAnsi="Arial" w:eastAsia="宋体" w:cs="Arial"/>
          <w:sz w:val="24"/>
          <w:szCs w:val="24"/>
        </w:rPr>
      </w:pPr>
      <w:r>
        <w:rPr>
          <w:rFonts w:ascii="Arial" w:hAnsi="Arial" w:eastAsia="宋体" w:cs="Arial"/>
          <w:sz w:val="24"/>
          <w:szCs w:val="24"/>
        </w:rPr>
        <w:t>3</w:t>
      </w:r>
      <w:r>
        <w:rPr>
          <w:rFonts w:hint="eastAsia" w:ascii="Arial" w:hAnsi="Arial" w:eastAsia="宋体" w:cs="Arial"/>
          <w:sz w:val="24"/>
          <w:szCs w:val="24"/>
        </w:rPr>
        <w:t>、项目开发进展情况</w:t>
      </w:r>
      <w:bookmarkEnd w:id="4"/>
    </w:p>
    <w:p>
      <w:pPr>
        <w:pStyle w:val="4"/>
        <w:keepNext w:val="0"/>
        <w:keepLines w:val="0"/>
        <w:spacing w:before="300" w:after="300" w:line="360" w:lineRule="exact"/>
        <w:jc w:val="left"/>
        <w:rPr>
          <w:rFonts w:ascii="Arial" w:hAnsi="Arial" w:eastAsia="宋体" w:cs="Arial"/>
          <w:sz w:val="24"/>
          <w:szCs w:val="24"/>
        </w:rPr>
      </w:pPr>
      <w:r>
        <w:rPr>
          <w:rFonts w:hint="eastAsia" w:ascii="Arial" w:hAnsi="Arial" w:eastAsia="宋体" w:cs="Arial"/>
          <w:sz w:val="24"/>
          <w:szCs w:val="24"/>
        </w:rPr>
        <w:t>（</w:t>
      </w:r>
      <w:r>
        <w:rPr>
          <w:rFonts w:ascii="Arial" w:hAnsi="Arial" w:eastAsia="宋体" w:cs="Arial"/>
          <w:sz w:val="24"/>
          <w:szCs w:val="24"/>
        </w:rPr>
        <w:t>1</w:t>
      </w:r>
      <w:r>
        <w:rPr>
          <w:rFonts w:hint="eastAsia" w:ascii="Arial" w:hAnsi="Arial" w:eastAsia="宋体" w:cs="Arial"/>
          <w:sz w:val="24"/>
          <w:szCs w:val="24"/>
        </w:rPr>
        <w:t>）</w:t>
      </w:r>
      <w:r>
        <w:rPr>
          <w:rFonts w:ascii="Arial" w:hAnsi="Arial" w:eastAsia="宋体" w:cs="Arial"/>
          <w:sz w:val="24"/>
          <w:szCs w:val="24"/>
        </w:rPr>
        <w:t>项目基本情况</w:t>
      </w:r>
    </w:p>
    <w:p>
      <w:pPr>
        <w:spacing w:line="480" w:lineRule="auto"/>
        <w:ind w:firstLine="420" w:firstLineChars="200"/>
        <w:rPr>
          <w:rFonts w:ascii="Arial" w:hAnsi="Arial" w:cs="Arial"/>
          <w:color w:val="FF0000"/>
          <w:sz w:val="21"/>
          <w:szCs w:val="21"/>
        </w:rPr>
      </w:pPr>
      <w:r>
        <w:rPr>
          <w:rFonts w:hint="eastAsia" w:ascii="Arial" w:hAnsi="Arial" w:cs="Arial"/>
          <w:color w:val="FF0000"/>
          <w:sz w:val="21"/>
          <w:szCs w:val="21"/>
        </w:rPr>
        <w:t xml:space="preserve"> </w:t>
      </w:r>
      <w:r>
        <w:rPr>
          <w:rFonts w:hint="eastAsia" w:ascii="Arial" w:hAnsi="Arial" w:cs="Arial"/>
          <w:color w:val="000000" w:themeColor="text1"/>
          <w:sz w:val="21"/>
          <w:szCs w:val="21"/>
          <w14:textFill>
            <w14:solidFill>
              <w14:schemeClr w14:val="tx1"/>
            </w14:solidFill>
          </w14:textFill>
        </w:rPr>
        <w:t>重庆恒大锦城项目位于重庆市巴南区界石片区，东至现状路，南至渝湘高速，西至兰海高速，北至石辰路。距重庆市政府车距</w:t>
      </w:r>
      <w:r>
        <w:rPr>
          <w:rFonts w:ascii="Arial" w:hAnsi="Arial" w:cs="Arial"/>
          <w:color w:val="000000" w:themeColor="text1"/>
          <w:sz w:val="21"/>
          <w:szCs w:val="21"/>
          <w14:textFill>
            <w14:solidFill>
              <w14:schemeClr w14:val="tx1"/>
            </w14:solidFill>
          </w14:textFill>
        </w:rPr>
        <w:t>26.6km，距巴南区政府车距11.3km，距界石镇政府车距1.8km，距主商业中心（观音桥）车距27.9km，距巴南万达广场车距10.9km，距离恒大城车距13.9km，距离恒大御景湾车距15.6km，距离恒大新城车距16.7km。</w:t>
      </w:r>
      <w:r>
        <w:rPr>
          <w:rFonts w:hint="eastAsia" w:ascii="Arial" w:hAnsi="Arial" w:cs="Arial"/>
          <w:color w:val="000000" w:themeColor="text1"/>
          <w:sz w:val="21"/>
          <w:szCs w:val="21"/>
          <w14:textFill>
            <w14:solidFill>
              <w14:schemeClr w14:val="tx1"/>
            </w14:solidFill>
          </w14:textFill>
        </w:rPr>
        <w:t>地块占地约</w:t>
      </w:r>
      <w:r>
        <w:rPr>
          <w:rFonts w:ascii="Arial" w:hAnsi="Arial" w:cs="Arial"/>
          <w:color w:val="000000" w:themeColor="text1"/>
          <w:sz w:val="21"/>
          <w:szCs w:val="21"/>
          <w14:textFill>
            <w14:solidFill>
              <w14:schemeClr w14:val="tx1"/>
            </w14:solidFill>
          </w14:textFill>
        </w:rPr>
        <w:t>23.9万㎡，折合358.2亩，二类居住用地，容积率1.96，总计容面积约46.7万㎡，限高60m-100m。</w:t>
      </w:r>
    </w:p>
    <w:p>
      <w:pPr>
        <w:pStyle w:val="12"/>
        <w:spacing w:line="480" w:lineRule="auto"/>
        <w:ind w:left="480" w:firstLine="200"/>
        <w:rPr>
          <w:rFonts w:ascii="Arial" w:hAnsi="Arial" w:eastAsia="宋体" w:cs="Arial"/>
          <w:sz w:val="21"/>
          <w:szCs w:val="21"/>
        </w:rPr>
      </w:pPr>
      <w:r>
        <w:rPr>
          <w:rFonts w:ascii="Arial" w:hAnsi="Arial" w:eastAsia="宋体" w:cs="Arial"/>
          <w:sz w:val="21"/>
          <w:szCs w:val="21"/>
        </w:rPr>
        <w:t>施工总承包： 中国航天技术国际工程有限公司</w:t>
      </w:r>
    </w:p>
    <w:p>
      <w:pPr>
        <w:pStyle w:val="12"/>
        <w:spacing w:line="480" w:lineRule="auto"/>
        <w:ind w:left="480" w:firstLine="200"/>
        <w:rPr>
          <w:rFonts w:ascii="Arial" w:hAnsi="Arial" w:eastAsia="宋体" w:cs="Arial"/>
          <w:sz w:val="21"/>
          <w:szCs w:val="21"/>
        </w:rPr>
      </w:pPr>
      <w:r>
        <w:rPr>
          <w:rFonts w:ascii="Arial" w:hAnsi="Arial" w:eastAsia="宋体" w:cs="Arial"/>
          <w:sz w:val="21"/>
          <w:szCs w:val="21"/>
        </w:rPr>
        <w:t>监理单位：</w:t>
      </w:r>
      <w:r>
        <w:rPr>
          <w:rFonts w:hint="eastAsia" w:ascii="Arial" w:hAnsi="Arial" w:eastAsia="宋体" w:cs="Arial"/>
          <w:sz w:val="21"/>
          <w:szCs w:val="21"/>
        </w:rPr>
        <w:t xml:space="preserve"> 广州市恒合工程监理有限公司</w:t>
      </w:r>
    </w:p>
    <w:p>
      <w:pPr>
        <w:pStyle w:val="4"/>
        <w:keepNext w:val="0"/>
        <w:keepLines w:val="0"/>
        <w:spacing w:before="300" w:after="300" w:line="360" w:lineRule="exact"/>
        <w:jc w:val="left"/>
        <w:rPr>
          <w:rFonts w:ascii="Arial" w:hAnsi="Arial" w:eastAsia="宋体" w:cs="Arial"/>
          <w:sz w:val="24"/>
          <w:szCs w:val="24"/>
        </w:rPr>
      </w:pPr>
      <w:r>
        <w:rPr>
          <w:rFonts w:hint="eastAsia" w:ascii="Arial" w:hAnsi="Arial" w:eastAsia="宋体" w:cs="Arial"/>
          <w:sz w:val="24"/>
          <w:szCs w:val="24"/>
        </w:rPr>
        <w:t>（</w:t>
      </w:r>
      <w:r>
        <w:rPr>
          <w:rFonts w:ascii="Arial" w:hAnsi="Arial" w:eastAsia="宋体" w:cs="Arial"/>
          <w:sz w:val="24"/>
          <w:szCs w:val="24"/>
        </w:rPr>
        <w:t>2</w:t>
      </w:r>
      <w:r>
        <w:rPr>
          <w:rFonts w:hint="eastAsia" w:ascii="Arial" w:hAnsi="Arial" w:eastAsia="宋体" w:cs="Arial"/>
          <w:sz w:val="24"/>
          <w:szCs w:val="24"/>
        </w:rPr>
        <w:t>）</w:t>
      </w:r>
      <w:r>
        <w:rPr>
          <w:rFonts w:ascii="Arial" w:hAnsi="Arial" w:eastAsia="宋体" w:cs="Arial"/>
          <w:sz w:val="24"/>
          <w:szCs w:val="24"/>
        </w:rPr>
        <w:t>工程进度情况</w:t>
      </w:r>
    </w:p>
    <w:p>
      <w:pPr>
        <w:spacing w:before="312" w:beforeLines="100"/>
        <w:jc w:val="center"/>
        <w:rPr>
          <w:rFonts w:ascii="Arial" w:hAnsi="Arial" w:cs="Arial"/>
          <w:b/>
          <w:bCs/>
          <w:color w:val="000000" w:themeColor="text1"/>
          <w:szCs w:val="21"/>
          <w14:textFill>
            <w14:solidFill>
              <w14:schemeClr w14:val="tx1"/>
            </w14:solidFill>
          </w14:textFill>
        </w:rPr>
      </w:pPr>
      <w:r>
        <w:rPr>
          <w:rFonts w:hint="eastAsia" w:ascii="Arial" w:hAnsi="Arial" w:cs="Arial"/>
          <w:b/>
          <w:bCs/>
          <w:color w:val="000000" w:themeColor="text1"/>
          <w:szCs w:val="21"/>
          <w14:textFill>
            <w14:solidFill>
              <w14:schemeClr w14:val="tx1"/>
            </w14:solidFill>
          </w14:textFill>
        </w:rPr>
        <w:t>项目工程施工情况表</w:t>
      </w:r>
    </w:p>
    <w:tbl>
      <w:tblPr>
        <w:tblStyle w:val="17"/>
        <w:tblW w:w="5000" w:type="pct"/>
        <w:tblInd w:w="0" w:type="dxa"/>
        <w:tblLayout w:type="autofit"/>
        <w:tblCellMar>
          <w:top w:w="0" w:type="dxa"/>
          <w:left w:w="108" w:type="dxa"/>
          <w:bottom w:w="0" w:type="dxa"/>
          <w:right w:w="108" w:type="dxa"/>
        </w:tblCellMar>
      </w:tblPr>
      <w:tblGrid>
        <w:gridCol w:w="591"/>
        <w:gridCol w:w="796"/>
        <w:gridCol w:w="2095"/>
        <w:gridCol w:w="5041"/>
        <w:gridCol w:w="1331"/>
      </w:tblGrid>
      <w:tr>
        <w:tblPrEx>
          <w:tblCellMar>
            <w:top w:w="0" w:type="dxa"/>
            <w:left w:w="108" w:type="dxa"/>
            <w:bottom w:w="0" w:type="dxa"/>
            <w:right w:w="108" w:type="dxa"/>
          </w:tblCellMar>
        </w:tblPrEx>
        <w:trPr>
          <w:trHeight w:val="370" w:hRule="atLeast"/>
          <w:tblHeader/>
        </w:trPr>
        <w:tc>
          <w:tcPr>
            <w:tcW w:w="30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ascii="Arial" w:hAnsi="Arial" w:cs="Arial"/>
                <w:b/>
                <w:bCs/>
                <w:sz w:val="18"/>
                <w:szCs w:val="18"/>
              </w:rPr>
              <w:t>序号</w:t>
            </w:r>
          </w:p>
        </w:tc>
        <w:tc>
          <w:tcPr>
            <w:tcW w:w="4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ascii="Arial" w:hAnsi="Arial" w:cs="Arial"/>
                <w:b/>
                <w:bCs/>
                <w:sz w:val="18"/>
                <w:szCs w:val="18"/>
              </w:rPr>
              <w:t>楼栋号</w:t>
            </w:r>
          </w:p>
        </w:tc>
        <w:tc>
          <w:tcPr>
            <w:tcW w:w="10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业态</w:t>
            </w:r>
          </w:p>
        </w:tc>
        <w:tc>
          <w:tcPr>
            <w:tcW w:w="2558"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ascii="Arial" w:hAnsi="Arial" w:cs="Arial"/>
                <w:b/>
                <w:bCs/>
                <w:sz w:val="18"/>
                <w:szCs w:val="18"/>
              </w:rPr>
              <w:t>形象进度</w:t>
            </w:r>
          </w:p>
        </w:tc>
        <w:tc>
          <w:tcPr>
            <w:tcW w:w="676"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ascii="Arial" w:hAnsi="Arial" w:cs="Arial"/>
                <w:b/>
                <w:bCs/>
                <w:sz w:val="18"/>
                <w:szCs w:val="18"/>
              </w:rPr>
              <w:t>合同交楼时间</w:t>
            </w:r>
          </w:p>
        </w:tc>
      </w:tr>
      <w:tr>
        <w:tblPrEx>
          <w:tblCellMar>
            <w:top w:w="0" w:type="dxa"/>
            <w:left w:w="108" w:type="dxa"/>
            <w:bottom w:w="0" w:type="dxa"/>
            <w:right w:w="108" w:type="dxa"/>
          </w:tblCellMar>
        </w:tblPrEx>
        <w:trPr>
          <w:trHeight w:val="132"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01</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19#</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销售中心</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完工</w:t>
            </w:r>
          </w:p>
        </w:tc>
        <w:tc>
          <w:tcPr>
            <w:tcW w:w="676" w:type="pct"/>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2023-05-31</w:t>
            </w:r>
          </w:p>
        </w:tc>
      </w:tr>
      <w:tr>
        <w:tblPrEx>
          <w:tblCellMar>
            <w:top w:w="0" w:type="dxa"/>
            <w:left w:w="108" w:type="dxa"/>
            <w:bottom w:w="0" w:type="dxa"/>
            <w:right w:w="108" w:type="dxa"/>
          </w:tblCellMar>
        </w:tblPrEx>
        <w:trPr>
          <w:trHeight w:val="56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02</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18#</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综合楼</w:t>
            </w:r>
          </w:p>
        </w:tc>
        <w:tc>
          <w:tcPr>
            <w:tcW w:w="2558"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湿作业完成98%，安装类完成90%，室外通道施工完成90%</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03</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商业（1F）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柱脚石材、广告位装饰施工</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04</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小高层（9F/-1F)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结构封顶</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05</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小高层（9F/-1F)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6层顶板支模架搭设</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06</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结构封顶，砌体完成60%</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07</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5#</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结构封顶</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08</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6#</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结构封顶</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09</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7#</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结构封顶</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10</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8#</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结构封顶</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11</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9#</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结构封顶</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12</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10#</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结构封顶</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13</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11#</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结构封顶</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14</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12#</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结构封顶</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15</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13#</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结构封顶，砌体排头</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16</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14#</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结构封顶，砌体完成50%</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17</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15#</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结构封顶</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18</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16#</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结构封顶</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19</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17#</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结构封顶</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294"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20</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20#</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小高层（9F/-1F)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21</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4#车库</w:t>
            </w:r>
          </w:p>
        </w:tc>
        <w:tc>
          <w:tcPr>
            <w:tcW w:w="106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地下室一层</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主体结构完成</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22</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21#</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一层顶板模板铺设</w:t>
            </w:r>
          </w:p>
        </w:tc>
        <w:tc>
          <w:tcPr>
            <w:tcW w:w="676" w:type="pct"/>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2023-05-31</w:t>
            </w: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23</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22#</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正负零层梁板模板钢筋施工</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24</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23#</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一层顶板模板铺设</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25</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24#</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四层顶板板模板铺设</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26</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25#</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正负零层梁板钢筋模板施工</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27</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26#</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结构封顶</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28</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5#车库</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负一层、负二层</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结构施工</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29</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27#</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三层顶板钢筋模板施工</w:t>
            </w:r>
          </w:p>
        </w:tc>
        <w:tc>
          <w:tcPr>
            <w:tcW w:w="676" w:type="pct"/>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2023-05-31</w:t>
            </w: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30</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28#</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小高层（9F/-2F)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一层梁板钢筋施工</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31</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29#</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商业、社区用房（1F）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结构封顶</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32</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6#车库</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负一层、负二层</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负一层支模架搭设</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33</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30#</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四层顶板梁筋施工</w:t>
            </w:r>
          </w:p>
        </w:tc>
        <w:tc>
          <w:tcPr>
            <w:tcW w:w="676" w:type="pct"/>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2023-05-31</w:t>
            </w: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34</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31#</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一层顶板支模架搭设</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35</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32#</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结构封顶</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36</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33#</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结构封顶</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37</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34#</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九层顶板支模架搭设</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38</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7#车库</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负一层</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结构施工</w:t>
            </w:r>
          </w:p>
        </w:tc>
        <w:tc>
          <w:tcPr>
            <w:tcW w:w="676"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39</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47#</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主体结构封顶</w:t>
            </w:r>
          </w:p>
        </w:tc>
        <w:tc>
          <w:tcPr>
            <w:tcW w:w="676" w:type="pct"/>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未定</w:t>
            </w: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40</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48#</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主体结构封顶</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41</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49#</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主体结构封顶</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42</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50#</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主体结构封顶</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43</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51#</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主体结构封顶</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44</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52#</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主体结构封顶</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45</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53#</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商业、社区用房（3F）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土方完成</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46</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54#</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主体结构封顶</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47</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55#</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主体结构封顶</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48</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56#</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主体结构封顶</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49</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57#</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主体结构封顶</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50</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58#</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主体结构封顶</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51</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59#</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主体结构封顶</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52</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60#</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三层梁筋绑扎</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53</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61#</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主体结构封顶</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54</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62#</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主体结构封顶</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55</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63#</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四层顶板待浇筑完</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56</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64#</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主体结构封顶</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57</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65#</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主体结构封顶</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58</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66#</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主体结构封顶</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59</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2#车库</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负一层</w:t>
            </w:r>
          </w:p>
        </w:tc>
        <w:tc>
          <w:tcPr>
            <w:tcW w:w="255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车库结构施工</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60</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35#</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土石方完成，临时边坡完成。总包单位中兴建设，管理人员进场</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61</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36#</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62</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37#</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63</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38#</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64</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39#</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商业、社区用房（3F）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65</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40#</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66</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41#</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67</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42#</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68</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43#</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69</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44#</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70</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45#</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71</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46#</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72</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1#车库</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负一层</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73</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67#</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sz w:val="18"/>
                <w:szCs w:val="18"/>
              </w:rPr>
            </w:pPr>
            <w:r>
              <w:rPr>
                <w:rFonts w:ascii="Arial" w:hAnsi="Arial" w:cs="Arial"/>
                <w:sz w:val="18"/>
                <w:szCs w:val="18"/>
              </w:rPr>
              <w:t>土石方完成90%.剩余区域需完成永久支护继续施工</w:t>
            </w: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74</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68#</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75</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69#</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76</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70#</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77</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71#</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78</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72#</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79</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73#</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80</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74#</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洋房（7F/-1F)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81</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75#</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82</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76#</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83</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77#</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84</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78#</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85</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79#</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86</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80#</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87</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81#</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88</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82#</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89</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83#</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小高层（9F/-1F)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90</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84#</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小高层（9F/-2F)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91</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85#</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小高层（9F/-3F)</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300" w:hRule="atLeast"/>
        </w:trPr>
        <w:tc>
          <w:tcPr>
            <w:tcW w:w="300"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Arial" w:hAnsi="Arial" w:cs="Arial"/>
                <w:sz w:val="18"/>
                <w:szCs w:val="18"/>
              </w:rPr>
            </w:pPr>
            <w:r>
              <w:rPr>
                <w:rFonts w:ascii="Arial" w:hAnsi="Arial" w:cs="Arial"/>
                <w:sz w:val="18"/>
                <w:szCs w:val="18"/>
              </w:rPr>
              <w:t>92</w:t>
            </w:r>
          </w:p>
        </w:tc>
        <w:tc>
          <w:tcPr>
            <w:tcW w:w="40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3#车库</w:t>
            </w:r>
          </w:p>
        </w:tc>
        <w:tc>
          <w:tcPr>
            <w:tcW w:w="106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负一层</w:t>
            </w:r>
          </w:p>
        </w:tc>
        <w:tc>
          <w:tcPr>
            <w:tcW w:w="2558" w:type="pct"/>
            <w:vMerge w:val="continue"/>
            <w:tcBorders>
              <w:top w:val="nil"/>
              <w:left w:val="single" w:color="auto" w:sz="4" w:space="0"/>
              <w:bottom w:val="single" w:color="auto" w:sz="4" w:space="0"/>
              <w:right w:val="single" w:color="auto" w:sz="4" w:space="0"/>
            </w:tcBorders>
            <w:vAlign w:val="center"/>
          </w:tcPr>
          <w:p>
            <w:pPr>
              <w:jc w:val="center"/>
              <w:rPr>
                <w:rFonts w:ascii="Arial" w:hAnsi="Arial" w:cs="Arial"/>
                <w:sz w:val="18"/>
                <w:szCs w:val="18"/>
              </w:rPr>
            </w:pPr>
          </w:p>
        </w:tc>
        <w:tc>
          <w:tcPr>
            <w:tcW w:w="676" w:type="pct"/>
            <w:vMerge w:val="continue"/>
            <w:tcBorders>
              <w:top w:val="nil"/>
              <w:left w:val="single" w:color="auto" w:sz="4" w:space="0"/>
              <w:bottom w:val="single" w:color="000000" w:sz="4" w:space="0"/>
              <w:right w:val="single" w:color="auto" w:sz="4" w:space="0"/>
            </w:tcBorders>
            <w:vAlign w:val="center"/>
          </w:tcPr>
          <w:p>
            <w:pPr>
              <w:jc w:val="center"/>
              <w:rPr>
                <w:rFonts w:ascii="Arial" w:hAnsi="Arial" w:cs="Arial"/>
                <w:sz w:val="18"/>
                <w:szCs w:val="18"/>
              </w:rPr>
            </w:pPr>
          </w:p>
        </w:tc>
      </w:tr>
    </w:tbl>
    <w:p>
      <w:pPr>
        <w:spacing w:line="360" w:lineRule="auto"/>
        <w:ind w:firstLine="540" w:firstLineChars="300"/>
        <w:jc w:val="center"/>
        <w:rPr>
          <w:rFonts w:ascii="Arial" w:hAnsi="Arial" w:cs="Arial"/>
          <w:b/>
          <w:bCs/>
          <w:szCs w:val="21"/>
        </w:rPr>
      </w:pPr>
      <w:r>
        <w:rPr>
          <w:sz w:val="18"/>
          <w:szCs w:val="18"/>
        </w:rPr>
        <w:drawing>
          <wp:inline distT="0" distB="0" distL="0" distR="0">
            <wp:extent cx="5492115" cy="39223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17063" cy="3940549"/>
                    </a:xfrm>
                    <a:prstGeom prst="rect">
                      <a:avLst/>
                    </a:prstGeom>
                    <a:noFill/>
                    <a:ln>
                      <a:noFill/>
                    </a:ln>
                  </pic:spPr>
                </pic:pic>
              </a:graphicData>
            </a:graphic>
          </wp:inline>
        </w:drawing>
      </w:r>
    </w:p>
    <w:p>
      <w:pPr>
        <w:spacing w:line="360" w:lineRule="auto"/>
        <w:jc w:val="center"/>
        <w:rPr>
          <w:rFonts w:ascii="Arial" w:hAnsi="Arial" w:cs="Arial"/>
          <w:b/>
          <w:bCs/>
          <w:sz w:val="21"/>
          <w:szCs w:val="21"/>
        </w:rPr>
      </w:pPr>
      <w:r>
        <w:rPr>
          <w:rFonts w:hint="eastAsia" w:ascii="Arial" w:hAnsi="Arial" w:cs="Arial"/>
          <w:b/>
          <w:bCs/>
          <w:sz w:val="21"/>
          <w:szCs w:val="21"/>
        </w:rPr>
        <w:t>标的项目现场图片（摄于2020年1</w:t>
      </w:r>
      <w:r>
        <w:rPr>
          <w:rFonts w:ascii="Arial" w:hAnsi="Arial" w:cs="Arial"/>
          <w:b/>
          <w:bCs/>
          <w:sz w:val="21"/>
          <w:szCs w:val="21"/>
        </w:rPr>
        <w:t>2</w:t>
      </w:r>
      <w:r>
        <w:rPr>
          <w:rFonts w:hint="eastAsia" w:ascii="Arial" w:hAnsi="Arial" w:cs="Arial"/>
          <w:b/>
          <w:bCs/>
          <w:sz w:val="21"/>
          <w:szCs w:val="21"/>
        </w:rPr>
        <w:t>月3</w:t>
      </w:r>
      <w:r>
        <w:rPr>
          <w:rFonts w:ascii="Arial" w:hAnsi="Arial" w:cs="Arial"/>
          <w:b/>
          <w:bCs/>
          <w:sz w:val="21"/>
          <w:szCs w:val="21"/>
        </w:rPr>
        <w:t>1</w:t>
      </w:r>
      <w:r>
        <w:rPr>
          <w:rFonts w:hint="eastAsia" w:ascii="Arial" w:hAnsi="Arial" w:cs="Arial"/>
          <w:b/>
          <w:bCs/>
          <w:sz w:val="21"/>
          <w:szCs w:val="21"/>
        </w:rPr>
        <w:t>日）</w:t>
      </w:r>
    </w:p>
    <w:p>
      <w:pPr>
        <w:pStyle w:val="4"/>
        <w:keepNext w:val="0"/>
        <w:keepLines w:val="0"/>
        <w:spacing w:before="300" w:after="300" w:line="360" w:lineRule="exact"/>
        <w:jc w:val="left"/>
        <w:rPr>
          <w:rFonts w:ascii="Arial" w:hAnsi="Arial" w:eastAsia="宋体" w:cs="Arial"/>
          <w:sz w:val="24"/>
          <w:szCs w:val="24"/>
        </w:rPr>
      </w:pPr>
      <w:bookmarkStart w:id="5" w:name="_Toc23324570"/>
      <w:bookmarkStart w:id="6" w:name="_Toc3978"/>
      <w:bookmarkStart w:id="7" w:name="_Toc13827_WPSOffice_Level2"/>
      <w:bookmarkStart w:id="8" w:name="_Toc12021_WPSOffice_Level2"/>
      <w:bookmarkStart w:id="9" w:name="_Toc19646"/>
      <w:bookmarkStart w:id="10" w:name="_Toc10824_WPSOffice_Level2"/>
      <w:bookmarkStart w:id="11" w:name="_Toc520900435"/>
      <w:r>
        <w:rPr>
          <w:rFonts w:ascii="Arial" w:hAnsi="Arial" w:eastAsia="宋体" w:cs="Arial"/>
          <w:sz w:val="24"/>
          <w:szCs w:val="24"/>
        </w:rPr>
        <w:t>4</w:t>
      </w:r>
      <w:r>
        <w:rPr>
          <w:rFonts w:hint="eastAsia" w:ascii="Arial" w:hAnsi="Arial" w:eastAsia="宋体" w:cs="Arial"/>
          <w:sz w:val="24"/>
          <w:szCs w:val="24"/>
        </w:rPr>
        <w:t>、</w:t>
      </w:r>
      <w:r>
        <w:rPr>
          <w:rFonts w:ascii="Arial" w:hAnsi="Arial" w:eastAsia="宋体" w:cs="Arial"/>
          <w:sz w:val="24"/>
          <w:szCs w:val="24"/>
        </w:rPr>
        <w:t>资金使用情况</w:t>
      </w:r>
      <w:bookmarkEnd w:id="5"/>
      <w:bookmarkEnd w:id="6"/>
      <w:bookmarkEnd w:id="7"/>
      <w:bookmarkEnd w:id="8"/>
      <w:bookmarkEnd w:id="9"/>
      <w:bookmarkEnd w:id="10"/>
      <w:bookmarkEnd w:id="11"/>
      <w:bookmarkStart w:id="12" w:name="_Toc31803_WPSOffice_Level2"/>
      <w:bookmarkStart w:id="13" w:name="_Toc11621_WPSOffice_Level2"/>
      <w:bookmarkStart w:id="14" w:name="_Toc25204_WPSOffice_Level2"/>
      <w:r>
        <w:rPr>
          <w:rFonts w:ascii="Arial" w:hAnsi="Arial" w:eastAsia="宋体" w:cs="Arial"/>
          <w:sz w:val="24"/>
          <w:szCs w:val="24"/>
        </w:rPr>
        <w:t xml:space="preserve"> </w:t>
      </w:r>
      <w:bookmarkEnd w:id="12"/>
      <w:bookmarkEnd w:id="13"/>
      <w:bookmarkEnd w:id="14"/>
    </w:p>
    <w:p>
      <w:pPr>
        <w:spacing w:line="480" w:lineRule="auto"/>
        <w:ind w:firstLine="420" w:firstLineChars="200"/>
        <w:jc w:val="both"/>
        <w:rPr>
          <w:rFonts w:hint="eastAsia" w:ascii="Arial" w:hAnsi="Arial" w:cs="Arial"/>
          <w:color w:val="000000"/>
          <w:sz w:val="21"/>
          <w:szCs w:val="21"/>
        </w:rPr>
      </w:pPr>
      <w:r>
        <w:rPr>
          <w:rFonts w:hint="eastAsia" w:ascii="Arial" w:hAnsi="Arial" w:cs="Arial"/>
          <w:color w:val="000000"/>
          <w:sz w:val="21"/>
          <w:szCs w:val="21"/>
        </w:rPr>
        <w:t>截至</w:t>
      </w:r>
      <w:r>
        <w:rPr>
          <w:rFonts w:ascii="Arial" w:hAnsi="Arial" w:cs="Arial"/>
          <w:color w:val="000000"/>
          <w:sz w:val="21"/>
          <w:szCs w:val="21"/>
        </w:rPr>
        <w:t>2020年1</w:t>
      </w:r>
      <w:r>
        <w:rPr>
          <w:rFonts w:hint="eastAsia" w:ascii="Arial" w:hAnsi="Arial" w:cs="Arial"/>
          <w:color w:val="000000"/>
          <w:sz w:val="21"/>
          <w:szCs w:val="21"/>
        </w:rPr>
        <w:t>2</w:t>
      </w:r>
      <w:r>
        <w:rPr>
          <w:rFonts w:ascii="Arial" w:hAnsi="Arial" w:cs="Arial"/>
          <w:color w:val="000000"/>
          <w:sz w:val="21"/>
          <w:szCs w:val="21"/>
        </w:rPr>
        <w:t>月</w:t>
      </w:r>
      <w:r>
        <w:rPr>
          <w:rFonts w:hint="eastAsia" w:ascii="Arial" w:hAnsi="Arial" w:cs="Arial"/>
          <w:color w:val="000000"/>
          <w:sz w:val="21"/>
          <w:szCs w:val="21"/>
        </w:rPr>
        <w:t>31</w:t>
      </w:r>
      <w:r>
        <w:rPr>
          <w:rFonts w:ascii="Arial" w:hAnsi="Arial" w:cs="Arial"/>
          <w:color w:val="000000"/>
          <w:sz w:val="21"/>
          <w:szCs w:val="21"/>
        </w:rPr>
        <w:t>日</w:t>
      </w:r>
      <w:r>
        <w:rPr>
          <w:rFonts w:hint="eastAsia" w:ascii="Arial" w:hAnsi="Arial" w:cs="Arial"/>
          <w:color w:val="000000"/>
          <w:sz w:val="21"/>
          <w:szCs w:val="21"/>
        </w:rPr>
        <w:t>恒大锦城一期</w:t>
      </w:r>
      <w:r>
        <w:rPr>
          <w:rFonts w:ascii="Arial" w:hAnsi="Arial" w:cs="Arial"/>
          <w:color w:val="000000"/>
          <w:sz w:val="21"/>
          <w:szCs w:val="21"/>
        </w:rPr>
        <w:t>预售资金监管户6530000010120100645008账户余额：</w:t>
      </w:r>
      <w:r>
        <w:rPr>
          <w:rFonts w:hint="eastAsia" w:ascii="Arial" w:hAnsi="Arial" w:cs="Arial"/>
          <w:color w:val="000000"/>
          <w:sz w:val="21"/>
          <w:szCs w:val="21"/>
        </w:rPr>
        <w:t>142</w:t>
      </w:r>
      <w:r>
        <w:rPr>
          <w:rFonts w:ascii="Arial" w:hAnsi="Arial" w:cs="Arial"/>
          <w:color w:val="000000"/>
          <w:sz w:val="21"/>
          <w:szCs w:val="21"/>
        </w:rPr>
        <w:t>,</w:t>
      </w:r>
      <w:r>
        <w:rPr>
          <w:rFonts w:hint="eastAsia" w:ascii="Arial" w:hAnsi="Arial" w:cs="Arial"/>
          <w:color w:val="000000"/>
          <w:sz w:val="21"/>
          <w:szCs w:val="21"/>
        </w:rPr>
        <w:t>546</w:t>
      </w:r>
      <w:r>
        <w:rPr>
          <w:rFonts w:ascii="Arial" w:hAnsi="Arial" w:cs="Arial"/>
          <w:color w:val="000000"/>
          <w:sz w:val="21"/>
          <w:szCs w:val="21"/>
        </w:rPr>
        <w:t>,</w:t>
      </w:r>
      <w:r>
        <w:rPr>
          <w:rFonts w:hint="eastAsia" w:ascii="Arial" w:hAnsi="Arial" w:cs="Arial"/>
          <w:color w:val="000000"/>
          <w:sz w:val="21"/>
          <w:szCs w:val="21"/>
        </w:rPr>
        <w:t>981.81</w:t>
      </w:r>
      <w:r>
        <w:rPr>
          <w:rFonts w:ascii="Arial" w:hAnsi="Arial" w:cs="Arial"/>
          <w:color w:val="000000"/>
          <w:sz w:val="21"/>
          <w:szCs w:val="21"/>
        </w:rPr>
        <w:t>元，可用余额：</w:t>
      </w:r>
      <w:r>
        <w:rPr>
          <w:rFonts w:hint="eastAsia" w:ascii="Arial" w:hAnsi="Arial" w:cs="Arial"/>
          <w:color w:val="000000"/>
          <w:sz w:val="21"/>
          <w:szCs w:val="21"/>
        </w:rPr>
        <w:t>142</w:t>
      </w:r>
      <w:r>
        <w:rPr>
          <w:rFonts w:ascii="Arial" w:hAnsi="Arial" w:cs="Arial"/>
          <w:color w:val="000000"/>
          <w:sz w:val="21"/>
          <w:szCs w:val="21"/>
        </w:rPr>
        <w:t>,</w:t>
      </w:r>
      <w:r>
        <w:rPr>
          <w:rFonts w:hint="eastAsia" w:ascii="Arial" w:hAnsi="Arial" w:cs="Arial"/>
          <w:color w:val="000000"/>
          <w:sz w:val="21"/>
          <w:szCs w:val="21"/>
        </w:rPr>
        <w:t>546</w:t>
      </w:r>
      <w:r>
        <w:rPr>
          <w:rFonts w:ascii="Arial" w:hAnsi="Arial" w:cs="Arial"/>
          <w:color w:val="000000"/>
          <w:sz w:val="21"/>
          <w:szCs w:val="21"/>
        </w:rPr>
        <w:t>,</w:t>
      </w:r>
      <w:r>
        <w:rPr>
          <w:rFonts w:hint="eastAsia" w:ascii="Arial" w:hAnsi="Arial" w:cs="Arial"/>
          <w:color w:val="000000"/>
          <w:sz w:val="21"/>
          <w:szCs w:val="21"/>
        </w:rPr>
        <w:t>981.81</w:t>
      </w:r>
      <w:r>
        <w:rPr>
          <w:rFonts w:ascii="Arial" w:hAnsi="Arial" w:cs="Arial"/>
          <w:color w:val="000000"/>
          <w:sz w:val="21"/>
          <w:szCs w:val="21"/>
        </w:rPr>
        <w:t>元</w:t>
      </w:r>
      <w:r>
        <w:rPr>
          <w:rFonts w:hint="eastAsia" w:ascii="Arial" w:hAnsi="Arial" w:cs="Arial"/>
          <w:color w:val="000000"/>
          <w:sz w:val="21"/>
          <w:szCs w:val="21"/>
        </w:rPr>
        <w:t>；截至2020年12月31日恒大锦城二期预售资金监管户</w:t>
      </w:r>
      <w:r>
        <w:rPr>
          <w:rFonts w:ascii="Arial" w:hAnsi="Arial" w:cs="Arial"/>
          <w:color w:val="000000"/>
          <w:sz w:val="21"/>
          <w:szCs w:val="21"/>
        </w:rPr>
        <w:t>65300000101201006</w:t>
      </w:r>
      <w:r>
        <w:rPr>
          <w:rFonts w:hint="eastAsia" w:ascii="Arial" w:hAnsi="Arial" w:cs="Arial"/>
          <w:color w:val="000000"/>
          <w:sz w:val="21"/>
          <w:szCs w:val="21"/>
        </w:rPr>
        <w:t>55750账户余额：3</w:t>
      </w:r>
      <w:r>
        <w:rPr>
          <w:rFonts w:ascii="Arial" w:hAnsi="Arial" w:cs="Arial"/>
          <w:color w:val="000000"/>
          <w:sz w:val="21"/>
          <w:szCs w:val="21"/>
        </w:rPr>
        <w:t>,</w:t>
      </w:r>
      <w:r>
        <w:rPr>
          <w:rFonts w:hint="eastAsia" w:ascii="Arial" w:hAnsi="Arial" w:cs="Arial"/>
          <w:color w:val="000000"/>
          <w:sz w:val="21"/>
          <w:szCs w:val="21"/>
        </w:rPr>
        <w:t>810,151.00元，可用余额：3</w:t>
      </w:r>
      <w:r>
        <w:rPr>
          <w:rFonts w:ascii="Arial" w:hAnsi="Arial" w:cs="Arial"/>
          <w:color w:val="000000"/>
          <w:sz w:val="21"/>
          <w:szCs w:val="21"/>
        </w:rPr>
        <w:t>,</w:t>
      </w:r>
      <w:r>
        <w:rPr>
          <w:rFonts w:hint="eastAsia" w:ascii="Arial" w:hAnsi="Arial" w:cs="Arial"/>
          <w:color w:val="000000"/>
          <w:sz w:val="21"/>
          <w:szCs w:val="21"/>
        </w:rPr>
        <w:t>810,151.00元。</w:t>
      </w:r>
    </w:p>
    <w:p>
      <w:pPr>
        <w:spacing w:before="312" w:beforeLines="100"/>
        <w:jc w:val="center"/>
        <w:rPr>
          <w:rFonts w:ascii="Arial" w:hAnsi="Arial" w:cs="Arial"/>
          <w:b/>
          <w:bCs/>
          <w:color w:val="000000"/>
          <w:szCs w:val="21"/>
        </w:rPr>
      </w:pPr>
      <w:r>
        <w:rPr>
          <w:rFonts w:ascii="Arial" w:hAnsi="Arial" w:cs="Arial"/>
          <w:b/>
          <w:bCs/>
          <w:color w:val="000000"/>
          <w:szCs w:val="21"/>
        </w:rPr>
        <w:t>项目公司本期账户余额变动情况</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2476"/>
        <w:gridCol w:w="1023"/>
        <w:gridCol w:w="1502"/>
        <w:gridCol w:w="1510"/>
        <w:gridCol w:w="1400"/>
        <w:gridCol w:w="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blHeader/>
          <w:jc w:val="center"/>
        </w:trPr>
        <w:tc>
          <w:tcPr>
            <w:tcW w:w="678"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bookmarkStart w:id="15" w:name="_Hlk48860262"/>
            <w:r>
              <w:rPr>
                <w:rFonts w:ascii="Arial" w:hAnsi="Arial" w:cs="Arial"/>
                <w:b/>
                <w:bCs/>
                <w:color w:val="000000"/>
                <w:sz w:val="18"/>
                <w:szCs w:val="18"/>
                <w:lang w:bidi="ar"/>
              </w:rPr>
              <w:t>银行名称</w:t>
            </w:r>
          </w:p>
        </w:tc>
        <w:tc>
          <w:tcPr>
            <w:tcW w:w="1256"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账号</w:t>
            </w:r>
          </w:p>
        </w:tc>
        <w:tc>
          <w:tcPr>
            <w:tcW w:w="519"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账户性质</w:t>
            </w:r>
          </w:p>
        </w:tc>
        <w:tc>
          <w:tcPr>
            <w:tcW w:w="762"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上期余额</w:t>
            </w:r>
          </w:p>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（元）</w:t>
            </w:r>
          </w:p>
        </w:tc>
        <w:tc>
          <w:tcPr>
            <w:tcW w:w="766"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本期余额</w:t>
            </w:r>
          </w:p>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（元）</w:t>
            </w:r>
          </w:p>
        </w:tc>
        <w:tc>
          <w:tcPr>
            <w:tcW w:w="710"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变动金额</w:t>
            </w:r>
          </w:p>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（元）</w:t>
            </w:r>
          </w:p>
        </w:tc>
        <w:tc>
          <w:tcPr>
            <w:tcW w:w="308"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变动原因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678"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浙商银行重庆分行营业部</w:t>
            </w:r>
          </w:p>
        </w:tc>
        <w:tc>
          <w:tcPr>
            <w:tcW w:w="125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6530000010120100645008</w:t>
            </w:r>
          </w:p>
        </w:tc>
        <w:tc>
          <w:tcPr>
            <w:tcW w:w="519"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color w:val="000000"/>
                <w:sz w:val="18"/>
                <w:szCs w:val="18"/>
              </w:rPr>
              <w:t>预售资金监管账户</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152,938,033.48</w:t>
            </w:r>
          </w:p>
        </w:tc>
        <w:tc>
          <w:tcPr>
            <w:tcW w:w="76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142,546,981.81</w:t>
            </w: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10,391,051.67</w:t>
            </w:r>
          </w:p>
        </w:tc>
        <w:tc>
          <w:tcPr>
            <w:tcW w:w="308"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hint="eastAsia" w:ascii="Arial" w:hAnsi="Arial" w:cs="Arial"/>
                <w:sz w:val="18"/>
                <w:szCs w:val="18"/>
                <w:lang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678"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浙商银行重庆分行营业部</w:t>
            </w:r>
          </w:p>
        </w:tc>
        <w:tc>
          <w:tcPr>
            <w:tcW w:w="125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6530000010120100655750</w:t>
            </w:r>
          </w:p>
        </w:tc>
        <w:tc>
          <w:tcPr>
            <w:tcW w:w="519"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预售资金监管账户</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sz w:val="18"/>
                <w:szCs w:val="18"/>
              </w:rPr>
            </w:pPr>
            <w:r>
              <w:rPr>
                <w:rFonts w:ascii="Arial" w:hAnsi="Arial" w:cs="Arial"/>
                <w:sz w:val="18"/>
                <w:szCs w:val="18"/>
              </w:rPr>
              <w:t>0.00</w:t>
            </w:r>
          </w:p>
        </w:tc>
        <w:tc>
          <w:tcPr>
            <w:tcW w:w="76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sz w:val="18"/>
                <w:szCs w:val="18"/>
              </w:rPr>
            </w:pPr>
            <w:r>
              <w:rPr>
                <w:rFonts w:ascii="Arial" w:hAnsi="Arial" w:cs="Arial"/>
                <w:sz w:val="18"/>
                <w:szCs w:val="18"/>
              </w:rPr>
              <w:t>3,810,151.00</w:t>
            </w: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3,810,151.00</w:t>
            </w:r>
          </w:p>
        </w:tc>
        <w:tc>
          <w:tcPr>
            <w:tcW w:w="308"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hint="eastAsia" w:ascii="Arial" w:hAnsi="Arial" w:cs="Arial"/>
                <w:sz w:val="18"/>
                <w:szCs w:val="18"/>
                <w:lang w:bidi="ar"/>
              </w:rPr>
              <w:t>房款</w:t>
            </w:r>
          </w:p>
        </w:tc>
      </w:tr>
      <w:bookmarkEnd w:id="15"/>
    </w:tbl>
    <w:p>
      <w:pPr>
        <w:pStyle w:val="2"/>
        <w:spacing w:before="300" w:after="300" w:line="360" w:lineRule="exact"/>
        <w:jc w:val="left"/>
        <w:rPr>
          <w:rStyle w:val="36"/>
          <w:rFonts w:ascii="Arial" w:hAnsi="Arial" w:eastAsia="宋体" w:cs="Arial"/>
          <w:b/>
          <w:bCs w:val="0"/>
          <w:sz w:val="24"/>
          <w:szCs w:val="24"/>
        </w:rPr>
      </w:pPr>
      <w:bookmarkStart w:id="16" w:name="_Toc3095"/>
      <w:r>
        <w:rPr>
          <w:rStyle w:val="36"/>
          <w:rFonts w:hint="eastAsia" w:ascii="Arial" w:hAnsi="Arial" w:eastAsia="宋体" w:cs="Arial"/>
          <w:b/>
          <w:bCs w:val="0"/>
          <w:sz w:val="24"/>
          <w:szCs w:val="24"/>
        </w:rPr>
        <w:t>二</w:t>
      </w:r>
      <w:r>
        <w:rPr>
          <w:rStyle w:val="36"/>
          <w:rFonts w:ascii="Arial" w:hAnsi="Arial" w:eastAsia="宋体" w:cs="Arial"/>
          <w:b/>
          <w:bCs w:val="0"/>
          <w:sz w:val="24"/>
          <w:szCs w:val="24"/>
        </w:rPr>
        <w:t>、项目评价</w:t>
      </w:r>
      <w:bookmarkEnd w:id="16"/>
    </w:p>
    <w:p>
      <w:pPr>
        <w:pStyle w:val="2"/>
        <w:spacing w:before="300" w:after="300" w:line="360" w:lineRule="exact"/>
        <w:jc w:val="left"/>
        <w:rPr>
          <w:rStyle w:val="36"/>
          <w:rFonts w:ascii="Arial" w:hAnsi="Arial" w:eastAsia="宋体" w:cs="Arial"/>
          <w:b/>
          <w:bCs w:val="0"/>
          <w:sz w:val="24"/>
          <w:szCs w:val="24"/>
        </w:rPr>
      </w:pPr>
      <w:bookmarkStart w:id="17" w:name="_Toc19482"/>
      <w:r>
        <w:rPr>
          <w:rStyle w:val="36"/>
          <w:rFonts w:hint="eastAsia" w:ascii="Arial" w:hAnsi="Arial" w:eastAsia="宋体" w:cs="Arial"/>
          <w:b/>
          <w:bCs w:val="0"/>
          <w:sz w:val="24"/>
          <w:szCs w:val="24"/>
        </w:rPr>
        <w:t>1、</w:t>
      </w:r>
      <w:r>
        <w:rPr>
          <w:rStyle w:val="36"/>
          <w:rFonts w:ascii="Arial" w:hAnsi="Arial" w:eastAsia="宋体" w:cs="Arial"/>
          <w:b/>
          <w:bCs w:val="0"/>
          <w:sz w:val="24"/>
          <w:szCs w:val="24"/>
        </w:rPr>
        <w:t>报建评价</w:t>
      </w:r>
      <w:bookmarkEnd w:id="17"/>
    </w:p>
    <w:p>
      <w:pPr>
        <w:pStyle w:val="16"/>
        <w:spacing w:after="0" w:line="480" w:lineRule="auto"/>
        <w:ind w:firstLineChars="200"/>
        <w:rPr>
          <w:rStyle w:val="36"/>
          <w:rFonts w:ascii="Arial" w:hAnsi="Arial" w:eastAsia="宋体" w:cs="Arial"/>
          <w:b w:val="0"/>
          <w:kern w:val="0"/>
          <w:sz w:val="24"/>
          <w:szCs w:val="21"/>
        </w:rPr>
      </w:pPr>
      <w:r>
        <w:rPr>
          <w:rFonts w:hint="eastAsia" w:ascii="Arial" w:hAnsi="Arial" w:cs="Arial"/>
          <w:kern w:val="0"/>
          <w:szCs w:val="21"/>
        </w:rPr>
        <w:t>已解押、已拿预售（</w:t>
      </w:r>
      <w:r>
        <w:rPr>
          <w:rFonts w:ascii="Arial" w:hAnsi="Arial" w:cs="Arial"/>
          <w:kern w:val="0"/>
          <w:szCs w:val="21"/>
        </w:rPr>
        <w:t>4#、恒大锦城一期1、2、5-17、21-26、30-34#楼</w:t>
      </w:r>
      <w:r>
        <w:rPr>
          <w:rFonts w:hint="eastAsia" w:ascii="Arial" w:hAnsi="Arial" w:cs="Arial"/>
          <w:kern w:val="0"/>
          <w:szCs w:val="21"/>
        </w:rPr>
        <w:t>）已拿预售证；剩余已解押、未拿预售（首一期</w:t>
      </w:r>
      <w:r>
        <w:rPr>
          <w:rFonts w:ascii="Arial" w:hAnsi="Arial" w:cs="Arial"/>
          <w:kern w:val="0"/>
          <w:szCs w:val="21"/>
        </w:rPr>
        <w:t>3#、18-20#、27-29#号楼及车库</w:t>
      </w:r>
      <w:r>
        <w:rPr>
          <w:rFonts w:hint="eastAsia" w:ascii="Arial" w:hAnsi="Arial" w:cs="Arial"/>
          <w:kern w:val="0"/>
          <w:szCs w:val="21"/>
        </w:rPr>
        <w:t>、首二期</w:t>
      </w:r>
      <w:r>
        <w:rPr>
          <w:rFonts w:ascii="Arial" w:hAnsi="Arial" w:cs="Arial"/>
          <w:kern w:val="0"/>
          <w:szCs w:val="21"/>
        </w:rPr>
        <w:t>47-66#号楼及车库</w:t>
      </w:r>
      <w:r>
        <w:rPr>
          <w:rFonts w:hint="eastAsia" w:ascii="Arial" w:hAnsi="Arial" w:cs="Arial"/>
          <w:kern w:val="0"/>
          <w:szCs w:val="21"/>
        </w:rPr>
        <w:t>）</w:t>
      </w:r>
      <w:r>
        <w:rPr>
          <w:rFonts w:ascii="Arial" w:hAnsi="Arial" w:cs="Arial"/>
          <w:kern w:val="0"/>
          <w:szCs w:val="21"/>
        </w:rPr>
        <w:t>已排定</w:t>
      </w:r>
      <w:r>
        <w:rPr>
          <w:rFonts w:hint="eastAsia" w:ascii="Arial" w:hAnsi="Arial" w:cs="Arial"/>
          <w:kern w:val="0"/>
          <w:szCs w:val="21"/>
        </w:rPr>
        <w:t>于</w:t>
      </w:r>
      <w:r>
        <w:rPr>
          <w:rFonts w:ascii="Arial" w:hAnsi="Arial" w:cs="Arial"/>
          <w:kern w:val="0"/>
          <w:szCs w:val="21"/>
        </w:rPr>
        <w:t>2020年11月预售、开盘计划</w:t>
      </w:r>
      <w:r>
        <w:rPr>
          <w:rFonts w:hint="eastAsia" w:ascii="Arial" w:hAnsi="Arial" w:cs="Arial"/>
          <w:kern w:val="0"/>
          <w:szCs w:val="21"/>
        </w:rPr>
        <w:t>中，未解押、未拿预售（二期</w:t>
      </w:r>
      <w:r>
        <w:rPr>
          <w:rFonts w:ascii="Arial" w:hAnsi="Arial" w:cs="Arial"/>
          <w:kern w:val="0"/>
          <w:szCs w:val="21"/>
        </w:rPr>
        <w:t>35-46#号楼</w:t>
      </w:r>
      <w:r>
        <w:rPr>
          <w:rFonts w:hint="eastAsia" w:ascii="Arial" w:hAnsi="Arial" w:cs="Arial"/>
          <w:kern w:val="0"/>
          <w:szCs w:val="21"/>
        </w:rPr>
        <w:t>、三期</w:t>
      </w:r>
      <w:r>
        <w:rPr>
          <w:rFonts w:ascii="Arial" w:hAnsi="Arial" w:cs="Arial"/>
          <w:kern w:val="0"/>
          <w:szCs w:val="21"/>
        </w:rPr>
        <w:t>67-83#号楼</w:t>
      </w:r>
      <w:r>
        <w:rPr>
          <w:rFonts w:hint="eastAsia" w:ascii="Arial" w:hAnsi="Arial" w:cs="Arial"/>
          <w:kern w:val="0"/>
          <w:szCs w:val="21"/>
        </w:rPr>
        <w:t>）计划于</w:t>
      </w:r>
      <w:r>
        <w:rPr>
          <w:rFonts w:ascii="Arial" w:hAnsi="Arial" w:cs="Arial"/>
          <w:kern w:val="0"/>
          <w:szCs w:val="21"/>
        </w:rPr>
        <w:t>2021</w:t>
      </w:r>
      <w:r>
        <w:rPr>
          <w:rFonts w:hint="eastAsia" w:ascii="Arial" w:hAnsi="Arial" w:cs="Arial"/>
          <w:kern w:val="0"/>
          <w:szCs w:val="21"/>
        </w:rPr>
        <w:t>年</w:t>
      </w:r>
      <w:r>
        <w:rPr>
          <w:rFonts w:ascii="Arial" w:hAnsi="Arial" w:cs="Arial"/>
          <w:kern w:val="0"/>
          <w:szCs w:val="21"/>
        </w:rPr>
        <w:t>3月</w:t>
      </w:r>
      <w:r>
        <w:rPr>
          <w:rFonts w:hint="eastAsia" w:ascii="Arial" w:hAnsi="Arial" w:cs="Arial"/>
          <w:kern w:val="0"/>
          <w:szCs w:val="21"/>
        </w:rPr>
        <w:t>拿预售证。</w:t>
      </w:r>
    </w:p>
    <w:p>
      <w:pPr>
        <w:pStyle w:val="2"/>
        <w:spacing w:before="300" w:after="300" w:line="360" w:lineRule="exact"/>
        <w:jc w:val="left"/>
        <w:rPr>
          <w:rStyle w:val="36"/>
          <w:rFonts w:ascii="Arial" w:hAnsi="Arial" w:eastAsia="宋体" w:cs="Arial"/>
          <w:b/>
          <w:bCs w:val="0"/>
          <w:sz w:val="24"/>
          <w:szCs w:val="24"/>
        </w:rPr>
      </w:pPr>
      <w:bookmarkStart w:id="18" w:name="_Toc6873"/>
      <w:r>
        <w:rPr>
          <w:rStyle w:val="36"/>
          <w:rFonts w:hint="eastAsia" w:ascii="Arial" w:hAnsi="Arial" w:eastAsia="宋体" w:cs="Arial"/>
          <w:b/>
          <w:bCs w:val="0"/>
          <w:sz w:val="24"/>
          <w:szCs w:val="24"/>
        </w:rPr>
        <w:t>2、</w:t>
      </w:r>
      <w:r>
        <w:rPr>
          <w:rStyle w:val="36"/>
          <w:rFonts w:ascii="Arial" w:hAnsi="Arial" w:eastAsia="宋体" w:cs="Arial"/>
          <w:b/>
          <w:bCs w:val="0"/>
          <w:sz w:val="24"/>
          <w:szCs w:val="24"/>
        </w:rPr>
        <w:t>营销评价</w:t>
      </w:r>
      <w:bookmarkEnd w:id="18"/>
    </w:p>
    <w:p>
      <w:pPr>
        <w:spacing w:line="480" w:lineRule="auto"/>
        <w:ind w:firstLine="420" w:firstLineChars="200"/>
        <w:rPr>
          <w:rFonts w:ascii="Arial" w:hAnsi="Arial" w:cs="Arial"/>
          <w:sz w:val="21"/>
          <w:szCs w:val="21"/>
        </w:rPr>
      </w:pPr>
      <w:r>
        <w:rPr>
          <w:rFonts w:hint="eastAsia" w:ascii="Arial" w:hAnsi="Arial" w:cs="Arial"/>
          <w:sz w:val="21"/>
          <w:szCs w:val="21"/>
        </w:rPr>
        <w:t>项目于2020年10月8日开盘，</w:t>
      </w:r>
      <w:r>
        <w:rPr>
          <w:rFonts w:ascii="Arial" w:hAnsi="Arial" w:cs="Arial"/>
          <w:sz w:val="21"/>
          <w:szCs w:val="21"/>
        </w:rPr>
        <w:t>截至</w:t>
      </w:r>
      <w:r>
        <w:rPr>
          <w:rFonts w:hint="eastAsia" w:ascii="Arial" w:hAnsi="Arial" w:cs="Arial"/>
          <w:sz w:val="21"/>
          <w:szCs w:val="21"/>
        </w:rPr>
        <w:t>12</w:t>
      </w:r>
      <w:r>
        <w:rPr>
          <w:rFonts w:ascii="Arial" w:hAnsi="Arial" w:cs="Arial"/>
          <w:sz w:val="21"/>
          <w:szCs w:val="21"/>
        </w:rPr>
        <w:t>月</w:t>
      </w:r>
      <w:r>
        <w:rPr>
          <w:rFonts w:hint="eastAsia" w:ascii="Arial" w:hAnsi="Arial" w:cs="Arial"/>
          <w:sz w:val="21"/>
          <w:szCs w:val="21"/>
        </w:rPr>
        <w:t>31</w:t>
      </w:r>
      <w:r>
        <w:rPr>
          <w:rFonts w:ascii="Arial" w:hAnsi="Arial" w:cs="Arial"/>
          <w:sz w:val="21"/>
          <w:szCs w:val="21"/>
        </w:rPr>
        <w:t>日累计数据</w:t>
      </w:r>
      <w:r>
        <w:rPr>
          <w:rFonts w:ascii="Arial" w:hAnsi="Arial" w:cs="Arial"/>
          <w:color w:val="000000"/>
          <w:sz w:val="21"/>
          <w:szCs w:val="21"/>
        </w:rPr>
        <w:t>：</w:t>
      </w:r>
      <w:r>
        <w:rPr>
          <w:rFonts w:hint="eastAsia" w:ascii="Arial" w:hAnsi="Arial" w:cs="Arial"/>
          <w:sz w:val="21"/>
          <w:szCs w:val="21"/>
        </w:rPr>
        <w:t>累计认购1138</w:t>
      </w:r>
      <w:r>
        <w:rPr>
          <w:rFonts w:ascii="Arial" w:hAnsi="Arial" w:cs="Arial"/>
          <w:sz w:val="21"/>
          <w:szCs w:val="21"/>
        </w:rPr>
        <w:t>套</w:t>
      </w:r>
      <w:r>
        <w:rPr>
          <w:rFonts w:hint="eastAsia" w:ascii="Arial" w:hAnsi="Arial" w:cs="Arial"/>
          <w:color w:val="000000"/>
          <w:sz w:val="21"/>
          <w:szCs w:val="21"/>
        </w:rPr>
        <w:t>，</w:t>
      </w:r>
      <w:r>
        <w:rPr>
          <w:rFonts w:hint="eastAsia" w:ascii="Arial" w:hAnsi="Arial" w:cs="Arial"/>
          <w:sz w:val="21"/>
          <w:szCs w:val="21"/>
        </w:rPr>
        <w:t>面积112</w:t>
      </w:r>
      <w:r>
        <w:rPr>
          <w:rFonts w:ascii="Arial" w:hAnsi="Arial" w:cs="Arial"/>
          <w:sz w:val="21"/>
          <w:szCs w:val="21"/>
        </w:rPr>
        <w:t>,</w:t>
      </w:r>
      <w:r>
        <w:rPr>
          <w:rFonts w:hint="eastAsia" w:ascii="Arial" w:hAnsi="Arial" w:cs="Arial"/>
          <w:sz w:val="21"/>
          <w:szCs w:val="21"/>
        </w:rPr>
        <w:t>141</w:t>
      </w:r>
      <w:r>
        <w:rPr>
          <w:rFonts w:ascii="Arial" w:hAnsi="Arial" w:cs="Arial"/>
          <w:sz w:val="21"/>
          <w:szCs w:val="21"/>
        </w:rPr>
        <w:t>.11㎡，货值97,382.78万元，总回款（</w:t>
      </w:r>
      <w:r>
        <w:rPr>
          <w:rFonts w:hint="eastAsia" w:ascii="Arial" w:hAnsi="Arial" w:cs="Arial"/>
          <w:sz w:val="21"/>
          <w:szCs w:val="21"/>
        </w:rPr>
        <w:t>含</w:t>
      </w:r>
      <w:r>
        <w:rPr>
          <w:rFonts w:ascii="Arial" w:hAnsi="Arial" w:cs="Arial"/>
          <w:sz w:val="21"/>
          <w:szCs w:val="21"/>
        </w:rPr>
        <w:t>认筹转定金</w:t>
      </w:r>
      <w:r>
        <w:rPr>
          <w:rFonts w:hint="eastAsia" w:ascii="Arial" w:hAnsi="Arial" w:cs="Arial"/>
          <w:sz w:val="21"/>
          <w:szCs w:val="21"/>
        </w:rPr>
        <w:t>、定金、</w:t>
      </w:r>
      <w:r>
        <w:rPr>
          <w:rFonts w:ascii="Arial" w:hAnsi="Arial" w:cs="Arial"/>
          <w:sz w:val="21"/>
          <w:szCs w:val="21"/>
        </w:rPr>
        <w:t>首付</w:t>
      </w:r>
      <w:r>
        <w:rPr>
          <w:rFonts w:hint="eastAsia" w:ascii="Arial" w:hAnsi="Arial" w:cs="Arial"/>
          <w:sz w:val="21"/>
          <w:szCs w:val="21"/>
        </w:rPr>
        <w:t xml:space="preserve">款） </w:t>
      </w:r>
      <w:r>
        <w:rPr>
          <w:rFonts w:ascii="Arial" w:hAnsi="Arial" w:cs="Arial"/>
          <w:sz w:val="21"/>
          <w:szCs w:val="21"/>
        </w:rPr>
        <w:t xml:space="preserve"> 77,490.28</w:t>
      </w:r>
      <w:r>
        <w:rPr>
          <w:rFonts w:hint="eastAsia" w:ascii="Arial" w:hAnsi="Arial" w:cs="Arial"/>
          <w:sz w:val="21"/>
          <w:szCs w:val="21"/>
        </w:rPr>
        <w:t>万</w:t>
      </w:r>
      <w:r>
        <w:rPr>
          <w:rFonts w:ascii="Arial" w:hAnsi="Arial" w:cs="Arial"/>
          <w:sz w:val="21"/>
          <w:szCs w:val="21"/>
        </w:rPr>
        <w:t>元。</w:t>
      </w:r>
    </w:p>
    <w:p>
      <w:pPr>
        <w:pStyle w:val="2"/>
        <w:spacing w:before="300" w:after="300" w:line="360" w:lineRule="exact"/>
        <w:jc w:val="left"/>
        <w:rPr>
          <w:rStyle w:val="36"/>
          <w:rFonts w:ascii="Arial" w:hAnsi="Arial" w:eastAsia="宋体" w:cs="Arial"/>
          <w:b/>
          <w:bCs w:val="0"/>
          <w:sz w:val="24"/>
          <w:szCs w:val="24"/>
        </w:rPr>
      </w:pPr>
      <w:bookmarkStart w:id="19" w:name="_Toc10103"/>
      <w:r>
        <w:rPr>
          <w:rStyle w:val="36"/>
          <w:rFonts w:hint="eastAsia" w:ascii="Arial" w:hAnsi="Arial" w:eastAsia="宋体" w:cs="Arial"/>
          <w:b/>
          <w:bCs w:val="0"/>
          <w:sz w:val="24"/>
          <w:szCs w:val="24"/>
        </w:rPr>
        <w:t>3、</w:t>
      </w:r>
      <w:r>
        <w:rPr>
          <w:rStyle w:val="36"/>
          <w:rFonts w:ascii="Arial" w:hAnsi="Arial" w:eastAsia="宋体" w:cs="Arial"/>
          <w:b/>
          <w:bCs w:val="0"/>
          <w:sz w:val="24"/>
          <w:szCs w:val="24"/>
        </w:rPr>
        <w:t>开发建设评价</w:t>
      </w:r>
      <w:bookmarkEnd w:id="19"/>
    </w:p>
    <w:p>
      <w:pPr>
        <w:pStyle w:val="16"/>
        <w:spacing w:after="0" w:line="480" w:lineRule="auto"/>
        <w:ind w:firstLineChars="200"/>
        <w:rPr>
          <w:rFonts w:ascii="Arial" w:hAnsi="Arial" w:cs="Arial"/>
          <w:kern w:val="0"/>
          <w:szCs w:val="21"/>
        </w:rPr>
      </w:pPr>
      <w:r>
        <w:rPr>
          <w:rFonts w:hint="eastAsia" w:ascii="Arial" w:hAnsi="Arial" w:cs="Arial"/>
          <w:kern w:val="0"/>
          <w:szCs w:val="21"/>
        </w:rPr>
        <w:t>目前合计开工7个地块，分别为</w:t>
      </w:r>
      <w:r>
        <w:rPr>
          <w:rFonts w:ascii="Arial" w:hAnsi="Arial" w:cs="Arial"/>
          <w:kern w:val="0"/>
          <w:szCs w:val="21"/>
        </w:rPr>
        <w:t>T19-1/03</w:t>
      </w:r>
      <w:r>
        <w:rPr>
          <w:rFonts w:hint="eastAsia" w:ascii="Arial" w:hAnsi="Arial" w:cs="Arial"/>
          <w:kern w:val="0"/>
          <w:szCs w:val="21"/>
        </w:rPr>
        <w:t>、</w:t>
      </w:r>
      <w:r>
        <w:rPr>
          <w:rFonts w:ascii="Arial" w:hAnsi="Arial" w:cs="Arial"/>
          <w:kern w:val="0"/>
          <w:szCs w:val="21"/>
        </w:rPr>
        <w:t>T19-2/03</w:t>
      </w:r>
      <w:r>
        <w:rPr>
          <w:rFonts w:hint="eastAsia" w:ascii="Arial" w:hAnsi="Arial" w:cs="Arial"/>
          <w:kern w:val="0"/>
          <w:szCs w:val="21"/>
        </w:rPr>
        <w:t>、</w:t>
      </w:r>
      <w:r>
        <w:rPr>
          <w:rFonts w:ascii="Arial" w:hAnsi="Arial" w:cs="Arial"/>
          <w:kern w:val="0"/>
          <w:szCs w:val="21"/>
        </w:rPr>
        <w:t>T20-2/03</w:t>
      </w:r>
      <w:r>
        <w:rPr>
          <w:rFonts w:hint="eastAsia" w:ascii="Arial" w:hAnsi="Arial" w:cs="Arial"/>
          <w:kern w:val="0"/>
          <w:szCs w:val="21"/>
        </w:rPr>
        <w:t>、</w:t>
      </w:r>
      <w:r>
        <w:rPr>
          <w:rFonts w:ascii="Arial" w:hAnsi="Arial" w:cs="Arial"/>
          <w:kern w:val="0"/>
          <w:szCs w:val="21"/>
        </w:rPr>
        <w:t>T20-6/03</w:t>
      </w:r>
      <w:r>
        <w:rPr>
          <w:rFonts w:hint="eastAsia" w:ascii="Arial" w:hAnsi="Arial" w:cs="Arial"/>
          <w:kern w:val="0"/>
          <w:szCs w:val="21"/>
        </w:rPr>
        <w:t>、</w:t>
      </w:r>
      <w:r>
        <w:rPr>
          <w:rFonts w:ascii="Arial" w:hAnsi="Arial" w:cs="Arial"/>
          <w:kern w:val="0"/>
          <w:szCs w:val="21"/>
        </w:rPr>
        <w:t>T18-2/03</w:t>
      </w:r>
      <w:r>
        <w:rPr>
          <w:rFonts w:hint="eastAsia" w:ascii="Arial" w:hAnsi="Arial" w:cs="Arial"/>
          <w:kern w:val="0"/>
          <w:szCs w:val="21"/>
        </w:rPr>
        <w:t>、</w:t>
      </w:r>
      <w:r>
        <w:rPr>
          <w:rFonts w:ascii="Arial" w:hAnsi="Arial" w:cs="Arial"/>
          <w:kern w:val="0"/>
          <w:szCs w:val="21"/>
        </w:rPr>
        <w:t>T18-1/02</w:t>
      </w:r>
      <w:r>
        <w:rPr>
          <w:rFonts w:hint="eastAsia" w:ascii="Arial" w:hAnsi="Arial" w:cs="Arial"/>
          <w:kern w:val="0"/>
          <w:szCs w:val="21"/>
        </w:rPr>
        <w:t>、</w:t>
      </w:r>
      <w:r>
        <w:rPr>
          <w:rFonts w:ascii="Arial" w:hAnsi="Arial" w:cs="Arial"/>
          <w:kern w:val="0"/>
          <w:szCs w:val="21"/>
        </w:rPr>
        <w:t>T18-2/03</w:t>
      </w:r>
      <w:r>
        <w:rPr>
          <w:rFonts w:hint="eastAsia" w:ascii="Arial" w:hAnsi="Arial" w:cs="Arial"/>
          <w:kern w:val="0"/>
          <w:szCs w:val="21"/>
        </w:rPr>
        <w:t>，目前开工进度正常。</w:t>
      </w:r>
    </w:p>
    <w:p>
      <w:pPr>
        <w:pStyle w:val="2"/>
        <w:spacing w:before="300" w:after="300" w:line="360" w:lineRule="exact"/>
        <w:jc w:val="left"/>
        <w:rPr>
          <w:rStyle w:val="36"/>
          <w:rFonts w:ascii="Arial" w:hAnsi="Arial" w:eastAsia="宋体" w:cs="Arial"/>
          <w:b/>
          <w:bCs w:val="0"/>
          <w:sz w:val="24"/>
          <w:szCs w:val="24"/>
        </w:rPr>
      </w:pPr>
      <w:bookmarkStart w:id="20" w:name="_Toc26496"/>
      <w:bookmarkStart w:id="21" w:name="_Toc23266557"/>
      <w:bookmarkStart w:id="22" w:name="_Toc23324574"/>
      <w:r>
        <w:rPr>
          <w:rStyle w:val="36"/>
          <w:rFonts w:hint="eastAsia" w:ascii="Arial" w:hAnsi="Arial" w:eastAsia="宋体" w:cs="Arial"/>
          <w:b/>
          <w:bCs w:val="0"/>
          <w:sz w:val="24"/>
          <w:szCs w:val="24"/>
        </w:rPr>
        <w:t>三、附件</w:t>
      </w:r>
      <w:bookmarkEnd w:id="20"/>
    </w:p>
    <w:p>
      <w:pPr>
        <w:pStyle w:val="3"/>
        <w:spacing w:before="300" w:after="300" w:line="360" w:lineRule="exact"/>
        <w:rPr>
          <w:rFonts w:ascii="Arial" w:hAnsi="Arial" w:eastAsia="宋体"/>
          <w:bCs w:val="0"/>
          <w:kern w:val="44"/>
          <w:sz w:val="24"/>
          <w:szCs w:val="24"/>
        </w:rPr>
      </w:pPr>
      <w:bookmarkStart w:id="23" w:name="_Toc17514"/>
      <w:r>
        <w:rPr>
          <w:rStyle w:val="36"/>
          <w:rFonts w:ascii="Arial" w:hAnsi="Arial" w:eastAsia="宋体"/>
          <w:b/>
          <w:bCs w:val="0"/>
          <w:sz w:val="24"/>
          <w:szCs w:val="24"/>
        </w:rPr>
        <w:t>附件一：本期用印情况</w:t>
      </w:r>
      <w:bookmarkEnd w:id="23"/>
    </w:p>
    <w:bookmarkEnd w:id="21"/>
    <w:bookmarkEnd w:id="22"/>
    <w:p>
      <w:pPr>
        <w:spacing w:before="312" w:beforeLines="100"/>
        <w:jc w:val="center"/>
        <w:rPr>
          <w:rFonts w:ascii="Arial" w:hAnsi="Arial" w:cs="Arial"/>
          <w:b/>
          <w:bCs/>
          <w:szCs w:val="21"/>
        </w:rPr>
      </w:pPr>
      <w:r>
        <w:rPr>
          <w:rFonts w:ascii="Arial" w:hAnsi="Arial" w:cs="Arial"/>
          <w:b/>
          <w:bCs/>
          <w:szCs w:val="21"/>
        </w:rPr>
        <w:t>本期印章使用统计表</w:t>
      </w:r>
    </w:p>
    <w:tbl>
      <w:tblPr>
        <w:tblStyle w:val="17"/>
        <w:tblW w:w="5000" w:type="pct"/>
        <w:tblInd w:w="0" w:type="dxa"/>
        <w:tblLayout w:type="autofit"/>
        <w:tblCellMar>
          <w:top w:w="0" w:type="dxa"/>
          <w:left w:w="108" w:type="dxa"/>
          <w:bottom w:w="0" w:type="dxa"/>
          <w:right w:w="108" w:type="dxa"/>
        </w:tblCellMar>
      </w:tblPr>
      <w:tblGrid>
        <w:gridCol w:w="721"/>
        <w:gridCol w:w="1305"/>
        <w:gridCol w:w="1015"/>
        <w:gridCol w:w="2757"/>
        <w:gridCol w:w="2176"/>
        <w:gridCol w:w="1017"/>
        <w:gridCol w:w="863"/>
      </w:tblGrid>
      <w:tr>
        <w:tblPrEx>
          <w:tblCellMar>
            <w:top w:w="0" w:type="dxa"/>
            <w:left w:w="108" w:type="dxa"/>
            <w:bottom w:w="0" w:type="dxa"/>
            <w:right w:w="108" w:type="dxa"/>
          </w:tblCellMar>
        </w:tblPrEx>
        <w:trPr>
          <w:trHeight w:val="373" w:hRule="atLeast"/>
          <w:tblHeader/>
        </w:trPr>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66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用印日期</w:t>
            </w:r>
          </w:p>
        </w:tc>
        <w:tc>
          <w:tcPr>
            <w:tcW w:w="515"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印鉴名称</w:t>
            </w:r>
          </w:p>
        </w:tc>
        <w:tc>
          <w:tcPr>
            <w:tcW w:w="1399"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用印事由</w:t>
            </w:r>
          </w:p>
        </w:tc>
        <w:tc>
          <w:tcPr>
            <w:tcW w:w="1104"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用印材料及份数</w:t>
            </w:r>
          </w:p>
        </w:tc>
        <w:tc>
          <w:tcPr>
            <w:tcW w:w="516"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经办部门</w:t>
            </w:r>
          </w:p>
        </w:tc>
        <w:tc>
          <w:tcPr>
            <w:tcW w:w="43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经办人</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浙商银行退还重庆公司5000万</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业务委托书（1份）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资金部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刘振宇</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农民工保证金承诺书</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承诺书（3份）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陈茜</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恒大锦城商品房买卖合同</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商品房买卖合同（72份)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姚茂菊</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公章、财务章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购买凭证申请书、授权委托书</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购买凭证申请书（2份）、授权委托书（3份）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刘丹</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锦城借款合同2户及商品买卖合同3户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借款合同（8份）、商品买卖合同（3份）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9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重庆恒大锦城首期18#、19#楼及室外管网消防工程施工合同</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重庆恒大锦城首期18#、19#楼及室外管网消防工程施工合同(4份）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招采部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程江峰</w:t>
            </w:r>
          </w:p>
        </w:tc>
      </w:tr>
      <w:tr>
        <w:tblPrEx>
          <w:tblCellMar>
            <w:top w:w="0" w:type="dxa"/>
            <w:left w:w="108" w:type="dxa"/>
            <w:bottom w:w="0" w:type="dxa"/>
            <w:right w:w="108" w:type="dxa"/>
          </w:tblCellMar>
        </w:tblPrEx>
        <w:trPr>
          <w:trHeight w:val="420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恒大锦城预售证办理资料</w:t>
            </w:r>
          </w:p>
        </w:tc>
        <w:tc>
          <w:tcPr>
            <w:tcW w:w="1104" w:type="pct"/>
            <w:tcBorders>
              <w:top w:val="nil"/>
              <w:left w:val="nil"/>
              <w:bottom w:val="nil"/>
              <w:right w:val="nil"/>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承诺书（3份）、3#楼图纸（3份）、巴南区商品房预售方案备案申请审批表（3份）、商品房预售方案（4份）、重庆市商品住房项目预售备案价格说明表 （3份）、重庆市商品房预售许可工程现场勘查申请表（3份）、重庆市商品房销售明码标价（3份）、开盘方案、应急处置预案（3份）、房地产权证书、房地合一图（4份）、巴南项目银行统计表（2份）、重庆市商品房预售许可申请审批表（3份）、营业执照、资质证书、授权为图书、法人及经办人</w:t>
            </w:r>
            <w:r>
              <w:rPr>
                <w:rFonts w:ascii="Arial" w:hAnsi="Arial" w:cs="Arial"/>
                <w:color w:val="000000"/>
                <w:sz w:val="18"/>
                <w:szCs w:val="18"/>
              </w:rPr>
              <w:br w:type="textWrapping"/>
            </w:r>
            <w:r>
              <w:rPr>
                <w:rFonts w:ascii="Arial" w:hAnsi="Arial" w:cs="Arial"/>
                <w:color w:val="000000"/>
                <w:sz w:val="18"/>
                <w:szCs w:val="18"/>
              </w:rPr>
              <w:t>身份证（12份）、土地出让合同、国土证、抵押权证 （12份）、工程规划许可证、技术指标书及附图、施工许可证（12份）、前期物业服务合同备案证明、物业管理用房备案证明（12份）、门牌号及现场施工图（12份）、重庆市巴南不动产登记中心业务办理申请表（3份）、无拆迁证明（3份）、商品房预售面积预测绘报告书、预售许可证（4份）、立面户型示意图（3份）</w:t>
            </w:r>
          </w:p>
        </w:tc>
        <w:tc>
          <w:tcPr>
            <w:tcW w:w="51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刘晓林</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20201202用印-锦城首二期50-51#解押示意图介查询绍信盖章</w:t>
            </w:r>
          </w:p>
        </w:tc>
        <w:tc>
          <w:tcPr>
            <w:tcW w:w="1104"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介绍信（1份）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资金部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刘振宇</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2020-12-3</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修改客户支付首付款时间补充协议2</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商品房买卖合同补充协议2（3份）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王冬莉</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2020-12-3</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城市基础设施配套费申请表</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城市基础设施配套费申请表（1份）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陈茜</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11</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2020-12-3</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代扣代缴、代收代缴税款报告表及联机备案单</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代扣代缴、代收代缴税款报告表（1份）、联机备案单（9份）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刘丹</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12</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2020-12-3</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商品房买卖合同及借款合同各1户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商品买卖合同（1份）、借款合同（4份）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13</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2020-12-4</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公章、财务章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兴业银行银企直联开通申请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网上银行业务申请书（2份）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刘丹</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14</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2020-12-4</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关于出具恒大锦城二期53#楼未销售证明的申请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关于出具恒大锦城二期53#楼未销售证明的申请（3份）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刘晓林</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15</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2020-12-4</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恒大锦城认筹协议解除协议（暂由重庆公司代付）</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恒大锦城认筹协议解除协议（9份）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张生</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16</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2020-12-4</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客户催款及网签通知书盖章</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通知（4份）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吴彩云</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2020-12-4</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房车宝营销合作服务协议</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房车宝营销合作服务协议(4份）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冯江</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18</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2020-12-7</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恒大锦城优惠款返息协议（9户）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协议（15份）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饶鹏</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19</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2020-12-7</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A地块50#-51#楼存入保证金0.279亿解押土地办理预售</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业务委托书（1份）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资金部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刘振宇</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2020-12-7</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商品买卖合同（7户)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商品买卖合同（14份）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21</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2020-12-7</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前期物业服务合同</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前期物业服务合同（2份）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物业</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蒋勇</w:t>
            </w:r>
          </w:p>
        </w:tc>
      </w:tr>
      <w:tr>
        <w:tblPrEx>
          <w:tblCellMar>
            <w:top w:w="0" w:type="dxa"/>
            <w:left w:w="108" w:type="dxa"/>
            <w:bottom w:w="0" w:type="dxa"/>
            <w:right w:w="108" w:type="dxa"/>
          </w:tblCellMar>
        </w:tblPrEx>
        <w:trPr>
          <w:trHeight w:val="78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22</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2020-12-8</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恒大锦城一期、二期项目水土保持方案报告书资料</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水土保持方案一期（8份）、水土保持方案二期（8份）、审批申请一期（2份）、审批申请二期（2份）、委托书（1份）、产品交付记录一期（3份）、产品交付记录二期（3份）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陈茜</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23</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2020-12-8</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恒大锦城重庆三科房地产经纪有限公司2020年10月佣金结算</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转账支票（1份）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刘丹</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24</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2020-12-8</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客户解除网签资料</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解除协议（5份）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林丹</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25</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2020-12-8</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客户申报契税资料</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代扣代缴、代收代缴税款报告表（8份）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林丹</w:t>
            </w:r>
          </w:p>
        </w:tc>
      </w:tr>
      <w:tr>
        <w:tblPrEx>
          <w:tblCellMar>
            <w:top w:w="0" w:type="dxa"/>
            <w:left w:w="108" w:type="dxa"/>
            <w:bottom w:w="0" w:type="dxa"/>
            <w:right w:w="108" w:type="dxa"/>
          </w:tblCellMar>
        </w:tblPrEx>
        <w:trPr>
          <w:trHeight w:val="130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26</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2020-12-8</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公章、财务章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工商银行支付限额调整及广发银行大额核实人变更申请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身份证复印件（4份）、单位信息变更申请表（2份）、授权委托书（2份）、企业网银支付限额需求说明书(提高至单笔1000万元、日累计5000万元、公转私账户日累计300万元（2份)、企业客户证书及账户信息变（2份）、工商银行变更注销事项申请表（2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刘丹</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27</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2020-12-8</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商品买卖合同（5户）、借款合同（1户）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商品买卖合同（60份）、借款合同（4份）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28</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2020-12-10</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恒大锦城50-51#楼预售方案及申请表盖章</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重庆市商品房预售方案（4份）、重庆市商品房预售方案许可登记申请审批表（1份）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刘晓林</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29</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2020-12-11</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恒大锦城客户催款及网签通知书</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通知书（4份）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刘欢</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30</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2020-12-11</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恒大锦城客户退认筹金情况说明</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情况说明（2份）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邓红梅</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31</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2020-12-11</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锦城客户商品买卖合同4户、借款合同2户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商品买卖合同（8份）、借款合同（4份）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78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32</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2020-12-11</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锦城智慧工地建设资料</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恒大锦城二期202年“智慧工地”工资专用账户管理元素验收表（3份）、恒大锦城二期2020年“智慧工地”实名制元素验收表（3份）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工程部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申利君</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33</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2020-12-14</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商品买卖合同3户</w:t>
            </w:r>
          </w:p>
        </w:tc>
        <w:tc>
          <w:tcPr>
            <w:tcW w:w="1104" w:type="pct"/>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eastAsia="zh-CN"/>
              </w:rPr>
            </w:pPr>
            <w:r>
              <w:rPr>
                <w:rFonts w:ascii="Arial" w:hAnsi="Arial" w:cs="Arial"/>
                <w:color w:val="000000"/>
                <w:sz w:val="18"/>
                <w:szCs w:val="18"/>
              </w:rPr>
              <w:t>商品买卖合同（6份</w:t>
            </w:r>
            <w:r>
              <w:rPr>
                <w:rFonts w:hint="eastAsia" w:ascii="Arial" w:hAnsi="Arial" w:cs="Arial"/>
                <w:color w:val="000000"/>
                <w:sz w:val="18"/>
                <w:szCs w:val="18"/>
                <w:lang w:eastAsia="zh-CN"/>
              </w:rPr>
              <w:t>）</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104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34</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2020-12-14</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鑫坤公司2020年9、10、11月财务报表用印</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9月资产负债表（3份）、9月利润表（3份）、9月现金流量表（3份）、10月资产负债表（3份）、10月利润表（3份）、10月现金流量表（3份）、11月资产负债表（3份）、11月利润表（3份）、11月现金流量表（3份）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35</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2020-12-15</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房车宝销售咨询服务合作协议、对账单</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房车宝销售咨询服务合作协议（2份）、对账单（1份）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杨晓</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36</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2020-12-16</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锦城首二期50#、51#解押资料用印</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不动产登记申请表（4份）、授权委托书（1份）、解押示意图（3份）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资金部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刘振宇</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37</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2020-12-16</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预售资金监管户5008账户提取3200往来款使用</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业务委托书（1份）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资金部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刘振宇</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38</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2020-12-16</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商品买卖合同3户、借款合同3户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商品买卖合同（6份）、借款合同（12份）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39</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2020-12-17</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税务局廉政回访表、税收调研表调研表</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税务局廉政回访表（1份）、税收调研表调研表（1份）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钱佳</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40</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2020-12-17</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契税明细表、联集备案表</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契税明细表（2份）、联集备案表（4份）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林丹</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41</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2020-12-17</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彭亮、陈华勇9-11月房租及押金</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转账支票（2份）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刘丹</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42</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2020-12-17</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易居11月代理费结算确认书</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结算确认书（2份）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熊燕</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43</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2020-12-17</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客户退筹情况说明表</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情况说明（2份）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游小翠</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44</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2020-12-18</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往来款（浙商银行5008账户转款到浙商银行6862账户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业务委托书（1份）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刘丹</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45</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2020-12-18</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收据</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收据（2份）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覃邵杰</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46</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2020-12-18</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锦城商品买卖合同5户及借款抵押合同1户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商品买卖合同（10份）、借款抵押合同（4份）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47</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2020-12-21</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商品买卖合同、借款合同</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商品买卖合同（10份）、借款合同（4份）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陈俊</w:t>
            </w:r>
          </w:p>
        </w:tc>
      </w:tr>
      <w:tr>
        <w:tblPrEx>
          <w:tblCellMar>
            <w:top w:w="0" w:type="dxa"/>
            <w:left w:w="108" w:type="dxa"/>
            <w:bottom w:w="0" w:type="dxa"/>
            <w:right w:w="108" w:type="dxa"/>
          </w:tblCellMar>
        </w:tblPrEx>
        <w:trPr>
          <w:trHeight w:val="78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48</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2020-12-21</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20201221用印-办理恒大锦城综合楼精装修施工图备案、二期（T18-1、T18-3地块）精装修及边坡施工图备案</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20201221用印-办理恒大锦城综合楼精装修施工图备案、二期（T18-1、T18-3地块）精装修及边坡施工图备案（7份）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陈茜</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49</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2020-12-21</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恒大锦城50.51号楼预售资金监管额核定资料</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预售资金监管协议（5份）、二期建档证明（4份）、恒大锦城二期50-51#楼预售许可证（11份）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陈茜</w:t>
            </w:r>
          </w:p>
        </w:tc>
      </w:tr>
      <w:tr>
        <w:tblPrEx>
          <w:tblCellMar>
            <w:top w:w="0" w:type="dxa"/>
            <w:left w:w="108" w:type="dxa"/>
            <w:bottom w:w="0" w:type="dxa"/>
            <w:right w:w="108" w:type="dxa"/>
          </w:tblCellMar>
        </w:tblPrEx>
        <w:trPr>
          <w:trHeight w:val="78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50</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2020-12-22</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锦城借款合同1户及商品买卖合同14户、公积金立项资料</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锦城借款合同（4份）、商品买卖合同（28分）、2-重庆市住房公积金个贷单位用户申请表(恒大锦城)（20份）、5.企业信用信息查询授权书(恒大锦城二期)（8份）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51</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2020-12-22</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锦城买卖合同42户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商品买卖合同（420份）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姚茂菊</w:t>
            </w:r>
          </w:p>
        </w:tc>
      </w:tr>
      <w:tr>
        <w:tblPrEx>
          <w:tblCellMar>
            <w:top w:w="0" w:type="dxa"/>
            <w:left w:w="108" w:type="dxa"/>
            <w:bottom w:w="0" w:type="dxa"/>
            <w:right w:w="108" w:type="dxa"/>
          </w:tblCellMar>
        </w:tblPrEx>
        <w:trPr>
          <w:trHeight w:val="78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52</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2020-12-22</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恒大锦城21、23、22#楼网签开通申请、恒大锦城47-49、52、54、59、65#楼预售价格下调说明表</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恒大锦城21、23、22#楼网签开通申请（3份）、恒大锦城47-49、52、54、59、65#楼预售价格下调说明表（3份）、情况说明（3份）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刘晓林</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53</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2020-12-23</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商品房买卖合同17户、借款合同7户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商品房买卖合同(34份)、借款合同（28份）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54</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2020-12-23</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一期资金调整入账二期资金监管户情况说明</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情况说明（份）、收款明细（2份）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资金部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刘振宇</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55</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2020-12-23</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关于“恒大锦城”项目业主及业主子女入学协议补充协议（1）</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关于“恒大锦城”项目业主及业主子女入学协议补充协议（3份）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陈茜</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56</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2020-12-24</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商品房补充协议2（修改客户首付款支付时间）</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商品房买卖合同补充协议2（6份）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齐鹏飞</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57</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2020-12-24</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社保汇总表</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社保汇总表（1份）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刘丹</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58</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2020-12-24</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商品房补充协议2（修改客户首付款支付时间）</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商品房买卖合同补充协议2（15份）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吴君</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59</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2020-12-24</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商品买卖合同68户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商品房买卖合同(680份）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姚茂菊</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60</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2020-12-24</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商业汇票贴现协议</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三方协议（3份）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资金部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钟文泽</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61</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2020-12-24</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商品房买卖合同13户、借款合同7户、按揭申请表、用地规划证</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商品房买卖合同（26份）、借款合同（28份）、按揭申请表（2份）、用地规划证（2份）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62</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2020-12-25</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城市建设配套费缓缴协议书</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城市建设配套费缓缴协议书（4份）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陈茜</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63</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2020-12-25</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客户催款及网签通知书盖章</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通知书（2份）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胡晓月</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64</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2020-12-25</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商品房买卖合同16户、借款合同5户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商品房买卖合同（32份）、借款合同（20份）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65</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2020-12-28</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商品房买卖合同34户、借款合同16户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商品房买卖合同（68份）、借款合同（64份）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陈俊</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66</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2020-12-28</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商品房补充协议2（修改客户首付款支付时间）</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商品房买卖合同补充协议2（6份）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王东莉</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67</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2020-12-28</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重庆恒大锦城项目施工箱变安装受和发地产阻拦政府协调报告</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重庆恒大锦城项目施工箱变安装受和发地产阻拦政府协调报告（3份）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陈茜</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68</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2020-12-29</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收据（N0399501-N0400500）</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收据（1000份）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覃绍杰</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69</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2020-12-29</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客户优惠款返息协议</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协议（10份）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韩艳红</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70</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2020-12-29</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商品买卖合同6户、借款合同2户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商品房买卖合同（12份）、借款合同（8份）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71</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2020-12-30</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重庆恒大锦城关于按规定支付人工费的承诺</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重庆恒大锦城关于按规定支付人工费的承诺（4份）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陈茜</w:t>
            </w:r>
          </w:p>
        </w:tc>
      </w:tr>
      <w:tr>
        <w:tblPrEx>
          <w:tblCellMar>
            <w:top w:w="0" w:type="dxa"/>
            <w:left w:w="108" w:type="dxa"/>
            <w:bottom w:w="0" w:type="dxa"/>
            <w:right w:w="108" w:type="dxa"/>
          </w:tblCellMar>
        </w:tblPrEx>
        <w:trPr>
          <w:trHeight w:val="78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72</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2020-12-30</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预售资金监管户二期支付园林1300万元（由园林转款恒永归还光大信托本期本金和利息）</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业务委托书（1份）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刘丹</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73</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2020-12-30</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浙商银行客户开票信息确认函</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浙商银行客户开票信息确认函（1份）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资金部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刘振宇</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74</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2020-12-30</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客户商品买卖合同6户、借款合同3户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商品买卖合同（12份）、借款合同（12份）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75</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2020-12-31</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客户商品买卖合同6户、借款合同4户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商品买卖合同（12份）、借款合同（16份）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5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76</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2020-12-31</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锦城商品买卖合同13户</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商品买卖合同（130份）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姚茂菊</w:t>
            </w:r>
          </w:p>
        </w:tc>
      </w:tr>
      <w:tr>
        <w:tblPrEx>
          <w:tblCellMar>
            <w:top w:w="0" w:type="dxa"/>
            <w:left w:w="108" w:type="dxa"/>
            <w:bottom w:w="0" w:type="dxa"/>
            <w:right w:w="108" w:type="dxa"/>
          </w:tblCellMar>
        </w:tblPrEx>
        <w:trPr>
          <w:trHeight w:val="2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77</w:t>
            </w:r>
          </w:p>
        </w:tc>
        <w:tc>
          <w:tcPr>
            <w:tcW w:w="66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2020-12-31</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39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客户催款及网签通知书盖章</w:t>
            </w:r>
          </w:p>
        </w:tc>
        <w:tc>
          <w:tcPr>
            <w:tcW w:w="110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通知书（2份）</w:t>
            </w:r>
          </w:p>
        </w:tc>
        <w:tc>
          <w:tcPr>
            <w:tcW w:w="51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38"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胡晓月</w:t>
            </w:r>
          </w:p>
        </w:tc>
      </w:tr>
    </w:tbl>
    <w:p>
      <w:pPr>
        <w:spacing w:before="312" w:beforeLines="100"/>
        <w:rPr>
          <w:rFonts w:ascii="Arial" w:hAnsi="Arial" w:cs="Arial"/>
          <w:b/>
          <w:bCs/>
          <w:szCs w:val="21"/>
        </w:rPr>
      </w:pPr>
    </w:p>
    <w:p>
      <w:pPr>
        <w:pStyle w:val="2"/>
        <w:spacing w:before="300" w:after="300" w:line="360" w:lineRule="exact"/>
        <w:jc w:val="left"/>
        <w:rPr>
          <w:rStyle w:val="36"/>
          <w:rFonts w:ascii="Arial" w:hAnsi="Arial" w:eastAsia="宋体" w:cs="Arial"/>
          <w:b/>
          <w:bCs w:val="0"/>
          <w:sz w:val="24"/>
          <w:szCs w:val="24"/>
        </w:rPr>
      </w:pPr>
      <w:bookmarkStart w:id="24" w:name="_Toc10894"/>
      <w:r>
        <w:rPr>
          <w:rStyle w:val="36"/>
          <w:rFonts w:hint="eastAsia" w:ascii="Arial" w:hAnsi="Arial" w:eastAsia="宋体" w:cs="Arial"/>
          <w:b/>
          <w:bCs w:val="0"/>
          <w:sz w:val="24"/>
          <w:szCs w:val="24"/>
        </w:rPr>
        <w:t>附件二：章证照使用登记情况</w:t>
      </w:r>
      <w:bookmarkEnd w:id="24"/>
    </w:p>
    <w:p>
      <w:r>
        <w:drawing>
          <wp:inline distT="0" distB="0" distL="0" distR="0">
            <wp:extent cx="6120130" cy="39814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120130" cy="398145"/>
                    </a:xfrm>
                    <a:prstGeom prst="rect">
                      <a:avLst/>
                    </a:prstGeom>
                    <a:noFill/>
                    <a:ln>
                      <a:noFill/>
                    </a:ln>
                  </pic:spPr>
                </pic:pic>
              </a:graphicData>
            </a:graphic>
          </wp:inline>
        </w:drawing>
      </w:r>
      <w:r>
        <w:drawing>
          <wp:inline distT="0" distB="0" distL="0" distR="0">
            <wp:extent cx="6120130" cy="37274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120130" cy="3727450"/>
                    </a:xfrm>
                    <a:prstGeom prst="rect">
                      <a:avLst/>
                    </a:prstGeom>
                    <a:noFill/>
                    <a:ln>
                      <a:noFill/>
                    </a:ln>
                  </pic:spPr>
                </pic:pic>
              </a:graphicData>
            </a:graphic>
          </wp:inline>
        </w:drawing>
      </w:r>
      <w:r>
        <w:drawing>
          <wp:inline distT="0" distB="0" distL="0" distR="0">
            <wp:extent cx="6120130" cy="8403590"/>
            <wp:effectExtent l="0" t="0" r="127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20130" cy="8403590"/>
                    </a:xfrm>
                    <a:prstGeom prst="rect">
                      <a:avLst/>
                    </a:prstGeom>
                    <a:noFill/>
                    <a:ln>
                      <a:noFill/>
                    </a:ln>
                  </pic:spPr>
                </pic:pic>
              </a:graphicData>
            </a:graphic>
          </wp:inline>
        </w:drawing>
      </w:r>
      <w:r>
        <w:drawing>
          <wp:inline distT="0" distB="0" distL="0" distR="0">
            <wp:extent cx="6120130" cy="3470275"/>
            <wp:effectExtent l="0" t="0" r="127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20130" cy="3470275"/>
                    </a:xfrm>
                    <a:prstGeom prst="rect">
                      <a:avLst/>
                    </a:prstGeom>
                    <a:noFill/>
                    <a:ln>
                      <a:noFill/>
                    </a:ln>
                  </pic:spPr>
                </pic:pic>
              </a:graphicData>
            </a:graphic>
          </wp:inline>
        </w:drawing>
      </w:r>
      <w:r>
        <w:drawing>
          <wp:inline distT="0" distB="0" distL="0" distR="0">
            <wp:extent cx="6120130" cy="4007485"/>
            <wp:effectExtent l="0" t="0" r="127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120130" cy="4007485"/>
                    </a:xfrm>
                    <a:prstGeom prst="rect">
                      <a:avLst/>
                    </a:prstGeom>
                    <a:noFill/>
                    <a:ln>
                      <a:noFill/>
                    </a:ln>
                  </pic:spPr>
                </pic:pic>
              </a:graphicData>
            </a:graphic>
          </wp:inline>
        </w:drawing>
      </w:r>
    </w:p>
    <w:p/>
    <w:p/>
    <w:p/>
    <w:p/>
    <w:p/>
    <w:p>
      <w:r>
        <w:drawing>
          <wp:anchor distT="0" distB="0" distL="0" distR="0" simplePos="0" relativeHeight="251658240" behindDoc="0" locked="0" layoutInCell="1" allowOverlap="1">
            <wp:simplePos x="0" y="0"/>
            <wp:positionH relativeFrom="column">
              <wp:posOffset>6350</wp:posOffset>
            </wp:positionH>
            <wp:positionV relativeFrom="paragraph">
              <wp:posOffset>3175</wp:posOffset>
            </wp:positionV>
            <wp:extent cx="6120130" cy="4271645"/>
            <wp:effectExtent l="0" t="0" r="1270" b="825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120130" cy="4271645"/>
                    </a:xfrm>
                    <a:prstGeom prst="rect">
                      <a:avLst/>
                    </a:prstGeom>
                    <a:noFill/>
                    <a:ln>
                      <a:noFill/>
                    </a:ln>
                  </pic:spPr>
                </pic:pic>
              </a:graphicData>
            </a:graphic>
          </wp:anchor>
        </w:drawing>
      </w:r>
    </w:p>
    <w:p/>
    <w:p/>
    <w:p/>
    <w:p/>
    <w:p/>
    <w:p/>
    <w:p/>
    <w:p/>
    <w:p/>
    <w:p/>
    <w:p/>
    <w:p/>
    <w:p/>
    <w:p/>
    <w:p/>
    <w:p/>
    <w:p/>
    <w:p/>
    <w:p/>
    <w:p/>
    <w:p/>
    <w:p/>
    <w:p>
      <w:pPr>
        <w:rPr>
          <w:rFonts w:hint="eastAsia"/>
        </w:rPr>
      </w:pPr>
      <w:r>
        <w:drawing>
          <wp:inline distT="0" distB="0" distL="0" distR="0">
            <wp:extent cx="6120130" cy="334518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120130" cy="3345180"/>
                    </a:xfrm>
                    <a:prstGeom prst="rect">
                      <a:avLst/>
                    </a:prstGeom>
                    <a:noFill/>
                    <a:ln>
                      <a:noFill/>
                    </a:ln>
                  </pic:spPr>
                </pic:pic>
              </a:graphicData>
            </a:graphic>
          </wp:inline>
        </w:drawing>
      </w:r>
    </w:p>
    <w:p>
      <w:pPr>
        <w:pStyle w:val="2"/>
        <w:spacing w:before="300" w:after="300" w:line="360" w:lineRule="exact"/>
        <w:jc w:val="left"/>
        <w:rPr>
          <w:rStyle w:val="36"/>
          <w:rFonts w:ascii="Arial" w:hAnsi="Arial" w:eastAsia="宋体" w:cs="Arial"/>
          <w:b/>
          <w:bCs w:val="0"/>
          <w:sz w:val="24"/>
          <w:szCs w:val="24"/>
        </w:rPr>
      </w:pPr>
      <w:bookmarkStart w:id="25" w:name="_Toc17832"/>
      <w:r>
        <w:rPr>
          <w:rStyle w:val="36"/>
          <w:rFonts w:hint="eastAsia" w:ascii="Arial" w:hAnsi="Arial" w:eastAsia="宋体" w:cs="Arial"/>
          <w:b/>
          <w:bCs w:val="0"/>
          <w:sz w:val="24"/>
          <w:szCs w:val="24"/>
        </w:rPr>
        <w:t>附件三：本期资金支出情况</w:t>
      </w:r>
      <w:bookmarkEnd w:id="25"/>
    </w:p>
    <w:p>
      <w:pPr>
        <w:spacing w:before="312" w:beforeLines="100"/>
        <w:jc w:val="center"/>
        <w:rPr>
          <w:rFonts w:ascii="Arial" w:hAnsi="Arial" w:cs="Arial"/>
          <w:b/>
          <w:szCs w:val="21"/>
        </w:rPr>
      </w:pPr>
      <w:r>
        <w:rPr>
          <w:rFonts w:ascii="Arial" w:hAnsi="Arial" w:cs="Arial"/>
          <w:b/>
          <w:szCs w:val="21"/>
        </w:rPr>
        <w:t>本期资金支出情况</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7"/>
        <w:gridCol w:w="1728"/>
        <w:gridCol w:w="1728"/>
        <w:gridCol w:w="1817"/>
        <w:gridCol w:w="1583"/>
        <w:gridCol w:w="1001"/>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jc w:val="center"/>
        </w:trPr>
        <w:tc>
          <w:tcPr>
            <w:tcW w:w="653" w:type="pct"/>
            <w:vAlign w:val="center"/>
          </w:tcPr>
          <w:p>
            <w:pPr>
              <w:jc w:val="center"/>
              <w:rPr>
                <w:rFonts w:ascii="Arial" w:hAnsi="Arial" w:cs="Arial"/>
                <w:b/>
                <w:bCs/>
                <w:sz w:val="18"/>
                <w:szCs w:val="18"/>
                <w:lang w:bidi="ar"/>
              </w:rPr>
            </w:pPr>
            <w:r>
              <w:rPr>
                <w:rFonts w:ascii="Arial" w:hAnsi="Arial" w:cs="Arial"/>
                <w:b/>
                <w:bCs/>
                <w:sz w:val="18"/>
                <w:szCs w:val="18"/>
              </w:rPr>
              <w:t>支付时间</w:t>
            </w:r>
          </w:p>
        </w:tc>
        <w:tc>
          <w:tcPr>
            <w:tcW w:w="877" w:type="pct"/>
            <w:shd w:val="clear" w:color="auto" w:fill="auto"/>
            <w:vAlign w:val="center"/>
          </w:tcPr>
          <w:p>
            <w:pPr>
              <w:jc w:val="center"/>
              <w:rPr>
                <w:rFonts w:ascii="Arial" w:hAnsi="Arial" w:cs="Arial"/>
                <w:b/>
                <w:bCs/>
                <w:sz w:val="18"/>
                <w:szCs w:val="18"/>
                <w:lang w:bidi="ar"/>
              </w:rPr>
            </w:pPr>
            <w:r>
              <w:rPr>
                <w:rFonts w:ascii="Arial" w:hAnsi="Arial" w:cs="Arial"/>
                <w:b/>
                <w:bCs/>
                <w:sz w:val="18"/>
                <w:szCs w:val="18"/>
              </w:rPr>
              <w:t>收款方</w:t>
            </w:r>
          </w:p>
        </w:tc>
        <w:tc>
          <w:tcPr>
            <w:tcW w:w="877" w:type="pct"/>
            <w:shd w:val="clear" w:color="auto" w:fill="auto"/>
            <w:vAlign w:val="center"/>
          </w:tcPr>
          <w:p>
            <w:pPr>
              <w:jc w:val="center"/>
              <w:rPr>
                <w:rFonts w:ascii="Arial" w:hAnsi="Arial" w:cs="Arial"/>
                <w:b/>
                <w:bCs/>
                <w:sz w:val="18"/>
                <w:szCs w:val="18"/>
                <w:lang w:bidi="ar"/>
              </w:rPr>
            </w:pPr>
            <w:r>
              <w:rPr>
                <w:rFonts w:ascii="Arial" w:hAnsi="Arial" w:cs="Arial"/>
                <w:b/>
                <w:bCs/>
                <w:sz w:val="18"/>
                <w:szCs w:val="18"/>
              </w:rPr>
              <w:t>资金用途</w:t>
            </w:r>
          </w:p>
        </w:tc>
        <w:tc>
          <w:tcPr>
            <w:tcW w:w="922" w:type="pct"/>
            <w:shd w:val="clear" w:color="auto" w:fill="auto"/>
            <w:vAlign w:val="center"/>
          </w:tcPr>
          <w:p>
            <w:pPr>
              <w:jc w:val="center"/>
              <w:rPr>
                <w:rFonts w:ascii="Arial" w:hAnsi="Arial" w:cs="Arial"/>
                <w:b/>
                <w:bCs/>
                <w:sz w:val="18"/>
                <w:szCs w:val="18"/>
                <w:lang w:bidi="ar"/>
              </w:rPr>
            </w:pPr>
            <w:r>
              <w:rPr>
                <w:rFonts w:ascii="Arial" w:hAnsi="Arial" w:cs="Arial"/>
                <w:b/>
                <w:bCs/>
                <w:sz w:val="18"/>
                <w:szCs w:val="18"/>
              </w:rPr>
              <w:t>金额（元）</w:t>
            </w:r>
          </w:p>
        </w:tc>
        <w:tc>
          <w:tcPr>
            <w:tcW w:w="803" w:type="pct"/>
            <w:vAlign w:val="center"/>
          </w:tcPr>
          <w:p>
            <w:pPr>
              <w:jc w:val="center"/>
              <w:rPr>
                <w:rFonts w:ascii="Arial" w:hAnsi="Arial" w:cs="Arial"/>
                <w:b/>
                <w:bCs/>
                <w:sz w:val="18"/>
                <w:szCs w:val="18"/>
                <w:lang w:bidi="ar"/>
              </w:rPr>
            </w:pPr>
            <w:r>
              <w:rPr>
                <w:rFonts w:ascii="Arial" w:hAnsi="Arial" w:cs="Arial"/>
                <w:b/>
                <w:bCs/>
                <w:sz w:val="18"/>
                <w:szCs w:val="18"/>
              </w:rPr>
              <w:t>用款类型</w:t>
            </w:r>
          </w:p>
        </w:tc>
        <w:tc>
          <w:tcPr>
            <w:tcW w:w="508" w:type="pct"/>
            <w:shd w:val="clear" w:color="auto" w:fill="auto"/>
            <w:vAlign w:val="center"/>
          </w:tcPr>
          <w:p>
            <w:pPr>
              <w:jc w:val="center"/>
              <w:rPr>
                <w:rFonts w:ascii="Arial" w:hAnsi="Arial" w:cs="Arial"/>
                <w:b/>
                <w:bCs/>
                <w:sz w:val="18"/>
                <w:szCs w:val="18"/>
                <w:lang w:bidi="ar"/>
              </w:rPr>
            </w:pPr>
            <w:r>
              <w:rPr>
                <w:rFonts w:ascii="Arial" w:hAnsi="Arial" w:cs="Arial"/>
                <w:b/>
                <w:bCs/>
                <w:sz w:val="18"/>
                <w:szCs w:val="18"/>
              </w:rPr>
              <w:t>出款行</w:t>
            </w:r>
          </w:p>
        </w:tc>
        <w:tc>
          <w:tcPr>
            <w:tcW w:w="360" w:type="pct"/>
            <w:vAlign w:val="center"/>
          </w:tcPr>
          <w:p>
            <w:pPr>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2020-12-1</w:t>
            </w:r>
          </w:p>
        </w:tc>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恒大地产集团重庆有限公司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往来款</w:t>
            </w:r>
          </w:p>
        </w:tc>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50,000,000.00</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往来款</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浙商银行6862</w:t>
            </w:r>
          </w:p>
        </w:tc>
        <w:tc>
          <w:tcPr>
            <w:tcW w:w="360" w:type="pc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2020-12-10</w:t>
            </w:r>
          </w:p>
        </w:tc>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重庆三科房地产经纪有限公司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恒大锦城重庆三科房地产经纪有限公司2020年10月佣金结算</w:t>
            </w:r>
          </w:p>
        </w:tc>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929,255.0000</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营销费用</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农行渝中大坪支行4836</w:t>
            </w:r>
          </w:p>
        </w:tc>
        <w:tc>
          <w:tcPr>
            <w:tcW w:w="360" w:type="pc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2020-12-16</w:t>
            </w:r>
          </w:p>
        </w:tc>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深圳恒大材料设备有限公司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往来款</w:t>
            </w:r>
          </w:p>
        </w:tc>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32,000,000.00</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往来款</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浙商银行5008</w:t>
            </w:r>
          </w:p>
        </w:tc>
        <w:tc>
          <w:tcPr>
            <w:tcW w:w="360" w:type="pc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2020-12-17</w:t>
            </w:r>
          </w:p>
        </w:tc>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陈华勇</w:t>
            </w:r>
          </w:p>
        </w:tc>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9-11月房租及押金</w:t>
            </w:r>
          </w:p>
        </w:tc>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7,100.00</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营销费用</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农行渝中大坪支行4836</w:t>
            </w:r>
          </w:p>
        </w:tc>
        <w:tc>
          <w:tcPr>
            <w:tcW w:w="360" w:type="pc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2020-12-17</w:t>
            </w:r>
          </w:p>
        </w:tc>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彭亮</w:t>
            </w:r>
          </w:p>
        </w:tc>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9-11月房租</w:t>
            </w:r>
          </w:p>
        </w:tc>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5,100.00</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营销费用</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农行渝中大坪支行4836</w:t>
            </w:r>
          </w:p>
        </w:tc>
        <w:tc>
          <w:tcPr>
            <w:tcW w:w="360" w:type="pc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2020-12-17</w:t>
            </w:r>
          </w:p>
        </w:tc>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重庆鑫坤房地产开发有限公司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往来款（浙商银行5008账户转款到浙商银行6862账户</w:t>
            </w:r>
          </w:p>
        </w:tc>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6,755,583.00</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往来款</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浙商银行5008</w:t>
            </w:r>
          </w:p>
        </w:tc>
        <w:tc>
          <w:tcPr>
            <w:tcW w:w="360" w:type="pc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2020-12-30</w:t>
            </w:r>
          </w:p>
        </w:tc>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重庆润丰园林绿化工程有限公司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预售资金监管户二期支付园林1300万元（由园林转款恒永归还光大信托本期本金和利息）</w:t>
            </w:r>
          </w:p>
        </w:tc>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13,000,000.00</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往来款</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浙商银行55750</w:t>
            </w:r>
          </w:p>
        </w:tc>
        <w:tc>
          <w:tcPr>
            <w:tcW w:w="360" w:type="pc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合计</w:t>
            </w:r>
          </w:p>
        </w:tc>
        <w:tc>
          <w:tcPr>
            <w:tcW w:w="4347"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102,697,038.00</w:t>
            </w:r>
          </w:p>
        </w:tc>
      </w:tr>
    </w:tbl>
    <w:p>
      <w:pPr>
        <w:spacing w:before="300" w:after="300" w:line="360" w:lineRule="exact"/>
        <w:outlineLvl w:val="0"/>
        <w:rPr>
          <w:rFonts w:hint="eastAsia"/>
          <w:b/>
          <w:bCs/>
        </w:rPr>
      </w:pPr>
      <w:bookmarkStart w:id="26" w:name="_Toc32568"/>
      <w:bookmarkStart w:id="27" w:name="_Hlk38616564"/>
    </w:p>
    <w:p>
      <w:pPr>
        <w:spacing w:before="300" w:after="300" w:line="360" w:lineRule="exact"/>
        <w:outlineLvl w:val="0"/>
        <w:rPr>
          <w:rFonts w:hint="eastAsia"/>
          <w:b/>
          <w:bCs/>
        </w:rPr>
      </w:pPr>
    </w:p>
    <w:p>
      <w:pPr>
        <w:spacing w:before="300" w:after="300" w:line="360" w:lineRule="exact"/>
        <w:outlineLvl w:val="0"/>
        <w:rPr>
          <w:rFonts w:hint="eastAsia"/>
          <w:b/>
          <w:bCs/>
        </w:rPr>
      </w:pPr>
    </w:p>
    <w:p>
      <w:pPr>
        <w:spacing w:before="300" w:after="300" w:line="360" w:lineRule="exact"/>
        <w:outlineLvl w:val="0"/>
        <w:rPr>
          <w:rFonts w:hint="eastAsia"/>
          <w:b/>
          <w:bCs/>
        </w:rPr>
      </w:pPr>
    </w:p>
    <w:p>
      <w:pPr>
        <w:spacing w:before="300" w:after="300" w:line="360" w:lineRule="exact"/>
        <w:outlineLvl w:val="0"/>
        <w:rPr>
          <w:rFonts w:hint="eastAsia"/>
          <w:b/>
          <w:bCs/>
        </w:rPr>
      </w:pPr>
    </w:p>
    <w:p>
      <w:pPr>
        <w:spacing w:before="300" w:after="300" w:line="360" w:lineRule="exact"/>
        <w:outlineLvl w:val="0"/>
        <w:rPr>
          <w:rFonts w:hint="eastAsia"/>
          <w:b/>
          <w:bCs/>
        </w:rPr>
      </w:pPr>
    </w:p>
    <w:p>
      <w:pPr>
        <w:spacing w:before="300" w:after="300" w:line="360" w:lineRule="exact"/>
        <w:outlineLvl w:val="0"/>
        <w:rPr>
          <w:rFonts w:hint="eastAsia"/>
          <w:b/>
          <w:bCs/>
        </w:rPr>
      </w:pPr>
    </w:p>
    <w:p>
      <w:pPr>
        <w:spacing w:before="300" w:after="300" w:line="360" w:lineRule="exact"/>
        <w:outlineLvl w:val="0"/>
        <w:rPr>
          <w:b/>
          <w:bCs/>
        </w:rPr>
      </w:pPr>
      <w:r>
        <w:rPr>
          <w:rFonts w:hint="eastAsia"/>
          <w:b/>
          <w:bCs/>
        </w:rPr>
        <w:t>附件四：本期合同签订情况</w:t>
      </w:r>
      <w:bookmarkEnd w:id="26"/>
    </w:p>
    <w:p>
      <w:pPr>
        <w:spacing w:before="312" w:beforeLines="100"/>
        <w:jc w:val="center"/>
        <w:rPr>
          <w:rFonts w:ascii="Arial" w:hAnsi="Arial" w:cs="Arial"/>
          <w:b/>
          <w:bCs/>
          <w:szCs w:val="21"/>
        </w:rPr>
      </w:pPr>
      <w:r>
        <w:rPr>
          <w:rFonts w:ascii="Arial" w:hAnsi="Arial" w:cs="Arial"/>
          <w:b/>
          <w:bCs/>
          <w:szCs w:val="21"/>
        </w:rPr>
        <w:t>本期合同签订情况</w:t>
      </w:r>
    </w:p>
    <w:tbl>
      <w:tblPr>
        <w:tblStyle w:val="17"/>
        <w:tblW w:w="5000" w:type="pct"/>
        <w:tblInd w:w="0" w:type="dxa"/>
        <w:tblLayout w:type="autofit"/>
        <w:tblCellMar>
          <w:top w:w="0" w:type="dxa"/>
          <w:left w:w="108" w:type="dxa"/>
          <w:bottom w:w="0" w:type="dxa"/>
          <w:right w:w="108" w:type="dxa"/>
        </w:tblCellMar>
      </w:tblPr>
      <w:tblGrid>
        <w:gridCol w:w="700"/>
        <w:gridCol w:w="1117"/>
        <w:gridCol w:w="1861"/>
        <w:gridCol w:w="1866"/>
        <w:gridCol w:w="2779"/>
        <w:gridCol w:w="1531"/>
      </w:tblGrid>
      <w:tr>
        <w:tblPrEx>
          <w:tblCellMar>
            <w:top w:w="0" w:type="dxa"/>
            <w:left w:w="108" w:type="dxa"/>
            <w:bottom w:w="0" w:type="dxa"/>
            <w:right w:w="108" w:type="dxa"/>
          </w:tblCellMar>
        </w:tblPrEx>
        <w:trPr>
          <w:trHeight w:val="360" w:hRule="atLeast"/>
          <w:tblHeader/>
        </w:trPr>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515"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用印日期</w:t>
            </w:r>
          </w:p>
        </w:tc>
        <w:tc>
          <w:tcPr>
            <w:tcW w:w="955"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对方单位</w:t>
            </w:r>
          </w:p>
        </w:tc>
        <w:tc>
          <w:tcPr>
            <w:tcW w:w="957"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合同文件名称</w:t>
            </w:r>
          </w:p>
        </w:tc>
        <w:tc>
          <w:tcPr>
            <w:tcW w:w="142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788" w:type="pct"/>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合同金额（元）</w:t>
            </w:r>
          </w:p>
        </w:tc>
      </w:tr>
      <w:tr>
        <w:tblPrEx>
          <w:tblCellMar>
            <w:top w:w="0" w:type="dxa"/>
            <w:left w:w="108" w:type="dxa"/>
            <w:bottom w:w="0" w:type="dxa"/>
            <w:right w:w="108" w:type="dxa"/>
          </w:tblCellMar>
        </w:tblPrEx>
        <w:trPr>
          <w:trHeight w:val="338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2020/12/2</w:t>
            </w:r>
          </w:p>
        </w:tc>
        <w:tc>
          <w:tcPr>
            <w:tcW w:w="95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重庆市新天泽消防工程有限公司</w:t>
            </w:r>
          </w:p>
        </w:tc>
        <w:tc>
          <w:tcPr>
            <w:tcW w:w="95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重庆恒大锦城首期18#、19#楼及室外管网消防工程施工合同</w:t>
            </w:r>
          </w:p>
        </w:tc>
        <w:tc>
          <w:tcPr>
            <w:tcW w:w="1420" w:type="pct"/>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ascii="Arial" w:hAnsi="Arial" w:cs="Arial"/>
                <w:sz w:val="18"/>
                <w:szCs w:val="18"/>
              </w:rPr>
              <w:t>乙方承包发包人最终确认的全部工程内容,包括工程深化设计、优化设计、备材料供工程相关报建报验、工程施工、系统调试、消防设电道防安全测、电气防火检测、防火封堵检测、逍防产品检 洞口 火封调试、工程资料归档、保修、工程工验收等以及协作相关单位完成相关专业的验收(含政府部门要求的相关验收)、后期主体防火自动报警系统、防火门监控系统、消防电源监控系统电监控接入主体消防系统工作、配合主体消防系统联动调试等全部内容</w:t>
            </w:r>
          </w:p>
        </w:tc>
        <w:tc>
          <w:tcPr>
            <w:tcW w:w="788"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 xml:space="preserve">226,346.23 </w:t>
            </w:r>
          </w:p>
        </w:tc>
      </w:tr>
      <w:tr>
        <w:tblPrEx>
          <w:tblCellMar>
            <w:top w:w="0" w:type="dxa"/>
            <w:left w:w="108" w:type="dxa"/>
            <w:bottom w:w="0" w:type="dxa"/>
            <w:right w:w="108" w:type="dxa"/>
          </w:tblCellMar>
        </w:tblPrEx>
        <w:trPr>
          <w:trHeight w:val="130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2020/12/4</w:t>
            </w:r>
          </w:p>
        </w:tc>
        <w:tc>
          <w:tcPr>
            <w:tcW w:w="95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中煤科工重庆设计研究院（集团）有限公司</w:t>
            </w:r>
          </w:p>
        </w:tc>
        <w:tc>
          <w:tcPr>
            <w:tcW w:w="95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重庆巴南恒大锦城海绵城市设计合同</w:t>
            </w:r>
          </w:p>
        </w:tc>
        <w:tc>
          <w:tcPr>
            <w:tcW w:w="1420" w:type="pct"/>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ascii="Arial" w:hAnsi="Arial" w:cs="Arial"/>
                <w:sz w:val="18"/>
                <w:szCs w:val="18"/>
              </w:rPr>
              <w:t>乙方承接的《重庆巴南恒大锦城项且海端城市设过工程》在施工期间的施工进度达到甲方设定的目标进度,甲方同意支付乙方赶工奖,具体赶工奖金额以甲方核定为准</w:t>
            </w:r>
          </w:p>
        </w:tc>
        <w:tc>
          <w:tcPr>
            <w:tcW w:w="788"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w:t>
            </w:r>
          </w:p>
        </w:tc>
      </w:tr>
      <w:tr>
        <w:tblPrEx>
          <w:tblCellMar>
            <w:top w:w="0" w:type="dxa"/>
            <w:left w:w="108" w:type="dxa"/>
            <w:bottom w:w="0" w:type="dxa"/>
            <w:right w:w="108" w:type="dxa"/>
          </w:tblCellMar>
        </w:tblPrEx>
        <w:trPr>
          <w:trHeight w:val="130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3</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2020/12/4</w:t>
            </w:r>
          </w:p>
        </w:tc>
        <w:tc>
          <w:tcPr>
            <w:tcW w:w="95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重庆市金盾人防设备有限公司</w:t>
            </w:r>
          </w:p>
        </w:tc>
        <w:tc>
          <w:tcPr>
            <w:tcW w:w="95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首期人防设备制作及安装工程施工合同</w:t>
            </w:r>
          </w:p>
        </w:tc>
        <w:tc>
          <w:tcPr>
            <w:tcW w:w="1420" w:type="pct"/>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ascii="Arial" w:hAnsi="Arial" w:cs="Arial"/>
                <w:sz w:val="18"/>
                <w:szCs w:val="18"/>
              </w:rPr>
              <w:t>乙方承接的《首期人防设备制作及安装工程》在施工期间的施工进度达到甲方设定的目标进度,甲方同意支付乙方赶工奖,具体赶工奖金额以甲方核定为准</w:t>
            </w:r>
          </w:p>
        </w:tc>
        <w:tc>
          <w:tcPr>
            <w:tcW w:w="788"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w:t>
            </w:r>
          </w:p>
        </w:tc>
      </w:tr>
      <w:tr>
        <w:tblPrEx>
          <w:tblCellMar>
            <w:top w:w="0" w:type="dxa"/>
            <w:left w:w="108" w:type="dxa"/>
            <w:bottom w:w="0" w:type="dxa"/>
            <w:right w:w="108" w:type="dxa"/>
          </w:tblCellMar>
        </w:tblPrEx>
        <w:trPr>
          <w:trHeight w:val="130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4</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2020/12/4</w:t>
            </w:r>
          </w:p>
        </w:tc>
        <w:tc>
          <w:tcPr>
            <w:tcW w:w="95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中国有色金属长沙勘察设计研究院有限公司</w:t>
            </w:r>
          </w:p>
        </w:tc>
        <w:tc>
          <w:tcPr>
            <w:tcW w:w="95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重庆恒大锦城项目二、三期超前勘察工程施工合同</w:t>
            </w:r>
          </w:p>
        </w:tc>
        <w:tc>
          <w:tcPr>
            <w:tcW w:w="1420" w:type="pct"/>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ascii="Arial" w:hAnsi="Arial" w:cs="Arial"/>
                <w:sz w:val="18"/>
                <w:szCs w:val="18"/>
              </w:rPr>
              <w:t>乙方承接的《重庆恒大锦城项目二、三期超前勘察工程》在施工期间的施工进度达到甲方设定的目标进度,甲方同意支付乙方赶工奖,具体赶工奖金额以甲方核定为准</w:t>
            </w:r>
          </w:p>
        </w:tc>
        <w:tc>
          <w:tcPr>
            <w:tcW w:w="788"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w:t>
            </w:r>
          </w:p>
        </w:tc>
      </w:tr>
      <w:tr>
        <w:tblPrEx>
          <w:tblCellMar>
            <w:top w:w="0" w:type="dxa"/>
            <w:left w:w="108" w:type="dxa"/>
            <w:bottom w:w="0" w:type="dxa"/>
            <w:right w:w="108" w:type="dxa"/>
          </w:tblCellMar>
        </w:tblPrEx>
        <w:trPr>
          <w:trHeight w:val="130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5</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2020/12/4</w:t>
            </w:r>
          </w:p>
        </w:tc>
        <w:tc>
          <w:tcPr>
            <w:tcW w:w="95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重庆机三院施工图审查有限公司</w:t>
            </w:r>
          </w:p>
        </w:tc>
        <w:tc>
          <w:tcPr>
            <w:tcW w:w="95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重庆恒大锦城项目施工图审查合同补充协议</w:t>
            </w:r>
          </w:p>
        </w:tc>
        <w:tc>
          <w:tcPr>
            <w:tcW w:w="1420" w:type="pct"/>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ascii="Arial" w:hAnsi="Arial" w:cs="Arial"/>
                <w:sz w:val="18"/>
                <w:szCs w:val="18"/>
              </w:rPr>
              <w:t>乙方承接的《重庆恒大锦城项目施工图审查合同补充协议》在施工期间的施工进度达到甲方设定的目标进度,甲方同意支付乙方赶工奖,具体赶工奖金额以甲方核定为准</w:t>
            </w:r>
          </w:p>
        </w:tc>
        <w:tc>
          <w:tcPr>
            <w:tcW w:w="788"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w:t>
            </w:r>
          </w:p>
        </w:tc>
      </w:tr>
      <w:tr>
        <w:tblPrEx>
          <w:tblCellMar>
            <w:top w:w="0" w:type="dxa"/>
            <w:left w:w="108" w:type="dxa"/>
            <w:bottom w:w="0" w:type="dxa"/>
            <w:right w:w="108" w:type="dxa"/>
          </w:tblCellMar>
        </w:tblPrEx>
        <w:trPr>
          <w:trHeight w:val="15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6</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2020/12/4</w:t>
            </w:r>
          </w:p>
        </w:tc>
        <w:tc>
          <w:tcPr>
            <w:tcW w:w="95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房车宝信息技术（深圳）有限公司</w:t>
            </w:r>
          </w:p>
        </w:tc>
        <w:tc>
          <w:tcPr>
            <w:tcW w:w="95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房车宝营销合作服务协议</w:t>
            </w:r>
          </w:p>
        </w:tc>
        <w:tc>
          <w:tcPr>
            <w:tcW w:w="1420" w:type="pct"/>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ascii="Arial" w:hAnsi="Arial" w:cs="Arial"/>
                <w:sz w:val="18"/>
                <w:szCs w:val="18"/>
              </w:rPr>
              <w:t>乙方通过乙方平台推荐客户,乙方驻场人员在乙方平台系统中确认推荐客户有效性;乙方经纪人在乙方平台上推荐客户到访销售现场前,需就推荐客户向甲方进行报备,报备时间最迟不晚于客户到访销售现场前土五分钟</w:t>
            </w:r>
          </w:p>
        </w:tc>
        <w:tc>
          <w:tcPr>
            <w:tcW w:w="788"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成交总价*3.2%</w:t>
            </w:r>
          </w:p>
        </w:tc>
      </w:tr>
      <w:tr>
        <w:tblPrEx>
          <w:tblCellMar>
            <w:top w:w="0" w:type="dxa"/>
            <w:left w:w="108" w:type="dxa"/>
            <w:bottom w:w="0" w:type="dxa"/>
            <w:right w:w="108" w:type="dxa"/>
          </w:tblCellMar>
        </w:tblPrEx>
        <w:trPr>
          <w:trHeight w:val="208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7</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2020/12/10</w:t>
            </w:r>
          </w:p>
        </w:tc>
        <w:tc>
          <w:tcPr>
            <w:tcW w:w="95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重庆豪城建筑工程有限公司</w:t>
            </w:r>
          </w:p>
        </w:tc>
        <w:tc>
          <w:tcPr>
            <w:tcW w:w="95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重庆恒大锦城首三期(T18-2地块)外购土石方回填工程施工合同</w:t>
            </w:r>
          </w:p>
        </w:tc>
        <w:tc>
          <w:tcPr>
            <w:tcW w:w="1420" w:type="pct"/>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ascii="Arial" w:hAnsi="Arial" w:cs="Arial"/>
                <w:sz w:val="18"/>
                <w:szCs w:val="18"/>
              </w:rPr>
              <w:t>重庆恒大锦城首三期(18-2地块)外购回填工程,具体工作内容为场处购土回填、压实及平整、道路清洁等。包括取土、装、运至现场,按要求回填,回填所选用土方的质量及类型须符合种植土技术要求,土方回填完成至图示标高,根据园林栽种要求适度粗平(不包括地形整理)。</w:t>
            </w:r>
          </w:p>
        </w:tc>
        <w:tc>
          <w:tcPr>
            <w:tcW w:w="788"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 xml:space="preserve">370,600.00 </w:t>
            </w:r>
          </w:p>
        </w:tc>
      </w:tr>
      <w:tr>
        <w:tblPrEx>
          <w:tblCellMar>
            <w:top w:w="0" w:type="dxa"/>
            <w:left w:w="108" w:type="dxa"/>
            <w:bottom w:w="0" w:type="dxa"/>
            <w:right w:w="108" w:type="dxa"/>
          </w:tblCellMar>
        </w:tblPrEx>
        <w:trPr>
          <w:trHeight w:val="104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8</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2020/12/10</w:t>
            </w:r>
          </w:p>
        </w:tc>
        <w:tc>
          <w:tcPr>
            <w:tcW w:w="95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中煤科工重庆设计研究院（集团）有限公司</w:t>
            </w:r>
          </w:p>
        </w:tc>
        <w:tc>
          <w:tcPr>
            <w:tcW w:w="95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重庆恒大锦城二期T18-1/02、 T18-2/03、 T18-3/03地块海绵城市设计合同</w:t>
            </w:r>
          </w:p>
        </w:tc>
        <w:tc>
          <w:tcPr>
            <w:tcW w:w="1420" w:type="pct"/>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ascii="Arial" w:hAnsi="Arial" w:cs="Arial"/>
                <w:sz w:val="18"/>
                <w:szCs w:val="18"/>
              </w:rPr>
              <w:t>乙方设计范围包含重庆恒大锦城二期 18-1/0218-2/03. 18-3/03块绵 市设计,占地面积约155012m</w:t>
            </w:r>
          </w:p>
        </w:tc>
        <w:tc>
          <w:tcPr>
            <w:tcW w:w="788"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 xml:space="preserve">60,478,783.00 </w:t>
            </w:r>
          </w:p>
        </w:tc>
      </w:tr>
      <w:tr>
        <w:tblPrEx>
          <w:tblCellMar>
            <w:top w:w="0" w:type="dxa"/>
            <w:left w:w="108" w:type="dxa"/>
            <w:bottom w:w="0" w:type="dxa"/>
            <w:right w:w="108" w:type="dxa"/>
          </w:tblCellMar>
        </w:tblPrEx>
        <w:trPr>
          <w:trHeight w:val="104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9</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2020/12/10</w:t>
            </w:r>
          </w:p>
        </w:tc>
        <w:tc>
          <w:tcPr>
            <w:tcW w:w="95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深圳市建艺装饰集团股份有限公司</w:t>
            </w:r>
          </w:p>
        </w:tc>
        <w:tc>
          <w:tcPr>
            <w:tcW w:w="95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重庆恒大锦城3#、29#楼商业外立面装修工程施工合同</w:t>
            </w:r>
          </w:p>
        </w:tc>
        <w:tc>
          <w:tcPr>
            <w:tcW w:w="1420" w:type="pct"/>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ascii="Arial" w:hAnsi="Arial" w:cs="Arial"/>
                <w:sz w:val="18"/>
                <w:szCs w:val="18"/>
              </w:rPr>
              <w:t>乙方负责重庆恒大锦城3#,、29#楼商业外立面装修工程的施工。具体装修内容是按照甲方盖章确认后下发的施工图以及设计变更通知。</w:t>
            </w:r>
          </w:p>
        </w:tc>
        <w:tc>
          <w:tcPr>
            <w:tcW w:w="788"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 xml:space="preserve">257,940.64 </w:t>
            </w:r>
          </w:p>
        </w:tc>
      </w:tr>
      <w:tr>
        <w:tblPrEx>
          <w:tblCellMar>
            <w:top w:w="0" w:type="dxa"/>
            <w:left w:w="108" w:type="dxa"/>
            <w:bottom w:w="0" w:type="dxa"/>
            <w:right w:w="108" w:type="dxa"/>
          </w:tblCellMar>
        </w:tblPrEx>
        <w:trPr>
          <w:trHeight w:val="208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10</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2020/12/10</w:t>
            </w:r>
          </w:p>
        </w:tc>
        <w:tc>
          <w:tcPr>
            <w:tcW w:w="95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重庆豪城建筑工程有限公司</w:t>
            </w:r>
          </w:p>
        </w:tc>
        <w:tc>
          <w:tcPr>
            <w:tcW w:w="95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重庆恒大锦城首三期(T18-2地块)外购土石方回填工程施工合同</w:t>
            </w:r>
          </w:p>
        </w:tc>
        <w:tc>
          <w:tcPr>
            <w:tcW w:w="1420" w:type="pct"/>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ascii="Arial" w:hAnsi="Arial" w:cs="Arial"/>
                <w:sz w:val="18"/>
                <w:szCs w:val="18"/>
              </w:rPr>
              <w:t>重庆恒大锦城首三期(18-2块)外购回填工程,具体工作内容为场外购土回填、压突及平整、道路清洁等。包括取土、装、运至现场。按要求回填,回填所选用土方的质量及类型须符合种植土技术要求,土方回填完成至图示标高,根据园林栽种要求适度粗平(不包括地形整理)。</w:t>
            </w:r>
          </w:p>
        </w:tc>
        <w:tc>
          <w:tcPr>
            <w:tcW w:w="788"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 xml:space="preserve">370,600.00 </w:t>
            </w:r>
          </w:p>
        </w:tc>
      </w:tr>
      <w:tr>
        <w:tblPrEx>
          <w:tblCellMar>
            <w:top w:w="0" w:type="dxa"/>
            <w:left w:w="108" w:type="dxa"/>
            <w:bottom w:w="0" w:type="dxa"/>
            <w:right w:w="108" w:type="dxa"/>
          </w:tblCellMar>
        </w:tblPrEx>
        <w:trPr>
          <w:trHeight w:val="156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11</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2020/12/10</w:t>
            </w:r>
          </w:p>
        </w:tc>
        <w:tc>
          <w:tcPr>
            <w:tcW w:w="95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深圳市房车宝销售有限公司重庆分公司</w:t>
            </w:r>
          </w:p>
        </w:tc>
        <w:tc>
          <w:tcPr>
            <w:tcW w:w="95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销售咨询服务合作协议</w:t>
            </w:r>
          </w:p>
        </w:tc>
        <w:tc>
          <w:tcPr>
            <w:tcW w:w="1420" w:type="pct"/>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ascii="Arial" w:hAnsi="Arial" w:cs="Arial"/>
                <w:sz w:val="18"/>
                <w:szCs w:val="18"/>
              </w:rPr>
              <w:t>1甲方为乙方提供销售咨询服务,实现向乙方推荐客户预约到访,推荐客户购房。</w:t>
            </w:r>
            <w:r>
              <w:rPr>
                <w:rFonts w:ascii="Arial" w:hAnsi="Arial" w:cs="Arial"/>
                <w:sz w:val="18"/>
                <w:szCs w:val="18"/>
              </w:rPr>
              <w:br w:type="textWrapping"/>
            </w:r>
            <w:r>
              <w:rPr>
                <w:rFonts w:ascii="Arial" w:hAnsi="Arial" w:cs="Arial"/>
                <w:sz w:val="18"/>
                <w:szCs w:val="18"/>
              </w:rPr>
              <w:t>2 甲方向乙方提供信息发布、交易报合等服务,乙方与购房客户之间的纠纷与甲方无关,由乙方自行承担。</w:t>
            </w:r>
          </w:p>
        </w:tc>
        <w:tc>
          <w:tcPr>
            <w:tcW w:w="788"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w:t>
            </w:r>
          </w:p>
        </w:tc>
      </w:tr>
      <w:tr>
        <w:tblPrEx>
          <w:tblCellMar>
            <w:top w:w="0" w:type="dxa"/>
            <w:left w:w="108" w:type="dxa"/>
            <w:bottom w:w="0" w:type="dxa"/>
            <w:right w:w="108" w:type="dxa"/>
          </w:tblCellMar>
        </w:tblPrEx>
        <w:trPr>
          <w:trHeight w:val="104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12</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2020/12/15</w:t>
            </w:r>
          </w:p>
        </w:tc>
        <w:tc>
          <w:tcPr>
            <w:tcW w:w="95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深圳市建艺装饰集团股份有限公司</w:t>
            </w:r>
          </w:p>
        </w:tc>
        <w:tc>
          <w:tcPr>
            <w:tcW w:w="95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重庆恒大锦城首期1#、2#、10#、15#、16#楼实体样板房室精装修工程施工合同</w:t>
            </w:r>
          </w:p>
        </w:tc>
        <w:tc>
          <w:tcPr>
            <w:tcW w:w="1420"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乙方负责重庆恒大锦城首期1#、2#、10#、15#、16#楼实体样板房室精装修工程的施工</w:t>
            </w:r>
          </w:p>
        </w:tc>
        <w:tc>
          <w:tcPr>
            <w:tcW w:w="788"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 xml:space="preserve">922,599.12 </w:t>
            </w:r>
          </w:p>
        </w:tc>
      </w:tr>
      <w:tr>
        <w:tblPrEx>
          <w:tblCellMar>
            <w:top w:w="0" w:type="dxa"/>
            <w:left w:w="108" w:type="dxa"/>
            <w:bottom w:w="0" w:type="dxa"/>
            <w:right w:w="108" w:type="dxa"/>
          </w:tblCellMar>
        </w:tblPrEx>
        <w:trPr>
          <w:trHeight w:val="182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13</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2020/12/16</w:t>
            </w:r>
          </w:p>
        </w:tc>
        <w:tc>
          <w:tcPr>
            <w:tcW w:w="95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 xml:space="preserve">中钞长城贵金属有限公司 </w:t>
            </w:r>
          </w:p>
        </w:tc>
        <w:tc>
          <w:tcPr>
            <w:tcW w:w="95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贵金属产品销售合同</w:t>
            </w:r>
          </w:p>
        </w:tc>
        <w:tc>
          <w:tcPr>
            <w:tcW w:w="1420" w:type="pct"/>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ascii="Arial" w:hAnsi="Arial" w:cs="Arial"/>
                <w:sz w:val="18"/>
                <w:szCs w:val="18"/>
              </w:rPr>
              <w:t>甲方向乙方销售贵金属产品：1、产品名称：善建成长-CCTV春晚牛年压岁金、产品材质：黄金、产品规格：单套金钞黄金重量0.8克、产品数量：200套（包含主体产品及全套包装）、产品价格：单价655 元/套 ，总价：131000 元</w:t>
            </w:r>
          </w:p>
        </w:tc>
        <w:tc>
          <w:tcPr>
            <w:tcW w:w="788"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 xml:space="preserve">131,000.00 </w:t>
            </w:r>
          </w:p>
        </w:tc>
      </w:tr>
      <w:tr>
        <w:tblPrEx>
          <w:tblCellMar>
            <w:top w:w="0" w:type="dxa"/>
            <w:left w:w="108" w:type="dxa"/>
            <w:bottom w:w="0" w:type="dxa"/>
            <w:right w:w="108" w:type="dxa"/>
          </w:tblCellMar>
        </w:tblPrEx>
        <w:trPr>
          <w:trHeight w:val="78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14</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2020/12/21</w:t>
            </w:r>
          </w:p>
        </w:tc>
        <w:tc>
          <w:tcPr>
            <w:tcW w:w="95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 xml:space="preserve">重庆树人立德小学 </w:t>
            </w:r>
          </w:p>
        </w:tc>
        <w:tc>
          <w:tcPr>
            <w:tcW w:w="95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关于“恒大锦城”项目业主及业主子女入学协议补充协议1</w:t>
            </w:r>
          </w:p>
        </w:tc>
        <w:tc>
          <w:tcPr>
            <w:tcW w:w="1420" w:type="pct"/>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ascii="Arial" w:hAnsi="Arial" w:cs="Arial"/>
                <w:sz w:val="18"/>
                <w:szCs w:val="18"/>
              </w:rPr>
              <w:t>甲方向乙方支付补偿费¥300000元</w:t>
            </w:r>
          </w:p>
        </w:tc>
        <w:tc>
          <w:tcPr>
            <w:tcW w:w="788"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 xml:space="preserve">300,000.00 </w:t>
            </w:r>
          </w:p>
        </w:tc>
      </w:tr>
      <w:tr>
        <w:tblPrEx>
          <w:tblCellMar>
            <w:top w:w="0" w:type="dxa"/>
            <w:left w:w="108" w:type="dxa"/>
            <w:bottom w:w="0" w:type="dxa"/>
            <w:right w:w="108" w:type="dxa"/>
          </w:tblCellMar>
        </w:tblPrEx>
        <w:trPr>
          <w:trHeight w:val="130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15</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2020/12/23</w:t>
            </w:r>
          </w:p>
        </w:tc>
        <w:tc>
          <w:tcPr>
            <w:tcW w:w="95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重庆高科幕墙门窗有限公司</w:t>
            </w:r>
          </w:p>
        </w:tc>
        <w:tc>
          <w:tcPr>
            <w:tcW w:w="95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 1#-17#楼、20#-34#楼及车库铝合金门窗安装工程施工合同</w:t>
            </w:r>
          </w:p>
        </w:tc>
        <w:tc>
          <w:tcPr>
            <w:tcW w:w="1420" w:type="pct"/>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ascii="Arial" w:hAnsi="Arial" w:cs="Arial"/>
                <w:sz w:val="18"/>
                <w:szCs w:val="18"/>
              </w:rPr>
              <w:t>乙方负责重庆恒大锦城 1#-17#楼、20#-34#楼及车库铝合金 门窗、百页工程施工图及相关的补充图、设计变更图等所涵盖的铝合金门 窗、百页的安装。</w:t>
            </w:r>
          </w:p>
        </w:tc>
        <w:tc>
          <w:tcPr>
            <w:tcW w:w="788"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 xml:space="preserve">4,199,092.71 </w:t>
            </w:r>
          </w:p>
        </w:tc>
      </w:tr>
      <w:tr>
        <w:tblPrEx>
          <w:tblCellMar>
            <w:top w:w="0" w:type="dxa"/>
            <w:left w:w="108" w:type="dxa"/>
            <w:bottom w:w="0" w:type="dxa"/>
            <w:right w:w="108" w:type="dxa"/>
          </w:tblCellMar>
        </w:tblPrEx>
        <w:trPr>
          <w:trHeight w:val="234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16</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2020/12/23</w:t>
            </w:r>
          </w:p>
        </w:tc>
        <w:tc>
          <w:tcPr>
            <w:tcW w:w="95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重庆高科幕墙门窗有限公司</w:t>
            </w:r>
          </w:p>
        </w:tc>
        <w:tc>
          <w:tcPr>
            <w:tcW w:w="95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 1#-17#楼、20#-34#楼及车库铝合金门窗购销合同</w:t>
            </w:r>
          </w:p>
        </w:tc>
        <w:tc>
          <w:tcPr>
            <w:tcW w:w="1420" w:type="pct"/>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ascii="Arial" w:hAnsi="Arial" w:cs="Arial"/>
                <w:sz w:val="18"/>
                <w:szCs w:val="18"/>
              </w:rPr>
              <w:t>乙方承担重庆恒大锦城 1#-17#楼、20#-34#楼及车库铝合金门窗、百页工程项目的铝合金门窗、百页的设计、制作，乙方按甲方确认的建筑施工图及合同约定的用料要求，完成不同规格铝合金门窗的节点、用料大样图等施工图的设计，并提交计算书，经甲方确认后，乙方按图制作。</w:t>
            </w:r>
          </w:p>
        </w:tc>
        <w:tc>
          <w:tcPr>
            <w:tcW w:w="788"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 xml:space="preserve">19,705,061.27 </w:t>
            </w:r>
          </w:p>
        </w:tc>
      </w:tr>
      <w:tr>
        <w:tblPrEx>
          <w:tblCellMar>
            <w:top w:w="0" w:type="dxa"/>
            <w:left w:w="108" w:type="dxa"/>
            <w:bottom w:w="0" w:type="dxa"/>
            <w:right w:w="108" w:type="dxa"/>
          </w:tblCellMar>
        </w:tblPrEx>
        <w:trPr>
          <w:trHeight w:val="780" w:hRule="atLeast"/>
        </w:trPr>
        <w:tc>
          <w:tcPr>
            <w:tcW w:w="366"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17</w:t>
            </w:r>
          </w:p>
        </w:tc>
        <w:tc>
          <w:tcPr>
            <w:tcW w:w="51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2020/12/23</w:t>
            </w:r>
          </w:p>
        </w:tc>
        <w:tc>
          <w:tcPr>
            <w:tcW w:w="955"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重庆合伟设计工程有限公司</w:t>
            </w:r>
          </w:p>
        </w:tc>
        <w:tc>
          <w:tcPr>
            <w:tcW w:w="95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重庆恒大锦城1-34#楼屋面女儿墙400毫米高铁艺栏杆采购合同</w:t>
            </w:r>
          </w:p>
        </w:tc>
        <w:tc>
          <w:tcPr>
            <w:tcW w:w="1420" w:type="pct"/>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ascii="Arial" w:hAnsi="Arial" w:cs="Arial"/>
                <w:sz w:val="18"/>
                <w:szCs w:val="18"/>
              </w:rPr>
              <w:t>乙方在150日内完成重庆恒大锦城1-34#楼屋面女儿墙400毫米高铁艺栏杆安装工程</w:t>
            </w:r>
          </w:p>
        </w:tc>
        <w:tc>
          <w:tcPr>
            <w:tcW w:w="788"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 xml:space="preserve">660,778.80 </w:t>
            </w:r>
          </w:p>
        </w:tc>
      </w:tr>
    </w:tbl>
    <w:p>
      <w:pPr>
        <w:spacing w:before="312" w:beforeLines="100"/>
        <w:rPr>
          <w:rFonts w:hint="eastAsia" w:ascii="Arial" w:hAnsi="Arial" w:cs="Arial"/>
          <w:b/>
          <w:bCs/>
          <w:color w:val="000000"/>
          <w:szCs w:val="21"/>
        </w:rPr>
      </w:pPr>
    </w:p>
    <w:bookmarkEnd w:id="27"/>
    <w:p>
      <w:pPr>
        <w:spacing w:before="300" w:after="300" w:line="360" w:lineRule="exact"/>
        <w:outlineLvl w:val="0"/>
        <w:rPr>
          <w:b/>
          <w:bCs/>
        </w:rPr>
      </w:pPr>
      <w:bookmarkStart w:id="28" w:name="_Toc6047"/>
      <w:bookmarkStart w:id="29" w:name="_Hlk38616594"/>
      <w:r>
        <w:rPr>
          <w:rFonts w:hint="eastAsia"/>
          <w:b/>
          <w:bCs/>
        </w:rPr>
        <w:t>附件五：项目公司账户余额情况</w:t>
      </w:r>
      <w:bookmarkEnd w:id="28"/>
    </w:p>
    <w:p>
      <w:pPr>
        <w:spacing w:before="312" w:beforeLines="100"/>
        <w:jc w:val="center"/>
        <w:rPr>
          <w:rFonts w:ascii="Arial" w:hAnsi="Arial" w:cs="Arial"/>
          <w:b/>
          <w:bCs/>
          <w:szCs w:val="21"/>
        </w:rPr>
      </w:pPr>
      <w:r>
        <w:rPr>
          <w:rFonts w:ascii="Arial" w:hAnsi="Arial" w:cs="Arial"/>
          <w:b/>
          <w:bCs/>
          <w:szCs w:val="21"/>
        </w:rPr>
        <w:t>项目公司账户余额情况</w:t>
      </w:r>
    </w:p>
    <w:tbl>
      <w:tblPr>
        <w:tblStyle w:val="17"/>
        <w:tblW w:w="5000" w:type="pct"/>
        <w:jc w:val="center"/>
        <w:tblLayout w:type="autofit"/>
        <w:tblCellMar>
          <w:top w:w="0" w:type="dxa"/>
          <w:left w:w="108" w:type="dxa"/>
          <w:bottom w:w="0" w:type="dxa"/>
          <w:right w:w="108" w:type="dxa"/>
        </w:tblCellMar>
      </w:tblPr>
      <w:tblGrid>
        <w:gridCol w:w="1732"/>
        <w:gridCol w:w="851"/>
        <w:gridCol w:w="2475"/>
        <w:gridCol w:w="1147"/>
        <w:gridCol w:w="851"/>
        <w:gridCol w:w="1295"/>
        <w:gridCol w:w="1503"/>
      </w:tblGrid>
      <w:tr>
        <w:tblPrEx>
          <w:tblCellMar>
            <w:top w:w="0" w:type="dxa"/>
            <w:left w:w="108" w:type="dxa"/>
            <w:bottom w:w="0" w:type="dxa"/>
            <w:right w:w="108" w:type="dxa"/>
          </w:tblCellMar>
        </w:tblPrEx>
        <w:trPr>
          <w:trHeight w:val="276" w:hRule="atLeast"/>
          <w:tblHeader/>
          <w:jc w:val="center"/>
        </w:trPr>
        <w:tc>
          <w:tcPr>
            <w:tcW w:w="87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开户行</w:t>
            </w:r>
          </w:p>
        </w:tc>
        <w:tc>
          <w:tcPr>
            <w:tcW w:w="43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账户性质</w:t>
            </w:r>
          </w:p>
        </w:tc>
        <w:tc>
          <w:tcPr>
            <w:tcW w:w="125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账号</w:t>
            </w:r>
          </w:p>
        </w:tc>
        <w:tc>
          <w:tcPr>
            <w:tcW w:w="58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预留印鉴</w:t>
            </w:r>
          </w:p>
          <w:p>
            <w:pPr>
              <w:jc w:val="center"/>
              <w:rPr>
                <w:rFonts w:ascii="Arial" w:hAnsi="Arial" w:cs="Arial"/>
                <w:b/>
                <w:bCs/>
                <w:color w:val="000000"/>
                <w:sz w:val="18"/>
                <w:szCs w:val="18"/>
              </w:rPr>
            </w:pPr>
            <w:r>
              <w:rPr>
                <w:rFonts w:ascii="Arial" w:hAnsi="Arial" w:cs="Arial"/>
                <w:b/>
                <w:bCs/>
                <w:color w:val="000000"/>
                <w:sz w:val="18"/>
                <w:szCs w:val="18"/>
              </w:rPr>
              <w:t>明细</w:t>
            </w:r>
          </w:p>
        </w:tc>
        <w:tc>
          <w:tcPr>
            <w:tcW w:w="43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是否开通网银</w:t>
            </w:r>
          </w:p>
        </w:tc>
        <w:tc>
          <w:tcPr>
            <w:tcW w:w="65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是否开通结算卡等其他功能</w:t>
            </w:r>
          </w:p>
        </w:tc>
        <w:tc>
          <w:tcPr>
            <w:tcW w:w="76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本期账户余额</w:t>
            </w:r>
          </w:p>
        </w:tc>
      </w:tr>
      <w:tr>
        <w:tblPrEx>
          <w:tblCellMar>
            <w:top w:w="0" w:type="dxa"/>
            <w:left w:w="108" w:type="dxa"/>
            <w:bottom w:w="0" w:type="dxa"/>
            <w:right w:w="108" w:type="dxa"/>
          </w:tblCellMar>
        </w:tblPrEx>
        <w:trPr>
          <w:trHeight w:val="341" w:hRule="atLeast"/>
          <w:tblHeader/>
          <w:jc w:val="center"/>
        </w:trPr>
        <w:tc>
          <w:tcPr>
            <w:tcW w:w="879"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432"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1256"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582"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432"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657"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762" w:type="pct"/>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（元）</w:t>
            </w:r>
          </w:p>
        </w:tc>
      </w:tr>
      <w:tr>
        <w:tblPrEx>
          <w:tblCellMar>
            <w:top w:w="0" w:type="dxa"/>
            <w:left w:w="108" w:type="dxa"/>
            <w:bottom w:w="0" w:type="dxa"/>
            <w:right w:w="108" w:type="dxa"/>
          </w:tblCellMar>
        </w:tblPrEx>
        <w:trPr>
          <w:trHeight w:val="616" w:hRule="atLeast"/>
          <w:jc w:val="center"/>
        </w:trPr>
        <w:tc>
          <w:tcPr>
            <w:tcW w:w="8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浙商银行重庆分行营业部</w:t>
            </w:r>
          </w:p>
        </w:tc>
        <w:tc>
          <w:tcPr>
            <w:tcW w:w="43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预售资金监管账户</w:t>
            </w:r>
          </w:p>
        </w:tc>
        <w:tc>
          <w:tcPr>
            <w:tcW w:w="1256"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6530000010120100645008</w:t>
            </w:r>
          </w:p>
        </w:tc>
        <w:tc>
          <w:tcPr>
            <w:tcW w:w="58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曾强+周静+李诗男+财务专用章</w:t>
            </w:r>
          </w:p>
        </w:tc>
        <w:tc>
          <w:tcPr>
            <w:tcW w:w="43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否</w:t>
            </w:r>
          </w:p>
        </w:tc>
        <w:tc>
          <w:tcPr>
            <w:tcW w:w="657"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业务委托书支付</w:t>
            </w:r>
          </w:p>
        </w:tc>
        <w:tc>
          <w:tcPr>
            <w:tcW w:w="76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142,546,981.81</w:t>
            </w:r>
          </w:p>
        </w:tc>
      </w:tr>
      <w:tr>
        <w:tblPrEx>
          <w:tblCellMar>
            <w:top w:w="0" w:type="dxa"/>
            <w:left w:w="108" w:type="dxa"/>
            <w:bottom w:w="0" w:type="dxa"/>
            <w:right w:w="108" w:type="dxa"/>
          </w:tblCellMar>
        </w:tblPrEx>
        <w:trPr>
          <w:trHeight w:val="616" w:hRule="atLeast"/>
          <w:jc w:val="center"/>
        </w:trPr>
        <w:tc>
          <w:tcPr>
            <w:tcW w:w="8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浙商银行重庆分行营业部</w:t>
            </w:r>
          </w:p>
        </w:tc>
        <w:tc>
          <w:tcPr>
            <w:tcW w:w="43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预售资金监管账户</w:t>
            </w:r>
          </w:p>
        </w:tc>
        <w:tc>
          <w:tcPr>
            <w:tcW w:w="1256"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6530000010120100655750</w:t>
            </w:r>
          </w:p>
        </w:tc>
        <w:tc>
          <w:tcPr>
            <w:tcW w:w="58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曾强+周静+李诗男+财务专用章</w:t>
            </w:r>
          </w:p>
        </w:tc>
        <w:tc>
          <w:tcPr>
            <w:tcW w:w="43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否</w:t>
            </w:r>
          </w:p>
        </w:tc>
        <w:tc>
          <w:tcPr>
            <w:tcW w:w="657"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业务委托书支付</w:t>
            </w:r>
          </w:p>
        </w:tc>
        <w:tc>
          <w:tcPr>
            <w:tcW w:w="76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3,810,151.00</w:t>
            </w:r>
          </w:p>
        </w:tc>
      </w:tr>
      <w:bookmarkEnd w:id="29"/>
    </w:tbl>
    <w:p>
      <w:pPr>
        <w:rPr>
          <w:rFonts w:ascii="Arial" w:hAnsi="Arial" w:cs="Arial"/>
          <w:snapToGrid w:val="0"/>
          <w:color w:val="000000"/>
          <w:w w:val="0"/>
          <w:sz w:val="0"/>
          <w:szCs w:val="0"/>
          <w:u w:color="000000"/>
          <w:shd w:val="clear" w:color="000000" w:fill="000000"/>
          <w:lang w:val="zh-CN" w:bidi="zh-CN"/>
        </w:rPr>
      </w:pPr>
      <w:r>
        <w:rPr>
          <w:rFonts w:ascii="Arial" w:hAnsi="Arial" w:cs="Arial"/>
          <w:snapToGrid w:val="0"/>
          <w:color w:val="000000"/>
          <w:w w:val="0"/>
          <w:sz w:val="0"/>
          <w:szCs w:val="0"/>
          <w:u w:color="000000"/>
          <w:shd w:val="clear" w:color="000000" w:fill="000000"/>
          <w:lang w:val="zh-CN" w:bidi="zh-CN"/>
        </w:rPr>
        <w:t xml:space="preserve"> </w:t>
      </w:r>
    </w:p>
    <w:p>
      <w:pPr>
        <w:tabs>
          <w:tab w:val="left" w:pos="826"/>
        </w:tabs>
        <w:spacing w:line="360" w:lineRule="auto"/>
        <w:ind w:right="960"/>
        <w:jc w:val="center"/>
        <w:rPr>
          <w:rFonts w:hint="eastAsia" w:ascii="Arial" w:hAnsi="Arial" w:cs="Arial"/>
        </w:rPr>
      </w:pPr>
      <w:r>
        <w:rPr>
          <w:rFonts w:cs="Arial"/>
          <w:b/>
          <w:bCs/>
          <w:szCs w:val="21"/>
        </w:rPr>
        <w:drawing>
          <wp:inline distT="0" distB="0" distL="0" distR="0">
            <wp:extent cx="6120130" cy="2614930"/>
            <wp:effectExtent l="0" t="0" r="127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20130" cy="2614930"/>
                    </a:xfrm>
                    <a:prstGeom prst="rect">
                      <a:avLst/>
                    </a:prstGeom>
                    <a:noFill/>
                    <a:ln>
                      <a:noFill/>
                    </a:ln>
                  </pic:spPr>
                </pic:pic>
              </a:graphicData>
            </a:graphic>
          </wp:inline>
        </w:drawing>
      </w:r>
    </w:p>
    <w:p>
      <w:pPr>
        <w:tabs>
          <w:tab w:val="left" w:pos="826"/>
        </w:tabs>
        <w:spacing w:line="360" w:lineRule="auto"/>
        <w:ind w:right="960"/>
        <w:jc w:val="center"/>
        <w:rPr>
          <w:rFonts w:ascii="Arial" w:hAnsi="Arial" w:cs="Arial"/>
        </w:rPr>
      </w:pPr>
      <w:r>
        <w:rPr>
          <w:rFonts w:cs="Arial"/>
          <w:b/>
          <w:bCs/>
          <w:szCs w:val="21"/>
        </w:rPr>
        <w:drawing>
          <wp:inline distT="0" distB="0" distL="0" distR="0">
            <wp:extent cx="6120130" cy="2832100"/>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20130" cy="2832100"/>
                    </a:xfrm>
                    <a:prstGeom prst="rect">
                      <a:avLst/>
                    </a:prstGeom>
                    <a:noFill/>
                    <a:ln>
                      <a:noFill/>
                    </a:ln>
                  </pic:spPr>
                </pic:pic>
              </a:graphicData>
            </a:graphic>
          </wp:inline>
        </w:drawing>
      </w:r>
    </w:p>
    <w:sectPr>
      <w:footerReference r:id="rId5" w:type="default"/>
      <w:pgSz w:w="11906" w:h="16838"/>
      <w:pgMar w:top="1843" w:right="1134" w:bottom="1134" w:left="1134"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Helvetica Neue">
    <w:altName w:val="Times New Roman"/>
    <w:panose1 w:val="00000000000000000000"/>
    <w:charset w:val="00"/>
    <w:family w:val="auto"/>
    <w:pitch w:val="default"/>
    <w:sig w:usb0="00000000" w:usb1="00000000" w:usb2="0000001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lim="800000"/>
                      </a:ln>
                    </wps:spPr>
                    <wps:txbx>
                      <w:txbxContent>
                        <w:sdt>
                          <w:sdtPr>
                            <w:id w:val="1147870489"/>
                          </w:sdtPr>
                          <w:sdtContent>
                            <w:p>
                              <w:pPr>
                                <w:pStyle w:val="9"/>
                                <w:jc w:val="center"/>
                              </w:pPr>
                              <w:r>
                                <w:fldChar w:fldCharType="begin"/>
                              </w:r>
                              <w:r>
                                <w:instrText xml:space="preserve">PAGE   \* MERGEFORMAT</w:instrText>
                              </w:r>
                              <w:r>
                                <w:fldChar w:fldCharType="separate"/>
                              </w:r>
                              <w:r>
                                <w:rPr>
                                  <w:lang w:val="zh-CN"/>
                                </w:rPr>
                                <w:t>32</w:t>
                              </w:r>
                              <w:r>
                                <w:fldChar w:fldCharType="end"/>
                              </w:r>
                            </w:p>
                          </w:sdtContent>
                        </w:sdt>
                        <w:p/>
                      </w:txbxContent>
                    </wps:txbx>
                    <wps:bodyPr rot="0" spcFirstLastPara="0" vertOverflow="overflow" horzOverflow="overflow" vert="horz" wrap="none" lIns="0" tIns="0" rIns="0" bIns="0" numCol="1" spcCol="0" rtlCol="0" fromWordArt="0" anchor="ctr"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v-text-anchor:middle;mso-width-relative:page;mso-height-relative:page;" filled="f" stroked="f" coordsize="21600,21600" o:gfxdata="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dA3zfRAAAABQEAAA8AAAAAAAAAAQAgAAAAIgAAAGRycy9kb3ducmV2Lnht&#10;bFBLAQIUABQAAAAIAIdO4kCqw4r/OQIAAG4EAAAOAAAAAAAAAAEAIAAAACABAABkcnMvZTJvRG9j&#10;LnhtbFBLBQYAAAAABgAGAFkBAADLBQAAAAA=&#10;">
              <v:fill on="f" focussize="0,0"/>
              <v:stroke on="f" miterlimit="8" joinstyle="miter"/>
              <v:imagedata o:title=""/>
              <o:lock v:ext="edit" aspectratio="f"/>
              <v:textbox inset="0mm,0mm,0mm,0mm" style="mso-fit-shape-to-text:t;">
                <w:txbxContent>
                  <w:sdt>
                    <w:sdtPr>
                      <w:id w:val="1147870489"/>
                    </w:sdtPr>
                    <w:sdtContent>
                      <w:p>
                        <w:pPr>
                          <w:pStyle w:val="9"/>
                          <w:jc w:val="center"/>
                        </w:pPr>
                        <w:r>
                          <w:fldChar w:fldCharType="begin"/>
                        </w:r>
                        <w:r>
                          <w:instrText xml:space="preserve">PAGE   \* MERGEFORMAT</w:instrText>
                        </w:r>
                        <w:r>
                          <w:fldChar w:fldCharType="separate"/>
                        </w:r>
                        <w:r>
                          <w:rPr>
                            <w:lang w:val="zh-CN"/>
                          </w:rPr>
                          <w:t>32</w:t>
                        </w:r>
                        <w:r>
                          <w:fldChar w:fldCharType="end"/>
                        </w:r>
                      </w:p>
                    </w:sdtContent>
                  </w:sdt>
                  <w:p/>
                </w:txbxContent>
              </v:textbox>
            </v:shape>
          </w:pict>
        </mc:Fallback>
      </mc:AlternateContent>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rPr>
      <w:t>2020年12月监管月报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80"/>
    <w:rsid w:val="00000F7A"/>
    <w:rsid w:val="00004315"/>
    <w:rsid w:val="0000451D"/>
    <w:rsid w:val="00004DB8"/>
    <w:rsid w:val="00006FE2"/>
    <w:rsid w:val="00007D45"/>
    <w:rsid w:val="00007E13"/>
    <w:rsid w:val="000113FF"/>
    <w:rsid w:val="00015D60"/>
    <w:rsid w:val="00016293"/>
    <w:rsid w:val="000201AC"/>
    <w:rsid w:val="000210A0"/>
    <w:rsid w:val="00021882"/>
    <w:rsid w:val="000232A5"/>
    <w:rsid w:val="00025295"/>
    <w:rsid w:val="00025E05"/>
    <w:rsid w:val="00031293"/>
    <w:rsid w:val="00032008"/>
    <w:rsid w:val="0003218B"/>
    <w:rsid w:val="00032C11"/>
    <w:rsid w:val="0003483C"/>
    <w:rsid w:val="0003632A"/>
    <w:rsid w:val="00036D6D"/>
    <w:rsid w:val="00037915"/>
    <w:rsid w:val="000410FA"/>
    <w:rsid w:val="00043605"/>
    <w:rsid w:val="00045783"/>
    <w:rsid w:val="00045FC6"/>
    <w:rsid w:val="00046A43"/>
    <w:rsid w:val="00047D9F"/>
    <w:rsid w:val="00050082"/>
    <w:rsid w:val="000509C1"/>
    <w:rsid w:val="00051272"/>
    <w:rsid w:val="0005251C"/>
    <w:rsid w:val="00053FAE"/>
    <w:rsid w:val="000558CA"/>
    <w:rsid w:val="000559AB"/>
    <w:rsid w:val="00056052"/>
    <w:rsid w:val="00056E22"/>
    <w:rsid w:val="000604A4"/>
    <w:rsid w:val="00060651"/>
    <w:rsid w:val="00060EAD"/>
    <w:rsid w:val="00061031"/>
    <w:rsid w:val="00061A31"/>
    <w:rsid w:val="000644BE"/>
    <w:rsid w:val="00064C98"/>
    <w:rsid w:val="0006554D"/>
    <w:rsid w:val="00066FDF"/>
    <w:rsid w:val="000671DB"/>
    <w:rsid w:val="000708B1"/>
    <w:rsid w:val="00070F2F"/>
    <w:rsid w:val="0007333A"/>
    <w:rsid w:val="00074670"/>
    <w:rsid w:val="00074C16"/>
    <w:rsid w:val="0007518A"/>
    <w:rsid w:val="000852E2"/>
    <w:rsid w:val="000855FC"/>
    <w:rsid w:val="00086483"/>
    <w:rsid w:val="0008780F"/>
    <w:rsid w:val="000906DF"/>
    <w:rsid w:val="00091003"/>
    <w:rsid w:val="0009184C"/>
    <w:rsid w:val="000920A9"/>
    <w:rsid w:val="0009274C"/>
    <w:rsid w:val="00092E3B"/>
    <w:rsid w:val="00094D33"/>
    <w:rsid w:val="0009530A"/>
    <w:rsid w:val="0009587E"/>
    <w:rsid w:val="0009762F"/>
    <w:rsid w:val="000A065A"/>
    <w:rsid w:val="000A148F"/>
    <w:rsid w:val="000A30BF"/>
    <w:rsid w:val="000A7566"/>
    <w:rsid w:val="000B00D7"/>
    <w:rsid w:val="000B0110"/>
    <w:rsid w:val="000B1740"/>
    <w:rsid w:val="000B2199"/>
    <w:rsid w:val="000B34ED"/>
    <w:rsid w:val="000B5F20"/>
    <w:rsid w:val="000B7873"/>
    <w:rsid w:val="000C1F36"/>
    <w:rsid w:val="000C54AC"/>
    <w:rsid w:val="000C71F0"/>
    <w:rsid w:val="000C79C2"/>
    <w:rsid w:val="000D2760"/>
    <w:rsid w:val="000D37E8"/>
    <w:rsid w:val="000D397F"/>
    <w:rsid w:val="000D4D6D"/>
    <w:rsid w:val="000D4D81"/>
    <w:rsid w:val="000D53BF"/>
    <w:rsid w:val="000E0C5B"/>
    <w:rsid w:val="000E1195"/>
    <w:rsid w:val="000E3D75"/>
    <w:rsid w:val="000F3A05"/>
    <w:rsid w:val="000F3FA2"/>
    <w:rsid w:val="000F4FA0"/>
    <w:rsid w:val="000F50A4"/>
    <w:rsid w:val="001038BE"/>
    <w:rsid w:val="00103D69"/>
    <w:rsid w:val="00104539"/>
    <w:rsid w:val="00104605"/>
    <w:rsid w:val="00105AB8"/>
    <w:rsid w:val="00113559"/>
    <w:rsid w:val="0011533D"/>
    <w:rsid w:val="0012059E"/>
    <w:rsid w:val="0012172C"/>
    <w:rsid w:val="00121B8B"/>
    <w:rsid w:val="00122C79"/>
    <w:rsid w:val="00123D17"/>
    <w:rsid w:val="00126098"/>
    <w:rsid w:val="0012650A"/>
    <w:rsid w:val="00126D26"/>
    <w:rsid w:val="001279BB"/>
    <w:rsid w:val="00135D36"/>
    <w:rsid w:val="00136407"/>
    <w:rsid w:val="00136E3A"/>
    <w:rsid w:val="00140BA9"/>
    <w:rsid w:val="00142843"/>
    <w:rsid w:val="001439D7"/>
    <w:rsid w:val="00143FBE"/>
    <w:rsid w:val="001476BC"/>
    <w:rsid w:val="0015014A"/>
    <w:rsid w:val="00150CBA"/>
    <w:rsid w:val="00156EBC"/>
    <w:rsid w:val="001573CA"/>
    <w:rsid w:val="00160A3D"/>
    <w:rsid w:val="00162EB1"/>
    <w:rsid w:val="0016392F"/>
    <w:rsid w:val="001643E8"/>
    <w:rsid w:val="001652F8"/>
    <w:rsid w:val="0016586A"/>
    <w:rsid w:val="00166E1E"/>
    <w:rsid w:val="00166E72"/>
    <w:rsid w:val="00172B3E"/>
    <w:rsid w:val="00176373"/>
    <w:rsid w:val="001872CB"/>
    <w:rsid w:val="001943F0"/>
    <w:rsid w:val="001944D1"/>
    <w:rsid w:val="00195B1A"/>
    <w:rsid w:val="00196720"/>
    <w:rsid w:val="0019757F"/>
    <w:rsid w:val="001A1FEE"/>
    <w:rsid w:val="001A331C"/>
    <w:rsid w:val="001A61BD"/>
    <w:rsid w:val="001A7211"/>
    <w:rsid w:val="001A76FC"/>
    <w:rsid w:val="001B07F0"/>
    <w:rsid w:val="001B085F"/>
    <w:rsid w:val="001B215D"/>
    <w:rsid w:val="001B243F"/>
    <w:rsid w:val="001B24F5"/>
    <w:rsid w:val="001B4822"/>
    <w:rsid w:val="001B48ED"/>
    <w:rsid w:val="001B4C23"/>
    <w:rsid w:val="001C016A"/>
    <w:rsid w:val="001C1666"/>
    <w:rsid w:val="001C1747"/>
    <w:rsid w:val="001C5F16"/>
    <w:rsid w:val="001D2127"/>
    <w:rsid w:val="001D74C2"/>
    <w:rsid w:val="001D753D"/>
    <w:rsid w:val="001E0CBC"/>
    <w:rsid w:val="001E23B2"/>
    <w:rsid w:val="001E59B5"/>
    <w:rsid w:val="001E5D91"/>
    <w:rsid w:val="001F083E"/>
    <w:rsid w:val="001F1491"/>
    <w:rsid w:val="001F450A"/>
    <w:rsid w:val="001F4F2F"/>
    <w:rsid w:val="001F5FA0"/>
    <w:rsid w:val="001F7D54"/>
    <w:rsid w:val="0020444D"/>
    <w:rsid w:val="00205064"/>
    <w:rsid w:val="0020516C"/>
    <w:rsid w:val="00206D66"/>
    <w:rsid w:val="0021072F"/>
    <w:rsid w:val="00210F2A"/>
    <w:rsid w:val="0021300C"/>
    <w:rsid w:val="002151B5"/>
    <w:rsid w:val="00215FE6"/>
    <w:rsid w:val="002164C2"/>
    <w:rsid w:val="00220868"/>
    <w:rsid w:val="002234FF"/>
    <w:rsid w:val="0022531E"/>
    <w:rsid w:val="00226311"/>
    <w:rsid w:val="002266C6"/>
    <w:rsid w:val="00227324"/>
    <w:rsid w:val="00230075"/>
    <w:rsid w:val="00234149"/>
    <w:rsid w:val="00234393"/>
    <w:rsid w:val="00235001"/>
    <w:rsid w:val="00236F2E"/>
    <w:rsid w:val="002370C4"/>
    <w:rsid w:val="00241FFB"/>
    <w:rsid w:val="00242E31"/>
    <w:rsid w:val="00245651"/>
    <w:rsid w:val="00246C30"/>
    <w:rsid w:val="00247F31"/>
    <w:rsid w:val="00250C18"/>
    <w:rsid w:val="00254D6F"/>
    <w:rsid w:val="00255A72"/>
    <w:rsid w:val="002605F9"/>
    <w:rsid w:val="00260C22"/>
    <w:rsid w:val="00262309"/>
    <w:rsid w:val="0026255E"/>
    <w:rsid w:val="00263715"/>
    <w:rsid w:val="00263E49"/>
    <w:rsid w:val="002643BD"/>
    <w:rsid w:val="00272AC6"/>
    <w:rsid w:val="00272E8C"/>
    <w:rsid w:val="002735D5"/>
    <w:rsid w:val="00276595"/>
    <w:rsid w:val="00280543"/>
    <w:rsid w:val="00280E4F"/>
    <w:rsid w:val="00282D5E"/>
    <w:rsid w:val="00283023"/>
    <w:rsid w:val="002912DE"/>
    <w:rsid w:val="002913EB"/>
    <w:rsid w:val="00292093"/>
    <w:rsid w:val="002932A2"/>
    <w:rsid w:val="00293A93"/>
    <w:rsid w:val="002951DD"/>
    <w:rsid w:val="002973B8"/>
    <w:rsid w:val="002A08BF"/>
    <w:rsid w:val="002A139E"/>
    <w:rsid w:val="002A17D0"/>
    <w:rsid w:val="002A4D11"/>
    <w:rsid w:val="002B1253"/>
    <w:rsid w:val="002B1935"/>
    <w:rsid w:val="002C0480"/>
    <w:rsid w:val="002C1DD1"/>
    <w:rsid w:val="002C3048"/>
    <w:rsid w:val="002C370C"/>
    <w:rsid w:val="002C6D02"/>
    <w:rsid w:val="002C7795"/>
    <w:rsid w:val="002D0503"/>
    <w:rsid w:val="002D22EB"/>
    <w:rsid w:val="002D22FB"/>
    <w:rsid w:val="002D2CC9"/>
    <w:rsid w:val="002D65A4"/>
    <w:rsid w:val="002D7E31"/>
    <w:rsid w:val="002E0470"/>
    <w:rsid w:val="002E05AB"/>
    <w:rsid w:val="002E2933"/>
    <w:rsid w:val="002E2C63"/>
    <w:rsid w:val="002E2D55"/>
    <w:rsid w:val="002E514A"/>
    <w:rsid w:val="002E5449"/>
    <w:rsid w:val="002E600D"/>
    <w:rsid w:val="002E69B8"/>
    <w:rsid w:val="002F13CA"/>
    <w:rsid w:val="002F219F"/>
    <w:rsid w:val="002F6158"/>
    <w:rsid w:val="002F7CC7"/>
    <w:rsid w:val="0030000A"/>
    <w:rsid w:val="003001A5"/>
    <w:rsid w:val="003028D3"/>
    <w:rsid w:val="0030313E"/>
    <w:rsid w:val="00307EF8"/>
    <w:rsid w:val="00314C8B"/>
    <w:rsid w:val="00316CF8"/>
    <w:rsid w:val="00325BFD"/>
    <w:rsid w:val="003261C5"/>
    <w:rsid w:val="00326591"/>
    <w:rsid w:val="00327DFE"/>
    <w:rsid w:val="00330AB5"/>
    <w:rsid w:val="0033182B"/>
    <w:rsid w:val="00333BEB"/>
    <w:rsid w:val="003347ED"/>
    <w:rsid w:val="00335123"/>
    <w:rsid w:val="0033538D"/>
    <w:rsid w:val="00335A87"/>
    <w:rsid w:val="00336FD0"/>
    <w:rsid w:val="00342F5B"/>
    <w:rsid w:val="00343658"/>
    <w:rsid w:val="00345D8B"/>
    <w:rsid w:val="003474D3"/>
    <w:rsid w:val="00347621"/>
    <w:rsid w:val="00350453"/>
    <w:rsid w:val="00350B70"/>
    <w:rsid w:val="00351D21"/>
    <w:rsid w:val="00353827"/>
    <w:rsid w:val="0035450D"/>
    <w:rsid w:val="003569BA"/>
    <w:rsid w:val="00365DEE"/>
    <w:rsid w:val="003660C2"/>
    <w:rsid w:val="00366740"/>
    <w:rsid w:val="00370776"/>
    <w:rsid w:val="00373AD6"/>
    <w:rsid w:val="00374CD3"/>
    <w:rsid w:val="003751F3"/>
    <w:rsid w:val="003806B6"/>
    <w:rsid w:val="00381B86"/>
    <w:rsid w:val="0038616A"/>
    <w:rsid w:val="00387869"/>
    <w:rsid w:val="0039225A"/>
    <w:rsid w:val="00393646"/>
    <w:rsid w:val="003961A4"/>
    <w:rsid w:val="003971B6"/>
    <w:rsid w:val="00397E9B"/>
    <w:rsid w:val="003A0B0C"/>
    <w:rsid w:val="003A1B83"/>
    <w:rsid w:val="003A38C6"/>
    <w:rsid w:val="003A4EFD"/>
    <w:rsid w:val="003A6299"/>
    <w:rsid w:val="003A717E"/>
    <w:rsid w:val="003A7973"/>
    <w:rsid w:val="003A7E2C"/>
    <w:rsid w:val="003B08FD"/>
    <w:rsid w:val="003B11F7"/>
    <w:rsid w:val="003B1B19"/>
    <w:rsid w:val="003B3012"/>
    <w:rsid w:val="003B4B14"/>
    <w:rsid w:val="003C42F1"/>
    <w:rsid w:val="003C4E49"/>
    <w:rsid w:val="003C791D"/>
    <w:rsid w:val="003D023B"/>
    <w:rsid w:val="003D2563"/>
    <w:rsid w:val="003D3F34"/>
    <w:rsid w:val="003D4673"/>
    <w:rsid w:val="003D49FD"/>
    <w:rsid w:val="003D4D16"/>
    <w:rsid w:val="003D7722"/>
    <w:rsid w:val="003E010B"/>
    <w:rsid w:val="003E1AD9"/>
    <w:rsid w:val="003E26D8"/>
    <w:rsid w:val="003E2E02"/>
    <w:rsid w:val="003E4C38"/>
    <w:rsid w:val="003E51A2"/>
    <w:rsid w:val="003E69F3"/>
    <w:rsid w:val="003E716B"/>
    <w:rsid w:val="003E7EE3"/>
    <w:rsid w:val="003F361C"/>
    <w:rsid w:val="003F5A04"/>
    <w:rsid w:val="003F6561"/>
    <w:rsid w:val="00400D81"/>
    <w:rsid w:val="004076CF"/>
    <w:rsid w:val="00407E0E"/>
    <w:rsid w:val="00410B37"/>
    <w:rsid w:val="00410B9D"/>
    <w:rsid w:val="004128BB"/>
    <w:rsid w:val="004152D7"/>
    <w:rsid w:val="0041557D"/>
    <w:rsid w:val="004176DD"/>
    <w:rsid w:val="00417D1F"/>
    <w:rsid w:val="00421A64"/>
    <w:rsid w:val="00421BC3"/>
    <w:rsid w:val="00421F2A"/>
    <w:rsid w:val="0042306E"/>
    <w:rsid w:val="004248E2"/>
    <w:rsid w:val="00425D04"/>
    <w:rsid w:val="00432204"/>
    <w:rsid w:val="00433F9D"/>
    <w:rsid w:val="004422DE"/>
    <w:rsid w:val="0044230F"/>
    <w:rsid w:val="004446AB"/>
    <w:rsid w:val="00444CC5"/>
    <w:rsid w:val="004454F7"/>
    <w:rsid w:val="00445F4F"/>
    <w:rsid w:val="00447C83"/>
    <w:rsid w:val="00447E4B"/>
    <w:rsid w:val="004501E1"/>
    <w:rsid w:val="00450843"/>
    <w:rsid w:val="0045192B"/>
    <w:rsid w:val="004619EB"/>
    <w:rsid w:val="00462AEE"/>
    <w:rsid w:val="0046440F"/>
    <w:rsid w:val="00465548"/>
    <w:rsid w:val="0046580A"/>
    <w:rsid w:val="004665D4"/>
    <w:rsid w:val="00466FDE"/>
    <w:rsid w:val="0047031D"/>
    <w:rsid w:val="00473365"/>
    <w:rsid w:val="0047363E"/>
    <w:rsid w:val="004746A2"/>
    <w:rsid w:val="00474A17"/>
    <w:rsid w:val="00476C54"/>
    <w:rsid w:val="00480927"/>
    <w:rsid w:val="00483E55"/>
    <w:rsid w:val="00486FC9"/>
    <w:rsid w:val="004901BE"/>
    <w:rsid w:val="00491DA3"/>
    <w:rsid w:val="004A0B70"/>
    <w:rsid w:val="004A4B9A"/>
    <w:rsid w:val="004B0FD4"/>
    <w:rsid w:val="004B33BF"/>
    <w:rsid w:val="004B4D79"/>
    <w:rsid w:val="004C1F9B"/>
    <w:rsid w:val="004C2404"/>
    <w:rsid w:val="004C2B34"/>
    <w:rsid w:val="004C4CAD"/>
    <w:rsid w:val="004C4F3D"/>
    <w:rsid w:val="004C52FD"/>
    <w:rsid w:val="004C7516"/>
    <w:rsid w:val="004D1573"/>
    <w:rsid w:val="004D34C9"/>
    <w:rsid w:val="004D72EC"/>
    <w:rsid w:val="004E15F0"/>
    <w:rsid w:val="004E2F76"/>
    <w:rsid w:val="004E3A7C"/>
    <w:rsid w:val="004E3EEE"/>
    <w:rsid w:val="004E40BD"/>
    <w:rsid w:val="004E5504"/>
    <w:rsid w:val="004E75D3"/>
    <w:rsid w:val="004F033E"/>
    <w:rsid w:val="004F0A8E"/>
    <w:rsid w:val="004F129D"/>
    <w:rsid w:val="004F1C12"/>
    <w:rsid w:val="004F26E0"/>
    <w:rsid w:val="004F4CEA"/>
    <w:rsid w:val="004F66A6"/>
    <w:rsid w:val="004F6CDB"/>
    <w:rsid w:val="004F6F34"/>
    <w:rsid w:val="004F78F6"/>
    <w:rsid w:val="00505551"/>
    <w:rsid w:val="00506BDF"/>
    <w:rsid w:val="00510254"/>
    <w:rsid w:val="0051292E"/>
    <w:rsid w:val="00512D50"/>
    <w:rsid w:val="0051422B"/>
    <w:rsid w:val="0051445E"/>
    <w:rsid w:val="00514879"/>
    <w:rsid w:val="005179FA"/>
    <w:rsid w:val="00521CE7"/>
    <w:rsid w:val="0052214E"/>
    <w:rsid w:val="00523C8C"/>
    <w:rsid w:val="00525A12"/>
    <w:rsid w:val="00527B32"/>
    <w:rsid w:val="00530C70"/>
    <w:rsid w:val="00530CD3"/>
    <w:rsid w:val="00530CF0"/>
    <w:rsid w:val="005334A5"/>
    <w:rsid w:val="00534F27"/>
    <w:rsid w:val="0053745A"/>
    <w:rsid w:val="00541C59"/>
    <w:rsid w:val="00544987"/>
    <w:rsid w:val="00545976"/>
    <w:rsid w:val="00545F95"/>
    <w:rsid w:val="00553547"/>
    <w:rsid w:val="00556251"/>
    <w:rsid w:val="00556726"/>
    <w:rsid w:val="00561426"/>
    <w:rsid w:val="005645B9"/>
    <w:rsid w:val="005651C8"/>
    <w:rsid w:val="00565BB8"/>
    <w:rsid w:val="00565DEC"/>
    <w:rsid w:val="00567D3E"/>
    <w:rsid w:val="005714FD"/>
    <w:rsid w:val="00571AD8"/>
    <w:rsid w:val="0057287F"/>
    <w:rsid w:val="00573619"/>
    <w:rsid w:val="00574CE2"/>
    <w:rsid w:val="005757B7"/>
    <w:rsid w:val="00576A3E"/>
    <w:rsid w:val="00581287"/>
    <w:rsid w:val="005812F2"/>
    <w:rsid w:val="00582777"/>
    <w:rsid w:val="00586A7B"/>
    <w:rsid w:val="00587300"/>
    <w:rsid w:val="0058752B"/>
    <w:rsid w:val="005944DB"/>
    <w:rsid w:val="005969AE"/>
    <w:rsid w:val="005A01ED"/>
    <w:rsid w:val="005A0BD8"/>
    <w:rsid w:val="005A1124"/>
    <w:rsid w:val="005A156F"/>
    <w:rsid w:val="005A157D"/>
    <w:rsid w:val="005A2664"/>
    <w:rsid w:val="005A2903"/>
    <w:rsid w:val="005A2D73"/>
    <w:rsid w:val="005A3FC6"/>
    <w:rsid w:val="005A4A79"/>
    <w:rsid w:val="005A6E97"/>
    <w:rsid w:val="005B18FF"/>
    <w:rsid w:val="005B2539"/>
    <w:rsid w:val="005B28DD"/>
    <w:rsid w:val="005B32D8"/>
    <w:rsid w:val="005B35D8"/>
    <w:rsid w:val="005B3B2E"/>
    <w:rsid w:val="005B5EE9"/>
    <w:rsid w:val="005B622F"/>
    <w:rsid w:val="005B74AF"/>
    <w:rsid w:val="005C0E1A"/>
    <w:rsid w:val="005C1AB8"/>
    <w:rsid w:val="005C1F94"/>
    <w:rsid w:val="005C22AA"/>
    <w:rsid w:val="005C32AE"/>
    <w:rsid w:val="005C3D84"/>
    <w:rsid w:val="005C568B"/>
    <w:rsid w:val="005C7D5A"/>
    <w:rsid w:val="005D49A7"/>
    <w:rsid w:val="005D7F0A"/>
    <w:rsid w:val="005E0786"/>
    <w:rsid w:val="005E0881"/>
    <w:rsid w:val="005E1B6A"/>
    <w:rsid w:val="005E2785"/>
    <w:rsid w:val="005E2CFC"/>
    <w:rsid w:val="005E42D9"/>
    <w:rsid w:val="005F01C9"/>
    <w:rsid w:val="005F39BB"/>
    <w:rsid w:val="006006C6"/>
    <w:rsid w:val="006165B8"/>
    <w:rsid w:val="00620127"/>
    <w:rsid w:val="006224E1"/>
    <w:rsid w:val="00622682"/>
    <w:rsid w:val="00623015"/>
    <w:rsid w:val="00627926"/>
    <w:rsid w:val="00627B9A"/>
    <w:rsid w:val="00630B5B"/>
    <w:rsid w:val="00631DC5"/>
    <w:rsid w:val="006323F9"/>
    <w:rsid w:val="006351F8"/>
    <w:rsid w:val="006359D9"/>
    <w:rsid w:val="00636CEC"/>
    <w:rsid w:val="00637234"/>
    <w:rsid w:val="006375CB"/>
    <w:rsid w:val="00637F21"/>
    <w:rsid w:val="00640E30"/>
    <w:rsid w:val="006423CD"/>
    <w:rsid w:val="0064242B"/>
    <w:rsid w:val="0064250D"/>
    <w:rsid w:val="00643D84"/>
    <w:rsid w:val="0064759E"/>
    <w:rsid w:val="0064794D"/>
    <w:rsid w:val="00650A20"/>
    <w:rsid w:val="00650B3A"/>
    <w:rsid w:val="00650D61"/>
    <w:rsid w:val="00651864"/>
    <w:rsid w:val="00651E0A"/>
    <w:rsid w:val="0065401D"/>
    <w:rsid w:val="00654C28"/>
    <w:rsid w:val="00656E12"/>
    <w:rsid w:val="00660594"/>
    <w:rsid w:val="00660CB5"/>
    <w:rsid w:val="00662C74"/>
    <w:rsid w:val="00663DEF"/>
    <w:rsid w:val="00664714"/>
    <w:rsid w:val="006647B3"/>
    <w:rsid w:val="00664AD9"/>
    <w:rsid w:val="006654A3"/>
    <w:rsid w:val="006670C9"/>
    <w:rsid w:val="006712C5"/>
    <w:rsid w:val="00671524"/>
    <w:rsid w:val="0067227B"/>
    <w:rsid w:val="00674C0F"/>
    <w:rsid w:val="00675DA0"/>
    <w:rsid w:val="00682059"/>
    <w:rsid w:val="006833A1"/>
    <w:rsid w:val="00685072"/>
    <w:rsid w:val="00686081"/>
    <w:rsid w:val="0068615A"/>
    <w:rsid w:val="0068735A"/>
    <w:rsid w:val="00687466"/>
    <w:rsid w:val="00690C83"/>
    <w:rsid w:val="0069415B"/>
    <w:rsid w:val="00696C1A"/>
    <w:rsid w:val="00697254"/>
    <w:rsid w:val="00697375"/>
    <w:rsid w:val="006A0429"/>
    <w:rsid w:val="006A36B3"/>
    <w:rsid w:val="006A5C85"/>
    <w:rsid w:val="006A6DB3"/>
    <w:rsid w:val="006A737A"/>
    <w:rsid w:val="006A79C2"/>
    <w:rsid w:val="006B337E"/>
    <w:rsid w:val="006B3D83"/>
    <w:rsid w:val="006B4F41"/>
    <w:rsid w:val="006B5E9A"/>
    <w:rsid w:val="006B6383"/>
    <w:rsid w:val="006B6DB6"/>
    <w:rsid w:val="006C31CA"/>
    <w:rsid w:val="006C4166"/>
    <w:rsid w:val="006C44A4"/>
    <w:rsid w:val="006C4B46"/>
    <w:rsid w:val="006C5DF3"/>
    <w:rsid w:val="006C66C9"/>
    <w:rsid w:val="006D075E"/>
    <w:rsid w:val="006D0ACB"/>
    <w:rsid w:val="006D0F69"/>
    <w:rsid w:val="006D1684"/>
    <w:rsid w:val="006D2512"/>
    <w:rsid w:val="006D28CC"/>
    <w:rsid w:val="006D367B"/>
    <w:rsid w:val="006D3684"/>
    <w:rsid w:val="006D49D1"/>
    <w:rsid w:val="006D4D82"/>
    <w:rsid w:val="006D5B25"/>
    <w:rsid w:val="006D6542"/>
    <w:rsid w:val="006D6B24"/>
    <w:rsid w:val="006D7CAA"/>
    <w:rsid w:val="006E0A78"/>
    <w:rsid w:val="006E1FE6"/>
    <w:rsid w:val="006E228B"/>
    <w:rsid w:val="006E2B47"/>
    <w:rsid w:val="006E340E"/>
    <w:rsid w:val="006E38B5"/>
    <w:rsid w:val="006E44AE"/>
    <w:rsid w:val="006E5EEF"/>
    <w:rsid w:val="006E5F42"/>
    <w:rsid w:val="006E65F8"/>
    <w:rsid w:val="006F1517"/>
    <w:rsid w:val="0070009B"/>
    <w:rsid w:val="00701B17"/>
    <w:rsid w:val="00705609"/>
    <w:rsid w:val="00705E9D"/>
    <w:rsid w:val="00707A63"/>
    <w:rsid w:val="00707B91"/>
    <w:rsid w:val="00715803"/>
    <w:rsid w:val="00715F87"/>
    <w:rsid w:val="00716402"/>
    <w:rsid w:val="00721474"/>
    <w:rsid w:val="007217A0"/>
    <w:rsid w:val="00721A05"/>
    <w:rsid w:val="0072228F"/>
    <w:rsid w:val="0072313F"/>
    <w:rsid w:val="00723613"/>
    <w:rsid w:val="00723AA0"/>
    <w:rsid w:val="007241D2"/>
    <w:rsid w:val="00724270"/>
    <w:rsid w:val="007265B2"/>
    <w:rsid w:val="00726956"/>
    <w:rsid w:val="00731518"/>
    <w:rsid w:val="00735C2E"/>
    <w:rsid w:val="00736685"/>
    <w:rsid w:val="00741F02"/>
    <w:rsid w:val="007422D1"/>
    <w:rsid w:val="007432E6"/>
    <w:rsid w:val="00743E07"/>
    <w:rsid w:val="007453F1"/>
    <w:rsid w:val="00745CF1"/>
    <w:rsid w:val="007463E0"/>
    <w:rsid w:val="00746987"/>
    <w:rsid w:val="00746A7C"/>
    <w:rsid w:val="00751354"/>
    <w:rsid w:val="007516AE"/>
    <w:rsid w:val="00752CD4"/>
    <w:rsid w:val="00752EE7"/>
    <w:rsid w:val="00754F32"/>
    <w:rsid w:val="00756ADE"/>
    <w:rsid w:val="00757A64"/>
    <w:rsid w:val="00761761"/>
    <w:rsid w:val="00762CEC"/>
    <w:rsid w:val="0076343A"/>
    <w:rsid w:val="00763493"/>
    <w:rsid w:val="00765C77"/>
    <w:rsid w:val="00766AA1"/>
    <w:rsid w:val="00766D5C"/>
    <w:rsid w:val="00767825"/>
    <w:rsid w:val="00767C64"/>
    <w:rsid w:val="007733A3"/>
    <w:rsid w:val="00774608"/>
    <w:rsid w:val="00774A6C"/>
    <w:rsid w:val="00774BF5"/>
    <w:rsid w:val="00776F83"/>
    <w:rsid w:val="00777458"/>
    <w:rsid w:val="00777840"/>
    <w:rsid w:val="00781FC1"/>
    <w:rsid w:val="007822F6"/>
    <w:rsid w:val="00783A3B"/>
    <w:rsid w:val="00783BDB"/>
    <w:rsid w:val="00784087"/>
    <w:rsid w:val="0078424B"/>
    <w:rsid w:val="00784CDD"/>
    <w:rsid w:val="007852C3"/>
    <w:rsid w:val="00790510"/>
    <w:rsid w:val="007931C6"/>
    <w:rsid w:val="00793732"/>
    <w:rsid w:val="00795C64"/>
    <w:rsid w:val="007A1268"/>
    <w:rsid w:val="007A1ED7"/>
    <w:rsid w:val="007A2362"/>
    <w:rsid w:val="007A323F"/>
    <w:rsid w:val="007A3AD7"/>
    <w:rsid w:val="007B00C7"/>
    <w:rsid w:val="007B08D6"/>
    <w:rsid w:val="007B0EC5"/>
    <w:rsid w:val="007B3745"/>
    <w:rsid w:val="007B7769"/>
    <w:rsid w:val="007C00BE"/>
    <w:rsid w:val="007C3F6C"/>
    <w:rsid w:val="007C581C"/>
    <w:rsid w:val="007C6DEC"/>
    <w:rsid w:val="007D0C7C"/>
    <w:rsid w:val="007D1152"/>
    <w:rsid w:val="007D2C05"/>
    <w:rsid w:val="007D4E49"/>
    <w:rsid w:val="007D5145"/>
    <w:rsid w:val="007D7168"/>
    <w:rsid w:val="007E0F98"/>
    <w:rsid w:val="007E17C5"/>
    <w:rsid w:val="007E19C4"/>
    <w:rsid w:val="007E1B73"/>
    <w:rsid w:val="007E3F21"/>
    <w:rsid w:val="007E4B7E"/>
    <w:rsid w:val="007E52AF"/>
    <w:rsid w:val="007E5310"/>
    <w:rsid w:val="007F1CAC"/>
    <w:rsid w:val="007F4ED6"/>
    <w:rsid w:val="007F55A1"/>
    <w:rsid w:val="00800008"/>
    <w:rsid w:val="00800D0A"/>
    <w:rsid w:val="00801BE7"/>
    <w:rsid w:val="00803F9D"/>
    <w:rsid w:val="0080407D"/>
    <w:rsid w:val="00805484"/>
    <w:rsid w:val="008062D3"/>
    <w:rsid w:val="008064AA"/>
    <w:rsid w:val="00806EA2"/>
    <w:rsid w:val="0081068A"/>
    <w:rsid w:val="00811A47"/>
    <w:rsid w:val="00816E63"/>
    <w:rsid w:val="008171F5"/>
    <w:rsid w:val="00821383"/>
    <w:rsid w:val="0082233A"/>
    <w:rsid w:val="00824783"/>
    <w:rsid w:val="00824979"/>
    <w:rsid w:val="00824E0A"/>
    <w:rsid w:val="008259C6"/>
    <w:rsid w:val="00832D7D"/>
    <w:rsid w:val="008343AC"/>
    <w:rsid w:val="008346F5"/>
    <w:rsid w:val="00834951"/>
    <w:rsid w:val="00837A26"/>
    <w:rsid w:val="00837C2C"/>
    <w:rsid w:val="00843564"/>
    <w:rsid w:val="00845A01"/>
    <w:rsid w:val="008527EE"/>
    <w:rsid w:val="00852DF4"/>
    <w:rsid w:val="00853041"/>
    <w:rsid w:val="00853D1E"/>
    <w:rsid w:val="00856477"/>
    <w:rsid w:val="00857F89"/>
    <w:rsid w:val="0086376D"/>
    <w:rsid w:val="00863EC4"/>
    <w:rsid w:val="008664EE"/>
    <w:rsid w:val="008704F1"/>
    <w:rsid w:val="0087058F"/>
    <w:rsid w:val="0087145F"/>
    <w:rsid w:val="008747CD"/>
    <w:rsid w:val="00874A38"/>
    <w:rsid w:val="00874B61"/>
    <w:rsid w:val="00877909"/>
    <w:rsid w:val="00882689"/>
    <w:rsid w:val="0088291B"/>
    <w:rsid w:val="00883AC2"/>
    <w:rsid w:val="00884D21"/>
    <w:rsid w:val="008857EA"/>
    <w:rsid w:val="0088621A"/>
    <w:rsid w:val="00886EAD"/>
    <w:rsid w:val="008900BB"/>
    <w:rsid w:val="008969A7"/>
    <w:rsid w:val="008A6748"/>
    <w:rsid w:val="008B0014"/>
    <w:rsid w:val="008B07AA"/>
    <w:rsid w:val="008B0C3E"/>
    <w:rsid w:val="008B1D51"/>
    <w:rsid w:val="008B2356"/>
    <w:rsid w:val="008B49BB"/>
    <w:rsid w:val="008B6392"/>
    <w:rsid w:val="008B67FE"/>
    <w:rsid w:val="008C0424"/>
    <w:rsid w:val="008C0441"/>
    <w:rsid w:val="008C1717"/>
    <w:rsid w:val="008C17E3"/>
    <w:rsid w:val="008C18BC"/>
    <w:rsid w:val="008C2833"/>
    <w:rsid w:val="008C30E6"/>
    <w:rsid w:val="008C3E3B"/>
    <w:rsid w:val="008C5141"/>
    <w:rsid w:val="008C7DBD"/>
    <w:rsid w:val="008D0DEE"/>
    <w:rsid w:val="008D6640"/>
    <w:rsid w:val="008E0F78"/>
    <w:rsid w:val="008E2B86"/>
    <w:rsid w:val="008E398E"/>
    <w:rsid w:val="008E4BD1"/>
    <w:rsid w:val="008E5F74"/>
    <w:rsid w:val="008E701C"/>
    <w:rsid w:val="008F19E7"/>
    <w:rsid w:val="008F27CB"/>
    <w:rsid w:val="008F2F49"/>
    <w:rsid w:val="008F4430"/>
    <w:rsid w:val="008F5E7D"/>
    <w:rsid w:val="008F7CD7"/>
    <w:rsid w:val="00901C25"/>
    <w:rsid w:val="00902996"/>
    <w:rsid w:val="00903F87"/>
    <w:rsid w:val="009076EE"/>
    <w:rsid w:val="009149AC"/>
    <w:rsid w:val="009164BE"/>
    <w:rsid w:val="009177B8"/>
    <w:rsid w:val="00917A2E"/>
    <w:rsid w:val="00917C0E"/>
    <w:rsid w:val="0092186F"/>
    <w:rsid w:val="00921C8C"/>
    <w:rsid w:val="009229C5"/>
    <w:rsid w:val="0092329E"/>
    <w:rsid w:val="0092391E"/>
    <w:rsid w:val="00924A9B"/>
    <w:rsid w:val="0092597C"/>
    <w:rsid w:val="00926187"/>
    <w:rsid w:val="00927F4B"/>
    <w:rsid w:val="00931895"/>
    <w:rsid w:val="00933331"/>
    <w:rsid w:val="00937140"/>
    <w:rsid w:val="009417FA"/>
    <w:rsid w:val="00942993"/>
    <w:rsid w:val="00946F67"/>
    <w:rsid w:val="00950634"/>
    <w:rsid w:val="00950BEE"/>
    <w:rsid w:val="00950F88"/>
    <w:rsid w:val="009541D7"/>
    <w:rsid w:val="00955CA5"/>
    <w:rsid w:val="00955E80"/>
    <w:rsid w:val="0095746B"/>
    <w:rsid w:val="00957EC5"/>
    <w:rsid w:val="009620BB"/>
    <w:rsid w:val="00963595"/>
    <w:rsid w:val="00963A38"/>
    <w:rsid w:val="009655EA"/>
    <w:rsid w:val="0097175D"/>
    <w:rsid w:val="009724DB"/>
    <w:rsid w:val="00974C63"/>
    <w:rsid w:val="00974F9B"/>
    <w:rsid w:val="009777BF"/>
    <w:rsid w:val="009806F4"/>
    <w:rsid w:val="009837AF"/>
    <w:rsid w:val="00984972"/>
    <w:rsid w:val="00985347"/>
    <w:rsid w:val="00985783"/>
    <w:rsid w:val="0099089C"/>
    <w:rsid w:val="00990B50"/>
    <w:rsid w:val="009925BA"/>
    <w:rsid w:val="009939B2"/>
    <w:rsid w:val="009978D7"/>
    <w:rsid w:val="009A03DF"/>
    <w:rsid w:val="009A30DD"/>
    <w:rsid w:val="009A7E1B"/>
    <w:rsid w:val="009B0B28"/>
    <w:rsid w:val="009B0B4F"/>
    <w:rsid w:val="009B2E95"/>
    <w:rsid w:val="009B705B"/>
    <w:rsid w:val="009B72DA"/>
    <w:rsid w:val="009C5C13"/>
    <w:rsid w:val="009C6359"/>
    <w:rsid w:val="009C7E58"/>
    <w:rsid w:val="009D2297"/>
    <w:rsid w:val="009D3782"/>
    <w:rsid w:val="009D3A96"/>
    <w:rsid w:val="009D3AE2"/>
    <w:rsid w:val="009D4DFA"/>
    <w:rsid w:val="009D609C"/>
    <w:rsid w:val="009D636B"/>
    <w:rsid w:val="009D74CE"/>
    <w:rsid w:val="009D7FEA"/>
    <w:rsid w:val="009E4773"/>
    <w:rsid w:val="009E4F69"/>
    <w:rsid w:val="009E5F79"/>
    <w:rsid w:val="009E7B7F"/>
    <w:rsid w:val="009F2870"/>
    <w:rsid w:val="009F46D9"/>
    <w:rsid w:val="009F7C3F"/>
    <w:rsid w:val="00A01036"/>
    <w:rsid w:val="00A022C2"/>
    <w:rsid w:val="00A02E5A"/>
    <w:rsid w:val="00A10D3C"/>
    <w:rsid w:val="00A21F43"/>
    <w:rsid w:val="00A225C2"/>
    <w:rsid w:val="00A23C4E"/>
    <w:rsid w:val="00A2444C"/>
    <w:rsid w:val="00A24AE2"/>
    <w:rsid w:val="00A25C1D"/>
    <w:rsid w:val="00A318DF"/>
    <w:rsid w:val="00A318F2"/>
    <w:rsid w:val="00A33945"/>
    <w:rsid w:val="00A37107"/>
    <w:rsid w:val="00A37D86"/>
    <w:rsid w:val="00A4429C"/>
    <w:rsid w:val="00A45271"/>
    <w:rsid w:val="00A45E67"/>
    <w:rsid w:val="00A4665A"/>
    <w:rsid w:val="00A46D53"/>
    <w:rsid w:val="00A46FFA"/>
    <w:rsid w:val="00A518ED"/>
    <w:rsid w:val="00A54848"/>
    <w:rsid w:val="00A54E80"/>
    <w:rsid w:val="00A56DDC"/>
    <w:rsid w:val="00A611C1"/>
    <w:rsid w:val="00A62702"/>
    <w:rsid w:val="00A63D7D"/>
    <w:rsid w:val="00A66C6C"/>
    <w:rsid w:val="00A67EFF"/>
    <w:rsid w:val="00A717EA"/>
    <w:rsid w:val="00A72860"/>
    <w:rsid w:val="00A754D2"/>
    <w:rsid w:val="00A82054"/>
    <w:rsid w:val="00A832B9"/>
    <w:rsid w:val="00A83C74"/>
    <w:rsid w:val="00A856EE"/>
    <w:rsid w:val="00A86535"/>
    <w:rsid w:val="00A86943"/>
    <w:rsid w:val="00A869FE"/>
    <w:rsid w:val="00A86D85"/>
    <w:rsid w:val="00A90FDC"/>
    <w:rsid w:val="00A921E4"/>
    <w:rsid w:val="00A96E3A"/>
    <w:rsid w:val="00A96FEC"/>
    <w:rsid w:val="00A97E13"/>
    <w:rsid w:val="00AA11E2"/>
    <w:rsid w:val="00AA1D1C"/>
    <w:rsid w:val="00AA7519"/>
    <w:rsid w:val="00AB1550"/>
    <w:rsid w:val="00AB2A6F"/>
    <w:rsid w:val="00AB537D"/>
    <w:rsid w:val="00AB5EB6"/>
    <w:rsid w:val="00AB7698"/>
    <w:rsid w:val="00AC054F"/>
    <w:rsid w:val="00AC0BB5"/>
    <w:rsid w:val="00AC1CC5"/>
    <w:rsid w:val="00AC28E8"/>
    <w:rsid w:val="00AC3A58"/>
    <w:rsid w:val="00AC4003"/>
    <w:rsid w:val="00AC67C1"/>
    <w:rsid w:val="00AC7454"/>
    <w:rsid w:val="00AD0E04"/>
    <w:rsid w:val="00AD0E40"/>
    <w:rsid w:val="00AD5A27"/>
    <w:rsid w:val="00AD697A"/>
    <w:rsid w:val="00AE01F1"/>
    <w:rsid w:val="00AE1764"/>
    <w:rsid w:val="00AE2278"/>
    <w:rsid w:val="00AE3D8A"/>
    <w:rsid w:val="00AE748B"/>
    <w:rsid w:val="00AF2B9D"/>
    <w:rsid w:val="00AF3106"/>
    <w:rsid w:val="00AF3F73"/>
    <w:rsid w:val="00AF3F75"/>
    <w:rsid w:val="00AF6D55"/>
    <w:rsid w:val="00B0041B"/>
    <w:rsid w:val="00B0095E"/>
    <w:rsid w:val="00B12051"/>
    <w:rsid w:val="00B12EFA"/>
    <w:rsid w:val="00B144B5"/>
    <w:rsid w:val="00B1450E"/>
    <w:rsid w:val="00B1472C"/>
    <w:rsid w:val="00B149B1"/>
    <w:rsid w:val="00B15BA6"/>
    <w:rsid w:val="00B16945"/>
    <w:rsid w:val="00B1789C"/>
    <w:rsid w:val="00B25067"/>
    <w:rsid w:val="00B25A4F"/>
    <w:rsid w:val="00B25D85"/>
    <w:rsid w:val="00B2789C"/>
    <w:rsid w:val="00B27C51"/>
    <w:rsid w:val="00B313C4"/>
    <w:rsid w:val="00B33E5B"/>
    <w:rsid w:val="00B35161"/>
    <w:rsid w:val="00B417CF"/>
    <w:rsid w:val="00B41E3B"/>
    <w:rsid w:val="00B42203"/>
    <w:rsid w:val="00B43820"/>
    <w:rsid w:val="00B45EF4"/>
    <w:rsid w:val="00B5150F"/>
    <w:rsid w:val="00B51966"/>
    <w:rsid w:val="00B56A57"/>
    <w:rsid w:val="00B57361"/>
    <w:rsid w:val="00B618EE"/>
    <w:rsid w:val="00B61B62"/>
    <w:rsid w:val="00B64D5B"/>
    <w:rsid w:val="00B6593E"/>
    <w:rsid w:val="00B672FD"/>
    <w:rsid w:val="00B70E29"/>
    <w:rsid w:val="00B72982"/>
    <w:rsid w:val="00B73828"/>
    <w:rsid w:val="00B73CCB"/>
    <w:rsid w:val="00B741A4"/>
    <w:rsid w:val="00B747E8"/>
    <w:rsid w:val="00B75D00"/>
    <w:rsid w:val="00B76E36"/>
    <w:rsid w:val="00B77F7C"/>
    <w:rsid w:val="00B80D44"/>
    <w:rsid w:val="00B80FC2"/>
    <w:rsid w:val="00B849DB"/>
    <w:rsid w:val="00B859CC"/>
    <w:rsid w:val="00B85D9D"/>
    <w:rsid w:val="00B87B52"/>
    <w:rsid w:val="00B9043B"/>
    <w:rsid w:val="00B9118C"/>
    <w:rsid w:val="00B924FF"/>
    <w:rsid w:val="00B9739C"/>
    <w:rsid w:val="00BA0A5E"/>
    <w:rsid w:val="00BA2CC1"/>
    <w:rsid w:val="00BA6D07"/>
    <w:rsid w:val="00BB0EF2"/>
    <w:rsid w:val="00BB136C"/>
    <w:rsid w:val="00BB17B1"/>
    <w:rsid w:val="00BB4710"/>
    <w:rsid w:val="00BB5779"/>
    <w:rsid w:val="00BB619A"/>
    <w:rsid w:val="00BB6E28"/>
    <w:rsid w:val="00BC1ACB"/>
    <w:rsid w:val="00BC563A"/>
    <w:rsid w:val="00BD0D6D"/>
    <w:rsid w:val="00BD46EA"/>
    <w:rsid w:val="00BD58F9"/>
    <w:rsid w:val="00BD5904"/>
    <w:rsid w:val="00BD5B66"/>
    <w:rsid w:val="00BD6AB3"/>
    <w:rsid w:val="00BD7913"/>
    <w:rsid w:val="00BD7C27"/>
    <w:rsid w:val="00BE00BE"/>
    <w:rsid w:val="00BE083A"/>
    <w:rsid w:val="00BE274A"/>
    <w:rsid w:val="00BE3505"/>
    <w:rsid w:val="00BE3B03"/>
    <w:rsid w:val="00BE5127"/>
    <w:rsid w:val="00BE5281"/>
    <w:rsid w:val="00BE59F1"/>
    <w:rsid w:val="00BE5C49"/>
    <w:rsid w:val="00BE781D"/>
    <w:rsid w:val="00BF1A75"/>
    <w:rsid w:val="00BF3328"/>
    <w:rsid w:val="00BF5831"/>
    <w:rsid w:val="00BF61FB"/>
    <w:rsid w:val="00C017DE"/>
    <w:rsid w:val="00C01A8C"/>
    <w:rsid w:val="00C0281C"/>
    <w:rsid w:val="00C0651D"/>
    <w:rsid w:val="00C10E9B"/>
    <w:rsid w:val="00C1242D"/>
    <w:rsid w:val="00C141F4"/>
    <w:rsid w:val="00C16849"/>
    <w:rsid w:val="00C213F8"/>
    <w:rsid w:val="00C23AF1"/>
    <w:rsid w:val="00C24DF7"/>
    <w:rsid w:val="00C265CE"/>
    <w:rsid w:val="00C26D76"/>
    <w:rsid w:val="00C31295"/>
    <w:rsid w:val="00C312BC"/>
    <w:rsid w:val="00C34A99"/>
    <w:rsid w:val="00C3507F"/>
    <w:rsid w:val="00C35291"/>
    <w:rsid w:val="00C35C7E"/>
    <w:rsid w:val="00C36371"/>
    <w:rsid w:val="00C404C1"/>
    <w:rsid w:val="00C420A5"/>
    <w:rsid w:val="00C42734"/>
    <w:rsid w:val="00C42830"/>
    <w:rsid w:val="00C44A93"/>
    <w:rsid w:val="00C46DF8"/>
    <w:rsid w:val="00C5112E"/>
    <w:rsid w:val="00C5153B"/>
    <w:rsid w:val="00C5189E"/>
    <w:rsid w:val="00C5212C"/>
    <w:rsid w:val="00C52FB1"/>
    <w:rsid w:val="00C53C70"/>
    <w:rsid w:val="00C6213D"/>
    <w:rsid w:val="00C64253"/>
    <w:rsid w:val="00C64460"/>
    <w:rsid w:val="00C66CDC"/>
    <w:rsid w:val="00C715AA"/>
    <w:rsid w:val="00C739EA"/>
    <w:rsid w:val="00C73D31"/>
    <w:rsid w:val="00C76ABD"/>
    <w:rsid w:val="00C771F1"/>
    <w:rsid w:val="00C80D27"/>
    <w:rsid w:val="00C83743"/>
    <w:rsid w:val="00C83E2A"/>
    <w:rsid w:val="00C84781"/>
    <w:rsid w:val="00C86B31"/>
    <w:rsid w:val="00C87C85"/>
    <w:rsid w:val="00C9030A"/>
    <w:rsid w:val="00C91171"/>
    <w:rsid w:val="00C931D2"/>
    <w:rsid w:val="00C947C8"/>
    <w:rsid w:val="00C95929"/>
    <w:rsid w:val="00C96173"/>
    <w:rsid w:val="00CA026C"/>
    <w:rsid w:val="00CA0637"/>
    <w:rsid w:val="00CA1566"/>
    <w:rsid w:val="00CA16D6"/>
    <w:rsid w:val="00CA1D1E"/>
    <w:rsid w:val="00CA1F80"/>
    <w:rsid w:val="00CA274F"/>
    <w:rsid w:val="00CA4CF2"/>
    <w:rsid w:val="00CA664D"/>
    <w:rsid w:val="00CA6B34"/>
    <w:rsid w:val="00CA6CAA"/>
    <w:rsid w:val="00CB232F"/>
    <w:rsid w:val="00CB6000"/>
    <w:rsid w:val="00CB7B09"/>
    <w:rsid w:val="00CC0048"/>
    <w:rsid w:val="00CC0AAC"/>
    <w:rsid w:val="00CC2C1A"/>
    <w:rsid w:val="00CC5A07"/>
    <w:rsid w:val="00CC71A7"/>
    <w:rsid w:val="00CD12B2"/>
    <w:rsid w:val="00CD2103"/>
    <w:rsid w:val="00CD2927"/>
    <w:rsid w:val="00CD2E50"/>
    <w:rsid w:val="00CD3C32"/>
    <w:rsid w:val="00CD6424"/>
    <w:rsid w:val="00CE1A81"/>
    <w:rsid w:val="00CE3F3B"/>
    <w:rsid w:val="00CE4E9A"/>
    <w:rsid w:val="00CE5CD7"/>
    <w:rsid w:val="00CE61FA"/>
    <w:rsid w:val="00CE6AD2"/>
    <w:rsid w:val="00CE7F70"/>
    <w:rsid w:val="00CF1F5B"/>
    <w:rsid w:val="00CF28B1"/>
    <w:rsid w:val="00CF420C"/>
    <w:rsid w:val="00CF481A"/>
    <w:rsid w:val="00CF4B73"/>
    <w:rsid w:val="00D00645"/>
    <w:rsid w:val="00D01284"/>
    <w:rsid w:val="00D026B5"/>
    <w:rsid w:val="00D03A81"/>
    <w:rsid w:val="00D05A3A"/>
    <w:rsid w:val="00D11F01"/>
    <w:rsid w:val="00D12DBF"/>
    <w:rsid w:val="00D160DA"/>
    <w:rsid w:val="00D1724F"/>
    <w:rsid w:val="00D1779F"/>
    <w:rsid w:val="00D17EE6"/>
    <w:rsid w:val="00D201B5"/>
    <w:rsid w:val="00D20385"/>
    <w:rsid w:val="00D20A57"/>
    <w:rsid w:val="00D21E15"/>
    <w:rsid w:val="00D24AFC"/>
    <w:rsid w:val="00D25E74"/>
    <w:rsid w:val="00D26450"/>
    <w:rsid w:val="00D26D58"/>
    <w:rsid w:val="00D30882"/>
    <w:rsid w:val="00D33AF3"/>
    <w:rsid w:val="00D345EB"/>
    <w:rsid w:val="00D351C9"/>
    <w:rsid w:val="00D35427"/>
    <w:rsid w:val="00D366F6"/>
    <w:rsid w:val="00D401EA"/>
    <w:rsid w:val="00D423D7"/>
    <w:rsid w:val="00D457E6"/>
    <w:rsid w:val="00D46AD1"/>
    <w:rsid w:val="00D47C2D"/>
    <w:rsid w:val="00D47D1C"/>
    <w:rsid w:val="00D500D6"/>
    <w:rsid w:val="00D50994"/>
    <w:rsid w:val="00D563B2"/>
    <w:rsid w:val="00D56E03"/>
    <w:rsid w:val="00D56F1F"/>
    <w:rsid w:val="00D575F3"/>
    <w:rsid w:val="00D600BA"/>
    <w:rsid w:val="00D6036C"/>
    <w:rsid w:val="00D62CB4"/>
    <w:rsid w:val="00D64195"/>
    <w:rsid w:val="00D650AD"/>
    <w:rsid w:val="00D66213"/>
    <w:rsid w:val="00D66F9A"/>
    <w:rsid w:val="00D7037F"/>
    <w:rsid w:val="00D71E1C"/>
    <w:rsid w:val="00D743F6"/>
    <w:rsid w:val="00D74C0C"/>
    <w:rsid w:val="00D7664C"/>
    <w:rsid w:val="00D7742A"/>
    <w:rsid w:val="00D8285B"/>
    <w:rsid w:val="00D82A65"/>
    <w:rsid w:val="00D90C2A"/>
    <w:rsid w:val="00D9386B"/>
    <w:rsid w:val="00D951E5"/>
    <w:rsid w:val="00D956F7"/>
    <w:rsid w:val="00D964CB"/>
    <w:rsid w:val="00DA1E1C"/>
    <w:rsid w:val="00DA3D21"/>
    <w:rsid w:val="00DA46A3"/>
    <w:rsid w:val="00DA5D3D"/>
    <w:rsid w:val="00DA7760"/>
    <w:rsid w:val="00DB05C6"/>
    <w:rsid w:val="00DB1444"/>
    <w:rsid w:val="00DB5615"/>
    <w:rsid w:val="00DB5841"/>
    <w:rsid w:val="00DB5B5E"/>
    <w:rsid w:val="00DC123B"/>
    <w:rsid w:val="00DC22DB"/>
    <w:rsid w:val="00DC3EE9"/>
    <w:rsid w:val="00DC5C0D"/>
    <w:rsid w:val="00DC73A6"/>
    <w:rsid w:val="00DC7607"/>
    <w:rsid w:val="00DD01B2"/>
    <w:rsid w:val="00DD0284"/>
    <w:rsid w:val="00DD1635"/>
    <w:rsid w:val="00DD24DC"/>
    <w:rsid w:val="00DD3C59"/>
    <w:rsid w:val="00DE684C"/>
    <w:rsid w:val="00DE6A76"/>
    <w:rsid w:val="00DF1199"/>
    <w:rsid w:val="00DF57AD"/>
    <w:rsid w:val="00DF65C9"/>
    <w:rsid w:val="00E01667"/>
    <w:rsid w:val="00E0409F"/>
    <w:rsid w:val="00E0440F"/>
    <w:rsid w:val="00E04733"/>
    <w:rsid w:val="00E05EB2"/>
    <w:rsid w:val="00E10E96"/>
    <w:rsid w:val="00E11EE5"/>
    <w:rsid w:val="00E1302D"/>
    <w:rsid w:val="00E141C5"/>
    <w:rsid w:val="00E14E7F"/>
    <w:rsid w:val="00E161E3"/>
    <w:rsid w:val="00E17600"/>
    <w:rsid w:val="00E22F37"/>
    <w:rsid w:val="00E234B5"/>
    <w:rsid w:val="00E2522A"/>
    <w:rsid w:val="00E2588B"/>
    <w:rsid w:val="00E2740A"/>
    <w:rsid w:val="00E27B92"/>
    <w:rsid w:val="00E32EBA"/>
    <w:rsid w:val="00E34B09"/>
    <w:rsid w:val="00E4371A"/>
    <w:rsid w:val="00E449F3"/>
    <w:rsid w:val="00E45A6C"/>
    <w:rsid w:val="00E47B3F"/>
    <w:rsid w:val="00E50B33"/>
    <w:rsid w:val="00E50D38"/>
    <w:rsid w:val="00E528E3"/>
    <w:rsid w:val="00E565B4"/>
    <w:rsid w:val="00E60A5C"/>
    <w:rsid w:val="00E628E2"/>
    <w:rsid w:val="00E630F8"/>
    <w:rsid w:val="00E66611"/>
    <w:rsid w:val="00E67136"/>
    <w:rsid w:val="00E677E4"/>
    <w:rsid w:val="00E73B1B"/>
    <w:rsid w:val="00E73FEE"/>
    <w:rsid w:val="00E750F2"/>
    <w:rsid w:val="00E755FE"/>
    <w:rsid w:val="00E777A4"/>
    <w:rsid w:val="00E779F4"/>
    <w:rsid w:val="00E82EE9"/>
    <w:rsid w:val="00E84E39"/>
    <w:rsid w:val="00E85B73"/>
    <w:rsid w:val="00E86165"/>
    <w:rsid w:val="00E864A1"/>
    <w:rsid w:val="00E910CD"/>
    <w:rsid w:val="00E96116"/>
    <w:rsid w:val="00E97240"/>
    <w:rsid w:val="00EA06C6"/>
    <w:rsid w:val="00EA0D37"/>
    <w:rsid w:val="00EA1713"/>
    <w:rsid w:val="00EA172F"/>
    <w:rsid w:val="00EA3CA6"/>
    <w:rsid w:val="00EA6779"/>
    <w:rsid w:val="00EA67FC"/>
    <w:rsid w:val="00EA74DC"/>
    <w:rsid w:val="00EB1D35"/>
    <w:rsid w:val="00EB3749"/>
    <w:rsid w:val="00EB6005"/>
    <w:rsid w:val="00EC01E2"/>
    <w:rsid w:val="00EC37B3"/>
    <w:rsid w:val="00EC38D8"/>
    <w:rsid w:val="00EC6AA0"/>
    <w:rsid w:val="00EC79A1"/>
    <w:rsid w:val="00EC7AD9"/>
    <w:rsid w:val="00ED0881"/>
    <w:rsid w:val="00ED0BF2"/>
    <w:rsid w:val="00ED55B5"/>
    <w:rsid w:val="00EE1A43"/>
    <w:rsid w:val="00EE2520"/>
    <w:rsid w:val="00EE2968"/>
    <w:rsid w:val="00EE3345"/>
    <w:rsid w:val="00EE343D"/>
    <w:rsid w:val="00EE694C"/>
    <w:rsid w:val="00EE763C"/>
    <w:rsid w:val="00EF05DD"/>
    <w:rsid w:val="00EF1CFF"/>
    <w:rsid w:val="00EF1FB2"/>
    <w:rsid w:val="00EF6D9C"/>
    <w:rsid w:val="00EF70E7"/>
    <w:rsid w:val="00EF727E"/>
    <w:rsid w:val="00F00ABA"/>
    <w:rsid w:val="00F028A4"/>
    <w:rsid w:val="00F03326"/>
    <w:rsid w:val="00F03872"/>
    <w:rsid w:val="00F04109"/>
    <w:rsid w:val="00F048F4"/>
    <w:rsid w:val="00F04E2D"/>
    <w:rsid w:val="00F13BB9"/>
    <w:rsid w:val="00F1695E"/>
    <w:rsid w:val="00F16FCF"/>
    <w:rsid w:val="00F21200"/>
    <w:rsid w:val="00F21DF8"/>
    <w:rsid w:val="00F220B4"/>
    <w:rsid w:val="00F24E32"/>
    <w:rsid w:val="00F2506E"/>
    <w:rsid w:val="00F30283"/>
    <w:rsid w:val="00F30A68"/>
    <w:rsid w:val="00F30AEC"/>
    <w:rsid w:val="00F31086"/>
    <w:rsid w:val="00F328B4"/>
    <w:rsid w:val="00F335A1"/>
    <w:rsid w:val="00F33EB3"/>
    <w:rsid w:val="00F34B7B"/>
    <w:rsid w:val="00F3712C"/>
    <w:rsid w:val="00F40636"/>
    <w:rsid w:val="00F414A4"/>
    <w:rsid w:val="00F421A1"/>
    <w:rsid w:val="00F4315D"/>
    <w:rsid w:val="00F43196"/>
    <w:rsid w:val="00F43241"/>
    <w:rsid w:val="00F43443"/>
    <w:rsid w:val="00F463FC"/>
    <w:rsid w:val="00F46657"/>
    <w:rsid w:val="00F50433"/>
    <w:rsid w:val="00F52D00"/>
    <w:rsid w:val="00F57375"/>
    <w:rsid w:val="00F573DE"/>
    <w:rsid w:val="00F60BB8"/>
    <w:rsid w:val="00F62EA6"/>
    <w:rsid w:val="00F665CC"/>
    <w:rsid w:val="00F702C6"/>
    <w:rsid w:val="00F71228"/>
    <w:rsid w:val="00F7362A"/>
    <w:rsid w:val="00F73687"/>
    <w:rsid w:val="00F7528D"/>
    <w:rsid w:val="00F76B4D"/>
    <w:rsid w:val="00F770A5"/>
    <w:rsid w:val="00F8042A"/>
    <w:rsid w:val="00F807DC"/>
    <w:rsid w:val="00F80FD1"/>
    <w:rsid w:val="00F81774"/>
    <w:rsid w:val="00F818FF"/>
    <w:rsid w:val="00F81F8F"/>
    <w:rsid w:val="00F820BE"/>
    <w:rsid w:val="00F823AD"/>
    <w:rsid w:val="00F8396A"/>
    <w:rsid w:val="00F8459F"/>
    <w:rsid w:val="00F851F6"/>
    <w:rsid w:val="00F876EF"/>
    <w:rsid w:val="00F87872"/>
    <w:rsid w:val="00F907A1"/>
    <w:rsid w:val="00F9093C"/>
    <w:rsid w:val="00F95EB1"/>
    <w:rsid w:val="00FA0127"/>
    <w:rsid w:val="00FA03FA"/>
    <w:rsid w:val="00FA18CA"/>
    <w:rsid w:val="00FA37E6"/>
    <w:rsid w:val="00FA49E1"/>
    <w:rsid w:val="00FB0C37"/>
    <w:rsid w:val="00FB1889"/>
    <w:rsid w:val="00FB2971"/>
    <w:rsid w:val="00FC4F49"/>
    <w:rsid w:val="00FC76CE"/>
    <w:rsid w:val="00FD2F6E"/>
    <w:rsid w:val="00FD3BEE"/>
    <w:rsid w:val="00FE0472"/>
    <w:rsid w:val="00FE0D95"/>
    <w:rsid w:val="00FE1B83"/>
    <w:rsid w:val="00FE2E0A"/>
    <w:rsid w:val="00FF4232"/>
    <w:rsid w:val="00FF6B66"/>
    <w:rsid w:val="0116613E"/>
    <w:rsid w:val="02C40AFC"/>
    <w:rsid w:val="03D17DE3"/>
    <w:rsid w:val="059942B1"/>
    <w:rsid w:val="08BD0F40"/>
    <w:rsid w:val="08FE0EB2"/>
    <w:rsid w:val="09945660"/>
    <w:rsid w:val="0DC270B6"/>
    <w:rsid w:val="12D650A6"/>
    <w:rsid w:val="15F919C1"/>
    <w:rsid w:val="16D12FB4"/>
    <w:rsid w:val="17AF7E31"/>
    <w:rsid w:val="18074FA2"/>
    <w:rsid w:val="1CAA50BE"/>
    <w:rsid w:val="1D296E78"/>
    <w:rsid w:val="201A587E"/>
    <w:rsid w:val="206904B1"/>
    <w:rsid w:val="23055613"/>
    <w:rsid w:val="23740E08"/>
    <w:rsid w:val="27A6755A"/>
    <w:rsid w:val="29C61657"/>
    <w:rsid w:val="2C4A6441"/>
    <w:rsid w:val="2C4E1266"/>
    <w:rsid w:val="2CA767AA"/>
    <w:rsid w:val="35DF4B65"/>
    <w:rsid w:val="3656650F"/>
    <w:rsid w:val="37572E43"/>
    <w:rsid w:val="37CE79A6"/>
    <w:rsid w:val="39976198"/>
    <w:rsid w:val="39A12BD4"/>
    <w:rsid w:val="3B4C2C1E"/>
    <w:rsid w:val="3BB9546F"/>
    <w:rsid w:val="3E044C1F"/>
    <w:rsid w:val="3E6726BA"/>
    <w:rsid w:val="3F7D0E33"/>
    <w:rsid w:val="3F8421AE"/>
    <w:rsid w:val="3FB54873"/>
    <w:rsid w:val="3FC617C5"/>
    <w:rsid w:val="41225560"/>
    <w:rsid w:val="43C42605"/>
    <w:rsid w:val="483B1EEF"/>
    <w:rsid w:val="4A9F3F1D"/>
    <w:rsid w:val="4B7A66C0"/>
    <w:rsid w:val="4BF50302"/>
    <w:rsid w:val="4C9269C0"/>
    <w:rsid w:val="4F4C5BE2"/>
    <w:rsid w:val="55485957"/>
    <w:rsid w:val="57C60F2F"/>
    <w:rsid w:val="5B6A77F9"/>
    <w:rsid w:val="5F2D49B9"/>
    <w:rsid w:val="601F5250"/>
    <w:rsid w:val="61E77CC4"/>
    <w:rsid w:val="6532474B"/>
    <w:rsid w:val="66BC7DAA"/>
    <w:rsid w:val="6768062B"/>
    <w:rsid w:val="6CCE6F24"/>
    <w:rsid w:val="706D1AEA"/>
    <w:rsid w:val="71B27601"/>
    <w:rsid w:val="75055981"/>
    <w:rsid w:val="75A2496A"/>
    <w:rsid w:val="776B6219"/>
    <w:rsid w:val="785314BB"/>
    <w:rsid w:val="7ABF0D5F"/>
    <w:rsid w:val="7B064DB2"/>
    <w:rsid w:val="7E4C75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2"/>
    <w:qFormat/>
    <w:uiPriority w:val="0"/>
    <w:pPr>
      <w:keepNext/>
      <w:keepLines/>
      <w:widowControl w:val="0"/>
      <w:spacing w:before="340" w:after="330" w:line="578" w:lineRule="auto"/>
      <w:jc w:val="both"/>
      <w:outlineLvl w:val="0"/>
    </w:pPr>
    <w:rPr>
      <w:rFonts w:asciiTheme="minorHAnsi" w:hAnsiTheme="minorHAnsi" w:eastAsiaTheme="minorEastAsia" w:cstheme="minorBidi"/>
      <w:b/>
      <w:bCs/>
      <w:kern w:val="44"/>
      <w:sz w:val="44"/>
      <w:szCs w:val="44"/>
    </w:rPr>
  </w:style>
  <w:style w:type="paragraph" w:styleId="3">
    <w:name w:val="heading 2"/>
    <w:basedOn w:val="1"/>
    <w:next w:val="1"/>
    <w:link w:val="23"/>
    <w:unhideWhenUsed/>
    <w:qFormat/>
    <w:uiPriority w:val="9"/>
    <w:pPr>
      <w:keepNext/>
      <w:keepLines/>
      <w:widowControl w:val="0"/>
      <w:spacing w:before="260" w:after="260" w:line="416" w:lineRule="auto"/>
      <w:jc w:val="both"/>
      <w:outlineLvl w:val="1"/>
    </w:pPr>
    <w:rPr>
      <w:rFonts w:asciiTheme="majorHAnsi" w:hAnsiTheme="majorHAnsi" w:eastAsiaTheme="majorEastAsia" w:cstheme="majorBidi"/>
      <w:b/>
      <w:bCs/>
      <w:kern w:val="2"/>
      <w:sz w:val="32"/>
      <w:szCs w:val="32"/>
    </w:rPr>
  </w:style>
  <w:style w:type="paragraph" w:styleId="4">
    <w:name w:val="heading 3"/>
    <w:basedOn w:val="1"/>
    <w:next w:val="1"/>
    <w:link w:val="24"/>
    <w:unhideWhenUsed/>
    <w:qFormat/>
    <w:uiPriority w:val="9"/>
    <w:pPr>
      <w:keepNext/>
      <w:keepLines/>
      <w:widowControl w:val="0"/>
      <w:spacing w:before="260" w:after="260" w:line="416" w:lineRule="auto"/>
      <w:jc w:val="both"/>
      <w:outlineLvl w:val="2"/>
    </w:pPr>
    <w:rPr>
      <w:rFonts w:asciiTheme="minorHAnsi" w:hAnsiTheme="minorHAnsi" w:eastAsiaTheme="minorEastAsia" w:cstheme="minorBidi"/>
      <w:b/>
      <w:bCs/>
      <w:kern w:val="2"/>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5"/>
    <w:semiHidden/>
    <w:unhideWhenUsed/>
    <w:qFormat/>
    <w:uiPriority w:val="99"/>
    <w:pPr>
      <w:widowControl w:val="0"/>
    </w:pPr>
    <w:rPr>
      <w:rFonts w:asciiTheme="minorHAnsi" w:hAnsiTheme="minorHAnsi" w:eastAsiaTheme="minorEastAsia" w:cstheme="minorBidi"/>
      <w:kern w:val="2"/>
      <w:sz w:val="21"/>
      <w:szCs w:val="22"/>
    </w:rPr>
  </w:style>
  <w:style w:type="paragraph" w:styleId="6">
    <w:name w:val="Body Text"/>
    <w:basedOn w:val="1"/>
    <w:link w:val="26"/>
    <w:semiHidden/>
    <w:unhideWhenUsed/>
    <w:qFormat/>
    <w:uiPriority w:val="99"/>
    <w:pPr>
      <w:widowControl w:val="0"/>
      <w:spacing w:after="120"/>
      <w:jc w:val="both"/>
    </w:pPr>
    <w:rPr>
      <w:rFonts w:asciiTheme="minorHAnsi" w:hAnsiTheme="minorHAnsi" w:eastAsiaTheme="minorEastAsia" w:cstheme="minorBidi"/>
      <w:kern w:val="2"/>
      <w:sz w:val="21"/>
      <w:szCs w:val="22"/>
    </w:rPr>
  </w:style>
  <w:style w:type="paragraph" w:styleId="7">
    <w:name w:val="toc 3"/>
    <w:basedOn w:val="1"/>
    <w:next w:val="1"/>
    <w:unhideWhenUsed/>
    <w:qFormat/>
    <w:uiPriority w:val="39"/>
    <w:pPr>
      <w:spacing w:after="100" w:line="259" w:lineRule="auto"/>
      <w:ind w:left="440"/>
    </w:pPr>
    <w:rPr>
      <w:rFonts w:cs="Times New Roman" w:asciiTheme="minorHAnsi" w:hAnsiTheme="minorHAnsi" w:eastAsiaTheme="minorEastAsia"/>
      <w:sz w:val="22"/>
      <w:szCs w:val="22"/>
    </w:rPr>
  </w:style>
  <w:style w:type="paragraph" w:styleId="8">
    <w:name w:val="Balloon Text"/>
    <w:basedOn w:val="1"/>
    <w:link w:val="27"/>
    <w:semiHidden/>
    <w:unhideWhenUsed/>
    <w:qFormat/>
    <w:uiPriority w:val="99"/>
    <w:pPr>
      <w:widowControl w:val="0"/>
      <w:jc w:val="both"/>
    </w:pPr>
    <w:rPr>
      <w:rFonts w:asciiTheme="minorHAnsi" w:hAnsiTheme="minorHAnsi" w:eastAsiaTheme="minorEastAsia" w:cstheme="minorBidi"/>
      <w:kern w:val="2"/>
      <w:sz w:val="18"/>
      <w:szCs w:val="18"/>
    </w:rPr>
  </w:style>
  <w:style w:type="paragraph" w:styleId="9">
    <w:name w:val="footer"/>
    <w:basedOn w:val="1"/>
    <w:link w:val="28"/>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10">
    <w:name w:val="header"/>
    <w:basedOn w:val="1"/>
    <w:link w:val="29"/>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11">
    <w:name w:val="toc 1"/>
    <w:basedOn w:val="1"/>
    <w:next w:val="1"/>
    <w:unhideWhenUsed/>
    <w:qFormat/>
    <w:uiPriority w:val="39"/>
    <w:pPr>
      <w:tabs>
        <w:tab w:val="right" w:leader="dot" w:pos="8222"/>
      </w:tabs>
      <w:spacing w:before="100" w:beforeAutospacing="1" w:after="100" w:afterAutospacing="1" w:line="240" w:lineRule="exact"/>
      <w:jc w:val="center"/>
    </w:pPr>
    <w:rPr>
      <w:rFonts w:cs="Times New Roman" w:asciiTheme="minorHAnsi" w:hAnsiTheme="minorHAnsi" w:eastAsiaTheme="minorEastAsia"/>
      <w:sz w:val="22"/>
      <w:szCs w:val="22"/>
    </w:rPr>
  </w:style>
  <w:style w:type="paragraph" w:styleId="12">
    <w:name w:val="Body Text Indent 3"/>
    <w:basedOn w:val="1"/>
    <w:link w:val="30"/>
    <w:unhideWhenUsed/>
    <w:qFormat/>
    <w:uiPriority w:val="99"/>
    <w:pPr>
      <w:widowControl w:val="0"/>
      <w:spacing w:after="120"/>
      <w:ind w:left="420" w:leftChars="200"/>
      <w:jc w:val="both"/>
    </w:pPr>
    <w:rPr>
      <w:rFonts w:asciiTheme="minorHAnsi" w:hAnsiTheme="minorHAnsi" w:eastAsiaTheme="minorEastAsia" w:cstheme="minorBidi"/>
      <w:kern w:val="2"/>
      <w:sz w:val="16"/>
      <w:szCs w:val="16"/>
    </w:rPr>
  </w:style>
  <w:style w:type="paragraph" w:styleId="13">
    <w:name w:val="toc 2"/>
    <w:basedOn w:val="1"/>
    <w:next w:val="1"/>
    <w:unhideWhenUsed/>
    <w:qFormat/>
    <w:uiPriority w:val="39"/>
    <w:pPr>
      <w:tabs>
        <w:tab w:val="right" w:leader="dot" w:pos="8364"/>
      </w:tabs>
      <w:spacing w:before="100" w:beforeAutospacing="1" w:after="100" w:afterAutospacing="1" w:line="360" w:lineRule="auto"/>
      <w:ind w:left="221" w:right="-58" w:rightChars="-24"/>
      <w:jc w:val="center"/>
    </w:pPr>
    <w:rPr>
      <w:rFonts w:cs="Times New Roman" w:asciiTheme="minorHAnsi" w:hAnsiTheme="minorHAnsi" w:eastAsiaTheme="minorEastAsia"/>
      <w:sz w:val="22"/>
      <w:szCs w:val="22"/>
    </w:rPr>
  </w:style>
  <w:style w:type="paragraph" w:styleId="14">
    <w:name w:val="Normal (Web)"/>
    <w:basedOn w:val="1"/>
    <w:qFormat/>
    <w:uiPriority w:val="99"/>
    <w:rPr>
      <w:rFonts w:ascii="Times New Roman" w:hAnsi="Times New Roman" w:cs="Times New Roman"/>
    </w:rPr>
  </w:style>
  <w:style w:type="paragraph" w:styleId="15">
    <w:name w:val="annotation subject"/>
    <w:basedOn w:val="5"/>
    <w:next w:val="5"/>
    <w:link w:val="31"/>
    <w:semiHidden/>
    <w:unhideWhenUsed/>
    <w:qFormat/>
    <w:uiPriority w:val="99"/>
    <w:rPr>
      <w:b/>
      <w:bCs/>
    </w:rPr>
  </w:style>
  <w:style w:type="paragraph" w:styleId="16">
    <w:name w:val="Body Text First Indent"/>
    <w:basedOn w:val="6"/>
    <w:link w:val="32"/>
    <w:qFormat/>
    <w:uiPriority w:val="0"/>
    <w:pPr>
      <w:ind w:firstLine="420" w:firstLineChars="100"/>
    </w:pPr>
    <w:rPr>
      <w:rFonts w:ascii="Times New Roman" w:hAnsi="Times New Roman" w:eastAsia="宋体" w:cs="Times New Roman"/>
      <w:szCs w:val="24"/>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basedOn w:val="19"/>
    <w:semiHidden/>
    <w:unhideWhenUsed/>
    <w:qFormat/>
    <w:uiPriority w:val="99"/>
    <w:rPr>
      <w:sz w:val="21"/>
      <w:szCs w:val="21"/>
    </w:rPr>
  </w:style>
  <w:style w:type="character" w:customStyle="1" w:styleId="22">
    <w:name w:val="标题 1 字符"/>
    <w:basedOn w:val="19"/>
    <w:link w:val="2"/>
    <w:qFormat/>
    <w:uiPriority w:val="9"/>
    <w:rPr>
      <w:b/>
      <w:bCs/>
      <w:kern w:val="44"/>
      <w:sz w:val="44"/>
      <w:szCs w:val="44"/>
    </w:rPr>
  </w:style>
  <w:style w:type="character" w:customStyle="1" w:styleId="23">
    <w:name w:val="标题 2 字符"/>
    <w:basedOn w:val="19"/>
    <w:link w:val="3"/>
    <w:qFormat/>
    <w:uiPriority w:val="9"/>
    <w:rPr>
      <w:rFonts w:asciiTheme="majorHAnsi" w:hAnsiTheme="majorHAnsi" w:eastAsiaTheme="majorEastAsia" w:cstheme="majorBidi"/>
      <w:b/>
      <w:bCs/>
      <w:sz w:val="32"/>
      <w:szCs w:val="32"/>
    </w:rPr>
  </w:style>
  <w:style w:type="character" w:customStyle="1" w:styleId="24">
    <w:name w:val="标题 3 字符"/>
    <w:basedOn w:val="19"/>
    <w:link w:val="4"/>
    <w:qFormat/>
    <w:uiPriority w:val="9"/>
    <w:rPr>
      <w:b/>
      <w:bCs/>
      <w:sz w:val="32"/>
      <w:szCs w:val="32"/>
    </w:rPr>
  </w:style>
  <w:style w:type="character" w:customStyle="1" w:styleId="25">
    <w:name w:val="批注文字 字符"/>
    <w:basedOn w:val="19"/>
    <w:link w:val="5"/>
    <w:semiHidden/>
    <w:qFormat/>
    <w:uiPriority w:val="99"/>
  </w:style>
  <w:style w:type="character" w:customStyle="1" w:styleId="26">
    <w:name w:val="正文文本 字符"/>
    <w:basedOn w:val="19"/>
    <w:link w:val="6"/>
    <w:semiHidden/>
    <w:qFormat/>
    <w:uiPriority w:val="99"/>
  </w:style>
  <w:style w:type="character" w:customStyle="1" w:styleId="27">
    <w:name w:val="批注框文本 字符"/>
    <w:basedOn w:val="19"/>
    <w:link w:val="8"/>
    <w:semiHidden/>
    <w:qFormat/>
    <w:uiPriority w:val="99"/>
    <w:rPr>
      <w:sz w:val="18"/>
      <w:szCs w:val="18"/>
    </w:rPr>
  </w:style>
  <w:style w:type="character" w:customStyle="1" w:styleId="28">
    <w:name w:val="页脚 字符"/>
    <w:basedOn w:val="19"/>
    <w:link w:val="9"/>
    <w:qFormat/>
    <w:uiPriority w:val="99"/>
    <w:rPr>
      <w:sz w:val="18"/>
      <w:szCs w:val="18"/>
    </w:rPr>
  </w:style>
  <w:style w:type="character" w:customStyle="1" w:styleId="29">
    <w:name w:val="页眉 字符"/>
    <w:basedOn w:val="19"/>
    <w:link w:val="10"/>
    <w:qFormat/>
    <w:uiPriority w:val="99"/>
    <w:rPr>
      <w:sz w:val="18"/>
      <w:szCs w:val="18"/>
    </w:rPr>
  </w:style>
  <w:style w:type="character" w:customStyle="1" w:styleId="30">
    <w:name w:val="正文文本缩进 3 字符"/>
    <w:basedOn w:val="19"/>
    <w:link w:val="12"/>
    <w:qFormat/>
    <w:uiPriority w:val="99"/>
    <w:rPr>
      <w:sz w:val="16"/>
      <w:szCs w:val="16"/>
    </w:rPr>
  </w:style>
  <w:style w:type="character" w:customStyle="1" w:styleId="31">
    <w:name w:val="批注主题 字符"/>
    <w:basedOn w:val="25"/>
    <w:link w:val="15"/>
    <w:semiHidden/>
    <w:qFormat/>
    <w:uiPriority w:val="99"/>
    <w:rPr>
      <w:b/>
      <w:bCs/>
    </w:rPr>
  </w:style>
  <w:style w:type="character" w:customStyle="1" w:styleId="32">
    <w:name w:val="正文文本首行缩进 字符"/>
    <w:basedOn w:val="26"/>
    <w:link w:val="16"/>
    <w:qFormat/>
    <w:uiPriority w:val="0"/>
    <w:rPr>
      <w:rFonts w:ascii="Times New Roman" w:hAnsi="Times New Roman" w:eastAsia="宋体" w:cs="Times New Roman"/>
      <w:szCs w:val="24"/>
    </w:rPr>
  </w:style>
  <w:style w:type="paragraph" w:customStyle="1" w:styleId="33">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4">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5">
    <w:name w:val="p1"/>
    <w:basedOn w:val="1"/>
    <w:qFormat/>
    <w:uiPriority w:val="0"/>
    <w:pPr>
      <w:spacing w:line="380" w:lineRule="atLeast"/>
    </w:pPr>
    <w:rPr>
      <w:rFonts w:ascii="Helvetica Neue" w:hAnsi="Helvetica Neue" w:eastAsia="Helvetica Neue" w:cs="Times New Roman"/>
      <w:color w:val="000000"/>
      <w:sz w:val="26"/>
      <w:szCs w:val="26"/>
    </w:rPr>
  </w:style>
  <w:style w:type="character" w:customStyle="1" w:styleId="36">
    <w:name w:val="标题 1 字符1"/>
    <w:qFormat/>
    <w:uiPriority w:val="9"/>
    <w:rPr>
      <w:rFonts w:ascii="Times New Roman" w:hAnsi="Times New Roman" w:eastAsia="仿宋_GB2312"/>
      <w:b/>
      <w:kern w:val="44"/>
      <w:sz w:val="32"/>
      <w:szCs w:val="22"/>
    </w:rPr>
  </w:style>
  <w:style w:type="paragraph" w:styleId="37">
    <w:name w:val="List Paragraph"/>
    <w:basedOn w:val="1"/>
    <w:qFormat/>
    <w:uiPriority w:val="34"/>
    <w:pPr>
      <w:widowControl w:val="0"/>
      <w:ind w:firstLine="420" w:firstLineChars="200"/>
      <w:jc w:val="both"/>
    </w:pPr>
    <w:rPr>
      <w:rFonts w:asciiTheme="minorHAnsi" w:hAnsiTheme="minorHAnsi" w:eastAsiaTheme="minorEastAsia" w:cstheme="minorBidi"/>
      <w:kern w:val="2"/>
      <w:sz w:val="21"/>
      <w:szCs w:val="22"/>
    </w:rPr>
  </w:style>
  <w:style w:type="character" w:customStyle="1" w:styleId="38">
    <w:name w:val="NormalCharacter"/>
    <w:semiHidden/>
    <w:qFormat/>
    <w:uiPriority w:val="0"/>
  </w:style>
  <w:style w:type="paragraph" w:customStyle="1" w:styleId="39">
    <w:name w:val="WPSOffice手动目录 1"/>
    <w:qFormat/>
    <w:uiPriority w:val="0"/>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ctr" anchorCtr="0" upright="1">
        <a:no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DB40C3-F276-4434-8D29-0F8513BB108B}">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29</Pages>
  <Words>12473</Words>
  <Characters>18528</Characters>
  <Lines>156</Lines>
  <Paragraphs>43</Paragraphs>
  <TotalTime>4</TotalTime>
  <ScaleCrop>false</ScaleCrop>
  <LinksUpToDate>false</LinksUpToDate>
  <CharactersWithSpaces>18683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2021-01-04T03:18:00Z</dcterms:created>
  <dc:creator>* 龙胆</dc:creator>
  <cp:lastModifiedBy>冯望</cp:lastModifiedBy>
  <dcterms:modified xsi:type="dcterms:W3CDTF">2021-01-11T11:40:06Z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