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hint="eastAsia" w:ascii="宋体" w:hAnsi="宋体" w:eastAsia="宋体" w:cs="宋体"/>
          <w:b/>
          <w:color w:val="000000"/>
          <w:spacing w:val="60"/>
          <w:kern w:val="10"/>
          <w:sz w:val="36"/>
          <w:szCs w:val="36"/>
        </w:rPr>
      </w:pPr>
    </w:p>
    <w:p>
      <w:pPr>
        <w:spacing w:line="480" w:lineRule="auto"/>
        <w:ind w:leftChars="-67" w:hanging="141" w:hangingChars="39"/>
        <w:jc w:val="center"/>
        <w:rPr>
          <w:rFonts w:hint="default" w:ascii="Arial" w:hAnsi="Arial" w:eastAsia="宋体" w:cs="Arial"/>
          <w:b/>
          <w:sz w:val="36"/>
          <w:szCs w:val="36"/>
        </w:rPr>
      </w:pPr>
      <w:r>
        <w:rPr>
          <w:rFonts w:hint="default" w:ascii="Arial" w:hAnsi="Arial" w:eastAsia="宋体" w:cs="Arial"/>
          <w:b/>
          <w:sz w:val="36"/>
          <w:szCs w:val="36"/>
        </w:rPr>
        <w:t>光大信托·瑞华6号集合资金信托计划</w:t>
      </w:r>
    </w:p>
    <w:p>
      <w:pPr>
        <w:spacing w:line="480" w:lineRule="auto"/>
        <w:ind w:leftChars="-67" w:hanging="141" w:hangingChars="39"/>
        <w:jc w:val="center"/>
        <w:rPr>
          <w:rFonts w:hint="default" w:ascii="Arial" w:hAnsi="Arial" w:eastAsia="宋体" w:cs="Arial"/>
          <w:b/>
          <w:sz w:val="36"/>
          <w:szCs w:val="36"/>
        </w:rPr>
      </w:pPr>
      <w:r>
        <w:rPr>
          <w:rFonts w:hint="default" w:ascii="Arial" w:hAnsi="Arial" w:eastAsia="宋体" w:cs="Arial"/>
          <w:b/>
          <w:sz w:val="36"/>
          <w:szCs w:val="36"/>
        </w:rPr>
        <w:t>2020年</w:t>
      </w:r>
      <w:r>
        <w:rPr>
          <w:rFonts w:hint="default" w:ascii="Arial" w:hAnsi="Arial" w:eastAsia="宋体" w:cs="Arial"/>
          <w:b/>
          <w:sz w:val="36"/>
          <w:szCs w:val="36"/>
          <w:lang w:val="en-US" w:eastAsia="zh-CN"/>
        </w:rPr>
        <w:t>1</w:t>
      </w:r>
      <w:r>
        <w:rPr>
          <w:rFonts w:hint="eastAsia" w:ascii="Arial" w:hAnsi="Arial" w:cs="Arial"/>
          <w:b/>
          <w:sz w:val="36"/>
          <w:szCs w:val="36"/>
          <w:lang w:val="en-US" w:eastAsia="zh-CN"/>
        </w:rPr>
        <w:t>2</w:t>
      </w:r>
      <w:r>
        <w:rPr>
          <w:rFonts w:hint="default" w:ascii="Arial" w:hAnsi="Arial" w:eastAsia="宋体" w:cs="Arial"/>
          <w:b/>
          <w:sz w:val="36"/>
          <w:szCs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项目名称：光大信托·瑞华6号武汉</w:t>
      </w:r>
      <w:r>
        <w:rPr>
          <w:rFonts w:hint="eastAsia" w:ascii="Arial" w:hAnsi="Arial" w:cs="Arial"/>
          <w:b/>
          <w:color w:val="000000"/>
          <w:szCs w:val="21"/>
        </w:rPr>
        <w:t>光谷正荣府</w:t>
      </w:r>
      <w:r>
        <w:rPr>
          <w:rFonts w:ascii="Arial" w:hAnsi="Arial" w:cs="Arial"/>
          <w:b/>
          <w:color w:val="000000"/>
          <w:szCs w:val="21"/>
        </w:rPr>
        <w:t>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监管人员：贺康复</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lang w:val="en-US" w:eastAsia="zh-CN"/>
        </w:rPr>
        <w:t>一</w:t>
      </w:r>
      <w:r>
        <w:rPr>
          <w:rFonts w:ascii="Arial" w:hAnsi="Arial" w:cs="Arial"/>
          <w:b/>
          <w:color w:val="000000"/>
          <w:szCs w:val="21"/>
        </w:rPr>
        <w:t>月</w:t>
      </w:r>
      <w:r>
        <w:rPr>
          <w:rFonts w:hint="eastAsia" w:ascii="Arial" w:hAnsi="Arial" w:cs="Arial"/>
          <w:b/>
          <w:color w:val="000000"/>
          <w:szCs w:val="21"/>
          <w:lang w:val="en-US" w:eastAsia="zh-CN"/>
        </w:rPr>
        <w:t>十四</w:t>
      </w:r>
      <w:r>
        <w:rPr>
          <w:rFonts w:ascii="Arial" w:hAnsi="Arial" w:cs="Arial"/>
          <w:b/>
          <w:color w:val="000000"/>
          <w:szCs w:val="21"/>
        </w:rPr>
        <w:t>日</w:t>
      </w:r>
    </w:p>
    <w:p>
      <w:pPr>
        <w:pStyle w:val="15"/>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目录</w:t>
      </w:r>
    </w:p>
    <w:p>
      <w:pPr>
        <w:pStyle w:val="15"/>
        <w:tabs>
          <w:tab w:val="right" w:leader="dot" w:pos="9298"/>
          <w:tab w:val="clear" w:pos="8302"/>
        </w:tabs>
        <w:spacing w:line="360" w:lineRule="auto"/>
        <w:jc w:val="left"/>
        <w:rPr>
          <w:rFonts w:hint="default" w:ascii="Arial" w:hAnsi="Arial" w:eastAsia="宋体" w:cs="Arial"/>
          <w:sz w:val="21"/>
          <w:szCs w:val="21"/>
        </w:rPr>
      </w:pPr>
      <w:r>
        <w:rPr>
          <w:rFonts w:hint="eastAsia" w:ascii="宋体" w:hAnsi="宋体" w:eastAsia="宋体" w:cs="宋体"/>
          <w:sz w:val="28"/>
          <w:szCs w:val="28"/>
        </w:rPr>
        <w:fldChar w:fldCharType="begin"/>
      </w:r>
      <w:r>
        <w:rPr>
          <w:rStyle w:val="28"/>
          <w:rFonts w:hint="eastAsia" w:ascii="宋体" w:hAnsi="宋体" w:eastAsia="宋体" w:cs="宋体"/>
          <w:sz w:val="28"/>
          <w:szCs w:val="28"/>
        </w:rPr>
        <w:instrText xml:space="preserve"> TOC \o "1-3" \h \z \u </w:instrText>
      </w:r>
      <w:r>
        <w:rPr>
          <w:rFonts w:hint="eastAsia" w:ascii="宋体" w:hAnsi="宋体" w:eastAsia="宋体" w:cs="宋体"/>
          <w:sz w:val="28"/>
          <w:szCs w:val="28"/>
        </w:rPr>
        <w:fldChar w:fldCharType="separate"/>
      </w: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_Toc14751 </w:instrText>
      </w:r>
      <w:r>
        <w:rPr>
          <w:rFonts w:hint="default" w:ascii="Arial" w:hAnsi="Arial" w:eastAsia="宋体" w:cs="Arial"/>
          <w:sz w:val="21"/>
          <w:szCs w:val="21"/>
        </w:rPr>
        <w:fldChar w:fldCharType="separate"/>
      </w:r>
      <w:r>
        <w:rPr>
          <w:rFonts w:hint="default" w:ascii="Arial" w:hAnsi="Arial" w:eastAsia="宋体" w:cs="Arial"/>
          <w:sz w:val="21"/>
          <w:szCs w:val="21"/>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_Toc14751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5"/>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_Toc26677 </w:instrText>
      </w:r>
      <w:r>
        <w:rPr>
          <w:rFonts w:hint="default" w:ascii="Arial" w:hAnsi="Arial" w:eastAsia="宋体" w:cs="Arial"/>
          <w:sz w:val="21"/>
          <w:szCs w:val="21"/>
        </w:rPr>
        <w:fldChar w:fldCharType="separate"/>
      </w:r>
      <w:r>
        <w:rPr>
          <w:rFonts w:hint="default" w:ascii="Arial" w:hAnsi="Arial" w:eastAsia="宋体" w:cs="Arial"/>
          <w:sz w:val="21"/>
          <w:szCs w:val="21"/>
        </w:rPr>
        <w:t>2重大事件披露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_Toc26677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5"/>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_Toc2275 </w:instrText>
      </w:r>
      <w:r>
        <w:rPr>
          <w:rFonts w:hint="default" w:ascii="Arial" w:hAnsi="Arial" w:eastAsia="宋体" w:cs="Arial"/>
          <w:sz w:val="21"/>
          <w:szCs w:val="21"/>
        </w:rPr>
        <w:fldChar w:fldCharType="separate"/>
      </w:r>
      <w:r>
        <w:rPr>
          <w:rFonts w:hint="default" w:ascii="Arial" w:hAnsi="Arial" w:eastAsia="宋体" w:cs="Arial"/>
          <w:sz w:val="21"/>
          <w:szCs w:val="21"/>
        </w:rPr>
        <w:t>3项目五证办理情况及施工进度情况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_Toc2275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9"/>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_Toc17652 </w:instrText>
      </w:r>
      <w:r>
        <w:rPr>
          <w:rFonts w:hint="default" w:ascii="Arial" w:hAnsi="Arial" w:eastAsia="宋体" w:cs="Arial"/>
          <w:sz w:val="21"/>
          <w:szCs w:val="21"/>
        </w:rPr>
        <w:fldChar w:fldCharType="separate"/>
      </w:r>
      <w:r>
        <w:rPr>
          <w:rFonts w:hint="default" w:ascii="Arial" w:hAnsi="Arial" w:eastAsia="宋体" w:cs="Arial"/>
          <w:sz w:val="21"/>
          <w:szCs w:val="21"/>
        </w:rPr>
        <w:t>3.1项目五证办理情况说明</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_Toc17652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9"/>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_Toc3108 </w:instrText>
      </w:r>
      <w:r>
        <w:rPr>
          <w:rFonts w:hint="default" w:ascii="Arial" w:hAnsi="Arial" w:eastAsia="宋体" w:cs="Arial"/>
          <w:sz w:val="21"/>
          <w:szCs w:val="21"/>
        </w:rPr>
        <w:fldChar w:fldCharType="separate"/>
      </w:r>
      <w:r>
        <w:rPr>
          <w:rFonts w:hint="default" w:ascii="Arial" w:hAnsi="Arial" w:eastAsia="宋体" w:cs="Arial"/>
          <w:sz w:val="21"/>
          <w:szCs w:val="21"/>
        </w:rPr>
        <w:t>3.2工程进度考核</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_Toc3108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9"/>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_Toc860 </w:instrText>
      </w:r>
      <w:r>
        <w:rPr>
          <w:rFonts w:hint="default" w:ascii="Arial" w:hAnsi="Arial" w:eastAsia="宋体" w:cs="Arial"/>
          <w:sz w:val="21"/>
          <w:szCs w:val="21"/>
        </w:rPr>
        <w:fldChar w:fldCharType="separate"/>
      </w:r>
      <w:r>
        <w:rPr>
          <w:rFonts w:hint="default" w:ascii="Arial" w:hAnsi="Arial" w:eastAsia="宋体" w:cs="Arial"/>
          <w:sz w:val="21"/>
          <w:szCs w:val="21"/>
        </w:rPr>
        <w:t>3.3项目2020年</w:t>
      </w:r>
      <w:r>
        <w:rPr>
          <w:rFonts w:hint="default" w:ascii="Arial" w:hAnsi="Arial" w:eastAsia="宋体" w:cs="Arial"/>
          <w:sz w:val="21"/>
          <w:szCs w:val="21"/>
          <w:lang w:val="en-US" w:eastAsia="zh-CN"/>
        </w:rPr>
        <w:t>1</w:t>
      </w:r>
      <w:r>
        <w:rPr>
          <w:rFonts w:hint="eastAsia" w:ascii="Arial" w:hAnsi="Arial" w:cs="Arial"/>
          <w:sz w:val="21"/>
          <w:szCs w:val="21"/>
          <w:lang w:val="en-US" w:eastAsia="zh-CN"/>
        </w:rPr>
        <w:t>2</w:t>
      </w:r>
      <w:r>
        <w:rPr>
          <w:rFonts w:hint="default" w:ascii="Arial" w:hAnsi="Arial" w:eastAsia="宋体" w:cs="Arial"/>
          <w:sz w:val="21"/>
          <w:szCs w:val="21"/>
        </w:rPr>
        <w:t>月份施工进度情况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_Toc860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5"/>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_Toc14990 </w:instrText>
      </w:r>
      <w:r>
        <w:rPr>
          <w:rFonts w:hint="default" w:ascii="Arial" w:hAnsi="Arial" w:eastAsia="宋体" w:cs="Arial"/>
          <w:sz w:val="21"/>
          <w:szCs w:val="21"/>
        </w:rPr>
        <w:fldChar w:fldCharType="separate"/>
      </w:r>
      <w:r>
        <w:rPr>
          <w:rFonts w:hint="default" w:ascii="Arial" w:hAnsi="Arial" w:eastAsia="宋体" w:cs="Arial"/>
          <w:sz w:val="21"/>
          <w:szCs w:val="21"/>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_Toc14990 </w:instrText>
      </w:r>
      <w:r>
        <w:rPr>
          <w:rFonts w:hint="default" w:ascii="Arial" w:hAnsi="Arial" w:eastAsia="宋体" w:cs="Arial"/>
          <w:sz w:val="21"/>
          <w:szCs w:val="21"/>
        </w:rPr>
        <w:fldChar w:fldCharType="separate"/>
      </w:r>
      <w:r>
        <w:rPr>
          <w:rFonts w:hint="default" w:ascii="Arial" w:hAnsi="Arial" w:eastAsia="宋体" w:cs="Arial"/>
          <w:sz w:val="21"/>
          <w:szCs w:val="21"/>
        </w:rPr>
        <w:t>5</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5"/>
        <w:tabs>
          <w:tab w:val="right" w:leader="dot" w:pos="9298"/>
          <w:tab w:val="clear" w:pos="8302"/>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_Toc29912 </w:instrText>
      </w:r>
      <w:r>
        <w:rPr>
          <w:rFonts w:hint="default" w:ascii="Arial" w:hAnsi="Arial" w:eastAsia="宋体" w:cs="Arial"/>
          <w:sz w:val="21"/>
          <w:szCs w:val="21"/>
        </w:rPr>
        <w:fldChar w:fldCharType="separate"/>
      </w:r>
      <w:r>
        <w:rPr>
          <w:rFonts w:hint="default" w:ascii="Arial" w:hAnsi="Arial" w:eastAsia="宋体" w:cs="Arial"/>
          <w:bCs/>
          <w:sz w:val="21"/>
          <w:szCs w:val="21"/>
        </w:rPr>
        <w:t>5合同签订情况</w:t>
      </w:r>
      <w:r>
        <w:rPr>
          <w:rFonts w:hint="default" w:ascii="Arial" w:hAnsi="Arial" w:eastAsia="宋体" w:cs="Arial"/>
          <w:sz w:val="21"/>
          <w:szCs w:val="21"/>
        </w:rPr>
        <w:tab/>
      </w:r>
      <w:r>
        <w:rPr>
          <w:rFonts w:hint="eastAsia" w:ascii="Arial" w:hAnsi="Arial" w:cs="Arial"/>
          <w:sz w:val="21"/>
          <w:szCs w:val="21"/>
          <w:lang w:val="en-US" w:eastAsia="zh-CN"/>
        </w:rPr>
        <w:t>8</w:t>
      </w:r>
      <w:r>
        <w:rPr>
          <w:rFonts w:hint="default" w:ascii="Arial" w:hAnsi="Arial" w:eastAsia="宋体" w:cs="Arial"/>
          <w:color w:val="000000"/>
          <w:sz w:val="21"/>
          <w:szCs w:val="21"/>
        </w:rPr>
        <w:fldChar w:fldCharType="end"/>
      </w:r>
    </w:p>
    <w:p>
      <w:pPr>
        <w:pStyle w:val="15"/>
        <w:tabs>
          <w:tab w:val="right" w:leader="dot" w:pos="9298"/>
          <w:tab w:val="clear" w:pos="8302"/>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_Toc17163 </w:instrText>
      </w:r>
      <w:r>
        <w:rPr>
          <w:rFonts w:hint="default" w:ascii="Arial" w:hAnsi="Arial" w:eastAsia="宋体" w:cs="Arial"/>
          <w:sz w:val="21"/>
          <w:szCs w:val="21"/>
        </w:rPr>
        <w:fldChar w:fldCharType="separate"/>
      </w:r>
      <w:r>
        <w:rPr>
          <w:rFonts w:hint="default" w:ascii="Arial" w:hAnsi="Arial" w:eastAsia="宋体" w:cs="Arial"/>
          <w:sz w:val="21"/>
          <w:szCs w:val="21"/>
        </w:rPr>
        <w:t>6 项目销售情况汇总表</w:t>
      </w:r>
      <w:r>
        <w:rPr>
          <w:rFonts w:hint="default" w:ascii="Arial" w:hAnsi="Arial" w:eastAsia="宋体" w:cs="Arial"/>
          <w:sz w:val="21"/>
          <w:szCs w:val="21"/>
        </w:rPr>
        <w:tab/>
      </w:r>
      <w:r>
        <w:rPr>
          <w:rFonts w:hint="eastAsia" w:ascii="Arial" w:hAnsi="Arial" w:cs="Arial"/>
          <w:sz w:val="21"/>
          <w:szCs w:val="21"/>
          <w:lang w:val="en-US" w:eastAsia="zh-CN"/>
        </w:rPr>
        <w:t>1</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1</w:t>
      </w:r>
    </w:p>
    <w:p>
      <w:pPr>
        <w:pStyle w:val="15"/>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_Toc19245 </w:instrText>
      </w:r>
      <w:r>
        <w:rPr>
          <w:rFonts w:hint="default" w:ascii="Arial" w:hAnsi="Arial" w:eastAsia="宋体" w:cs="Arial"/>
          <w:sz w:val="21"/>
          <w:szCs w:val="21"/>
        </w:rPr>
        <w:fldChar w:fldCharType="separate"/>
      </w:r>
      <w:r>
        <w:rPr>
          <w:rFonts w:hint="default" w:ascii="Arial" w:hAnsi="Arial" w:eastAsia="宋体" w:cs="Arial"/>
          <w:sz w:val="21"/>
          <w:szCs w:val="21"/>
        </w:rPr>
        <w:t>7 项目竞品分析</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1</w:t>
      </w:r>
    </w:p>
    <w:p>
      <w:pPr>
        <w:pStyle w:val="15"/>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_Toc23751 </w:instrText>
      </w:r>
      <w:r>
        <w:rPr>
          <w:rFonts w:hint="default" w:ascii="Arial" w:hAnsi="Arial" w:eastAsia="宋体" w:cs="Arial"/>
          <w:sz w:val="21"/>
          <w:szCs w:val="21"/>
        </w:rPr>
        <w:fldChar w:fldCharType="separate"/>
      </w:r>
      <w:r>
        <w:rPr>
          <w:rFonts w:hint="default" w:ascii="Arial" w:hAnsi="Arial" w:eastAsia="宋体" w:cs="Arial"/>
          <w:sz w:val="21"/>
          <w:szCs w:val="21"/>
        </w:rPr>
        <w:t>8 资金情况</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3</w:t>
      </w:r>
    </w:p>
    <w:p>
      <w:pPr>
        <w:pStyle w:val="19"/>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_Toc25450 </w:instrText>
      </w:r>
      <w:r>
        <w:rPr>
          <w:rFonts w:hint="default" w:ascii="Arial" w:hAnsi="Arial" w:eastAsia="宋体" w:cs="Arial"/>
          <w:sz w:val="21"/>
          <w:szCs w:val="21"/>
        </w:rPr>
        <w:fldChar w:fldCharType="separate"/>
      </w:r>
      <w:r>
        <w:rPr>
          <w:rFonts w:hint="default" w:ascii="Arial" w:hAnsi="Arial" w:eastAsia="宋体" w:cs="Arial"/>
          <w:sz w:val="21"/>
          <w:szCs w:val="21"/>
        </w:rPr>
        <w:t>8.1 资金使用汇总表（2020年</w:t>
      </w:r>
      <w:r>
        <w:rPr>
          <w:rFonts w:hint="default" w:ascii="Arial" w:hAnsi="Arial" w:eastAsia="宋体" w:cs="Arial"/>
          <w:sz w:val="21"/>
          <w:szCs w:val="21"/>
          <w:lang w:val="en-US" w:eastAsia="zh-CN"/>
        </w:rPr>
        <w:t>1</w:t>
      </w:r>
      <w:r>
        <w:rPr>
          <w:rFonts w:hint="eastAsia" w:ascii="Arial" w:hAnsi="Arial"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3</w:t>
      </w:r>
    </w:p>
    <w:p>
      <w:pPr>
        <w:pStyle w:val="19"/>
        <w:tabs>
          <w:tab w:val="right" w:leader="dot" w:pos="9298"/>
          <w:tab w:val="clear" w:pos="8302"/>
        </w:tabs>
        <w:spacing w:line="360" w:lineRule="auto"/>
        <w:jc w:val="left"/>
        <w:rPr>
          <w:rFonts w:hint="default"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_Toc12509 </w:instrText>
      </w:r>
      <w:r>
        <w:rPr>
          <w:rFonts w:hint="default" w:ascii="Arial" w:hAnsi="Arial" w:eastAsia="宋体" w:cs="Arial"/>
          <w:sz w:val="21"/>
          <w:szCs w:val="21"/>
        </w:rPr>
        <w:fldChar w:fldCharType="separate"/>
      </w:r>
      <w:r>
        <w:rPr>
          <w:rFonts w:hint="default" w:ascii="Arial" w:hAnsi="Arial" w:eastAsia="宋体" w:cs="Arial"/>
          <w:sz w:val="21"/>
          <w:szCs w:val="21"/>
        </w:rPr>
        <w:t>8.2资金流出情况</w:t>
      </w:r>
      <w:r>
        <w:rPr>
          <w:rFonts w:hint="default" w:ascii="Arial" w:hAnsi="Arial" w:eastAsia="宋体" w:cs="Arial"/>
          <w:sz w:val="21"/>
          <w:szCs w:val="21"/>
        </w:rPr>
        <w:tab/>
      </w:r>
      <w:r>
        <w:rPr>
          <w:rFonts w:hint="default" w:ascii="Arial" w:hAnsi="Arial" w:eastAsia="宋体" w:cs="Arial"/>
          <w:sz w:val="21"/>
          <w:szCs w:val="21"/>
          <w:lang w:val="en-US" w:eastAsia="zh-CN"/>
        </w:rPr>
        <w:t>1</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3</w:t>
      </w:r>
    </w:p>
    <w:p>
      <w:pPr>
        <w:pStyle w:val="19"/>
        <w:tabs>
          <w:tab w:val="right" w:leader="dot" w:pos="9298"/>
          <w:tab w:val="clear" w:pos="8302"/>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_Toc10592 </w:instrText>
      </w:r>
      <w:r>
        <w:rPr>
          <w:rFonts w:hint="default" w:ascii="Arial" w:hAnsi="Arial" w:eastAsia="宋体" w:cs="Arial"/>
          <w:sz w:val="21"/>
          <w:szCs w:val="21"/>
        </w:rPr>
        <w:fldChar w:fldCharType="separate"/>
      </w:r>
      <w:r>
        <w:rPr>
          <w:rFonts w:hint="default" w:ascii="Arial" w:hAnsi="Arial" w:eastAsia="宋体" w:cs="Arial"/>
          <w:sz w:val="21"/>
          <w:szCs w:val="21"/>
        </w:rPr>
        <w:t>8.3 资金流入情况</w:t>
      </w:r>
      <w:r>
        <w:rPr>
          <w:rFonts w:hint="default" w:ascii="Arial" w:hAnsi="Arial" w:eastAsia="宋体" w:cs="Arial"/>
          <w:sz w:val="21"/>
          <w:szCs w:val="21"/>
        </w:rPr>
        <w:tab/>
      </w:r>
      <w:r>
        <w:rPr>
          <w:rFonts w:hint="eastAsia" w:ascii="Arial" w:hAnsi="Arial" w:cs="Arial"/>
          <w:sz w:val="21"/>
          <w:szCs w:val="21"/>
          <w:lang w:val="en-US" w:eastAsia="zh-CN"/>
        </w:rPr>
        <w:t>2</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0</w:t>
      </w:r>
    </w:p>
    <w:p>
      <w:pPr>
        <w:pStyle w:val="9"/>
        <w:tabs>
          <w:tab w:val="right" w:leader="dot" w:pos="9298"/>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_Toc20087 </w:instrText>
      </w:r>
      <w:r>
        <w:rPr>
          <w:rFonts w:hint="default" w:ascii="Arial" w:hAnsi="Arial" w:eastAsia="宋体" w:cs="Arial"/>
          <w:sz w:val="21"/>
          <w:szCs w:val="21"/>
        </w:rPr>
        <w:fldChar w:fldCharType="separate"/>
      </w:r>
      <w:r>
        <w:rPr>
          <w:rFonts w:hint="default" w:ascii="Arial" w:hAnsi="Arial" w:eastAsia="宋体" w:cs="Arial"/>
          <w:bCs/>
          <w:sz w:val="21"/>
          <w:szCs w:val="21"/>
        </w:rPr>
        <w:t>8.3.1其他资金流入明细</w:t>
      </w:r>
      <w:r>
        <w:rPr>
          <w:rFonts w:hint="default" w:ascii="Arial" w:hAnsi="Arial" w:eastAsia="宋体" w:cs="Arial"/>
          <w:sz w:val="21"/>
          <w:szCs w:val="21"/>
        </w:rPr>
        <w:tab/>
      </w:r>
      <w:r>
        <w:rPr>
          <w:rFonts w:hint="eastAsia" w:ascii="Arial" w:hAnsi="Arial" w:cs="Arial"/>
          <w:sz w:val="21"/>
          <w:szCs w:val="21"/>
          <w:lang w:val="en-US" w:eastAsia="zh-CN"/>
        </w:rPr>
        <w:t>2</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1</w:t>
      </w:r>
    </w:p>
    <w:p>
      <w:pPr>
        <w:pStyle w:val="9"/>
        <w:tabs>
          <w:tab w:val="right" w:leader="dot" w:pos="9298"/>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_Toc24512 </w:instrText>
      </w:r>
      <w:r>
        <w:rPr>
          <w:rFonts w:hint="default" w:ascii="Arial" w:hAnsi="Arial" w:eastAsia="宋体" w:cs="Arial"/>
          <w:sz w:val="21"/>
          <w:szCs w:val="21"/>
        </w:rPr>
        <w:fldChar w:fldCharType="separate"/>
      </w:r>
      <w:r>
        <w:rPr>
          <w:rFonts w:hint="default" w:ascii="Arial" w:hAnsi="Arial" w:eastAsia="宋体" w:cs="Arial"/>
          <w:sz w:val="21"/>
          <w:szCs w:val="21"/>
        </w:rPr>
        <w:t>8.3.2销售资金流入明细</w:t>
      </w:r>
      <w:r>
        <w:rPr>
          <w:rFonts w:hint="default" w:ascii="Arial" w:hAnsi="Arial" w:eastAsia="宋体" w:cs="Arial"/>
          <w:sz w:val="21"/>
          <w:szCs w:val="21"/>
        </w:rPr>
        <w:tab/>
      </w:r>
      <w:r>
        <w:rPr>
          <w:rFonts w:hint="eastAsia" w:ascii="Arial" w:hAnsi="Arial" w:cs="Arial"/>
          <w:sz w:val="21"/>
          <w:szCs w:val="21"/>
          <w:lang w:val="en-US" w:eastAsia="zh-CN"/>
        </w:rPr>
        <w:t>2</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1</w:t>
      </w:r>
    </w:p>
    <w:p>
      <w:pPr>
        <w:pStyle w:val="9"/>
        <w:tabs>
          <w:tab w:val="right" w:leader="dot" w:pos="9298"/>
        </w:tabs>
        <w:spacing w:line="360" w:lineRule="auto"/>
        <w:jc w:val="left"/>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_Toc25831 </w:instrText>
      </w:r>
      <w:r>
        <w:rPr>
          <w:rFonts w:hint="default" w:ascii="Arial" w:hAnsi="Arial" w:eastAsia="宋体" w:cs="Arial"/>
          <w:sz w:val="21"/>
          <w:szCs w:val="21"/>
        </w:rPr>
        <w:fldChar w:fldCharType="separate"/>
      </w:r>
      <w:r>
        <w:rPr>
          <w:rFonts w:hint="default" w:ascii="Arial" w:hAnsi="Arial" w:eastAsia="宋体" w:cs="Arial"/>
          <w:sz w:val="21"/>
          <w:szCs w:val="21"/>
        </w:rPr>
        <w:t>8.3.3销售回款明细</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_Toc25831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eastAsia" w:ascii="Arial" w:hAnsi="Arial" w:cs="Arial"/>
          <w:sz w:val="21"/>
          <w:szCs w:val="21"/>
          <w:lang w:val="en-US" w:eastAsia="zh-CN"/>
        </w:rPr>
        <w:t>8</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9"/>
        <w:tabs>
          <w:tab w:val="right" w:leader="dot" w:pos="9298"/>
          <w:tab w:val="clear" w:pos="8302"/>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_Toc14938 </w:instrText>
      </w:r>
      <w:r>
        <w:rPr>
          <w:rFonts w:hint="default" w:ascii="Arial" w:hAnsi="Arial" w:eastAsia="宋体" w:cs="Arial"/>
          <w:sz w:val="21"/>
          <w:szCs w:val="21"/>
        </w:rPr>
        <w:fldChar w:fldCharType="separate"/>
      </w:r>
      <w:r>
        <w:rPr>
          <w:rFonts w:hint="default" w:ascii="Arial" w:hAnsi="Arial" w:eastAsia="宋体" w:cs="Arial"/>
          <w:sz w:val="21"/>
          <w:szCs w:val="21"/>
        </w:rPr>
        <w:t>8.4 各银行账户余额</w:t>
      </w:r>
      <w:r>
        <w:rPr>
          <w:rFonts w:hint="default" w:ascii="Arial" w:hAnsi="Arial" w:eastAsia="宋体" w:cs="Arial"/>
          <w:sz w:val="21"/>
          <w:szCs w:val="21"/>
        </w:rPr>
        <w:tab/>
      </w:r>
      <w:r>
        <w:rPr>
          <w:rFonts w:hint="default" w:ascii="Arial" w:hAnsi="Arial" w:eastAsia="宋体" w:cs="Arial"/>
          <w:color w:val="000000"/>
          <w:sz w:val="21"/>
          <w:szCs w:val="21"/>
        </w:rPr>
        <w:fldChar w:fldCharType="end"/>
      </w:r>
      <w:r>
        <w:rPr>
          <w:rFonts w:hint="eastAsia" w:ascii="Arial" w:hAnsi="Arial" w:cs="Arial"/>
          <w:sz w:val="21"/>
          <w:szCs w:val="21"/>
          <w:lang w:val="en-US" w:eastAsia="zh-CN"/>
        </w:rPr>
        <w:t>2</w:t>
      </w:r>
      <w:r>
        <w:rPr>
          <w:rFonts w:hint="eastAsia" w:ascii="Arial" w:hAnsi="Arial" w:cs="Arial"/>
          <w:color w:val="000000"/>
          <w:sz w:val="21"/>
          <w:szCs w:val="21"/>
          <w:lang w:val="en-US" w:eastAsia="zh-CN"/>
        </w:rPr>
        <w:t>9</w:t>
      </w:r>
    </w:p>
    <w:p>
      <w:pPr>
        <w:pStyle w:val="15"/>
        <w:tabs>
          <w:tab w:val="right" w:leader="dot" w:pos="9298"/>
          <w:tab w:val="clear" w:pos="8302"/>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_Toc7039 </w:instrText>
      </w:r>
      <w:r>
        <w:rPr>
          <w:rFonts w:hint="default" w:ascii="Arial" w:hAnsi="Arial" w:eastAsia="宋体" w:cs="Arial"/>
          <w:sz w:val="21"/>
          <w:szCs w:val="21"/>
        </w:rPr>
        <w:fldChar w:fldCharType="separate"/>
      </w:r>
      <w:r>
        <w:rPr>
          <w:rFonts w:hint="default" w:ascii="Arial" w:hAnsi="Arial" w:eastAsia="宋体" w:cs="Arial"/>
          <w:sz w:val="21"/>
          <w:szCs w:val="21"/>
        </w:rPr>
        <w:t>附件</w:t>
      </w:r>
      <w:r>
        <w:rPr>
          <w:rFonts w:hint="default" w:ascii="Arial" w:hAnsi="Arial" w:eastAsia="宋体" w:cs="Arial"/>
          <w:sz w:val="21"/>
          <w:szCs w:val="21"/>
        </w:rPr>
        <w:tab/>
      </w:r>
      <w:r>
        <w:rPr>
          <w:rFonts w:hint="eastAsia" w:ascii="Arial" w:hAnsi="Arial" w:cs="Arial"/>
          <w:sz w:val="21"/>
          <w:szCs w:val="21"/>
          <w:lang w:val="en-US" w:eastAsia="zh-CN"/>
        </w:rPr>
        <w:t>3</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0</w:t>
      </w:r>
    </w:p>
    <w:p>
      <w:pPr>
        <w:pStyle w:val="19"/>
        <w:tabs>
          <w:tab w:val="right" w:leader="dot" w:pos="9298"/>
          <w:tab w:val="clear" w:pos="8302"/>
        </w:tabs>
        <w:spacing w:line="360" w:lineRule="auto"/>
        <w:jc w:val="left"/>
        <w:rPr>
          <w:rFonts w:hint="eastAsia" w:ascii="Arial" w:hAnsi="Arial" w:eastAsia="宋体" w:cs="Arial"/>
          <w:sz w:val="21"/>
          <w:szCs w:val="21"/>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_Toc25352 </w:instrText>
      </w:r>
      <w:r>
        <w:rPr>
          <w:rFonts w:hint="default" w:ascii="Arial" w:hAnsi="Arial" w:eastAsia="宋体" w:cs="Arial"/>
          <w:sz w:val="21"/>
          <w:szCs w:val="21"/>
        </w:rPr>
        <w:fldChar w:fldCharType="separate"/>
      </w:r>
      <w:r>
        <w:rPr>
          <w:rFonts w:hint="default" w:ascii="Arial" w:hAnsi="Arial" w:eastAsia="宋体" w:cs="Arial"/>
          <w:sz w:val="21"/>
          <w:szCs w:val="21"/>
        </w:rPr>
        <w:t>附件一  项目平面图</w:t>
      </w:r>
      <w:r>
        <w:rPr>
          <w:rFonts w:hint="default" w:ascii="Arial" w:hAnsi="Arial" w:eastAsia="宋体" w:cs="Arial"/>
          <w:sz w:val="21"/>
          <w:szCs w:val="21"/>
        </w:rPr>
        <w:tab/>
      </w:r>
      <w:r>
        <w:rPr>
          <w:rFonts w:hint="eastAsia" w:ascii="Arial" w:hAnsi="Arial" w:cs="Arial"/>
          <w:sz w:val="21"/>
          <w:szCs w:val="21"/>
          <w:lang w:val="en-US" w:eastAsia="zh-CN"/>
        </w:rPr>
        <w:t>3</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0</w:t>
      </w:r>
    </w:p>
    <w:p>
      <w:pPr>
        <w:pStyle w:val="19"/>
        <w:tabs>
          <w:tab w:val="right" w:leader="dot" w:pos="9298"/>
          <w:tab w:val="clear" w:pos="8302"/>
        </w:tabs>
        <w:spacing w:line="360" w:lineRule="auto"/>
        <w:jc w:val="left"/>
        <w:rPr>
          <w:rFonts w:hint="eastAsia" w:ascii="宋体" w:hAnsi="宋体" w:eastAsia="宋体" w:cs="宋体"/>
          <w:sz w:val="28"/>
          <w:szCs w:val="28"/>
          <w:lang w:val="en-US" w:eastAsia="zh-CN"/>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_Toc23859 </w:instrText>
      </w:r>
      <w:r>
        <w:rPr>
          <w:rFonts w:hint="default" w:ascii="Arial" w:hAnsi="Arial" w:eastAsia="宋体" w:cs="Arial"/>
          <w:sz w:val="21"/>
          <w:szCs w:val="21"/>
        </w:rPr>
        <w:fldChar w:fldCharType="separate"/>
      </w:r>
      <w:r>
        <w:rPr>
          <w:rFonts w:hint="default" w:ascii="Arial" w:hAnsi="Arial" w:eastAsia="宋体" w:cs="Arial"/>
          <w:sz w:val="21"/>
          <w:szCs w:val="21"/>
        </w:rPr>
        <w:t xml:space="preserve">附件二 </w:t>
      </w:r>
      <w:r>
        <w:rPr>
          <w:rFonts w:hint="default" w:ascii="Arial" w:hAnsi="Arial" w:eastAsia="宋体" w:cs="Arial"/>
          <w:sz w:val="21"/>
          <w:szCs w:val="21"/>
          <w:lang w:eastAsia="zh-CN"/>
        </w:rPr>
        <w:t>印鉴卡</w:t>
      </w:r>
      <w:r>
        <w:rPr>
          <w:rFonts w:hint="default" w:ascii="Arial" w:hAnsi="Arial" w:eastAsia="宋体" w:cs="Arial"/>
          <w:sz w:val="21"/>
          <w:szCs w:val="21"/>
        </w:rPr>
        <w:tab/>
      </w:r>
      <w:r>
        <w:rPr>
          <w:rFonts w:hint="eastAsia" w:ascii="Arial" w:hAnsi="Arial" w:cs="Arial"/>
          <w:sz w:val="21"/>
          <w:szCs w:val="21"/>
          <w:lang w:val="en-US" w:eastAsia="zh-CN"/>
        </w:rPr>
        <w:t>3</w:t>
      </w:r>
      <w:r>
        <w:rPr>
          <w:rFonts w:hint="default" w:ascii="Arial" w:hAnsi="Arial" w:eastAsia="宋体" w:cs="Arial"/>
          <w:color w:val="000000"/>
          <w:sz w:val="21"/>
          <w:szCs w:val="21"/>
        </w:rPr>
        <w:fldChar w:fldCharType="end"/>
      </w:r>
      <w:r>
        <w:rPr>
          <w:rFonts w:hint="eastAsia" w:ascii="Arial" w:hAnsi="Arial" w:cs="Arial"/>
          <w:color w:val="000000"/>
          <w:sz w:val="21"/>
          <w:szCs w:val="21"/>
          <w:lang w:val="en-US" w:eastAsia="zh-CN"/>
        </w:rPr>
        <w:t>1</w:t>
      </w:r>
    </w:p>
    <w:p>
      <w:pPr>
        <w:pStyle w:val="41"/>
        <w:keepNext w:val="0"/>
        <w:keepLines w:val="0"/>
        <w:widowControl w:val="0"/>
        <w:spacing w:line="360" w:lineRule="auto"/>
        <w:jc w:val="center"/>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hint="eastAsia" w:ascii="宋体" w:hAnsi="宋体" w:eastAsia="宋体" w:cs="宋体"/>
          <w:color w:val="000000"/>
          <w:sz w:val="28"/>
          <w:szCs w:val="28"/>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·标的项目：武汉光谷正荣府项目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w:t>
      </w:r>
      <w:r>
        <w:rPr>
          <w:rFonts w:ascii="Arial" w:hAnsi="Arial" w:cs="Arial"/>
          <w:bCs/>
          <w:kern w:val="44"/>
          <w:szCs w:val="21"/>
          <w:highlight w:val="none"/>
        </w:rPr>
        <w:t>汉正</w:t>
      </w:r>
      <w:r>
        <w:rPr>
          <w:rFonts w:ascii="Arial" w:hAnsi="Arial" w:cs="Arial"/>
          <w:bCs/>
          <w:kern w:val="44"/>
          <w:szCs w:val="21"/>
        </w:rPr>
        <w:t>襄企业管理咨询有限公司（以下简称“正襄”）</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·项目公司：武</w:t>
      </w:r>
      <w:r>
        <w:rPr>
          <w:rFonts w:ascii="Arial" w:hAnsi="Arial" w:cs="Arial"/>
          <w:bCs/>
          <w:kern w:val="44"/>
          <w:szCs w:val="21"/>
          <w:highlight w:val="none"/>
        </w:rPr>
        <w:t>汉正</w:t>
      </w:r>
      <w:r>
        <w:rPr>
          <w:rFonts w:ascii="Arial" w:hAnsi="Arial" w:cs="Arial"/>
          <w:bCs/>
          <w:kern w:val="44"/>
          <w:szCs w:val="21"/>
        </w:rPr>
        <w:t>楚置业发展有限公司（以下简称“</w:t>
      </w:r>
      <w:r>
        <w:rPr>
          <w:rFonts w:ascii="Arial" w:hAnsi="Arial" w:cs="Arial"/>
          <w:bCs/>
          <w:kern w:val="44"/>
          <w:szCs w:val="21"/>
          <w:highlight w:val="none"/>
        </w:rPr>
        <w:t>正楚</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2" w:name="_Toc535570745"/>
      <w:bookmarkStart w:id="3" w:name="_Toc1689"/>
      <w:bookmarkStart w:id="4" w:name="_Toc535580086"/>
      <w:bookmarkStart w:id="5" w:name="_Toc535508633"/>
      <w:bookmarkStart w:id="6" w:name="_Toc14751"/>
      <w:bookmarkStart w:id="7" w:name="_Toc535580018"/>
      <w:bookmarkStart w:id="8" w:name="_Toc32129"/>
      <w:bookmarkStart w:id="9" w:name="_Toc532281654"/>
      <w:bookmarkStart w:id="10" w:name="_Toc50218126"/>
      <w:r>
        <w:rPr>
          <w:rFonts w:hint="default" w:ascii="Arial" w:hAnsi="Arial" w:eastAsia="宋体" w:cs="Arial"/>
          <w:color w:val="000000"/>
          <w:sz w:val="24"/>
          <w:szCs w:val="24"/>
        </w:rPr>
        <w:t>1项目基本情况</w:t>
      </w:r>
      <w:bookmarkEnd w:id="2"/>
      <w:bookmarkEnd w:id="3"/>
      <w:bookmarkEnd w:id="4"/>
      <w:bookmarkEnd w:id="5"/>
      <w:bookmarkEnd w:id="6"/>
      <w:bookmarkEnd w:id="7"/>
      <w:bookmarkEnd w:id="8"/>
      <w:bookmarkEnd w:id="9"/>
      <w:bookmarkEnd w:id="10"/>
    </w:p>
    <w:p>
      <w:pPr>
        <w:jc w:val="center"/>
        <w:rPr>
          <w:rFonts w:hint="default" w:ascii="Arial" w:hAnsi="Arial" w:cs="Arial"/>
        </w:rPr>
      </w:pPr>
      <w:r>
        <w:rPr>
          <w:rFonts w:hint="default" w:ascii="Arial" w:hAnsi="Arial" w:cs="Arial"/>
          <w:sz w:val="24"/>
        </w:rPr>
        <w:drawing>
          <wp:inline distT="0" distB="0" distL="114300" distR="114300">
            <wp:extent cx="5819775" cy="3880485"/>
            <wp:effectExtent l="0" t="0" r="9525" b="5715"/>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7"/>
                    <a:stretch>
                      <a:fillRect/>
                    </a:stretch>
                  </pic:blipFill>
                  <pic:spPr>
                    <a:xfrm>
                      <a:off x="0" y="0"/>
                      <a:ext cx="5819775" cy="3880485"/>
                    </a:xfrm>
                    <a:prstGeom prst="rect">
                      <a:avLst/>
                    </a:prstGeom>
                    <a:noFill/>
                    <a:ln w="9525">
                      <a:noFill/>
                    </a:ln>
                  </pic:spPr>
                </pic:pic>
              </a:graphicData>
            </a:graphic>
          </wp:inline>
        </w:drawing>
      </w:r>
    </w:p>
    <w:p>
      <w:pPr>
        <w:spacing w:line="480" w:lineRule="auto"/>
        <w:ind w:firstLine="420" w:firstLineChars="200"/>
        <w:rPr>
          <w:rFonts w:hint="default" w:ascii="Arial" w:hAnsi="Arial" w:cs="Arial"/>
          <w:bCs/>
          <w:kern w:val="44"/>
          <w:szCs w:val="21"/>
        </w:rPr>
      </w:pPr>
    </w:p>
    <w:p>
      <w:pPr>
        <w:spacing w:line="480" w:lineRule="auto"/>
        <w:ind w:firstLine="420" w:firstLineChars="200"/>
        <w:rPr>
          <w:rFonts w:hint="default" w:ascii="Arial" w:hAnsi="Arial" w:cs="Arial"/>
          <w:color w:val="000000"/>
          <w:sz w:val="21"/>
          <w:szCs w:val="21"/>
        </w:rPr>
      </w:pPr>
      <w:r>
        <w:rPr>
          <w:rFonts w:hint="default" w:ascii="Arial" w:hAnsi="Arial" w:cs="Arial"/>
          <w:bCs/>
          <w:kern w:val="44"/>
          <w:szCs w:val="21"/>
        </w:rPr>
        <w:t>光谷正荣府位于</w:t>
      </w:r>
      <w:r>
        <w:rPr>
          <w:rFonts w:hint="default" w:ascii="Arial" w:hAnsi="Arial" w:cs="Arial"/>
          <w:color w:val="000000"/>
          <w:kern w:val="0"/>
          <w:szCs w:val="21"/>
          <w:lang w:bidi="ar"/>
        </w:rPr>
        <w:t>东湖新技术开发区流芳园横路以南，紫何路以西，玉河街以北、豹西路以东，</w:t>
      </w:r>
      <w:r>
        <w:rPr>
          <w:rFonts w:hint="default" w:ascii="Arial" w:hAnsi="Arial" w:cs="Arial"/>
          <w:bCs/>
          <w:kern w:val="44"/>
          <w:szCs w:val="21"/>
        </w:rPr>
        <w:t>项目占地面积46494.45㎡，</w:t>
      </w:r>
      <w:r>
        <w:rPr>
          <w:rFonts w:hint="default" w:ascii="Arial" w:hAnsi="Arial" w:cs="Arial"/>
          <w:szCs w:val="21"/>
        </w:rPr>
        <w:t>规划总建筑面积为140887.32㎡，住宅建筑面积94118㎡（含装配式外墙奖励面积2204.82㎡）,幼儿园1942.52㎡，社区服务站301.00㎡，物业管理用房建筑面积288.02㎡，养老服务用房176.78㎡，体育设施153.51㎡，托老所600.61㎡，开闭所140.82㎡，公厕及环卫工人休息室80.67㎡，消防及安防控制室60.25㎡，垃圾收集屋30.47㎡。地下室建筑面积41044.16㎡。</w:t>
      </w:r>
      <w:r>
        <w:rPr>
          <w:rFonts w:hint="default" w:ascii="Arial" w:hAnsi="Arial" w:cs="Arial"/>
          <w:color w:val="000000"/>
          <w:szCs w:val="21"/>
        </w:rPr>
        <w:t>项目由12栋6-20层住宅楼及配套、1栋商业、1栋幼儿园，1栋开闭所，1栋垃圾收集屋组成。</w:t>
      </w:r>
      <w:bookmarkStart w:id="11" w:name="_Toc532281655"/>
      <w:bookmarkStart w:id="12" w:name="_Toc535580021"/>
      <w:bookmarkStart w:id="13" w:name="_Toc535508634"/>
      <w:bookmarkStart w:id="14" w:name="_Toc50218127"/>
      <w:bookmarkStart w:id="15" w:name="_Toc535580089"/>
      <w:bookmarkStart w:id="16" w:name="_Toc535570748"/>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17" w:name="_Toc26677"/>
      <w:bookmarkStart w:id="18" w:name="_Toc17873"/>
      <w:bookmarkStart w:id="19" w:name="_Toc7745"/>
      <w:r>
        <w:rPr>
          <w:rFonts w:hint="default" w:ascii="Arial" w:hAnsi="Arial" w:eastAsia="宋体" w:cs="Arial"/>
          <w:color w:val="000000"/>
          <w:sz w:val="24"/>
          <w:szCs w:val="24"/>
        </w:rPr>
        <w:t>2重大事件披露</w:t>
      </w:r>
      <w:bookmarkEnd w:id="11"/>
      <w:bookmarkEnd w:id="12"/>
      <w:bookmarkEnd w:id="13"/>
      <w:bookmarkEnd w:id="14"/>
      <w:bookmarkEnd w:id="15"/>
      <w:bookmarkEnd w:id="16"/>
      <w:bookmarkEnd w:id="17"/>
      <w:bookmarkEnd w:id="18"/>
      <w:bookmarkEnd w:id="19"/>
    </w:p>
    <w:p>
      <w:pPr>
        <w:numPr>
          <w:ilvl w:val="255"/>
          <w:numId w:val="0"/>
        </w:num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highlight w:val="none"/>
          <w:lang w:val="en-US" w:eastAsia="zh-CN"/>
        </w:rPr>
        <w:t>1、</w:t>
      </w:r>
      <w:r>
        <w:rPr>
          <w:rFonts w:hint="default" w:ascii="Arial" w:hAnsi="Arial" w:cs="Arial"/>
          <w:bCs/>
          <w:kern w:val="44"/>
          <w:szCs w:val="21"/>
          <w:highlight w:val="none"/>
        </w:rPr>
        <w:t>正楚</w:t>
      </w:r>
      <w:r>
        <w:rPr>
          <w:rFonts w:hint="eastAsia" w:ascii="Arial" w:hAnsi="Arial" w:cs="Arial"/>
          <w:bCs/>
          <w:kern w:val="44"/>
          <w:szCs w:val="21"/>
          <w:lang w:eastAsia="zh-CN"/>
        </w:rPr>
        <w:t>因法人由朱文博变更为吴卫星，于</w:t>
      </w:r>
      <w:r>
        <w:rPr>
          <w:rFonts w:hint="eastAsia" w:ascii="Arial" w:hAnsi="Arial" w:cs="Arial"/>
          <w:bCs/>
          <w:kern w:val="44"/>
          <w:szCs w:val="21"/>
          <w:lang w:val="en-US" w:eastAsia="zh-CN"/>
        </w:rPr>
        <w:t>2020年12月7日办理营业执照法人变更，于2020年12月17日办理光大银行基本户法人信息变更。</w:t>
      </w:r>
    </w:p>
    <w:p>
      <w:pPr>
        <w:numPr>
          <w:ilvl w:val="255"/>
          <w:numId w:val="0"/>
        </w:numPr>
        <w:spacing w:line="480" w:lineRule="auto"/>
        <w:ind w:firstLine="420" w:firstLineChars="200"/>
        <w:rPr>
          <w:rFonts w:hint="default" w:ascii="Arial" w:hAnsi="Arial" w:cs="Arial"/>
          <w:bCs/>
          <w:kern w:val="44"/>
          <w:szCs w:val="21"/>
        </w:rPr>
      </w:pPr>
      <w:r>
        <w:rPr>
          <w:rFonts w:hint="eastAsia" w:ascii="Arial" w:hAnsi="Arial" w:cs="Arial"/>
          <w:bCs/>
          <w:kern w:val="44"/>
          <w:szCs w:val="21"/>
          <w:lang w:val="en-US" w:eastAsia="zh-CN"/>
        </w:rPr>
        <w:t>2、</w:t>
      </w:r>
      <w:r>
        <w:rPr>
          <w:rFonts w:hint="eastAsia" w:ascii="Arial" w:hAnsi="Arial" w:cs="Arial"/>
          <w:bCs/>
          <w:kern w:val="44"/>
          <w:szCs w:val="21"/>
          <w:highlight w:val="none"/>
          <w:lang w:val="en-US" w:eastAsia="zh-CN"/>
        </w:rPr>
        <w:t>正楚</w:t>
      </w:r>
      <w:r>
        <w:rPr>
          <w:rFonts w:hint="eastAsia" w:ascii="Arial" w:hAnsi="Arial" w:cs="Arial"/>
          <w:bCs/>
          <w:kern w:val="44"/>
          <w:szCs w:val="21"/>
          <w:lang w:val="en-US" w:eastAsia="zh-CN"/>
        </w:rPr>
        <w:t>于</w:t>
      </w:r>
      <w:r>
        <w:rPr>
          <w:rFonts w:hint="default" w:ascii="Arial" w:hAnsi="Arial" w:cs="Arial"/>
          <w:bCs/>
          <w:kern w:val="44"/>
          <w:szCs w:val="21"/>
        </w:rPr>
        <w:t>2020年</w:t>
      </w:r>
      <w:r>
        <w:rPr>
          <w:rFonts w:hint="default" w:ascii="Arial" w:hAnsi="Arial" w:cs="Arial"/>
          <w:bCs/>
          <w:kern w:val="44"/>
          <w:szCs w:val="21"/>
          <w:lang w:val="en-US" w:eastAsia="zh-CN"/>
        </w:rPr>
        <w:t>1</w:t>
      </w:r>
      <w:r>
        <w:rPr>
          <w:rFonts w:hint="eastAsia" w:ascii="Arial" w:hAnsi="Arial" w:cs="Arial"/>
          <w:bCs/>
          <w:kern w:val="44"/>
          <w:szCs w:val="21"/>
          <w:lang w:val="en-US" w:eastAsia="zh-CN"/>
        </w:rPr>
        <w:t>2</w:t>
      </w:r>
      <w:r>
        <w:rPr>
          <w:rFonts w:hint="default" w:ascii="Arial" w:hAnsi="Arial" w:cs="Arial"/>
          <w:bCs/>
          <w:kern w:val="44"/>
          <w:szCs w:val="21"/>
        </w:rPr>
        <w:t>月</w:t>
      </w:r>
      <w:r>
        <w:rPr>
          <w:rFonts w:hint="eastAsia" w:ascii="Arial" w:hAnsi="Arial" w:cs="Arial"/>
          <w:bCs/>
          <w:kern w:val="44"/>
          <w:szCs w:val="21"/>
          <w:lang w:val="en-US" w:eastAsia="zh-CN"/>
        </w:rPr>
        <w:t>21</w:t>
      </w:r>
      <w:r>
        <w:rPr>
          <w:rFonts w:hint="default" w:ascii="Arial" w:hAnsi="Arial" w:cs="Arial"/>
          <w:bCs/>
          <w:kern w:val="44"/>
          <w:szCs w:val="21"/>
        </w:rPr>
        <w:t>日</w:t>
      </w:r>
      <w:r>
        <w:rPr>
          <w:rFonts w:hint="eastAsia" w:ascii="Arial" w:hAnsi="Arial" w:cs="Arial"/>
          <w:bCs/>
          <w:kern w:val="44"/>
          <w:szCs w:val="21"/>
          <w:lang w:eastAsia="zh-CN"/>
        </w:rPr>
        <w:t>开立光大银行</w:t>
      </w:r>
      <w:r>
        <w:rPr>
          <w:rFonts w:hint="eastAsia" w:ascii="Arial" w:hAnsi="Arial" w:cs="Arial"/>
          <w:bCs/>
          <w:kern w:val="44"/>
          <w:szCs w:val="21"/>
          <w:lang w:val="en-US" w:eastAsia="zh-CN"/>
        </w:rPr>
        <w:t>1号监管账户</w:t>
      </w:r>
      <w:r>
        <w:rPr>
          <w:rFonts w:hint="default" w:ascii="Arial" w:hAnsi="Arial" w:cs="Arial"/>
          <w:bCs/>
          <w:kern w:val="44"/>
          <w:szCs w:val="21"/>
        </w:rPr>
        <w:t>（印鉴卡详见附件</w:t>
      </w:r>
      <w:r>
        <w:rPr>
          <w:rFonts w:hint="eastAsia" w:ascii="Arial" w:hAnsi="Arial" w:cs="Arial"/>
          <w:bCs/>
          <w:kern w:val="44"/>
          <w:szCs w:val="21"/>
          <w:lang w:eastAsia="zh-CN"/>
        </w:rPr>
        <w:t>二</w:t>
      </w:r>
      <w:r>
        <w:rPr>
          <w:rFonts w:hint="default" w:ascii="Arial" w:hAnsi="Arial" w:cs="Arial"/>
          <w:bCs/>
          <w:kern w:val="44"/>
          <w:szCs w:val="21"/>
        </w:rPr>
        <w:t>）。</w:t>
      </w:r>
    </w:p>
    <w:p>
      <w:pPr>
        <w:numPr>
          <w:ilvl w:val="255"/>
          <w:numId w:val="0"/>
        </w:num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3、</w:t>
      </w:r>
      <w:r>
        <w:rPr>
          <w:rFonts w:hint="eastAsia" w:ascii="Arial" w:hAnsi="Arial" w:cs="Arial"/>
          <w:bCs/>
          <w:kern w:val="44"/>
          <w:szCs w:val="21"/>
          <w:highlight w:val="none"/>
          <w:lang w:val="en-US" w:eastAsia="zh-CN"/>
        </w:rPr>
        <w:t>正楚</w:t>
      </w:r>
      <w:r>
        <w:rPr>
          <w:rFonts w:hint="eastAsia" w:ascii="Arial" w:hAnsi="Arial" w:cs="Arial"/>
          <w:bCs/>
          <w:kern w:val="44"/>
          <w:szCs w:val="21"/>
          <w:lang w:val="en-US" w:eastAsia="zh-CN"/>
        </w:rPr>
        <w:t>因办理土地抵押转在建工程抵押，于2020年12月29日办理项目权籍落宗。</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20" w:name="_Toc25842"/>
      <w:bookmarkStart w:id="21" w:name="_Toc28001"/>
      <w:bookmarkStart w:id="22" w:name="_Toc50218128"/>
      <w:bookmarkStart w:id="23" w:name="_Toc2275"/>
      <w:r>
        <w:rPr>
          <w:rFonts w:hint="default" w:ascii="Arial" w:hAnsi="Arial" w:eastAsia="宋体" w:cs="Arial"/>
          <w:sz w:val="24"/>
          <w:szCs w:val="24"/>
        </w:rPr>
        <w:t>3项目五证办理情况及施工进度情况</w:t>
      </w:r>
      <w:bookmarkEnd w:id="20"/>
      <w:bookmarkEnd w:id="21"/>
      <w:bookmarkEnd w:id="22"/>
      <w:bookmarkEnd w:id="23"/>
    </w:p>
    <w:p>
      <w:pPr>
        <w:pStyle w:val="3"/>
        <w:keepNext w:val="0"/>
        <w:keepLines w:val="0"/>
        <w:spacing w:before="300" w:after="300" w:line="360" w:lineRule="exact"/>
        <w:jc w:val="left"/>
        <w:rPr>
          <w:rFonts w:hint="default" w:ascii="Arial" w:hAnsi="Arial" w:eastAsia="宋体" w:cs="Arial"/>
          <w:sz w:val="24"/>
          <w:szCs w:val="24"/>
        </w:rPr>
      </w:pPr>
      <w:bookmarkStart w:id="24" w:name="_Toc50218129"/>
      <w:bookmarkStart w:id="25" w:name="_Toc10982"/>
      <w:bookmarkStart w:id="26" w:name="_Toc17652"/>
      <w:bookmarkStart w:id="27" w:name="_Toc16400"/>
      <w:r>
        <w:rPr>
          <w:rFonts w:hint="default" w:ascii="Arial" w:hAnsi="Arial" w:eastAsia="宋体" w:cs="Arial"/>
          <w:sz w:val="24"/>
          <w:szCs w:val="24"/>
        </w:rPr>
        <w:t>3.1项目五证办理情况说明</w:t>
      </w:r>
      <w:bookmarkEnd w:id="24"/>
      <w:bookmarkEnd w:id="25"/>
      <w:bookmarkEnd w:id="26"/>
      <w:bookmarkEnd w:id="27"/>
    </w:p>
    <w:p>
      <w:pPr>
        <w:spacing w:before="240" w:beforeLines="100"/>
        <w:jc w:val="center"/>
        <w:rPr>
          <w:rFonts w:hint="default" w:ascii="Arial" w:hAnsi="Arial" w:cs="Arial"/>
          <w:b/>
          <w:bCs/>
          <w:kern w:val="44"/>
          <w:sz w:val="24"/>
        </w:rPr>
      </w:pPr>
      <w:r>
        <w:rPr>
          <w:rFonts w:hint="default" w:ascii="Arial" w:hAnsi="Arial" w:cs="Arial"/>
          <w:b/>
          <w:bCs/>
          <w:kern w:val="44"/>
          <w:sz w:val="24"/>
        </w:rPr>
        <w:t>截至2020年</w:t>
      </w:r>
      <w:r>
        <w:rPr>
          <w:rFonts w:hint="default" w:ascii="Arial" w:hAnsi="Arial" w:cs="Arial"/>
          <w:b/>
          <w:bCs/>
          <w:kern w:val="44"/>
          <w:sz w:val="24"/>
          <w:lang w:val="en-US" w:eastAsia="zh-CN"/>
        </w:rPr>
        <w:t>1</w:t>
      </w:r>
      <w:r>
        <w:rPr>
          <w:rFonts w:hint="eastAsia" w:ascii="Arial" w:hAnsi="Arial" w:cs="Arial"/>
          <w:b/>
          <w:bCs/>
          <w:kern w:val="44"/>
          <w:sz w:val="24"/>
          <w:lang w:val="en-US" w:eastAsia="zh-CN"/>
        </w:rPr>
        <w:t>2</w:t>
      </w:r>
      <w:r>
        <w:rPr>
          <w:rFonts w:hint="default" w:ascii="Arial" w:hAnsi="Arial" w:cs="Arial"/>
          <w:b/>
          <w:bCs/>
          <w:kern w:val="44"/>
          <w:sz w:val="24"/>
        </w:rPr>
        <w:t>月3</w:t>
      </w:r>
      <w:r>
        <w:rPr>
          <w:rFonts w:hint="eastAsia" w:ascii="Arial" w:hAnsi="Arial" w:cs="Arial"/>
          <w:b/>
          <w:bCs/>
          <w:kern w:val="44"/>
          <w:sz w:val="24"/>
          <w:lang w:val="en-US" w:eastAsia="zh-CN"/>
        </w:rPr>
        <w:t>1</w:t>
      </w:r>
      <w:r>
        <w:rPr>
          <w:rFonts w:hint="default" w:ascii="Arial" w:hAnsi="Arial" w:cs="Arial"/>
          <w:b/>
          <w:bCs/>
          <w:kern w:val="44"/>
          <w:sz w:val="24"/>
        </w:rPr>
        <w:t>日项目五证办理计划及进度情况</w:t>
      </w:r>
    </w:p>
    <w:p>
      <w:pPr>
        <w:spacing w:before="240" w:beforeLines="100"/>
        <w:jc w:val="center"/>
        <w:rPr>
          <w:rFonts w:hint="default" w:ascii="Arial" w:hAnsi="Arial" w:cs="Arial"/>
          <w:b/>
          <w:bCs/>
          <w:kern w:val="44"/>
          <w:sz w:val="24"/>
        </w:rPr>
      </w:pPr>
    </w:p>
    <w:tbl>
      <w:tblPr>
        <w:tblStyle w:val="23"/>
        <w:tblW w:w="5970" w:type="dxa"/>
        <w:jc w:val="center"/>
        <w:shd w:val="clear" w:color="auto" w:fill="auto"/>
        <w:tblLayout w:type="autofit"/>
        <w:tblCellMar>
          <w:top w:w="0" w:type="dxa"/>
          <w:left w:w="0" w:type="dxa"/>
          <w:bottom w:w="0" w:type="dxa"/>
          <w:right w:w="0" w:type="dxa"/>
        </w:tblCellMar>
      </w:tblPr>
      <w:tblGrid>
        <w:gridCol w:w="2655"/>
        <w:gridCol w:w="3315"/>
      </w:tblGrid>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办理情况</w:t>
            </w:r>
          </w:p>
        </w:tc>
      </w:tr>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不动产权证书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2020年2月8日</w:t>
            </w:r>
          </w:p>
        </w:tc>
      </w:tr>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建设用地规划许可证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2020年1月3日</w:t>
            </w:r>
          </w:p>
        </w:tc>
      </w:tr>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建设工程规划许可证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2020年6月29日</w:t>
            </w:r>
          </w:p>
        </w:tc>
      </w:tr>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建筑工程施工许可证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2020年7月6日</w:t>
            </w:r>
          </w:p>
        </w:tc>
      </w:tr>
      <w:tr>
        <w:tblPrEx>
          <w:shd w:val="clear" w:color="auto" w:fill="auto"/>
          <w:tblCellMar>
            <w:top w:w="0" w:type="dxa"/>
            <w:left w:w="0" w:type="dxa"/>
            <w:bottom w:w="0" w:type="dxa"/>
            <w:right w:w="0" w:type="dxa"/>
          </w:tblCellMar>
        </w:tblPrEx>
        <w:trPr>
          <w:trHeight w:val="522" w:hRule="atLeast"/>
          <w:jc w:val="center"/>
        </w:trPr>
        <w:tc>
          <w:tcPr>
            <w:tcW w:w="26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2020年7月24日（5#、6#、7#楼）</w:t>
            </w:r>
          </w:p>
        </w:tc>
      </w:tr>
      <w:tr>
        <w:tblPrEx>
          <w:shd w:val="clear" w:color="auto" w:fill="auto"/>
          <w:tblCellMar>
            <w:top w:w="0" w:type="dxa"/>
            <w:left w:w="0" w:type="dxa"/>
            <w:bottom w:w="0" w:type="dxa"/>
            <w:right w:w="0" w:type="dxa"/>
          </w:tblCellMar>
        </w:tblPrEx>
        <w:trPr>
          <w:trHeight w:val="522"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2020年9月17日（3#楼）</w:t>
            </w:r>
          </w:p>
        </w:tc>
      </w:tr>
      <w:tr>
        <w:tblPrEx>
          <w:shd w:val="clear" w:color="auto" w:fill="auto"/>
          <w:tblCellMar>
            <w:top w:w="0" w:type="dxa"/>
            <w:left w:w="0" w:type="dxa"/>
            <w:bottom w:w="0" w:type="dxa"/>
            <w:right w:w="0" w:type="dxa"/>
          </w:tblCellMar>
        </w:tblPrEx>
        <w:trPr>
          <w:trHeight w:val="522"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2020年9月24日（2#楼）</w:t>
            </w:r>
          </w:p>
        </w:tc>
      </w:tr>
      <w:tr>
        <w:tblPrEx>
          <w:shd w:val="clear" w:color="auto" w:fill="auto"/>
          <w:tblCellMar>
            <w:top w:w="0" w:type="dxa"/>
            <w:left w:w="0" w:type="dxa"/>
            <w:bottom w:w="0" w:type="dxa"/>
            <w:right w:w="0" w:type="dxa"/>
          </w:tblCellMar>
        </w:tblPrEx>
        <w:trPr>
          <w:trHeight w:val="522"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2020年10月19日（8、10#楼）</w:t>
            </w:r>
          </w:p>
        </w:tc>
      </w:tr>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资质证书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2020年5月22日暂定等级</w:t>
            </w:r>
          </w:p>
        </w:tc>
      </w:tr>
    </w:tbl>
    <w:p>
      <w:pPr>
        <w:pStyle w:val="3"/>
        <w:keepNext w:val="0"/>
        <w:keepLines w:val="0"/>
        <w:spacing w:before="300" w:after="300" w:line="360" w:lineRule="exact"/>
        <w:jc w:val="left"/>
        <w:rPr>
          <w:rFonts w:hint="default" w:ascii="Arial" w:hAnsi="Arial" w:eastAsia="宋体" w:cs="Arial"/>
          <w:sz w:val="24"/>
          <w:szCs w:val="24"/>
        </w:rPr>
      </w:pPr>
      <w:bookmarkStart w:id="28" w:name="_Toc27164"/>
      <w:bookmarkStart w:id="29" w:name="_Toc25385"/>
      <w:bookmarkStart w:id="30" w:name="_Toc3108"/>
      <w:bookmarkStart w:id="31" w:name="_Toc50218130"/>
      <w:r>
        <w:rPr>
          <w:rFonts w:hint="default" w:ascii="Arial" w:hAnsi="Arial" w:eastAsia="宋体" w:cs="Arial"/>
          <w:sz w:val="24"/>
          <w:szCs w:val="24"/>
        </w:rPr>
        <w:t>3.2工程进度考核</w:t>
      </w:r>
      <w:bookmarkEnd w:id="28"/>
      <w:bookmarkEnd w:id="29"/>
      <w:bookmarkEnd w:id="30"/>
    </w:p>
    <w:p>
      <w:pPr>
        <w:spacing w:line="480" w:lineRule="auto"/>
        <w:ind w:firstLine="420" w:firstLineChars="200"/>
        <w:rPr>
          <w:rFonts w:hint="default" w:ascii="Arial" w:hAnsi="Arial" w:cs="Arial"/>
          <w:bCs/>
          <w:kern w:val="44"/>
          <w:szCs w:val="21"/>
        </w:rPr>
      </w:pPr>
      <w:r>
        <w:rPr>
          <w:rFonts w:hint="default" w:ascii="Arial" w:hAnsi="Arial" w:cs="Arial"/>
          <w:szCs w:val="21"/>
        </w:rPr>
        <w:t>根据监管协议信托计划工程进度考核，合伙企业支付首笔项目投资款后【6】个月内，目标项目可取得预售许可证面积应不低于总可售面积【40】%，截至2020年</w:t>
      </w:r>
      <w:r>
        <w:rPr>
          <w:rFonts w:hint="default" w:ascii="Arial" w:hAnsi="Arial" w:cs="Arial"/>
          <w:szCs w:val="21"/>
          <w:lang w:val="en-US" w:eastAsia="zh-CN"/>
        </w:rPr>
        <w:t>11</w:t>
      </w:r>
      <w:r>
        <w:rPr>
          <w:rFonts w:hint="default" w:ascii="Arial" w:hAnsi="Arial" w:cs="Arial"/>
          <w:szCs w:val="21"/>
        </w:rPr>
        <w:t>月3</w:t>
      </w:r>
      <w:r>
        <w:rPr>
          <w:rFonts w:hint="default" w:ascii="Arial" w:hAnsi="Arial" w:cs="Arial"/>
          <w:szCs w:val="21"/>
          <w:lang w:val="en-US" w:eastAsia="zh-CN"/>
        </w:rPr>
        <w:t>0</w:t>
      </w:r>
      <w:r>
        <w:rPr>
          <w:rFonts w:hint="default" w:ascii="Arial" w:hAnsi="Arial" w:cs="Arial"/>
          <w:szCs w:val="21"/>
        </w:rPr>
        <w:t>日，项目公司收到首笔投资款</w:t>
      </w:r>
      <w:r>
        <w:rPr>
          <w:rFonts w:hint="default" w:ascii="Arial" w:hAnsi="Arial" w:cs="Arial"/>
          <w:szCs w:val="21"/>
          <w:lang w:val="en-US" w:eastAsia="zh-CN"/>
        </w:rPr>
        <w:t>3</w:t>
      </w:r>
      <w:r>
        <w:rPr>
          <w:rFonts w:hint="default" w:ascii="Arial" w:hAnsi="Arial" w:cs="Arial"/>
          <w:szCs w:val="21"/>
        </w:rPr>
        <w:t>个月，项目总建筑面积</w:t>
      </w:r>
      <w:r>
        <w:rPr>
          <w:rFonts w:hint="default" w:ascii="Arial" w:hAnsi="Arial" w:cs="Arial"/>
          <w:color w:val="000000"/>
          <w:kern w:val="0"/>
          <w:szCs w:val="21"/>
          <w:lang w:bidi="ar"/>
        </w:rPr>
        <w:t>140883.32</w:t>
      </w:r>
      <w:r>
        <w:rPr>
          <w:rFonts w:hint="default" w:ascii="Arial" w:hAnsi="Arial" w:cs="Arial"/>
          <w:bCs/>
          <w:kern w:val="44"/>
          <w:szCs w:val="21"/>
        </w:rPr>
        <w:t>㎡，</w:t>
      </w:r>
      <w:r>
        <w:rPr>
          <w:rFonts w:hint="default" w:ascii="Arial" w:hAnsi="Arial" w:cs="Arial"/>
          <w:szCs w:val="21"/>
        </w:rPr>
        <w:t>总可售面积</w:t>
      </w:r>
      <w:r>
        <w:rPr>
          <w:rFonts w:hint="default" w:ascii="Arial" w:hAnsi="Arial" w:eastAsia="仿宋_GB2312" w:cs="Arial"/>
          <w:szCs w:val="21"/>
        </w:rPr>
        <w:t>93863.69</w:t>
      </w:r>
      <w:r>
        <w:rPr>
          <w:rFonts w:hint="default" w:ascii="Arial" w:hAnsi="Arial" w:cs="Arial"/>
          <w:bCs/>
          <w:kern w:val="44"/>
          <w:szCs w:val="21"/>
        </w:rPr>
        <w:t>㎡，</w:t>
      </w:r>
      <w:r>
        <w:rPr>
          <w:rFonts w:hint="default" w:ascii="Arial" w:hAnsi="Arial" w:cs="Arial"/>
          <w:szCs w:val="21"/>
        </w:rPr>
        <w:t>已取得预售许可面积</w:t>
      </w:r>
      <w:r>
        <w:rPr>
          <w:rFonts w:hint="default" w:ascii="Arial" w:hAnsi="Arial" w:eastAsia="宋体" w:cs="Arial"/>
          <w:i w:val="0"/>
          <w:color w:val="000000"/>
          <w:kern w:val="0"/>
          <w:sz w:val="21"/>
          <w:szCs w:val="21"/>
          <w:u w:val="none"/>
          <w:lang w:val="en-US" w:eastAsia="zh-CN" w:bidi="ar"/>
        </w:rPr>
        <w:t>63472.05</w:t>
      </w:r>
      <w:r>
        <w:rPr>
          <w:rFonts w:hint="default" w:ascii="Arial" w:hAnsi="Arial" w:cs="Arial"/>
          <w:bCs/>
          <w:kern w:val="44"/>
          <w:szCs w:val="21"/>
        </w:rPr>
        <w:t>㎡，占项目总可售面积的</w:t>
      </w:r>
      <w:r>
        <w:rPr>
          <w:rFonts w:hint="default" w:ascii="Arial" w:hAnsi="Arial" w:eastAsia="宋体" w:cs="Arial"/>
          <w:i w:val="0"/>
          <w:color w:val="000000"/>
          <w:kern w:val="0"/>
          <w:sz w:val="21"/>
          <w:szCs w:val="21"/>
          <w:u w:val="none"/>
          <w:lang w:val="en-US" w:eastAsia="zh-CN" w:bidi="ar"/>
        </w:rPr>
        <w:t>67.62%</w:t>
      </w:r>
      <w:r>
        <w:rPr>
          <w:rFonts w:hint="default" w:ascii="Arial" w:hAnsi="Arial" w:cs="Arial"/>
          <w:bCs/>
          <w:kern w:val="44"/>
          <w:szCs w:val="21"/>
        </w:rPr>
        <w:t>，符合信托计划工程进度考核要求。</w:t>
      </w:r>
    </w:p>
    <w:tbl>
      <w:tblPr>
        <w:tblStyle w:val="23"/>
        <w:tblW w:w="4471" w:type="dxa"/>
        <w:jc w:val="center"/>
        <w:shd w:val="clear" w:color="auto" w:fill="auto"/>
        <w:tblLayout w:type="autofit"/>
        <w:tblCellMar>
          <w:top w:w="0" w:type="dxa"/>
          <w:left w:w="0" w:type="dxa"/>
          <w:bottom w:w="0" w:type="dxa"/>
          <w:right w:w="0" w:type="dxa"/>
        </w:tblCellMar>
      </w:tblPr>
      <w:tblGrid>
        <w:gridCol w:w="2235"/>
        <w:gridCol w:w="2236"/>
      </w:tblGrid>
      <w:tr>
        <w:tblPrEx>
          <w:tblCellMar>
            <w:top w:w="0" w:type="dxa"/>
            <w:left w:w="0" w:type="dxa"/>
            <w:bottom w:w="0" w:type="dxa"/>
            <w:right w:w="0" w:type="dxa"/>
          </w:tblCellMar>
        </w:tblPrEx>
        <w:trPr>
          <w:trHeight w:val="640" w:hRule="atLeast"/>
          <w:tblHeade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标的项目</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光谷正荣府</w:t>
            </w:r>
          </w:p>
        </w:tc>
      </w:tr>
      <w:tr>
        <w:tblPrEx>
          <w:shd w:val="clear" w:color="auto" w:fill="auto"/>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首笔放款日期</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2020年9月11日</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63472.05㎡</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总可售面积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93863.69㎡</w:t>
            </w:r>
          </w:p>
        </w:tc>
      </w:tr>
      <w:tr>
        <w:tblPrEx>
          <w:shd w:val="clear" w:color="auto" w:fill="auto"/>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67.62%</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进度</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已达标</w:t>
            </w:r>
          </w:p>
        </w:tc>
      </w:tr>
    </w:tbl>
    <w:p>
      <w:pPr>
        <w:rPr>
          <w:rFonts w:hint="default" w:ascii="Arial" w:hAnsi="Arial" w:cs="Arial"/>
        </w:rPr>
      </w:pPr>
    </w:p>
    <w:p>
      <w:pPr>
        <w:pStyle w:val="3"/>
        <w:keepNext w:val="0"/>
        <w:keepLines w:val="0"/>
        <w:spacing w:before="300" w:after="300" w:line="360" w:lineRule="exact"/>
        <w:jc w:val="left"/>
        <w:rPr>
          <w:rFonts w:hint="default" w:ascii="Arial" w:hAnsi="Arial" w:eastAsia="宋体" w:cs="Arial"/>
          <w:sz w:val="24"/>
          <w:szCs w:val="24"/>
        </w:rPr>
      </w:pPr>
      <w:bookmarkStart w:id="32" w:name="_Toc860"/>
      <w:bookmarkStart w:id="33" w:name="_Toc7130"/>
      <w:bookmarkStart w:id="34" w:name="_Toc689"/>
      <w:r>
        <w:rPr>
          <w:rFonts w:hint="default" w:ascii="Arial" w:hAnsi="Arial" w:eastAsia="宋体" w:cs="Arial"/>
          <w:sz w:val="24"/>
          <w:szCs w:val="24"/>
        </w:rPr>
        <w:t>3.3项目2020年</w:t>
      </w:r>
      <w:r>
        <w:rPr>
          <w:rFonts w:hint="default" w:ascii="Arial" w:hAnsi="Arial" w:eastAsia="宋体" w:cs="Arial"/>
          <w:sz w:val="24"/>
          <w:szCs w:val="24"/>
          <w:lang w:val="en-US" w:eastAsia="zh-CN"/>
        </w:rPr>
        <w:t>1</w:t>
      </w:r>
      <w:r>
        <w:rPr>
          <w:rFonts w:hint="eastAsia" w:eastAsia="宋体" w:cs="Arial"/>
          <w:sz w:val="24"/>
          <w:szCs w:val="24"/>
          <w:lang w:val="en-US" w:eastAsia="zh-CN"/>
        </w:rPr>
        <w:t>2</w:t>
      </w:r>
      <w:r>
        <w:rPr>
          <w:rFonts w:hint="default" w:ascii="Arial" w:hAnsi="Arial" w:eastAsia="宋体" w:cs="Arial"/>
          <w:sz w:val="24"/>
          <w:szCs w:val="24"/>
        </w:rPr>
        <w:t>月份施工进度情况</w:t>
      </w:r>
      <w:bookmarkEnd w:id="31"/>
      <w:bookmarkEnd w:id="32"/>
      <w:bookmarkEnd w:id="33"/>
      <w:bookmarkEnd w:id="34"/>
    </w:p>
    <w:p>
      <w:pPr>
        <w:numPr>
          <w:ilvl w:val="-1"/>
          <w:numId w:val="0"/>
        </w:numPr>
        <w:spacing w:line="480" w:lineRule="auto"/>
        <w:rPr>
          <w:rFonts w:hint="default" w:ascii="Arial" w:hAnsi="Arial" w:cs="Arial"/>
          <w:sz w:val="21"/>
          <w:szCs w:val="21"/>
        </w:rPr>
      </w:pPr>
      <w:r>
        <w:rPr>
          <w:rFonts w:hint="default" w:ascii="Arial" w:hAnsi="Arial" w:cs="Arial"/>
          <w:sz w:val="21"/>
          <w:szCs w:val="21"/>
        </w:rPr>
        <w:t>光谷正荣府形象进度：</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1</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1#楼商铺位置土方回填完成，钢筋绑扎完成；一层墙术钢筋完成，模板安装完成，内架完成80%；</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2</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2#楼东单元四层铝模搭设完成100%；西单元铝模开始试拼；</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3</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3#楼三层梁板砼浇筑完成，三层墙柱钢筋绑扎完成，正在进行模板安装；</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4</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5#楼十四层结墙柱钢筋完成，叠合板安装完成；</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5</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6#楼室内砌体施工至15层；</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6</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7#楼室内砌体施工至15层；</w:t>
      </w:r>
    </w:p>
    <w:p>
      <w:pPr>
        <w:pStyle w:val="6"/>
        <w:spacing w:line="480" w:lineRule="auto"/>
        <w:ind w:firstLine="420"/>
        <w:rPr>
          <w:rFonts w:hint="default"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7</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8#楼东单元六层支模架搭设完成，模板安装完成95%，现正在进行梁板钢筋绑扎；西单元屋面花架模板支设完成100%。</w:t>
      </w:r>
    </w:p>
    <w:p>
      <w:pPr>
        <w:pStyle w:val="6"/>
        <w:spacing w:line="480" w:lineRule="auto"/>
        <w:ind w:firstLine="420"/>
        <w:rPr>
          <w:rFonts w:hint="default" w:ascii="Arial" w:hAnsi="Arial" w:cs="Arial"/>
          <w:sz w:val="21"/>
          <w:szCs w:val="21"/>
        </w:rPr>
      </w:pPr>
      <w:r>
        <w:rPr>
          <w:rFonts w:hint="default" w:ascii="Arial" w:hAnsi="Arial" w:cs="Arial"/>
          <w:sz w:val="21"/>
          <w:szCs w:val="21"/>
          <w:lang w:eastAsia="zh-CN"/>
        </w:rPr>
        <w:t>（</w:t>
      </w:r>
      <w:r>
        <w:rPr>
          <w:rFonts w:hint="default" w:ascii="Arial" w:hAnsi="Arial" w:cs="Arial"/>
          <w:sz w:val="21"/>
          <w:szCs w:val="21"/>
          <w:lang w:val="en-US" w:eastAsia="zh-CN"/>
        </w:rPr>
        <w:t>8</w:t>
      </w:r>
      <w:r>
        <w:rPr>
          <w:rFonts w:hint="default" w:ascii="Arial" w:hAnsi="Arial" w:cs="Arial"/>
          <w:sz w:val="21"/>
          <w:szCs w:val="21"/>
          <w:lang w:eastAsia="zh-CN"/>
        </w:rPr>
        <w:t>）</w:t>
      </w:r>
      <w:r>
        <w:rPr>
          <w:rFonts w:hint="default" w:ascii="Arial" w:hAnsi="Arial" w:cs="Arial"/>
          <w:sz w:val="21"/>
          <w:szCs w:val="21"/>
        </w:rPr>
        <w:t>、10#楼西单元一层结构混凝土浇筑完成，支架搭设完成50%；东单元二层支架搭设完成100%，梁板模板完成60%；</w:t>
      </w:r>
    </w:p>
    <w:p>
      <w:pPr>
        <w:pStyle w:val="6"/>
        <w:spacing w:line="480" w:lineRule="auto"/>
        <w:ind w:firstLine="420"/>
        <w:rPr>
          <w:rFonts w:hint="default" w:ascii="Arial" w:hAnsi="Arial" w:cs="Arial"/>
          <w:sz w:val="21"/>
          <w:szCs w:val="21"/>
        </w:rPr>
      </w:pPr>
      <w:r>
        <w:rPr>
          <w:rFonts w:hint="default" w:ascii="Arial" w:hAnsi="Arial" w:cs="Arial"/>
          <w:sz w:val="21"/>
          <w:szCs w:val="21"/>
          <w:lang w:eastAsia="zh-CN"/>
        </w:rPr>
        <w:t>（</w:t>
      </w:r>
      <w:r>
        <w:rPr>
          <w:rFonts w:hint="default" w:ascii="Arial" w:hAnsi="Arial" w:cs="Arial"/>
          <w:sz w:val="21"/>
          <w:szCs w:val="21"/>
          <w:lang w:val="en-US" w:eastAsia="zh-CN"/>
        </w:rPr>
        <w:t>9</w:t>
      </w:r>
      <w:r>
        <w:rPr>
          <w:rFonts w:hint="default" w:ascii="Arial" w:hAnsi="Arial" w:cs="Arial"/>
          <w:sz w:val="21"/>
          <w:szCs w:val="21"/>
          <w:lang w:eastAsia="zh-CN"/>
        </w:rPr>
        <w:t>）</w:t>
      </w:r>
      <w:r>
        <w:rPr>
          <w:rFonts w:hint="default" w:ascii="Arial" w:hAnsi="Arial" w:cs="Arial"/>
          <w:sz w:val="21"/>
          <w:szCs w:val="21"/>
        </w:rPr>
        <w:t>、5#-6#楼中间地下室肥槽回填完成40%；5#-7#楼中间地下室负二层筏板砼浇筑完成；</w:t>
      </w:r>
    </w:p>
    <w:p>
      <w:pPr>
        <w:pStyle w:val="6"/>
        <w:spacing w:line="480" w:lineRule="auto"/>
        <w:ind w:firstLine="420"/>
        <w:rPr>
          <w:rFonts w:hint="default" w:ascii="Arial" w:hAnsi="Arial" w:cs="Arial"/>
          <w:sz w:val="21"/>
          <w:szCs w:val="21"/>
        </w:rPr>
      </w:pPr>
      <w:r>
        <w:rPr>
          <w:rFonts w:hint="default" w:ascii="Arial" w:hAnsi="Arial" w:cs="Arial"/>
          <w:sz w:val="21"/>
          <w:szCs w:val="21"/>
          <w:lang w:eastAsia="zh-CN"/>
        </w:rPr>
        <w:t>（</w:t>
      </w:r>
      <w:r>
        <w:rPr>
          <w:rFonts w:hint="default" w:ascii="Arial" w:hAnsi="Arial" w:cs="Arial"/>
          <w:sz w:val="21"/>
          <w:szCs w:val="21"/>
          <w:lang w:val="en-US" w:eastAsia="zh-CN"/>
        </w:rPr>
        <w:t>10</w:t>
      </w:r>
      <w:r>
        <w:rPr>
          <w:rFonts w:hint="default" w:ascii="Arial" w:hAnsi="Arial" w:cs="Arial"/>
          <w:sz w:val="21"/>
          <w:szCs w:val="21"/>
          <w:lang w:eastAsia="zh-CN"/>
        </w:rPr>
        <w:t>）</w:t>
      </w:r>
      <w:r>
        <w:rPr>
          <w:rFonts w:hint="default" w:ascii="Arial" w:hAnsi="Arial" w:cs="Arial"/>
          <w:sz w:val="21"/>
          <w:szCs w:val="21"/>
        </w:rPr>
        <w:t>、1-8#地下室负一层结构防水施工完成；</w:t>
      </w:r>
    </w:p>
    <w:p>
      <w:pPr>
        <w:numPr>
          <w:ilvl w:val="-1"/>
          <w:numId w:val="0"/>
        </w:numPr>
        <w:spacing w:line="480" w:lineRule="auto"/>
        <w:ind w:firstLine="420" w:firstLineChars="200"/>
        <w:rPr>
          <w:rFonts w:hint="default" w:ascii="Arial" w:hAnsi="Arial" w:cs="Arial"/>
          <w:sz w:val="21"/>
          <w:szCs w:val="21"/>
        </w:rPr>
      </w:pPr>
      <w:r>
        <w:rPr>
          <w:rFonts w:hint="default" w:ascii="Arial" w:hAnsi="Arial" w:cs="Arial"/>
          <w:sz w:val="21"/>
          <w:szCs w:val="21"/>
          <w:lang w:eastAsia="zh-CN"/>
        </w:rPr>
        <w:t>（</w:t>
      </w:r>
      <w:r>
        <w:rPr>
          <w:rFonts w:hint="default" w:ascii="Arial" w:hAnsi="Arial" w:cs="Arial"/>
          <w:sz w:val="21"/>
          <w:szCs w:val="21"/>
          <w:lang w:val="en-US" w:eastAsia="zh-CN"/>
        </w:rPr>
        <w:t>11</w:t>
      </w:r>
      <w:r>
        <w:rPr>
          <w:rFonts w:hint="default" w:ascii="Arial" w:hAnsi="Arial" w:cs="Arial"/>
          <w:sz w:val="21"/>
          <w:szCs w:val="21"/>
          <w:lang w:eastAsia="zh-CN"/>
        </w:rPr>
        <w:t>）</w:t>
      </w:r>
      <w:r>
        <w:rPr>
          <w:rFonts w:hint="default" w:ascii="Arial" w:hAnsi="Arial" w:cs="Arial"/>
          <w:sz w:val="21"/>
          <w:szCs w:val="21"/>
        </w:rPr>
        <w:t>、3-6#大土方开挖完成70%；</w:t>
      </w:r>
    </w:p>
    <w:p>
      <w:pPr>
        <w:rPr>
          <w:rFonts w:hint="default" w:ascii="Arial" w:hAnsi="Arial" w:cs="Arial"/>
          <w:b/>
          <w:bCs/>
          <w:sz w:val="21"/>
          <w:szCs w:val="21"/>
        </w:rPr>
      </w:pPr>
      <w:bookmarkStart w:id="35" w:name="_Toc50218131"/>
    </w:p>
    <w:p>
      <w:pPr>
        <w:rPr>
          <w:rFonts w:hint="default" w:ascii="Arial" w:hAnsi="Arial" w:cs="Arial"/>
          <w:b/>
          <w:bCs/>
          <w:sz w:val="24"/>
        </w:rPr>
      </w:pPr>
    </w:p>
    <w:p>
      <w:pPr>
        <w:rPr>
          <w:rFonts w:hint="default" w:ascii="Arial" w:hAnsi="Arial" w:cs="Arial"/>
          <w:b/>
          <w:bCs/>
          <w:sz w:val="24"/>
        </w:rPr>
      </w:pPr>
      <w:r>
        <w:rPr>
          <w:rFonts w:hint="default" w:ascii="Arial" w:hAnsi="Arial" w:cs="Arial"/>
          <w:b/>
          <w:bCs/>
          <w:sz w:val="24"/>
        </w:rPr>
        <w:t>3.4项目202</w:t>
      </w:r>
      <w:r>
        <w:rPr>
          <w:rFonts w:hint="eastAsia" w:ascii="Arial" w:hAnsi="Arial" w:cs="Arial"/>
          <w:b/>
          <w:bCs/>
          <w:sz w:val="24"/>
          <w:lang w:val="en-US" w:eastAsia="zh-CN"/>
        </w:rPr>
        <w:t>1</w:t>
      </w:r>
      <w:r>
        <w:rPr>
          <w:rFonts w:hint="default" w:ascii="Arial" w:hAnsi="Arial" w:cs="Arial"/>
          <w:b/>
          <w:bCs/>
          <w:sz w:val="24"/>
        </w:rPr>
        <w:t>年</w:t>
      </w:r>
      <w:r>
        <w:rPr>
          <w:rFonts w:hint="eastAsia" w:ascii="Arial" w:hAnsi="Arial" w:cs="Arial"/>
          <w:b/>
          <w:bCs/>
          <w:sz w:val="24"/>
          <w:lang w:val="en-US" w:eastAsia="zh-CN"/>
        </w:rPr>
        <w:t>1</w:t>
      </w:r>
      <w:r>
        <w:rPr>
          <w:rFonts w:hint="default" w:ascii="Arial" w:hAnsi="Arial" w:cs="Arial"/>
          <w:b/>
          <w:bCs/>
          <w:sz w:val="24"/>
        </w:rPr>
        <w:t>月施工计划</w:t>
      </w:r>
      <w:bookmarkEnd w:id="35"/>
    </w:p>
    <w:p>
      <w:pPr>
        <w:rPr>
          <w:rFonts w:hint="default" w:ascii="Arial" w:hAnsi="Arial" w:cs="Arial"/>
          <w:b/>
          <w:bCs/>
          <w:sz w:val="21"/>
          <w:szCs w:val="21"/>
        </w:rPr>
      </w:pPr>
    </w:p>
    <w:p>
      <w:pPr>
        <w:numPr>
          <w:ilvl w:val="-1"/>
          <w:numId w:val="0"/>
        </w:numPr>
        <w:spacing w:line="480" w:lineRule="auto"/>
        <w:rPr>
          <w:rFonts w:hint="default" w:ascii="Arial" w:hAnsi="Arial" w:cs="Arial"/>
          <w:sz w:val="21"/>
          <w:szCs w:val="21"/>
        </w:rPr>
      </w:pPr>
      <w:r>
        <w:rPr>
          <w:rFonts w:hint="default" w:ascii="Arial" w:hAnsi="Arial" w:cs="Arial"/>
          <w:sz w:val="21"/>
          <w:szCs w:val="21"/>
        </w:rPr>
        <w:t>光谷正荣府</w:t>
      </w:r>
      <w:r>
        <w:rPr>
          <w:rFonts w:hint="default" w:ascii="Arial" w:hAnsi="Arial" w:cs="Arial"/>
          <w:sz w:val="21"/>
          <w:szCs w:val="21"/>
          <w:lang w:eastAsia="zh-CN"/>
        </w:rPr>
        <w:t>施工计划</w:t>
      </w:r>
      <w:r>
        <w:rPr>
          <w:rFonts w:hint="default" w:ascii="Arial" w:hAnsi="Arial" w:cs="Arial"/>
          <w:sz w:val="21"/>
          <w:szCs w:val="21"/>
        </w:rPr>
        <w:t>：</w:t>
      </w:r>
    </w:p>
    <w:p>
      <w:pPr>
        <w:pStyle w:val="6"/>
        <w:numPr>
          <w:ilvl w:val="0"/>
          <w:numId w:val="1"/>
        </w:numPr>
        <w:spacing w:line="480" w:lineRule="auto"/>
        <w:ind w:firstLine="420"/>
        <w:rPr>
          <w:rFonts w:hint="default" w:ascii="Arial" w:hAnsi="Arial" w:cs="Arial"/>
          <w:sz w:val="21"/>
          <w:szCs w:val="21"/>
          <w:lang w:val="en-US" w:eastAsia="zh-CN"/>
        </w:rPr>
      </w:pPr>
      <w:bookmarkStart w:id="36" w:name="_Toc50218132"/>
      <w:r>
        <w:rPr>
          <w:rFonts w:hint="default" w:ascii="Arial" w:hAnsi="Arial" w:cs="Arial"/>
          <w:sz w:val="21"/>
          <w:szCs w:val="21"/>
        </w:rPr>
        <w:t>、1#楼</w:t>
      </w:r>
      <w:r>
        <w:rPr>
          <w:rFonts w:hint="default" w:ascii="Arial" w:hAnsi="Arial" w:cs="Arial"/>
          <w:sz w:val="21"/>
          <w:szCs w:val="21"/>
          <w:lang w:val="en-US" w:eastAsia="zh-CN"/>
        </w:rPr>
        <w:t>2-3层施工</w:t>
      </w:r>
    </w:p>
    <w:p>
      <w:pPr>
        <w:pStyle w:val="6"/>
        <w:numPr>
          <w:ilvl w:val="0"/>
          <w:numId w:val="0"/>
        </w:numPr>
        <w:spacing w:line="480" w:lineRule="auto"/>
        <w:ind w:firstLine="420" w:firstLineChars="200"/>
        <w:rPr>
          <w:rFonts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2</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2#楼</w:t>
      </w:r>
      <w:r>
        <w:rPr>
          <w:rFonts w:hint="default" w:ascii="Arial" w:hAnsi="Arial" w:cs="Arial"/>
          <w:sz w:val="21"/>
          <w:szCs w:val="21"/>
          <w:lang w:val="en-US" w:eastAsia="zh-CN"/>
        </w:rPr>
        <w:t>4-6层施工</w:t>
      </w:r>
      <w:r>
        <w:rPr>
          <w:rFonts w:hint="default" w:ascii="Arial" w:hAnsi="Arial" w:cs="Arial"/>
          <w:sz w:val="21"/>
          <w:szCs w:val="21"/>
        </w:rPr>
        <w:t>；</w:t>
      </w:r>
    </w:p>
    <w:p>
      <w:pPr>
        <w:pStyle w:val="6"/>
        <w:spacing w:line="480" w:lineRule="auto"/>
        <w:ind w:firstLine="420"/>
        <w:rPr>
          <w:rFonts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3</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3#楼</w:t>
      </w:r>
      <w:r>
        <w:rPr>
          <w:rFonts w:hint="default" w:ascii="Arial" w:hAnsi="Arial" w:cs="Arial"/>
          <w:sz w:val="21"/>
          <w:szCs w:val="21"/>
          <w:lang w:val="en-US" w:eastAsia="zh-CN"/>
        </w:rPr>
        <w:t>4-6层施工</w:t>
      </w:r>
    </w:p>
    <w:p>
      <w:pPr>
        <w:pStyle w:val="6"/>
        <w:spacing w:line="480" w:lineRule="auto"/>
        <w:ind w:firstLine="420"/>
        <w:rPr>
          <w:rFonts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4</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ascii="Arial" w:hAnsi="Arial" w:cs="Arial"/>
          <w:sz w:val="21"/>
          <w:szCs w:val="21"/>
        </w:rPr>
        <w:t>5#楼</w:t>
      </w:r>
      <w:r>
        <w:rPr>
          <w:rFonts w:hint="default" w:ascii="Arial" w:hAnsi="Arial" w:cs="Arial"/>
          <w:sz w:val="21"/>
          <w:szCs w:val="21"/>
        </w:rPr>
        <w:t>十四层结墙柱钢筋完成，叠合板安装完成；</w:t>
      </w:r>
    </w:p>
    <w:p>
      <w:pPr>
        <w:pStyle w:val="6"/>
        <w:spacing w:line="480" w:lineRule="auto"/>
        <w:ind w:firstLine="420"/>
        <w:rPr>
          <w:rFonts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5</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ascii="Arial" w:hAnsi="Arial" w:cs="Arial"/>
          <w:sz w:val="21"/>
          <w:szCs w:val="21"/>
        </w:rPr>
        <w:t>6#楼</w:t>
      </w:r>
      <w:r>
        <w:rPr>
          <w:rFonts w:hint="default" w:ascii="Arial" w:hAnsi="Arial" w:cs="Arial"/>
          <w:sz w:val="21"/>
          <w:szCs w:val="21"/>
        </w:rPr>
        <w:t>室内砌体施工；</w:t>
      </w:r>
    </w:p>
    <w:p>
      <w:pPr>
        <w:pStyle w:val="6"/>
        <w:spacing w:line="480" w:lineRule="auto"/>
        <w:ind w:firstLine="420"/>
        <w:rPr>
          <w:rFonts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6</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ascii="Arial" w:hAnsi="Arial" w:cs="Arial"/>
          <w:sz w:val="21"/>
          <w:szCs w:val="21"/>
        </w:rPr>
        <w:t>7#楼</w:t>
      </w:r>
      <w:r>
        <w:rPr>
          <w:rFonts w:hint="default" w:ascii="Arial" w:hAnsi="Arial" w:cs="Arial"/>
          <w:sz w:val="21"/>
          <w:szCs w:val="21"/>
        </w:rPr>
        <w:t>室内砌体施工；</w:t>
      </w:r>
    </w:p>
    <w:p>
      <w:pPr>
        <w:pStyle w:val="6"/>
        <w:spacing w:line="480" w:lineRule="auto"/>
        <w:ind w:firstLine="420"/>
        <w:rPr>
          <w:rFonts w:ascii="Arial" w:hAnsi="Arial" w:cs="Arial"/>
          <w:sz w:val="21"/>
          <w:szCs w:val="21"/>
        </w:rPr>
      </w:pP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7</w:t>
      </w:r>
      <w:r>
        <w:rPr>
          <w:rFonts w:hint="default" w:ascii="Arial" w:hAnsi="Arial" w:cs="Arial"/>
          <w:sz w:val="21"/>
          <w:szCs w:val="21"/>
          <w:highlight w:val="none"/>
          <w:lang w:eastAsia="zh-CN"/>
        </w:rPr>
        <w:t>）</w:t>
      </w:r>
      <w:r>
        <w:rPr>
          <w:rFonts w:hint="default" w:ascii="Arial" w:hAnsi="Arial" w:cs="Arial"/>
          <w:sz w:val="21"/>
          <w:szCs w:val="21"/>
          <w:highlight w:val="none"/>
        </w:rPr>
        <w:t>、</w:t>
      </w:r>
      <w:r>
        <w:rPr>
          <w:rFonts w:hint="default" w:ascii="Arial" w:hAnsi="Arial" w:cs="Arial"/>
          <w:sz w:val="21"/>
          <w:szCs w:val="21"/>
        </w:rPr>
        <w:t>8#楼</w:t>
      </w:r>
      <w:r>
        <w:rPr>
          <w:rFonts w:hint="default" w:ascii="Arial" w:hAnsi="Arial" w:cs="Arial"/>
          <w:sz w:val="21"/>
          <w:szCs w:val="21"/>
          <w:lang w:eastAsia="zh-CN"/>
        </w:rPr>
        <w:t>封顶进行二次结构施工</w:t>
      </w:r>
      <w:r>
        <w:rPr>
          <w:rFonts w:hint="default" w:ascii="Arial" w:hAnsi="Arial" w:cs="Arial"/>
          <w:sz w:val="21"/>
          <w:szCs w:val="21"/>
        </w:rPr>
        <w:t>。</w:t>
      </w:r>
    </w:p>
    <w:p>
      <w:pPr>
        <w:pStyle w:val="6"/>
        <w:spacing w:line="480" w:lineRule="auto"/>
        <w:ind w:firstLine="420"/>
        <w:rPr>
          <w:rFonts w:hint="default" w:ascii="Arial" w:hAnsi="Arial" w:eastAsia="宋体" w:cs="Arial"/>
          <w:sz w:val="21"/>
          <w:szCs w:val="21"/>
          <w:lang w:val="en-US" w:eastAsia="zh-CN"/>
        </w:rPr>
      </w:pPr>
      <w:r>
        <w:rPr>
          <w:rFonts w:hint="default" w:ascii="Arial" w:hAnsi="Arial" w:cs="Arial"/>
          <w:sz w:val="21"/>
          <w:szCs w:val="21"/>
          <w:lang w:eastAsia="zh-CN"/>
        </w:rPr>
        <w:t>（</w:t>
      </w:r>
      <w:r>
        <w:rPr>
          <w:rFonts w:hint="default" w:ascii="Arial" w:hAnsi="Arial" w:cs="Arial"/>
          <w:sz w:val="21"/>
          <w:szCs w:val="21"/>
          <w:lang w:val="en-US" w:eastAsia="zh-CN"/>
        </w:rPr>
        <w:t>8</w:t>
      </w:r>
      <w:r>
        <w:rPr>
          <w:rFonts w:hint="default" w:ascii="Arial" w:hAnsi="Arial" w:cs="Arial"/>
          <w:sz w:val="21"/>
          <w:szCs w:val="21"/>
          <w:lang w:eastAsia="zh-CN"/>
        </w:rPr>
        <w:t>）</w:t>
      </w:r>
      <w:r>
        <w:rPr>
          <w:rFonts w:hint="default" w:ascii="Arial" w:hAnsi="Arial" w:cs="Arial"/>
          <w:sz w:val="21"/>
          <w:szCs w:val="21"/>
        </w:rPr>
        <w:t>、10#楼</w:t>
      </w:r>
      <w:r>
        <w:rPr>
          <w:rFonts w:hint="default" w:ascii="Arial" w:hAnsi="Arial" w:cs="Arial"/>
          <w:sz w:val="21"/>
          <w:szCs w:val="21"/>
          <w:lang w:val="en-US" w:eastAsia="zh-CN"/>
        </w:rPr>
        <w:t>2-3层施工</w:t>
      </w:r>
    </w:p>
    <w:p>
      <w:pPr>
        <w:spacing w:line="360" w:lineRule="auto"/>
        <w:rPr>
          <w:rFonts w:hint="default" w:ascii="Arial" w:hAnsi="Arial" w:cs="Arial"/>
          <w:b/>
          <w:bCs/>
          <w:sz w:val="24"/>
        </w:rPr>
      </w:pPr>
    </w:p>
    <w:p>
      <w:pPr>
        <w:spacing w:line="360" w:lineRule="auto"/>
        <w:rPr>
          <w:rFonts w:hint="default" w:ascii="Arial" w:hAnsi="Arial" w:cs="Arial"/>
          <w:b/>
          <w:bCs/>
          <w:sz w:val="24"/>
        </w:rPr>
      </w:pPr>
      <w:r>
        <w:rPr>
          <w:rFonts w:hint="default" w:ascii="Arial" w:hAnsi="Arial" w:cs="Arial"/>
          <w:b/>
          <w:bCs/>
          <w:sz w:val="24"/>
        </w:rPr>
        <w:t>3.5 项目现场照片</w:t>
      </w:r>
      <w:bookmarkEnd w:id="0"/>
      <w:bookmarkEnd w:id="36"/>
      <w:bookmarkStart w:id="37" w:name="_Toc32432202"/>
      <w:bookmarkEnd w:id="37"/>
      <w:bookmarkStart w:id="38" w:name="_Toc32317096"/>
      <w:bookmarkEnd w:id="38"/>
      <w:bookmarkStart w:id="39" w:name="_Toc32317072"/>
      <w:bookmarkEnd w:id="39"/>
      <w:bookmarkStart w:id="40" w:name="_Toc32432201"/>
      <w:bookmarkEnd w:id="40"/>
      <w:bookmarkStart w:id="41" w:name="_Toc32317097"/>
      <w:bookmarkEnd w:id="41"/>
      <w:bookmarkStart w:id="42" w:name="_Toc32317073"/>
      <w:bookmarkEnd w:id="42"/>
    </w:p>
    <w:tbl>
      <w:tblPr>
        <w:tblStyle w:val="48"/>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jc w:val="center"/>
        </w:trPr>
        <w:tc>
          <w:tcPr>
            <w:tcW w:w="10660" w:type="dxa"/>
            <w:gridSpan w:val="4"/>
            <w:vAlign w:val="center"/>
          </w:tcPr>
          <w:p>
            <w:pPr>
              <w:jc w:val="center"/>
              <w:rPr>
                <w:rFonts w:hint="default" w:ascii="Arial" w:hAnsi="Arial" w:eastAsia="宋体" w:cs="Arial"/>
                <w:sz w:val="22"/>
                <w:szCs w:val="32"/>
              </w:rPr>
            </w:pPr>
            <w:r>
              <w:rPr>
                <w:rFonts w:hint="default" w:ascii="Arial" w:hAnsi="Arial" w:eastAsia="宋体" w:cs="Arial"/>
                <w:b/>
                <w:bCs/>
                <w:highlight w:val="none"/>
                <w:lang w:eastAsia="zh-CN"/>
              </w:rPr>
              <w:t>正楚</w:t>
            </w:r>
            <w:r>
              <w:rPr>
                <w:rFonts w:hint="default" w:ascii="Arial" w:hAnsi="Arial" w:eastAsia="宋体" w:cs="Arial"/>
                <w:b/>
                <w:bCs/>
              </w:rPr>
              <w:t>（</w:t>
            </w:r>
            <w:r>
              <w:rPr>
                <w:rFonts w:hint="default" w:ascii="Arial" w:hAnsi="Arial" w:eastAsia="宋体" w:cs="Arial"/>
                <w:b/>
                <w:bCs/>
                <w:kern w:val="44"/>
                <w:szCs w:val="21"/>
                <w:lang w:eastAsia="zh-CN"/>
              </w:rPr>
              <w:t>光谷正荣府</w:t>
            </w:r>
            <w:r>
              <w:rPr>
                <w:rFonts w:hint="default" w:ascii="Arial" w:hAnsi="Arial" w:eastAsia="宋体" w:cs="Arial"/>
                <w:b/>
                <w:bCs/>
                <w:kern w:val="4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2665" w:type="dxa"/>
            <w:vAlign w:val="center"/>
          </w:tcPr>
          <w:p>
            <w:pPr>
              <w:ind w:left="840" w:hanging="840" w:hangingChars="400"/>
              <w:jc w:val="both"/>
              <w:rPr>
                <w:rFonts w:hint="default" w:ascii="Arial" w:hAnsi="Arial" w:eastAsia="宋体" w:cs="Arial"/>
                <w:lang w:eastAsia="zh-CN"/>
              </w:rPr>
            </w:pPr>
            <w:r>
              <w:rPr>
                <w:rFonts w:hint="default" w:ascii="Arial" w:hAnsi="Arial" w:eastAsia="宋体" w:cs="Arial"/>
                <w:lang w:eastAsia="zh-CN"/>
              </w:rPr>
              <w:drawing>
                <wp:inline distT="0" distB="0" distL="114300" distR="114300">
                  <wp:extent cx="2030095" cy="1522730"/>
                  <wp:effectExtent l="0" t="0" r="8255" b="1270"/>
                  <wp:docPr id="605" name="图片 605" descr="63217c38c507897ef905217ee1fc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63217c38c507897ef905217ee1fc4e3"/>
                          <pic:cNvPicPr>
                            <a:picLocks noChangeAspect="1"/>
                          </pic:cNvPicPr>
                        </pic:nvPicPr>
                        <pic:blipFill>
                          <a:blip r:embed="rId8"/>
                          <a:stretch>
                            <a:fillRect/>
                          </a:stretch>
                        </pic:blipFill>
                        <pic:spPr>
                          <a:xfrm>
                            <a:off x="0" y="0"/>
                            <a:ext cx="2030095" cy="1522730"/>
                          </a:xfrm>
                          <a:prstGeom prst="rect">
                            <a:avLst/>
                          </a:prstGeom>
                        </pic:spPr>
                      </pic:pic>
                    </a:graphicData>
                  </a:graphic>
                </wp:inline>
              </w:drawing>
            </w:r>
            <w:r>
              <w:rPr>
                <w:rFonts w:hint="default" w:ascii="Arial" w:hAnsi="Arial" w:eastAsia="宋体" w:cs="Arial"/>
                <w:lang w:eastAsia="zh-CN"/>
              </w:rPr>
              <w:t>光谷项目</w:t>
            </w:r>
          </w:p>
        </w:tc>
        <w:tc>
          <w:tcPr>
            <w:tcW w:w="2665" w:type="dxa"/>
            <w:vAlign w:val="center"/>
          </w:tcPr>
          <w:p>
            <w:pPr>
              <w:jc w:val="center"/>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30095" cy="1522730"/>
                  <wp:effectExtent l="0" t="0" r="8255" b="1270"/>
                  <wp:docPr id="606" name="图片 606" descr="5d3d9d4359c133f0f9c903564e6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5d3d9d4359c133f0f9c903564e67942"/>
                          <pic:cNvPicPr>
                            <a:picLocks noChangeAspect="1"/>
                          </pic:cNvPicPr>
                        </pic:nvPicPr>
                        <pic:blipFill>
                          <a:blip r:embed="rId9"/>
                          <a:stretch>
                            <a:fillRect/>
                          </a:stretch>
                        </pic:blipFill>
                        <pic:spPr>
                          <a:xfrm>
                            <a:off x="0" y="0"/>
                            <a:ext cx="2030095" cy="1522730"/>
                          </a:xfrm>
                          <a:prstGeom prst="rect">
                            <a:avLst/>
                          </a:prstGeom>
                        </pic:spPr>
                      </pic:pic>
                    </a:graphicData>
                  </a:graphic>
                </wp:inline>
              </w:drawing>
            </w:r>
            <w:r>
              <w:rPr>
                <w:rFonts w:hint="default" w:ascii="Arial" w:hAnsi="Arial" w:eastAsia="宋体" w:cs="Arial"/>
                <w:lang w:val="en-US" w:eastAsia="zh-CN"/>
              </w:rPr>
              <w:t>5</w:t>
            </w:r>
            <w:r>
              <w:rPr>
                <w:rFonts w:hint="eastAsia" w:ascii="Arial" w:hAnsi="Arial" w:cs="Arial"/>
                <w:lang w:val="en-US" w:eastAsia="zh-CN"/>
              </w:rPr>
              <w:t>、</w:t>
            </w:r>
            <w:r>
              <w:rPr>
                <w:rFonts w:hint="default" w:ascii="Arial" w:hAnsi="Arial" w:eastAsia="宋体" w:cs="Arial"/>
                <w:lang w:val="en-US" w:eastAsia="zh-CN"/>
              </w:rPr>
              <w:t>6</w:t>
            </w:r>
            <w:r>
              <w:rPr>
                <w:rFonts w:hint="eastAsia" w:ascii="Arial" w:hAnsi="Arial" w:cs="Arial"/>
                <w:lang w:val="en-US" w:eastAsia="zh-CN"/>
              </w:rPr>
              <w:t>、</w:t>
            </w:r>
            <w:r>
              <w:rPr>
                <w:rFonts w:hint="default" w:ascii="Arial" w:hAnsi="Arial" w:eastAsia="宋体" w:cs="Arial"/>
                <w:lang w:val="en-US" w:eastAsia="zh-CN"/>
              </w:rPr>
              <w:t>7号楼</w:t>
            </w:r>
          </w:p>
        </w:tc>
        <w:tc>
          <w:tcPr>
            <w:tcW w:w="2665" w:type="dxa"/>
            <w:vAlign w:val="center"/>
          </w:tcPr>
          <w:p>
            <w:pPr>
              <w:jc w:val="center"/>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30095" cy="1522730"/>
                  <wp:effectExtent l="0" t="0" r="8255" b="1270"/>
                  <wp:docPr id="610" name="图片 610" descr="6f10675a5b86eb98b608d83768b6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6f10675a5b86eb98b608d83768b6d0f"/>
                          <pic:cNvPicPr>
                            <a:picLocks noChangeAspect="1"/>
                          </pic:cNvPicPr>
                        </pic:nvPicPr>
                        <pic:blipFill>
                          <a:blip r:embed="rId10"/>
                          <a:stretch>
                            <a:fillRect/>
                          </a:stretch>
                        </pic:blipFill>
                        <pic:spPr>
                          <a:xfrm>
                            <a:off x="0" y="0"/>
                            <a:ext cx="2030095" cy="1522730"/>
                          </a:xfrm>
                          <a:prstGeom prst="rect">
                            <a:avLst/>
                          </a:prstGeom>
                        </pic:spPr>
                      </pic:pic>
                    </a:graphicData>
                  </a:graphic>
                </wp:inline>
              </w:drawing>
            </w:r>
            <w:r>
              <w:rPr>
                <w:rFonts w:hint="default" w:ascii="Arial" w:hAnsi="Arial" w:eastAsia="宋体" w:cs="Arial"/>
                <w:lang w:val="en-US" w:eastAsia="zh-CN"/>
              </w:rPr>
              <w:t>1号楼</w:t>
            </w:r>
          </w:p>
        </w:tc>
        <w:tc>
          <w:tcPr>
            <w:tcW w:w="2665" w:type="dxa"/>
            <w:vAlign w:val="center"/>
          </w:tcPr>
          <w:p>
            <w:pPr>
              <w:ind w:left="840" w:hanging="840" w:hangingChars="400"/>
              <w:jc w:val="both"/>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30095" cy="1522730"/>
                  <wp:effectExtent l="0" t="0" r="8255" b="1270"/>
                  <wp:docPr id="609" name="图片 609" descr="26bbd0e2d0db9244887690117227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26bbd0e2d0db9244887690117227b33"/>
                          <pic:cNvPicPr>
                            <a:picLocks noChangeAspect="1"/>
                          </pic:cNvPicPr>
                        </pic:nvPicPr>
                        <pic:blipFill>
                          <a:blip r:embed="rId11"/>
                          <a:stretch>
                            <a:fillRect/>
                          </a:stretch>
                        </pic:blipFill>
                        <pic:spPr>
                          <a:xfrm>
                            <a:off x="0" y="0"/>
                            <a:ext cx="2030095" cy="1522730"/>
                          </a:xfrm>
                          <a:prstGeom prst="rect">
                            <a:avLst/>
                          </a:prstGeom>
                        </pic:spPr>
                      </pic:pic>
                    </a:graphicData>
                  </a:graphic>
                </wp:inline>
              </w:drawing>
            </w:r>
            <w:r>
              <w:rPr>
                <w:rFonts w:hint="default" w:ascii="Arial" w:hAnsi="Arial" w:eastAsia="宋体" w:cs="Arial"/>
                <w:lang w:val="en-US" w:eastAsia="zh-CN"/>
              </w:rPr>
              <w:t>8号楼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2665" w:type="dxa"/>
            <w:vAlign w:val="center"/>
          </w:tcPr>
          <w:p>
            <w:pPr>
              <w:ind w:left="630" w:hanging="630" w:hangingChars="300"/>
              <w:rPr>
                <w:rFonts w:hint="default" w:ascii="Arial" w:hAnsi="Arial" w:eastAsia="宋体" w:cs="Arial"/>
                <w:lang w:val="en-US" w:eastAsia="zh-CN"/>
              </w:rPr>
            </w:pPr>
            <w:r>
              <w:rPr>
                <w:rFonts w:hint="eastAsia" w:ascii="Arial" w:hAnsi="Arial" w:cs="Arial"/>
                <w:lang w:val="en-US" w:eastAsia="zh-CN"/>
              </w:rPr>
              <w:drawing>
                <wp:inline distT="0" distB="0" distL="114300" distR="114300">
                  <wp:extent cx="2030095" cy="1522730"/>
                  <wp:effectExtent l="0" t="0" r="8255" b="1270"/>
                  <wp:docPr id="608" name="图片 608" descr="0d901a94538d0624d6232a893e44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0d901a94538d0624d6232a893e444a1"/>
                          <pic:cNvPicPr>
                            <a:picLocks noChangeAspect="1"/>
                          </pic:cNvPicPr>
                        </pic:nvPicPr>
                        <pic:blipFill>
                          <a:blip r:embed="rId12"/>
                          <a:stretch>
                            <a:fillRect/>
                          </a:stretch>
                        </pic:blipFill>
                        <pic:spPr>
                          <a:xfrm>
                            <a:off x="0" y="0"/>
                            <a:ext cx="2030095" cy="1522730"/>
                          </a:xfrm>
                          <a:prstGeom prst="rect">
                            <a:avLst/>
                          </a:prstGeom>
                        </pic:spPr>
                      </pic:pic>
                    </a:graphicData>
                  </a:graphic>
                </wp:inline>
              </w:drawing>
            </w:r>
            <w:r>
              <w:rPr>
                <w:rFonts w:hint="eastAsia" w:ascii="Arial" w:hAnsi="Arial" w:cs="Arial"/>
                <w:lang w:val="en-US" w:eastAsia="zh-CN"/>
              </w:rPr>
              <w:t>2号楼</w:t>
            </w:r>
          </w:p>
        </w:tc>
        <w:tc>
          <w:tcPr>
            <w:tcW w:w="2665" w:type="dxa"/>
            <w:vAlign w:val="center"/>
          </w:tcPr>
          <w:p>
            <w:pPr>
              <w:jc w:val="both"/>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30095" cy="1521460"/>
                  <wp:effectExtent l="0" t="0" r="8255" b="2540"/>
                  <wp:docPr id="611" name="图片 611" descr="ec8bd79791ba403beca374402363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descr="ec8bd79791ba403beca374402363bec"/>
                          <pic:cNvPicPr>
                            <a:picLocks noChangeAspect="1"/>
                          </pic:cNvPicPr>
                        </pic:nvPicPr>
                        <pic:blipFill>
                          <a:blip r:embed="rId13"/>
                          <a:stretch>
                            <a:fillRect/>
                          </a:stretch>
                        </pic:blipFill>
                        <pic:spPr>
                          <a:xfrm>
                            <a:off x="0" y="0"/>
                            <a:ext cx="2030095" cy="1521460"/>
                          </a:xfrm>
                          <a:prstGeom prst="rect">
                            <a:avLst/>
                          </a:prstGeom>
                        </pic:spPr>
                      </pic:pic>
                    </a:graphicData>
                  </a:graphic>
                </wp:inline>
              </w:drawing>
            </w:r>
          </w:p>
        </w:tc>
        <w:tc>
          <w:tcPr>
            <w:tcW w:w="2665" w:type="dxa"/>
            <w:vAlign w:val="center"/>
          </w:tcPr>
          <w:p>
            <w:pPr>
              <w:jc w:val="both"/>
              <w:rPr>
                <w:rFonts w:hint="default" w:ascii="Arial" w:hAnsi="Arial" w:eastAsia="宋体" w:cs="Arial"/>
                <w:lang w:eastAsia="zh-CN"/>
              </w:rPr>
            </w:pPr>
          </w:p>
        </w:tc>
        <w:tc>
          <w:tcPr>
            <w:tcW w:w="2665" w:type="dxa"/>
            <w:vAlign w:val="center"/>
          </w:tcPr>
          <w:p>
            <w:pPr>
              <w:jc w:val="both"/>
              <w:rPr>
                <w:rFonts w:hint="default" w:ascii="Arial" w:hAnsi="Arial" w:eastAsia="宋体" w:cs="Arial"/>
                <w:lang w:eastAsia="zh-CN"/>
              </w:rPr>
            </w:pPr>
          </w:p>
        </w:tc>
      </w:tr>
    </w:tbl>
    <w:p>
      <w:pPr>
        <w:pStyle w:val="2"/>
        <w:spacing w:before="300" w:after="300" w:line="360" w:lineRule="exact"/>
        <w:rPr>
          <w:rFonts w:hint="default" w:ascii="Arial" w:hAnsi="Arial" w:eastAsia="宋体" w:cs="Arial"/>
          <w:sz w:val="24"/>
          <w:szCs w:val="24"/>
        </w:rPr>
      </w:pPr>
      <w:bookmarkStart w:id="43" w:name="_Toc14990"/>
    </w:p>
    <w:p>
      <w:pPr>
        <w:pStyle w:val="2"/>
        <w:spacing w:before="300" w:after="300" w:line="360" w:lineRule="exact"/>
        <w:rPr>
          <w:rFonts w:hint="default" w:ascii="Arial" w:hAnsi="Arial" w:eastAsia="宋体" w:cs="Arial"/>
          <w:sz w:val="24"/>
          <w:szCs w:val="24"/>
        </w:rPr>
      </w:pPr>
      <w:r>
        <w:rPr>
          <w:rFonts w:hint="default" w:ascii="Arial" w:hAnsi="Arial" w:eastAsia="宋体" w:cs="Arial"/>
          <w:sz w:val="24"/>
          <w:szCs w:val="24"/>
        </w:rPr>
        <w:t>4印鉴使用情况</w:t>
      </w:r>
      <w:bookmarkEnd w:id="43"/>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hint="default" w:ascii="Arial" w:hAnsi="Arial" w:cs="Arial"/>
          <w:b/>
          <w:kern w:val="44"/>
          <w:sz w:val="24"/>
        </w:rPr>
      </w:pPr>
      <w:bookmarkStart w:id="44" w:name="_Hlk18530413"/>
      <w:r>
        <w:rPr>
          <w:rFonts w:hint="default" w:ascii="Arial" w:hAnsi="Arial" w:cs="Arial"/>
          <w:b/>
          <w:kern w:val="44"/>
          <w:sz w:val="24"/>
        </w:rPr>
        <w:t>2020年</w:t>
      </w:r>
      <w:r>
        <w:rPr>
          <w:rFonts w:hint="default" w:ascii="Arial" w:hAnsi="Arial" w:cs="Arial"/>
          <w:b/>
          <w:kern w:val="44"/>
          <w:sz w:val="24"/>
          <w:lang w:val="en-US" w:eastAsia="zh-CN"/>
        </w:rPr>
        <w:t>1</w:t>
      </w:r>
      <w:r>
        <w:rPr>
          <w:rFonts w:hint="eastAsia" w:ascii="Arial" w:hAnsi="Arial" w:cs="Arial"/>
          <w:b/>
          <w:kern w:val="44"/>
          <w:sz w:val="24"/>
          <w:lang w:val="en-US" w:eastAsia="zh-CN"/>
        </w:rPr>
        <w:t>2</w:t>
      </w:r>
      <w:r>
        <w:rPr>
          <w:rFonts w:hint="default" w:ascii="Arial" w:hAnsi="Arial" w:cs="Arial"/>
          <w:b/>
          <w:kern w:val="44"/>
          <w:sz w:val="24"/>
        </w:rPr>
        <w:t xml:space="preserve">月印鉴使用登记表 </w:t>
      </w:r>
    </w:p>
    <w:tbl>
      <w:tblPr>
        <w:tblStyle w:val="23"/>
        <w:tblW w:w="10485" w:type="dxa"/>
        <w:jc w:val="center"/>
        <w:shd w:val="clear" w:color="auto" w:fill="auto"/>
        <w:tblLayout w:type="autofit"/>
        <w:tblCellMar>
          <w:top w:w="0" w:type="dxa"/>
          <w:left w:w="0" w:type="dxa"/>
          <w:bottom w:w="0" w:type="dxa"/>
          <w:right w:w="0" w:type="dxa"/>
        </w:tblCellMar>
      </w:tblPr>
      <w:tblGrid>
        <w:gridCol w:w="975"/>
        <w:gridCol w:w="1125"/>
        <w:gridCol w:w="1245"/>
        <w:gridCol w:w="2040"/>
        <w:gridCol w:w="2940"/>
        <w:gridCol w:w="1080"/>
        <w:gridCol w:w="1080"/>
      </w:tblGrid>
      <w:tr>
        <w:trPr>
          <w:trHeight w:val="493" w:hRule="atLeast"/>
          <w:tblHeader/>
          <w:jc w:val="center"/>
        </w:trPr>
        <w:tc>
          <w:tcPr>
            <w:tcW w:w="9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用印公司</w:t>
            </w:r>
          </w:p>
        </w:tc>
        <w:tc>
          <w:tcPr>
            <w:tcW w:w="11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用印日期</w:t>
            </w:r>
          </w:p>
        </w:tc>
        <w:tc>
          <w:tcPr>
            <w:tcW w:w="124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印章</w:t>
            </w:r>
          </w:p>
        </w:tc>
        <w:tc>
          <w:tcPr>
            <w:tcW w:w="20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用印事由</w:t>
            </w:r>
          </w:p>
        </w:tc>
        <w:tc>
          <w:tcPr>
            <w:tcW w:w="29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用印材料及份数</w:t>
            </w: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用印部门</w:t>
            </w: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经办人</w:t>
            </w:r>
          </w:p>
        </w:tc>
      </w:tr>
      <w:tr>
        <w:tblPrEx>
          <w:tblCellMar>
            <w:top w:w="0" w:type="dxa"/>
            <w:left w:w="0" w:type="dxa"/>
            <w:bottom w:w="0" w:type="dxa"/>
            <w:right w:w="0" w:type="dxa"/>
          </w:tblCellMar>
        </w:tblPrEx>
        <w:trPr>
          <w:trHeight w:val="1755" w:hRule="atLeast"/>
          <w:jc w:val="center"/>
        </w:trPr>
        <w:tc>
          <w:tcPr>
            <w:tcW w:w="97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124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缴款催告函和解除函用印</w:t>
            </w:r>
          </w:p>
        </w:tc>
        <w:tc>
          <w:tcPr>
            <w:tcW w:w="294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商品房买卖合同签约及首付款催缴催告函（龚国奇、徐海娇）；2、【武汉市商品房认购书】解除通知书（蔡小红、徐亮、白洁婷、龚国奇、徐海娇1份）；3、商品房买卖合同签订通知书（蔡小红、徐亮、1份）</w:t>
            </w:r>
          </w:p>
        </w:tc>
        <w:tc>
          <w:tcPr>
            <w:tcW w:w="108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8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shd w:val="clear" w:color="auto" w:fill="auto"/>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项叠拼入户门供货及安装合同（浙江星月门业有限公司）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[武汉]公司[光谷正荣府]项目入户门供货及安装合同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12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项目经理解锁变更登记用印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1、项目经理解锁变更登记申请表；2、关于居住项目（正荣府）变更项目经理申请；3、关于居住项目（正荣府）变更管理人员申请；（各3份）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第三方飞检工作量确认用印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工作量评估及工作时间确认单（1份）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120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法人变更资料用印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1、公司登记备案申请书；2、公司章程修改（法人修改）；3、武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楚置业有限公司股东变更决议；4、</w:t>
            </w:r>
            <w:r>
              <w:rPr>
                <w:rFonts w:hint="default" w:ascii="Arial" w:hAnsi="Arial" w:eastAsia="宋体" w:cs="Arial"/>
                <w:i w:val="0"/>
                <w:color w:val="000000"/>
                <w:kern w:val="0"/>
                <w:sz w:val="18"/>
                <w:szCs w:val="18"/>
                <w:highlight w:val="none"/>
                <w:u w:val="none"/>
                <w:lang w:val="en-US" w:eastAsia="zh-CN" w:bidi="ar"/>
              </w:rPr>
              <w:t>法人代表</w:t>
            </w:r>
            <w:r>
              <w:rPr>
                <w:rFonts w:hint="default" w:ascii="Arial" w:hAnsi="Arial" w:eastAsia="宋体" w:cs="Arial"/>
                <w:i w:val="0"/>
                <w:color w:val="000000"/>
                <w:kern w:val="0"/>
                <w:sz w:val="18"/>
                <w:szCs w:val="18"/>
                <w:u w:val="none"/>
                <w:lang w:val="en-US" w:eastAsia="zh-CN" w:bidi="ar"/>
              </w:rPr>
              <w:t>信息；5、委托代理人信息；（各1份）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行政</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吴宛</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超危大工程专项施工方案论证前审批表用印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超危大工程专项施工方案论证前审批表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shd w:val="clear" w:color="auto" w:fill="auto"/>
          <w:tblCellMar>
            <w:top w:w="0" w:type="dxa"/>
            <w:left w:w="0" w:type="dxa"/>
            <w:bottom w:w="0" w:type="dxa"/>
            <w:right w:w="0" w:type="dxa"/>
          </w:tblCellMar>
        </w:tblPrEx>
        <w:trPr>
          <w:trHeight w:val="96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催董涛，油田审批流</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1、《商品房买卖合同》签约及首付款缴款催告函；2、个人住房公积金（组合）贷款担保书；3、预告登记约定书（各1份）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催告函解约函用印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1、合同签约及首付款缴款催告函（苟庆、郝江波 戴婷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地基验槽记录用印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地基地槽验槽记录用印（各3份）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营销合同（北京搜房科技发展有限公司武汉分公司）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媒体广告发布合同（7月）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营销合同（北京搜房科技发展有限公司武汉分公司）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媒体广告发布合同（9月）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营销合同（北京搜房科技发展有限公司武汉分公司）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媒体广告发布合同（10月）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1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审计资料用印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1、资产负债表；2、利润表；3、现金流量表；4、工商银行企业对账单；5、预售许可证；6、工商营业执照；7、章程；（各2份）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李睿</w:t>
            </w:r>
          </w:p>
        </w:tc>
      </w:tr>
      <w:tr>
        <w:tblPrEx>
          <w:tblCellMar>
            <w:top w:w="0" w:type="dxa"/>
            <w:left w:w="0" w:type="dxa"/>
            <w:bottom w:w="0" w:type="dxa"/>
            <w:right w:w="0" w:type="dxa"/>
          </w:tblCellMar>
        </w:tblPrEx>
        <w:trPr>
          <w:trHeight w:val="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保理回执</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1、应收账款债权转让通知书回执（宁夏伊</w:t>
            </w:r>
            <w:r>
              <w:rPr>
                <w:rFonts w:hint="default" w:ascii="Arial" w:hAnsi="Arial" w:eastAsia="宋体" w:cs="Arial"/>
                <w:i w:val="0"/>
                <w:color w:val="000000"/>
                <w:kern w:val="0"/>
                <w:sz w:val="18"/>
                <w:szCs w:val="18"/>
                <w:highlight w:val="none"/>
                <w:u w:val="none"/>
                <w:lang w:val="en-US" w:eastAsia="zh-CN" w:bidi="ar"/>
              </w:rPr>
              <w:t>地地</w:t>
            </w:r>
            <w:r>
              <w:rPr>
                <w:rFonts w:hint="default" w:ascii="Arial" w:hAnsi="Arial" w:eastAsia="宋体" w:cs="Arial"/>
                <w:i w:val="0"/>
                <w:color w:val="000000"/>
                <w:kern w:val="0"/>
                <w:sz w:val="18"/>
                <w:szCs w:val="18"/>
                <w:u w:val="none"/>
                <w:lang w:val="en-US" w:eastAsia="zh-CN" w:bidi="ar"/>
              </w:rPr>
              <w:t>质工程有限公司）；2、应收账款债权转让通知书回执（上海兴邦建材结构设计有限公司）；3、应收账款债权转让通知书回执2份（上海东方雨虹）；4、应收账款债权转让通知书回执（湖北福珍建筑工程有限公司）5、应收账款债权转让通知书回执（万众隆项目项目管理有限公司）6、应收账款债权转让通知书回执（武汉岚研室内设计有限公司）；7、应收账款债权转让通知书回执（中南基础勘察有限公司）</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各3份）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何锐）</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工抵房协议（成都科顿装饰工程有限公司南京分公司）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正楚工抵房协议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工抵房协议（重庆力天设计装饰有限公司）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正荣正泰工抵房协议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7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工抵房协议（深圳市旗云智能科技有限公司）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正荣正升工抵房协议</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105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兴业银行按揭服务协议用印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1、企业信用信息基础数据库查询及报送</w:t>
            </w:r>
            <w:r>
              <w:rPr>
                <w:rFonts w:hint="default" w:ascii="Arial" w:hAnsi="Arial" w:eastAsia="宋体" w:cs="Arial"/>
                <w:i w:val="0"/>
                <w:color w:val="000000"/>
                <w:kern w:val="0"/>
                <w:sz w:val="18"/>
                <w:szCs w:val="18"/>
                <w:highlight w:val="none"/>
                <w:u w:val="none"/>
                <w:lang w:val="en-US" w:eastAsia="zh-CN" w:bidi="ar"/>
              </w:rPr>
              <w:t>授权</w:t>
            </w:r>
            <w:r>
              <w:rPr>
                <w:rFonts w:hint="default" w:ascii="Arial" w:hAnsi="Arial" w:eastAsia="宋体" w:cs="Arial"/>
                <w:i w:val="0"/>
                <w:color w:val="000000"/>
                <w:kern w:val="0"/>
                <w:sz w:val="18"/>
                <w:szCs w:val="18"/>
                <w:u w:val="none"/>
                <w:lang w:val="en-US" w:eastAsia="zh-CN" w:bidi="ar"/>
              </w:rPr>
              <w:t>书；2、按揭贷款业务合作协议；3、财务报表；4、预售许可证；5、章程、6、工规证等（2份）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徐杰</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幕墙设计工程量确认单用印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光谷正荣府门窗幕墙工程深化设计工程量确认单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吴明</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车位申请用印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车位申请用印4份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综合管理部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r>
      <w:tr>
        <w:trPr>
          <w:trHeight w:val="7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变更光大银行基本户法人印鉴，工商营业信息</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1、营业执照2、印鉴卡；3、企业关键人员电信数据核验授权书；4更换预留印鉴申请书；（各3份）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刘旖莎</w:t>
            </w:r>
          </w:p>
        </w:tc>
      </w:tr>
      <w:tr>
        <w:tblPrEx>
          <w:tblCellMar>
            <w:top w:w="0" w:type="dxa"/>
            <w:left w:w="0" w:type="dxa"/>
            <w:bottom w:w="0" w:type="dxa"/>
            <w:right w:w="0" w:type="dxa"/>
          </w:tblCellMar>
        </w:tblPrEx>
        <w:trPr>
          <w:trHeight w:val="7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起重机验收以及整改单用印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1、1#楼塔式起重机建设各方共同验收记录2份；2、整改回复单用印4份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17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开立1号楼监管户</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对公客户综合业务签约申请书；2、开立单位人民币业务结算申请书；3、不使用支付密码凭证承诺书；4、市场主体金融活动诚信书；5、开通激活网银防骗警示提示；6、印鉴卡；7、企业关键人员电信业务核验授权委托书；</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刘旖莎</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收入证明（夏红敏）2份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人资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中国核工业第二二建设有限公司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武汉市光谷正荣府预算包干价补充协议（6份）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75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电费发票开票信息申请用印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1、申请（开票信息）；2、授权委托书及法人身份证复印件；3、营业执照；</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项目满意度调查表</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1、客户满意度调查表（中国核工业第二二建设有限公司）1份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疫情后开工申请后补</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1、工程开工报审表（3份）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营销合同（武汉德美印刷有限公司）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武汉公司 2019年印刷集采合同</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4份</w:t>
            </w:r>
            <w:r>
              <w:rPr>
                <w:rFonts w:hint="default" w:ascii="Arial" w:hAnsi="Arial" w:eastAsia="宋体" w:cs="Arial"/>
                <w:i w:val="0"/>
                <w:color w:val="000000"/>
                <w:kern w:val="0"/>
                <w:sz w:val="18"/>
                <w:szCs w:val="18"/>
                <w:highlight w:val="none"/>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营销合同（武汉鑫佳捷印务有限公司）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武汉公司 2019年印刷集采合同</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4份</w:t>
            </w:r>
            <w:r>
              <w:rPr>
                <w:rFonts w:hint="default" w:ascii="Arial" w:hAnsi="Arial" w:eastAsia="宋体" w:cs="Arial"/>
                <w:i w:val="0"/>
                <w:color w:val="000000"/>
                <w:kern w:val="0"/>
                <w:sz w:val="18"/>
                <w:szCs w:val="18"/>
                <w:highlight w:val="none"/>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营销合同（武汉天</w:t>
            </w:r>
            <w:r>
              <w:rPr>
                <w:rFonts w:hint="default" w:ascii="Arial" w:hAnsi="Arial" w:eastAsia="宋体" w:cs="Arial"/>
                <w:i w:val="0"/>
                <w:color w:val="000000"/>
                <w:kern w:val="0"/>
                <w:sz w:val="18"/>
                <w:szCs w:val="18"/>
                <w:highlight w:val="none"/>
                <w:u w:val="none"/>
                <w:lang w:val="en-US" w:eastAsia="zh-CN" w:bidi="ar"/>
              </w:rPr>
              <w:t>风彩</w:t>
            </w:r>
            <w:r>
              <w:rPr>
                <w:rFonts w:hint="default" w:ascii="Arial" w:hAnsi="Arial" w:eastAsia="宋体" w:cs="Arial"/>
                <w:i w:val="0"/>
                <w:color w:val="000000"/>
                <w:kern w:val="0"/>
                <w:sz w:val="18"/>
                <w:szCs w:val="18"/>
                <w:u w:val="none"/>
                <w:lang w:val="en-US" w:eastAsia="zh-CN" w:bidi="ar"/>
              </w:rPr>
              <w:t>数码广告喷绘有限公司）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武汉公司2020年物料制作集采合同</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4份</w:t>
            </w:r>
            <w:r>
              <w:rPr>
                <w:rFonts w:hint="default" w:ascii="Arial" w:hAnsi="Arial" w:eastAsia="宋体" w:cs="Arial"/>
                <w:i w:val="0"/>
                <w:color w:val="000000"/>
                <w:kern w:val="0"/>
                <w:sz w:val="18"/>
                <w:szCs w:val="18"/>
                <w:highlight w:val="none"/>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营销合同（武汉中桢广告有限公司）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武汉公司2020年物料制作集采合同</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4份</w:t>
            </w:r>
            <w:r>
              <w:rPr>
                <w:rFonts w:hint="default" w:ascii="Arial" w:hAnsi="Arial" w:eastAsia="宋体" w:cs="Arial"/>
                <w:i w:val="0"/>
                <w:color w:val="000000"/>
                <w:kern w:val="0"/>
                <w:sz w:val="18"/>
                <w:szCs w:val="18"/>
                <w:highlight w:val="none"/>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正荣地产股份有限公司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营销咨询及支持服务合同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刘晓</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非重点监管资金提取用印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新建商品房预售非重点监管资金使用申请表（3份）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刘旖莎</w:t>
            </w:r>
          </w:p>
        </w:tc>
      </w:tr>
      <w:tr>
        <w:tblPrEx>
          <w:tblCellMar>
            <w:top w:w="0" w:type="dxa"/>
            <w:left w:w="0" w:type="dxa"/>
            <w:bottom w:w="0" w:type="dxa"/>
            <w:right w:w="0" w:type="dxa"/>
          </w:tblCellMar>
        </w:tblPrEx>
        <w:trPr>
          <w:trHeight w:val="5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土地解压申请用印申请</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关于申请解除光谷·正荣府项目土地抵押的函（1份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李睿</w:t>
            </w:r>
          </w:p>
        </w:tc>
      </w:tr>
      <w:tr>
        <w:tblPrEx>
          <w:shd w:val="clear" w:color="auto" w:fill="auto"/>
          <w:tblCellMar>
            <w:top w:w="0" w:type="dxa"/>
            <w:left w:w="0" w:type="dxa"/>
            <w:bottom w:w="0" w:type="dxa"/>
            <w:right w:w="0" w:type="dxa"/>
          </w:tblCellMar>
        </w:tblPrEx>
        <w:trPr>
          <w:trHeight w:val="7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光谷正荣府项目关于应付申请审批单的用印申请</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1、万众隆项目管理有限公司付款审批表；2、宁夏</w:t>
            </w:r>
            <w:r>
              <w:rPr>
                <w:rFonts w:hint="default" w:ascii="Arial" w:hAnsi="Arial" w:eastAsia="宋体" w:cs="Arial"/>
                <w:i w:val="0"/>
                <w:color w:val="000000"/>
                <w:kern w:val="0"/>
                <w:sz w:val="18"/>
                <w:szCs w:val="18"/>
                <w:highlight w:val="none"/>
                <w:u w:val="none"/>
                <w:lang w:val="en-US" w:eastAsia="zh-CN" w:bidi="ar"/>
              </w:rPr>
              <w:t>伊地</w:t>
            </w:r>
            <w:r>
              <w:rPr>
                <w:rFonts w:hint="default" w:ascii="Arial" w:hAnsi="Arial" w:eastAsia="宋体" w:cs="Arial"/>
                <w:i w:val="0"/>
                <w:color w:val="000000"/>
                <w:kern w:val="0"/>
                <w:sz w:val="18"/>
                <w:szCs w:val="18"/>
                <w:u w:val="none"/>
                <w:lang w:val="en-US" w:eastAsia="zh-CN" w:bidi="ar"/>
              </w:rPr>
              <w:t>付款审批表；（各1份）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（正舟和</w:t>
            </w:r>
            <w:r>
              <w:rPr>
                <w:rFonts w:hint="default" w:ascii="Arial" w:hAnsi="Arial" w:eastAsia="宋体" w:cs="Arial"/>
                <w:i w:val="0"/>
                <w:color w:val="000000"/>
                <w:kern w:val="0"/>
                <w:sz w:val="18"/>
                <w:szCs w:val="18"/>
                <w:highlight w:val="none"/>
                <w:u w:val="none"/>
                <w:lang w:val="en-US" w:eastAsia="zh-CN" w:bidi="ar"/>
              </w:rPr>
              <w:t>正楚</w:t>
            </w:r>
            <w:r>
              <w:rPr>
                <w:rFonts w:hint="default" w:ascii="Arial" w:hAnsi="Arial" w:eastAsia="宋体" w:cs="Arial"/>
                <w:i w:val="0"/>
                <w:color w:val="000000"/>
                <w:kern w:val="0"/>
                <w:sz w:val="18"/>
                <w:szCs w:val="18"/>
                <w:u w:val="none"/>
                <w:lang w:val="en-US" w:eastAsia="zh-CN" w:bidi="ar"/>
              </w:rPr>
              <w:t>工程款工抵房协议用印）湖北福珍建筑工程有限公司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（工抵房协议用印）湖北福珍建筑工程有限公司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（工抵房协议用印）一鼎生态园林建设有限公司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shd w:val="clear" w:color="auto" w:fill="auto"/>
          <w:tblCellMar>
            <w:top w:w="0" w:type="dxa"/>
            <w:left w:w="0" w:type="dxa"/>
            <w:bottom w:w="0" w:type="dxa"/>
            <w:right w:w="0" w:type="dxa"/>
          </w:tblCellMar>
        </w:tblPrEx>
        <w:trPr>
          <w:trHeight w:val="10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1号楼监管户POS机办理资料用印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1、银联商务特约商户业务申请书；2、银联商务特约商户支付服务协议；3、营业执照复印件；4、法人身份证复印件（各1份）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徐杰</w:t>
            </w:r>
          </w:p>
        </w:tc>
      </w:tr>
      <w:tr>
        <w:tblPrEx>
          <w:tblCellMar>
            <w:top w:w="0" w:type="dxa"/>
            <w:left w:w="0" w:type="dxa"/>
            <w:bottom w:w="0" w:type="dxa"/>
            <w:right w:w="0" w:type="dxa"/>
          </w:tblCellMar>
        </w:tblPrEx>
        <w:trPr>
          <w:trHeight w:val="99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缴款催告函和解除函用印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1、【武汉市商品房认购书】解除通知书（宋涛，李玲平）；2、商品房买卖合同签订通知书（宋涛，李玲平）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总包表扬信</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1、表扬信；2、荣誉证书；（各1份）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工程技术部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171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保理回执</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回执用印（万众隆项目管理有限公司、成都基准方中建筑设计有限公司、宁夏伊地地质工程有限公司、成都基准方中建筑设计有限公司、四川洲宇建筑设计股份有限公司武汉分公司、湖北长江电气有限公司等以上各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（工抵房协议用印）成都科顿装饰工程有限公司南京分公司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127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在建工程权籍办理用印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1、营业执照复印件；2、不动产证复印件；3、建设用地规划许可证复印件；4、建筑工程规划许可证；5、建筑工程施工许可证复印件（各1份）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李睿</w:t>
            </w:r>
          </w:p>
        </w:tc>
      </w:tr>
      <w:tr>
        <w:tblPrEx>
          <w:tblCellMar>
            <w:top w:w="0" w:type="dxa"/>
            <w:left w:w="0" w:type="dxa"/>
            <w:bottom w:w="0" w:type="dxa"/>
            <w:right w:w="0" w:type="dxa"/>
          </w:tblCellMar>
        </w:tblPrEx>
        <w:trPr>
          <w:trHeight w:val="72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（工抵房协议用印）成都科顿装饰工程有限公司南京分公司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催告函解约函用印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吴双合同签约及首付催告函和解除函（1份</w:t>
            </w:r>
            <w:r>
              <w:rPr>
                <w:rFonts w:hint="default" w:ascii="Arial" w:hAnsi="Arial" w:eastAsia="宋体" w:cs="Arial"/>
                <w:i w:val="0"/>
                <w:color w:val="000000"/>
                <w:kern w:val="0"/>
                <w:sz w:val="18"/>
                <w:szCs w:val="18"/>
                <w:highlight w:val="none"/>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销售团队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（工抵房协议用印）东莞市民兴电缆有限公司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工抵房协议（4份）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成本管理部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bookmarkEnd w:id="44"/>
    </w:tbl>
    <w:p>
      <w:pPr>
        <w:spacing w:line="360" w:lineRule="auto"/>
        <w:jc w:val="both"/>
        <w:rPr>
          <w:rFonts w:hint="default" w:ascii="Arial" w:hAnsi="Arial" w:cs="Arial"/>
          <w:bCs/>
          <w:kern w:val="44"/>
          <w:szCs w:val="21"/>
        </w:rPr>
      </w:pPr>
      <w:bookmarkStart w:id="45" w:name="_Toc535580027"/>
      <w:bookmarkStart w:id="46" w:name="_Toc532281661"/>
      <w:bookmarkStart w:id="47" w:name="_Toc535580095"/>
      <w:bookmarkStart w:id="48" w:name="_Toc535508640"/>
      <w:bookmarkStart w:id="49" w:name="_Toc535570754"/>
      <w:bookmarkStart w:id="50" w:name="_Toc373309851"/>
      <w:bookmarkStart w:id="51" w:name="_Toc411430359"/>
    </w:p>
    <w:p>
      <w:pPr>
        <w:spacing w:line="360" w:lineRule="auto"/>
        <w:jc w:val="both"/>
        <w:rPr>
          <w:rFonts w:hint="default" w:ascii="Arial" w:hAnsi="Arial" w:cs="Arial"/>
          <w:bCs/>
          <w:kern w:val="44"/>
          <w:szCs w:val="21"/>
        </w:rPr>
      </w:pPr>
      <w:r>
        <w:rPr>
          <w:rFonts w:hint="default" w:ascii="Arial" w:hAnsi="Arial" w:cs="Arial"/>
          <w:bCs/>
          <w:kern w:val="44"/>
          <w:szCs w:val="21"/>
        </w:rPr>
        <w:t>本月证照章外带情况表如下：</w:t>
      </w:r>
    </w:p>
    <w:p>
      <w:pPr>
        <w:spacing w:line="360" w:lineRule="auto"/>
        <w:ind w:firstLine="420" w:firstLineChars="200"/>
        <w:jc w:val="center"/>
        <w:rPr>
          <w:rFonts w:hint="default" w:ascii="Arial" w:hAnsi="Arial" w:cs="Arial"/>
          <w:bCs/>
          <w:kern w:val="44"/>
          <w:szCs w:val="21"/>
        </w:rPr>
      </w:pPr>
    </w:p>
    <w:tbl>
      <w:tblPr>
        <w:tblStyle w:val="23"/>
        <w:tblW w:w="10920" w:type="dxa"/>
        <w:jc w:val="center"/>
        <w:tblLayout w:type="autofit"/>
        <w:tblCellMar>
          <w:top w:w="0" w:type="dxa"/>
          <w:left w:w="0" w:type="dxa"/>
          <w:bottom w:w="0" w:type="dxa"/>
          <w:right w:w="0" w:type="dxa"/>
        </w:tblCellMar>
      </w:tblPr>
      <w:tblGrid>
        <w:gridCol w:w="1020"/>
        <w:gridCol w:w="1110"/>
        <w:gridCol w:w="2205"/>
        <w:gridCol w:w="2655"/>
        <w:gridCol w:w="2430"/>
        <w:gridCol w:w="750"/>
        <w:gridCol w:w="750"/>
      </w:tblGrid>
      <w:tr>
        <w:tblPrEx>
          <w:tblCellMar>
            <w:top w:w="0" w:type="dxa"/>
            <w:left w:w="0" w:type="dxa"/>
            <w:bottom w:w="0" w:type="dxa"/>
            <w:right w:w="0" w:type="dxa"/>
          </w:tblCellMar>
        </w:tblPrEx>
        <w:trPr>
          <w:trHeight w:val="272" w:hRule="atLeast"/>
          <w:tblHeader/>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项目公司</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外/借出日期</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印鉴/证照名称</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事由</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外/借出至机构</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b/>
                <w:bCs/>
                <w:color w:val="000000"/>
                <w:sz w:val="18"/>
                <w:szCs w:val="18"/>
                <w:lang w:eastAsia="zh-CN"/>
              </w:rPr>
            </w:pPr>
            <w:r>
              <w:rPr>
                <w:rFonts w:hint="default" w:ascii="Arial" w:hAnsi="Arial" w:cs="Arial"/>
                <w:b/>
                <w:bCs/>
                <w:color w:val="000000"/>
                <w:sz w:val="18"/>
                <w:szCs w:val="18"/>
                <w:lang w:eastAsia="zh-CN"/>
              </w:rPr>
              <w:t>部门</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bidi="ar"/>
              </w:rPr>
            </w:pPr>
            <w:r>
              <w:rPr>
                <w:rFonts w:hint="default" w:ascii="Arial" w:hAnsi="Arial" w:cs="Arial"/>
                <w:b/>
                <w:bCs/>
                <w:color w:val="000000"/>
                <w:kern w:val="0"/>
                <w:sz w:val="18"/>
                <w:szCs w:val="18"/>
                <w:lang w:bidi="ar"/>
              </w:rPr>
              <w:t>经办人</w:t>
            </w:r>
          </w:p>
        </w:tc>
      </w:tr>
      <w:tr>
        <w:tblPrEx>
          <w:tblCellMar>
            <w:top w:w="0" w:type="dxa"/>
            <w:left w:w="0" w:type="dxa"/>
            <w:bottom w:w="0" w:type="dxa"/>
            <w:right w:w="0" w:type="dxa"/>
          </w:tblCellMar>
        </w:tblPrEx>
        <w:trPr>
          <w:trHeight w:val="48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highlight w:val="none"/>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2020-12-7</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营业执照正副本</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法人变更用印</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光谷东湖开发去政务中心</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lang w:eastAsia="zh-CN"/>
              </w:rPr>
            </w:pPr>
            <w:r>
              <w:rPr>
                <w:rFonts w:hint="default" w:ascii="Arial" w:hAnsi="Arial" w:eastAsia="宋体" w:cs="Arial"/>
                <w:i w:val="0"/>
                <w:color w:val="000000"/>
                <w:kern w:val="0"/>
                <w:sz w:val="18"/>
                <w:szCs w:val="18"/>
                <w:u w:val="none"/>
                <w:lang w:val="en-US" w:eastAsia="zh-CN" w:bidi="ar"/>
              </w:rPr>
              <w:t>行政</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lang w:eastAsia="zh-CN"/>
              </w:rPr>
            </w:pPr>
            <w:r>
              <w:rPr>
                <w:rFonts w:hint="default" w:ascii="Arial" w:hAnsi="Arial" w:eastAsia="宋体" w:cs="Arial"/>
                <w:i w:val="0"/>
                <w:color w:val="000000"/>
                <w:kern w:val="0"/>
                <w:sz w:val="18"/>
                <w:szCs w:val="18"/>
                <w:u w:val="none"/>
                <w:lang w:val="en-US" w:eastAsia="zh-CN" w:bidi="ar"/>
              </w:rPr>
              <w:t>吴宛</w:t>
            </w:r>
          </w:p>
        </w:tc>
      </w:tr>
      <w:tr>
        <w:tblPrEx>
          <w:tblCellMar>
            <w:top w:w="0" w:type="dxa"/>
            <w:left w:w="0" w:type="dxa"/>
            <w:bottom w:w="0" w:type="dxa"/>
            <w:right w:w="0" w:type="dxa"/>
          </w:tblCellMar>
        </w:tblPrEx>
        <w:trPr>
          <w:trHeight w:val="75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highlight w:val="none"/>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2020-12-17</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1、公章、财务章、人名章（吴卫星）； 2.营业执照正副本，开户许可证</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光大基本户营业执照法人印鉴变更</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光大银行光谷</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财务办</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刘旖莎</w:t>
            </w:r>
          </w:p>
        </w:tc>
      </w:tr>
      <w:tr>
        <w:tblPrEx>
          <w:tblCellMar>
            <w:top w:w="0" w:type="dxa"/>
            <w:left w:w="0" w:type="dxa"/>
            <w:bottom w:w="0" w:type="dxa"/>
            <w:right w:w="0" w:type="dxa"/>
          </w:tblCellMar>
        </w:tblPrEx>
        <w:trPr>
          <w:trHeight w:val="75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2020-12-21</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1、公章、财务章、人名章（吴卫星）； 2.营业执照正副本，开户许可证</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开立1号预售资金监管账户</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光大银行武汉分行</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财务办</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刘旖莎</w:t>
            </w:r>
          </w:p>
        </w:tc>
      </w:tr>
      <w:tr>
        <w:tblPrEx>
          <w:tblCellMar>
            <w:top w:w="0" w:type="dxa"/>
            <w:left w:w="0" w:type="dxa"/>
            <w:bottom w:w="0" w:type="dxa"/>
            <w:right w:w="0" w:type="dxa"/>
          </w:tblCellMar>
        </w:tblPrEx>
        <w:trPr>
          <w:trHeight w:val="75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2020-12-29</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1、公章、财务章、人名章（吴卫星）； 2.营业执照正副本</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项目权籍落宗办理</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光谷东湖开发去政务中心</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财务办</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李睿</w:t>
            </w:r>
          </w:p>
        </w:tc>
      </w:tr>
      <w:bookmarkEnd w:id="45"/>
      <w:bookmarkEnd w:id="46"/>
      <w:bookmarkEnd w:id="47"/>
      <w:bookmarkEnd w:id="48"/>
      <w:bookmarkEnd w:id="49"/>
    </w:tbl>
    <w:p>
      <w:pPr>
        <w:jc w:val="center"/>
        <w:rPr>
          <w:rFonts w:hint="default" w:ascii="Arial" w:hAnsi="Arial" w:cs="Arial"/>
        </w:rPr>
      </w:pPr>
    </w:p>
    <w:p>
      <w:pPr>
        <w:pStyle w:val="2"/>
        <w:spacing w:before="300" w:after="300" w:line="360" w:lineRule="exact"/>
        <w:jc w:val="left"/>
        <w:rPr>
          <w:rFonts w:hint="default" w:ascii="Arial" w:hAnsi="Arial" w:cs="Arial"/>
          <w:b/>
          <w:bCs/>
          <w:kern w:val="44"/>
          <w:szCs w:val="21"/>
        </w:rPr>
      </w:pPr>
      <w:bookmarkStart w:id="52" w:name="_Toc29912"/>
      <w:r>
        <w:rPr>
          <w:rFonts w:hint="default" w:ascii="Arial" w:hAnsi="Arial" w:eastAsia="宋体" w:cs="Arial"/>
          <w:b/>
          <w:bCs/>
          <w:color w:val="000000"/>
          <w:sz w:val="24"/>
          <w:szCs w:val="24"/>
        </w:rPr>
        <w:t>5合同签订情况</w:t>
      </w:r>
      <w:bookmarkEnd w:id="52"/>
    </w:p>
    <w:p>
      <w:pPr>
        <w:spacing w:line="360" w:lineRule="auto"/>
        <w:ind w:firstLine="420" w:firstLineChars="200"/>
        <w:jc w:val="left"/>
        <w:rPr>
          <w:rFonts w:hint="default" w:ascii="Arial" w:hAnsi="Arial" w:cs="Arial"/>
          <w:b/>
          <w:color w:val="000000"/>
          <w:szCs w:val="21"/>
        </w:rPr>
      </w:pPr>
      <w:r>
        <w:rPr>
          <w:rFonts w:hint="default" w:ascii="Arial" w:hAnsi="Arial" w:cs="Arial"/>
          <w:bCs/>
          <w:kern w:val="44"/>
          <w:szCs w:val="21"/>
        </w:rPr>
        <w:t>2020年</w:t>
      </w:r>
      <w:r>
        <w:rPr>
          <w:rFonts w:hint="default" w:ascii="Arial" w:hAnsi="Arial" w:cs="Arial"/>
          <w:bCs/>
          <w:kern w:val="44"/>
          <w:szCs w:val="21"/>
          <w:lang w:val="en-US" w:eastAsia="zh-CN"/>
        </w:rPr>
        <w:t>1</w:t>
      </w:r>
      <w:r>
        <w:rPr>
          <w:rFonts w:hint="eastAsia" w:ascii="Arial" w:hAnsi="Arial" w:cs="Arial"/>
          <w:bCs/>
          <w:kern w:val="44"/>
          <w:szCs w:val="21"/>
          <w:lang w:val="en-US" w:eastAsia="zh-CN"/>
        </w:rPr>
        <w:t>2</w:t>
      </w:r>
      <w:r>
        <w:rPr>
          <w:rFonts w:hint="default" w:ascii="Arial" w:hAnsi="Arial" w:cs="Arial"/>
          <w:bCs/>
          <w:kern w:val="44"/>
          <w:szCs w:val="21"/>
        </w:rPr>
        <w:t>月项目公司共计新签订合同</w:t>
      </w:r>
      <w:r>
        <w:rPr>
          <w:rFonts w:hint="eastAsia" w:ascii="Arial" w:hAnsi="Arial" w:cs="Arial"/>
          <w:bCs/>
          <w:kern w:val="44"/>
          <w:szCs w:val="21"/>
          <w:lang w:val="en-US" w:eastAsia="zh-CN"/>
        </w:rPr>
        <w:t>18</w:t>
      </w:r>
      <w:r>
        <w:rPr>
          <w:rFonts w:hint="default" w:ascii="Arial" w:hAnsi="Arial" w:cs="Arial"/>
          <w:bCs/>
          <w:kern w:val="44"/>
          <w:szCs w:val="21"/>
        </w:rPr>
        <w:t>份</w:t>
      </w:r>
      <w:r>
        <w:rPr>
          <w:rFonts w:hint="eastAsia" w:ascii="Arial" w:hAnsi="Arial" w:cs="Arial"/>
          <w:bCs/>
          <w:kern w:val="44"/>
          <w:szCs w:val="21"/>
          <w:lang w:eastAsia="zh-CN"/>
        </w:rPr>
        <w:t>，</w:t>
      </w:r>
      <w:r>
        <w:rPr>
          <w:rFonts w:hint="eastAsia" w:ascii="Arial" w:hAnsi="Arial" w:cs="Arial"/>
          <w:bCs/>
          <w:kern w:val="44"/>
          <w:szCs w:val="21"/>
          <w:lang w:val="en-US" w:eastAsia="zh-CN"/>
        </w:rPr>
        <w:t>合同签订情况详见下表：</w:t>
      </w:r>
    </w:p>
    <w:p>
      <w:pPr>
        <w:spacing w:line="240" w:lineRule="atLeast"/>
        <w:jc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2</w:t>
      </w:r>
      <w:r>
        <w:rPr>
          <w:rFonts w:hint="default" w:ascii="Arial" w:hAnsi="Arial" w:cs="Arial"/>
          <w:b/>
          <w:color w:val="000000"/>
          <w:sz w:val="24"/>
        </w:rPr>
        <w:t>月合同签订情况表</w:t>
      </w:r>
    </w:p>
    <w:tbl>
      <w:tblPr>
        <w:tblStyle w:val="23"/>
        <w:tblW w:w="10626" w:type="dxa"/>
        <w:jc w:val="center"/>
        <w:shd w:val="clear" w:color="auto" w:fill="auto"/>
        <w:tblLayout w:type="fixed"/>
        <w:tblCellMar>
          <w:top w:w="0" w:type="dxa"/>
          <w:left w:w="0" w:type="dxa"/>
          <w:bottom w:w="0" w:type="dxa"/>
          <w:right w:w="0" w:type="dxa"/>
        </w:tblCellMar>
      </w:tblPr>
      <w:tblGrid>
        <w:gridCol w:w="870"/>
        <w:gridCol w:w="1217"/>
        <w:gridCol w:w="1335"/>
        <w:gridCol w:w="2869"/>
        <w:gridCol w:w="2955"/>
        <w:gridCol w:w="1380"/>
      </w:tblGrid>
      <w:tr>
        <w:tblPrEx>
          <w:tblCellMar>
            <w:top w:w="0" w:type="dxa"/>
            <w:left w:w="0" w:type="dxa"/>
            <w:bottom w:w="0" w:type="dxa"/>
            <w:right w:w="0" w:type="dxa"/>
          </w:tblCellMar>
        </w:tblPrEx>
        <w:trPr>
          <w:trHeight w:val="482" w:hRule="atLeast"/>
          <w:tblHeader/>
          <w:jc w:val="center"/>
        </w:trPr>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12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合同文件名称</w:t>
            </w:r>
          </w:p>
        </w:tc>
        <w:tc>
          <w:tcPr>
            <w:tcW w:w="28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合同内容</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付款节点</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合同金额（元）</w:t>
            </w:r>
          </w:p>
        </w:tc>
      </w:tr>
      <w:tr>
        <w:tblPrEx>
          <w:tblCellMar>
            <w:top w:w="0" w:type="dxa"/>
            <w:left w:w="0" w:type="dxa"/>
            <w:bottom w:w="0" w:type="dxa"/>
            <w:right w:w="0" w:type="dxa"/>
          </w:tblCellMar>
        </w:tblPrEx>
        <w:trPr>
          <w:trHeight w:val="241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浙江星月门业有限公司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武汉</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公司</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光谷正荣府</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项目入户门供货及安装合同</w:t>
            </w:r>
          </w:p>
        </w:tc>
        <w:tc>
          <w:tcPr>
            <w:tcW w:w="28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武汉光谷正荣府项目</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入户门供货及安装工程及有关事项协商一致</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武汉光谷正荣府高层、叠拼及叠拼地下室的入户门供应及安装包含入户门的制作、运输、安装、成品保护、验收及质保期内的维修等内容。供货周期</w:t>
            </w:r>
            <w:r>
              <w:rPr>
                <w:rFonts w:hint="default" w:ascii="Arial" w:hAnsi="Arial" w:eastAsia="宋体" w:cs="Arial"/>
                <w:i w:val="0"/>
                <w:color w:val="000000"/>
                <w:kern w:val="0"/>
                <w:sz w:val="18"/>
                <w:szCs w:val="18"/>
                <w:u w:val="none"/>
                <w:lang w:val="en-US" w:eastAsia="zh-CN" w:bidi="ar"/>
              </w:rPr>
              <w:t>45</w:t>
            </w:r>
            <w:r>
              <w:rPr>
                <w:rFonts w:hint="eastAsia" w:ascii="宋体" w:hAnsi="宋体" w:eastAsia="宋体" w:cs="宋体"/>
                <w:i w:val="0"/>
                <w:color w:val="000000"/>
                <w:kern w:val="0"/>
                <w:sz w:val="18"/>
                <w:szCs w:val="18"/>
                <w:u w:val="none"/>
                <w:lang w:val="en-US" w:eastAsia="zh-CN" w:bidi="ar"/>
              </w:rPr>
              <w:t>天，安装周期</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天</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到货款：每批次货物（含门框及门扇）到发包人指定地点，发包人验收合格后［</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］个日历天内，支付该批次货款的［</w:t>
            </w:r>
            <w:r>
              <w:rPr>
                <w:rFonts w:hint="default" w:ascii="Arial" w:hAnsi="Arial" w:eastAsia="宋体" w:cs="Arial"/>
                <w:i w:val="0"/>
                <w:color w:val="000000"/>
                <w:kern w:val="0"/>
                <w:sz w:val="18"/>
                <w:szCs w:val="18"/>
                <w:u w:val="none"/>
                <w:lang w:val="en-US" w:eastAsia="zh-CN" w:bidi="ar"/>
              </w:rPr>
              <w:t>55</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2 </w:t>
            </w:r>
            <w:r>
              <w:rPr>
                <w:rFonts w:hint="eastAsia" w:ascii="宋体" w:hAnsi="宋体" w:eastAsia="宋体" w:cs="宋体"/>
                <w:i w:val="0"/>
                <w:color w:val="000000"/>
                <w:kern w:val="0"/>
                <w:sz w:val="18"/>
                <w:szCs w:val="18"/>
                <w:u w:val="none"/>
                <w:lang w:val="en-US" w:eastAsia="zh-CN" w:bidi="ar"/>
              </w:rPr>
              <w:t>安装款：每批次货物安装完毕且经发包人内部验收合格后［</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］个日历天内，支付该批次货款的［</w:t>
            </w:r>
            <w:r>
              <w:rPr>
                <w:rFonts w:hint="default" w:ascii="Arial" w:hAnsi="Arial" w:eastAsia="宋体" w:cs="Arial"/>
                <w:i w:val="0"/>
                <w:color w:val="000000"/>
                <w:kern w:val="0"/>
                <w:sz w:val="18"/>
                <w:szCs w:val="18"/>
                <w:u w:val="none"/>
                <w:lang w:val="en-US" w:eastAsia="zh-CN" w:bidi="ar"/>
              </w:rPr>
              <w:t>25</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3 </w:t>
            </w:r>
            <w:r>
              <w:rPr>
                <w:rFonts w:hint="eastAsia" w:ascii="宋体" w:hAnsi="宋体" w:eastAsia="宋体" w:cs="宋体"/>
                <w:i w:val="0"/>
                <w:color w:val="000000"/>
                <w:kern w:val="0"/>
                <w:sz w:val="18"/>
                <w:szCs w:val="18"/>
                <w:u w:val="none"/>
                <w:lang w:val="en-US" w:eastAsia="zh-CN" w:bidi="ar"/>
              </w:rPr>
              <w:t>验收款：本工程通过最终的竣工验收，并且交付给发包人后，发包人、承包人双方办理完结算手续后，发包人在［</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］个日历天内，向承包人支付至结算款的</w:t>
            </w:r>
            <w:r>
              <w:rPr>
                <w:rFonts w:hint="default" w:ascii="Arial" w:hAnsi="Arial" w:eastAsia="宋体" w:cs="Arial"/>
                <w:i w:val="0"/>
                <w:color w:val="000000"/>
                <w:kern w:val="0"/>
                <w:sz w:val="18"/>
                <w:szCs w:val="18"/>
                <w:u w:val="none"/>
                <w:lang w:val="en-US" w:eastAsia="zh-CN" w:bidi="ar"/>
              </w:rPr>
              <w:t>[97]%</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4 </w:t>
            </w:r>
            <w:r>
              <w:rPr>
                <w:rFonts w:hint="eastAsia" w:ascii="宋体" w:hAnsi="宋体" w:eastAsia="宋体" w:cs="宋体"/>
                <w:i w:val="0"/>
                <w:color w:val="000000"/>
                <w:kern w:val="0"/>
                <w:sz w:val="18"/>
                <w:szCs w:val="18"/>
                <w:u w:val="none"/>
                <w:lang w:val="en-US" w:eastAsia="zh-CN" w:bidi="ar"/>
              </w:rPr>
              <w:t>保修款：结算款的［</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作为质量保修金，该质量保修金在本工程保修期满后［</w:t>
            </w:r>
            <w:r>
              <w:rPr>
                <w:rFonts w:hint="default" w:ascii="Arial" w:hAnsi="Arial" w:eastAsia="宋体" w:cs="Arial"/>
                <w:i w:val="0"/>
                <w:color w:val="000000"/>
                <w:kern w:val="0"/>
                <w:sz w:val="18"/>
                <w:szCs w:val="18"/>
                <w:u w:val="none"/>
                <w:lang w:val="en-US" w:eastAsia="zh-CN" w:bidi="ar"/>
              </w:rPr>
              <w:t>30</w:t>
            </w:r>
            <w:r>
              <w:rPr>
                <w:rFonts w:hint="eastAsia" w:ascii="宋体" w:hAnsi="宋体" w:eastAsia="宋体" w:cs="宋体"/>
                <w:i w:val="0"/>
                <w:color w:val="000000"/>
                <w:kern w:val="0"/>
                <w:sz w:val="18"/>
                <w:szCs w:val="18"/>
                <w:u w:val="none"/>
                <w:lang w:val="en-US" w:eastAsia="zh-CN" w:bidi="ar"/>
              </w:rPr>
              <w:t>］个日历天内，由发包人扣除保修期间发生的有关维修费用后，将剩余款项无息支付给承包人；</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1,250,837.84</w:t>
            </w:r>
          </w:p>
        </w:tc>
      </w:tr>
      <w:tr>
        <w:tblPrEx>
          <w:shd w:val="clear" w:color="auto" w:fill="auto"/>
          <w:tblCellMar>
            <w:top w:w="0" w:type="dxa"/>
            <w:left w:w="0" w:type="dxa"/>
            <w:bottom w:w="0" w:type="dxa"/>
            <w:right w:w="0" w:type="dxa"/>
          </w:tblCellMar>
        </w:tblPrEx>
        <w:trPr>
          <w:trHeight w:val="123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北京搜房科技发展有限公司武汉分公司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媒体广告发布合同（</w:t>
            </w:r>
            <w:r>
              <w:rPr>
                <w:rFonts w:hint="default" w:ascii="Arial" w:hAnsi="Arial" w:eastAsia="宋体" w:cs="Arial"/>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月）</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房天下广告合同，宣传项目信息，广告发布时间：</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7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14 </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 xml:space="preserve">-2020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8 </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12 </w:t>
            </w:r>
            <w:r>
              <w:rPr>
                <w:rFonts w:hint="eastAsia" w:ascii="宋体" w:hAnsi="宋体" w:eastAsia="宋体" w:cs="宋体"/>
                <w:i w:val="0"/>
                <w:color w:val="000000"/>
                <w:kern w:val="0"/>
                <w:sz w:val="18"/>
                <w:szCs w:val="18"/>
                <w:u w:val="none"/>
                <w:lang w:val="en-US" w:eastAsia="zh-CN" w:bidi="ar"/>
              </w:rPr>
              <w:t>日（具体以实际投放时间为准）</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、本合同签订后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个工作日内，甲方支付本合同总价款的【</w:t>
            </w:r>
            <w:r>
              <w:rPr>
                <w:rFonts w:hint="default" w:ascii="Arial" w:hAnsi="Arial" w:eastAsia="宋体" w:cs="Arial"/>
                <w:i w:val="0"/>
                <w:color w:val="000000"/>
                <w:kern w:val="0"/>
                <w:sz w:val="18"/>
                <w:szCs w:val="18"/>
                <w:u w:val="none"/>
                <w:lang w:val="en-US" w:eastAsia="zh-CN" w:bidi="ar"/>
              </w:rPr>
              <w:t xml:space="preserve">0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作为预付款，即：人民币</w:t>
            </w:r>
            <w:r>
              <w:rPr>
                <w:rFonts w:hint="default" w:ascii="Arial" w:hAnsi="Arial" w:eastAsia="宋体" w:cs="Arial"/>
                <w:i w:val="0"/>
                <w:color w:val="000000"/>
                <w:kern w:val="0"/>
                <w:sz w:val="18"/>
                <w:szCs w:val="18"/>
                <w:u w:val="none"/>
                <w:lang w:val="en-US" w:eastAsia="zh-CN" w:bidi="ar"/>
              </w:rPr>
              <w:t xml:space="preserve"> 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60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 250000</w:t>
            </w:r>
            <w:r>
              <w:rPr>
                <w:rFonts w:hint="eastAsia" w:ascii="宋体" w:hAnsi="宋体" w:eastAsia="宋体" w:cs="宋体"/>
                <w:i w:val="0"/>
                <w:color w:val="000000"/>
                <w:kern w:val="0"/>
                <w:sz w:val="18"/>
                <w:szCs w:val="18"/>
                <w:u w:val="none"/>
                <w:lang w:val="en-US" w:eastAsia="zh-CN" w:bidi="ar"/>
              </w:rPr>
              <w:t>元。</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000.00</w:t>
            </w:r>
          </w:p>
        </w:tc>
      </w:tr>
      <w:tr>
        <w:tblPrEx>
          <w:shd w:val="clear" w:color="auto" w:fill="auto"/>
          <w:tblCellMar>
            <w:top w:w="0" w:type="dxa"/>
            <w:left w:w="0" w:type="dxa"/>
            <w:bottom w:w="0" w:type="dxa"/>
            <w:right w:w="0" w:type="dxa"/>
          </w:tblCellMar>
        </w:tblPrEx>
        <w:trPr>
          <w:trHeight w:val="177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北京搜房科技发展有限公司武汉分公司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媒体广告发布合同（</w:t>
            </w:r>
            <w:r>
              <w:rPr>
                <w:rFonts w:hint="default" w:ascii="Arial" w:hAnsi="Arial" w:eastAsia="宋体" w:cs="Arial"/>
                <w:i w:val="0"/>
                <w:color w:val="000000"/>
                <w:kern w:val="0"/>
                <w:sz w:val="18"/>
                <w:szCs w:val="18"/>
                <w:u w:val="none"/>
                <w:lang w:val="en-US" w:eastAsia="zh-CN" w:bidi="ar"/>
              </w:rPr>
              <w:t>9</w:t>
            </w:r>
            <w:r>
              <w:rPr>
                <w:rFonts w:hint="eastAsia" w:ascii="宋体" w:hAnsi="宋体" w:eastAsia="宋体" w:cs="宋体"/>
                <w:i w:val="0"/>
                <w:color w:val="000000"/>
                <w:kern w:val="0"/>
                <w:sz w:val="18"/>
                <w:szCs w:val="18"/>
                <w:u w:val="none"/>
                <w:lang w:val="en-US" w:eastAsia="zh-CN" w:bidi="ar"/>
              </w:rPr>
              <w:t>月）</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房天下广告合同，宣传项目信息，广告发布时间：</w:t>
            </w:r>
            <w:r>
              <w:rPr>
                <w:rFonts w:hint="default" w:ascii="Arial" w:hAnsi="Arial" w:eastAsia="宋体" w:cs="Arial"/>
                <w:i w:val="0"/>
                <w:color w:val="000000"/>
                <w:kern w:val="0"/>
                <w:sz w:val="18"/>
                <w:szCs w:val="18"/>
                <w:u w:val="none"/>
                <w:lang w:val="en-US" w:eastAsia="zh-CN" w:bidi="ar"/>
              </w:rPr>
              <w:t xml:space="preserve"> 2020.10.12-2020.11.11</w:t>
            </w:r>
            <w:r>
              <w:rPr>
                <w:rFonts w:hint="eastAsia" w:ascii="宋体" w:hAnsi="宋体" w:eastAsia="宋体" w:cs="宋体"/>
                <w:i w:val="0"/>
                <w:color w:val="000000"/>
                <w:kern w:val="0"/>
                <w:sz w:val="18"/>
                <w:szCs w:val="18"/>
                <w:u w:val="none"/>
                <w:lang w:val="en-US" w:eastAsia="zh-CN" w:bidi="ar"/>
              </w:rPr>
              <w:t>（具体以实际投放时间为准）</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、本合同签订后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个工作日内，甲方支付本合同总价款的【</w:t>
            </w:r>
            <w:r>
              <w:rPr>
                <w:rFonts w:hint="default" w:ascii="Arial" w:hAnsi="Arial" w:eastAsia="宋体" w:cs="Arial"/>
                <w:i w:val="0"/>
                <w:color w:val="000000"/>
                <w:kern w:val="0"/>
                <w:sz w:val="18"/>
                <w:szCs w:val="18"/>
                <w:u w:val="none"/>
                <w:lang w:val="en-US" w:eastAsia="zh-CN" w:bidi="ar"/>
              </w:rPr>
              <w:t xml:space="preserve">0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作为预付款，即：人民币</w:t>
            </w:r>
            <w:r>
              <w:rPr>
                <w:rFonts w:hint="default" w:ascii="Arial" w:hAnsi="Arial" w:eastAsia="宋体" w:cs="Arial"/>
                <w:i w:val="0"/>
                <w:color w:val="000000"/>
                <w:kern w:val="0"/>
                <w:sz w:val="18"/>
                <w:szCs w:val="18"/>
                <w:u w:val="none"/>
                <w:lang w:val="en-US" w:eastAsia="zh-CN" w:bidi="ar"/>
              </w:rPr>
              <w:t xml:space="preserve"> 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60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 250000</w:t>
            </w:r>
            <w:r>
              <w:rPr>
                <w:rFonts w:hint="eastAsia" w:ascii="宋体" w:hAnsi="宋体" w:eastAsia="宋体" w:cs="宋体"/>
                <w:i w:val="0"/>
                <w:color w:val="000000"/>
                <w:kern w:val="0"/>
                <w:sz w:val="18"/>
                <w:szCs w:val="18"/>
                <w:u w:val="none"/>
                <w:lang w:val="en-US" w:eastAsia="zh-CN" w:bidi="ar"/>
              </w:rPr>
              <w:t>元。</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000.00</w:t>
            </w:r>
          </w:p>
        </w:tc>
      </w:tr>
      <w:tr>
        <w:tblPrEx>
          <w:tblCellMar>
            <w:top w:w="0" w:type="dxa"/>
            <w:left w:w="0" w:type="dxa"/>
            <w:bottom w:w="0" w:type="dxa"/>
            <w:right w:w="0" w:type="dxa"/>
          </w:tblCellMar>
        </w:tblPrEx>
        <w:trPr>
          <w:trHeight w:val="177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北京搜房科技发展有限公司武汉分公司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媒体广告发布合同（</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月）</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房天下广告合同，宣传项目信息，广告发布时间：</w:t>
            </w:r>
            <w:r>
              <w:rPr>
                <w:rFonts w:hint="default" w:ascii="Arial" w:hAnsi="Arial" w:eastAsia="宋体" w:cs="Arial"/>
                <w:i w:val="0"/>
                <w:color w:val="000000"/>
                <w:kern w:val="0"/>
                <w:sz w:val="18"/>
                <w:szCs w:val="18"/>
                <w:u w:val="none"/>
                <w:lang w:val="en-US" w:eastAsia="zh-CN" w:bidi="ar"/>
              </w:rPr>
              <w:t xml:space="preserve"> 9.12-10.11</w:t>
            </w:r>
            <w:r>
              <w:rPr>
                <w:rFonts w:hint="eastAsia" w:ascii="宋体" w:hAnsi="宋体" w:eastAsia="宋体" w:cs="宋体"/>
                <w:i w:val="0"/>
                <w:color w:val="000000"/>
                <w:kern w:val="0"/>
                <w:sz w:val="18"/>
                <w:szCs w:val="18"/>
                <w:u w:val="none"/>
                <w:lang w:val="en-US" w:eastAsia="zh-CN" w:bidi="ar"/>
              </w:rPr>
              <w:t>（具体以实际投放为准）</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、本合同签订后</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个工作日内，甲方支付本合同总价款的【</w:t>
            </w:r>
            <w:r>
              <w:rPr>
                <w:rFonts w:hint="default" w:ascii="Arial" w:hAnsi="Arial" w:eastAsia="宋体" w:cs="Arial"/>
                <w:i w:val="0"/>
                <w:color w:val="000000"/>
                <w:kern w:val="0"/>
                <w:sz w:val="18"/>
                <w:szCs w:val="18"/>
                <w:u w:val="none"/>
                <w:lang w:val="en-US" w:eastAsia="zh-CN" w:bidi="ar"/>
              </w:rPr>
              <w:t xml:space="preserve">0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作为预付款，即：人民币</w:t>
            </w:r>
            <w:r>
              <w:rPr>
                <w:rFonts w:hint="default" w:ascii="Arial" w:hAnsi="Arial" w:eastAsia="宋体" w:cs="Arial"/>
                <w:i w:val="0"/>
                <w:color w:val="000000"/>
                <w:kern w:val="0"/>
                <w:sz w:val="18"/>
                <w:szCs w:val="18"/>
                <w:u w:val="none"/>
                <w:lang w:val="en-US" w:eastAsia="zh-CN" w:bidi="ar"/>
              </w:rPr>
              <w:t xml:space="preserve"> 0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、乙方按本合同约定发布完广告并经甲方验收通过后</w:t>
            </w:r>
            <w:r>
              <w:rPr>
                <w:rFonts w:hint="default" w:ascii="Arial" w:hAnsi="Arial" w:eastAsia="宋体" w:cs="Arial"/>
                <w:i w:val="0"/>
                <w:color w:val="000000"/>
                <w:kern w:val="0"/>
                <w:sz w:val="18"/>
                <w:szCs w:val="18"/>
                <w:u w:val="none"/>
                <w:lang w:val="en-US" w:eastAsia="zh-CN" w:bidi="ar"/>
              </w:rPr>
              <w:t xml:space="preserve"> 60 </w:t>
            </w:r>
            <w:r>
              <w:rPr>
                <w:rFonts w:hint="eastAsia" w:ascii="宋体" w:hAnsi="宋体" w:eastAsia="宋体" w:cs="宋体"/>
                <w:i w:val="0"/>
                <w:color w:val="000000"/>
                <w:kern w:val="0"/>
                <w:sz w:val="18"/>
                <w:szCs w:val="18"/>
                <w:u w:val="none"/>
                <w:lang w:val="en-US" w:eastAsia="zh-CN" w:bidi="ar"/>
              </w:rPr>
              <w:t>个工作日内，支付本合同结算价款【含预付款（若有）】即：人民币</w:t>
            </w:r>
            <w:r>
              <w:rPr>
                <w:rFonts w:hint="default" w:ascii="Arial" w:hAnsi="Arial" w:eastAsia="宋体" w:cs="Arial"/>
                <w:i w:val="0"/>
                <w:color w:val="000000"/>
                <w:kern w:val="0"/>
                <w:sz w:val="18"/>
                <w:szCs w:val="18"/>
                <w:u w:val="none"/>
                <w:lang w:val="en-US" w:eastAsia="zh-CN" w:bidi="ar"/>
              </w:rPr>
              <w:t xml:space="preserve"> 250000</w:t>
            </w:r>
            <w:r>
              <w:rPr>
                <w:rFonts w:hint="eastAsia" w:ascii="宋体" w:hAnsi="宋体" w:eastAsia="宋体" w:cs="宋体"/>
                <w:i w:val="0"/>
                <w:color w:val="000000"/>
                <w:kern w:val="0"/>
                <w:sz w:val="18"/>
                <w:szCs w:val="18"/>
                <w:u w:val="none"/>
                <w:lang w:val="en-US" w:eastAsia="zh-CN" w:bidi="ar"/>
              </w:rPr>
              <w:t>元。</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000.00</w:t>
            </w:r>
          </w:p>
        </w:tc>
      </w:tr>
      <w:tr>
        <w:tblPrEx>
          <w:tblCellMar>
            <w:top w:w="0" w:type="dxa"/>
            <w:left w:w="0" w:type="dxa"/>
            <w:bottom w:w="0" w:type="dxa"/>
            <w:right w:w="0" w:type="dxa"/>
          </w:tblCellMar>
        </w:tblPrEx>
        <w:trPr>
          <w:trHeight w:val="93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成都科顿装饰工程有限公司南京分公司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正楚工抵房协议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乙方已该工程款抵扣购房甲方房屋</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938,841.00</w:t>
            </w:r>
          </w:p>
        </w:tc>
      </w:tr>
      <w:tr>
        <w:tblPrEx>
          <w:tblCellMar>
            <w:top w:w="0" w:type="dxa"/>
            <w:left w:w="0" w:type="dxa"/>
            <w:bottom w:w="0" w:type="dxa"/>
            <w:right w:w="0" w:type="dxa"/>
          </w:tblCellMar>
        </w:tblPrEx>
        <w:trPr>
          <w:trHeight w:val="65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重庆力天设计装饰有限公司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正荣正泰工抵房协议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乙方已正荣正泰工程款抵扣购房正楚方房屋</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946,019.00</w:t>
            </w:r>
          </w:p>
        </w:tc>
      </w:tr>
      <w:tr>
        <w:tblPrEx>
          <w:shd w:val="clear" w:color="auto" w:fill="auto"/>
          <w:tblCellMar>
            <w:top w:w="0" w:type="dxa"/>
            <w:left w:w="0" w:type="dxa"/>
            <w:bottom w:w="0" w:type="dxa"/>
            <w:right w:w="0" w:type="dxa"/>
          </w:tblCellMar>
        </w:tblPrEx>
        <w:trPr>
          <w:trHeight w:val="60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深圳市旗云智能科技有限公司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正荣正升工抵房协议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乙方已正荣正升工程款抵扣购房正楚方房屋</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792,227.00</w:t>
            </w:r>
          </w:p>
        </w:tc>
      </w:tr>
      <w:tr>
        <w:tblPrEx>
          <w:shd w:val="clear" w:color="auto" w:fill="auto"/>
          <w:tblCellMar>
            <w:top w:w="0" w:type="dxa"/>
            <w:left w:w="0" w:type="dxa"/>
            <w:bottom w:w="0" w:type="dxa"/>
            <w:right w:w="0" w:type="dxa"/>
          </w:tblCellMar>
        </w:tblPrEx>
        <w:trPr>
          <w:trHeight w:val="126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中国核工业第二二建设有限公司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武汉市光谷正荣府预算包干价补充协议</w:t>
            </w:r>
          </w:p>
        </w:tc>
        <w:tc>
          <w:tcPr>
            <w:tcW w:w="286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一、固定总价确认</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、本工程已确定转化为固定总价包干形式的含税价款为：（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大写：叁仟陆佰壹拾万零壹仟柒佰肆拾肆元零伍分</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）（人民币）￥：（</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小写</w:t>
            </w:r>
            <w:r>
              <w:rPr>
                <w:rFonts w:hint="default" w:ascii="Arial" w:hAnsi="Arial" w:eastAsia="宋体" w:cs="Arial"/>
                <w:i w:val="0"/>
                <w:color w:val="000000"/>
                <w:kern w:val="0"/>
                <w:sz w:val="18"/>
                <w:szCs w:val="18"/>
                <w:u w:val="none"/>
                <w:lang w:val="en-US" w:eastAsia="zh-CN" w:bidi="ar"/>
              </w:rPr>
              <w:t xml:space="preserve"> 36,101,744.05 </w:t>
            </w:r>
            <w:r>
              <w:rPr>
                <w:rFonts w:hint="eastAsia" w:ascii="宋体" w:hAnsi="宋体" w:eastAsia="宋体" w:cs="宋体"/>
                <w:i w:val="0"/>
                <w:color w:val="000000"/>
                <w:kern w:val="0"/>
                <w:sz w:val="18"/>
                <w:szCs w:val="18"/>
                <w:u w:val="none"/>
                <w:lang w:val="en-US" w:eastAsia="zh-CN" w:bidi="ar"/>
              </w:rPr>
              <w:t>）元，增值税税率</w:t>
            </w:r>
            <w:r>
              <w:rPr>
                <w:rFonts w:hint="default" w:ascii="Arial" w:hAnsi="Arial" w:eastAsia="宋体" w:cs="Arial"/>
                <w:i w:val="0"/>
                <w:color w:val="000000"/>
                <w:kern w:val="0"/>
                <w:sz w:val="18"/>
                <w:szCs w:val="18"/>
                <w:u w:val="none"/>
                <w:lang w:val="en-US" w:eastAsia="zh-CN" w:bidi="ar"/>
              </w:rPr>
              <w:t xml:space="preserve"> 9%</w:t>
            </w:r>
            <w:r>
              <w:rPr>
                <w:rFonts w:hint="eastAsia" w:ascii="宋体" w:hAnsi="宋体" w:eastAsia="宋体" w:cs="宋体"/>
                <w:i w:val="0"/>
                <w:color w:val="000000"/>
                <w:kern w:val="0"/>
                <w:sz w:val="18"/>
                <w:szCs w:val="18"/>
                <w:u w:val="none"/>
                <w:lang w:val="en-US" w:eastAsia="zh-CN" w:bidi="ar"/>
              </w:rPr>
              <w:t>且需开具增值税专用发票。其中不含税总价为：（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大写：叁仟叁佰壹拾贰万零捌佰陆拾陆元壹角）（人民币）￥：（小写</w:t>
            </w:r>
            <w:r>
              <w:rPr>
                <w:rFonts w:hint="default" w:ascii="Arial" w:hAnsi="Arial" w:eastAsia="宋体" w:cs="Arial"/>
                <w:i w:val="0"/>
                <w:color w:val="000000"/>
                <w:kern w:val="0"/>
                <w:sz w:val="18"/>
                <w:szCs w:val="18"/>
                <w:u w:val="none"/>
                <w:lang w:val="en-US" w:eastAsia="zh-CN" w:bidi="ar"/>
              </w:rPr>
              <w:t xml:space="preserve"> 33,120,866.10</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 xml:space="preserve"> </w:t>
            </w:r>
            <w:r>
              <w:rPr>
                <w:rFonts w:hint="default" w:ascii="Arial" w:hAnsi="Arial" w:eastAsia="宋体" w:cs="Arial"/>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u w:val="none"/>
                <w:lang w:val="en-US" w:eastAsia="zh-CN" w:bidi="ar"/>
              </w:rPr>
              <w:t>具体转化部分详见附件</w:t>
            </w:r>
            <w:r>
              <w:rPr>
                <w:rFonts w:hint="default" w:ascii="Arial" w:hAnsi="Arial" w:eastAsia="宋体" w:cs="Arial"/>
                <w:i w:val="0"/>
                <w:color w:val="000000"/>
                <w:kern w:val="0"/>
                <w:sz w:val="18"/>
                <w:szCs w:val="18"/>
                <w:u w:val="none"/>
                <w:lang w:val="en-US" w:eastAsia="zh-CN" w:bidi="ar"/>
              </w:rPr>
              <w:t xml:space="preserve"> 4: </w:t>
            </w:r>
            <w:r>
              <w:rPr>
                <w:rFonts w:hint="eastAsia" w:ascii="宋体" w:hAnsi="宋体" w:eastAsia="宋体" w:cs="宋体"/>
                <w:i w:val="0"/>
                <w:color w:val="000000"/>
                <w:kern w:val="0"/>
                <w:sz w:val="18"/>
                <w:szCs w:val="18"/>
                <w:u w:val="none"/>
                <w:lang w:val="en-US" w:eastAsia="zh-CN" w:bidi="ar"/>
              </w:rPr>
              <w:t>编制说明及工程量清单</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2</w:t>
            </w:r>
            <w:r>
              <w:rPr>
                <w:rFonts w:hint="eastAsia" w:ascii="宋体" w:hAnsi="宋体" w:eastAsia="宋体" w:cs="宋体"/>
                <w:i w:val="0"/>
                <w:color w:val="000000"/>
                <w:kern w:val="0"/>
                <w:sz w:val="18"/>
                <w:szCs w:val="18"/>
                <w:u w:val="none"/>
                <w:lang w:val="en-US" w:eastAsia="zh-CN" w:bidi="ar"/>
              </w:rPr>
              <w:t>、本工程尚未确定转化为固定总价包干形式的价款暂定为：（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大写：贰亿叁仟叁佰肆拾贰万贰仟柒佰柒拾叁元肆角柒分</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）元整（人民币）￥：（小写</w:t>
            </w:r>
            <w:r>
              <w:rPr>
                <w:rFonts w:hint="default" w:ascii="Arial" w:hAnsi="Arial" w:eastAsia="宋体" w:cs="Arial"/>
                <w:i w:val="0"/>
                <w:color w:val="000000"/>
                <w:kern w:val="0"/>
                <w:sz w:val="18"/>
                <w:szCs w:val="18"/>
                <w:u w:val="none"/>
                <w:lang w:val="en-US" w:eastAsia="zh-CN" w:bidi="ar"/>
              </w:rPr>
              <w:t xml:space="preserve"> 233,422,773.47</w:t>
            </w:r>
            <w:r>
              <w:rPr>
                <w:rFonts w:hint="eastAsia" w:ascii="宋体" w:hAnsi="宋体" w:eastAsia="宋体" w:cs="宋体"/>
                <w:i w:val="0"/>
                <w:color w:val="000000"/>
                <w:kern w:val="0"/>
                <w:sz w:val="18"/>
                <w:szCs w:val="18"/>
                <w:u w:val="none"/>
                <w:lang w:val="en-US" w:eastAsia="zh-CN" w:bidi="ar"/>
              </w:rPr>
              <w:t>）元，增值税税率</w:t>
            </w:r>
            <w:r>
              <w:rPr>
                <w:rFonts w:hint="default" w:ascii="Arial" w:hAnsi="Arial" w:eastAsia="宋体" w:cs="Arial"/>
                <w:i w:val="0"/>
                <w:color w:val="000000"/>
                <w:kern w:val="0"/>
                <w:sz w:val="18"/>
                <w:szCs w:val="18"/>
                <w:u w:val="none"/>
                <w:lang w:val="en-US" w:eastAsia="zh-CN" w:bidi="ar"/>
              </w:rPr>
              <w:t xml:space="preserve"> 9%</w:t>
            </w:r>
            <w:r>
              <w:rPr>
                <w:rFonts w:hint="eastAsia" w:ascii="宋体" w:hAnsi="宋体" w:eastAsia="宋体" w:cs="宋体"/>
                <w:i w:val="0"/>
                <w:color w:val="000000"/>
                <w:kern w:val="0"/>
                <w:sz w:val="18"/>
                <w:szCs w:val="18"/>
                <w:u w:val="none"/>
                <w:lang w:val="en-US" w:eastAsia="zh-CN" w:bidi="ar"/>
              </w:rPr>
              <w:t>，其中不含税总价为：（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大写：贰亿壹仟肆佰壹拾肆万玖仟叁佰叁拾叁元肆角陆分）元整（人民币）￥：（小写</w:t>
            </w:r>
            <w:r>
              <w:rPr>
                <w:rFonts w:hint="default" w:ascii="Arial" w:hAnsi="Arial" w:eastAsia="宋体" w:cs="Arial"/>
                <w:i w:val="0"/>
                <w:color w:val="000000"/>
                <w:kern w:val="0"/>
                <w:sz w:val="18"/>
                <w:szCs w:val="18"/>
                <w:u w:val="none"/>
                <w:lang w:val="en-US" w:eastAsia="zh-CN" w:bidi="ar"/>
              </w:rPr>
              <w:t xml:space="preserve"> 214,149,333.46 </w:t>
            </w:r>
            <w:r>
              <w:rPr>
                <w:rFonts w:hint="eastAsia" w:ascii="宋体" w:hAnsi="宋体" w:eastAsia="宋体" w:cs="宋体"/>
                <w:i w:val="0"/>
                <w:color w:val="000000"/>
                <w:kern w:val="0"/>
                <w:sz w:val="18"/>
                <w:szCs w:val="18"/>
                <w:u w:val="none"/>
                <w:lang w:val="en-US" w:eastAsia="zh-CN" w:bidi="ar"/>
              </w:rPr>
              <w:t>）元</w:t>
            </w:r>
            <w:r>
              <w:rPr>
                <w:rFonts w:hint="eastAsia" w:ascii="宋体" w:hAnsi="宋体" w:eastAsia="宋体" w:cs="宋体"/>
                <w:i w:val="0"/>
                <w:color w:val="000000"/>
                <w:kern w:val="0"/>
                <w:sz w:val="18"/>
                <w:szCs w:val="18"/>
                <w:highlight w:val="none"/>
                <w:u w:val="none"/>
                <w:lang w:val="en-US" w:eastAsia="zh-CN" w:bidi="ar"/>
              </w:rPr>
              <w:t>。。</w:t>
            </w:r>
            <w:r>
              <w:rPr>
                <w:rFonts w:hint="eastAsia" w:ascii="宋体" w:hAnsi="宋体" w:eastAsia="宋体" w:cs="宋体"/>
                <w:i w:val="0"/>
                <w:color w:val="000000"/>
                <w:kern w:val="0"/>
                <w:sz w:val="18"/>
                <w:szCs w:val="18"/>
                <w:u w:val="none"/>
                <w:lang w:val="en-US" w:eastAsia="zh-CN" w:bidi="ar"/>
              </w:rPr>
              <w:t>此部分暂定价将在后期由双方另行核对并另行签署补充协议确定。</w:t>
            </w:r>
            <w:r>
              <w:rPr>
                <w:rFonts w:hint="default" w:ascii="Arial" w:hAnsi="Arial" w:eastAsia="宋体" w:cs="Arial"/>
                <w:i w:val="0"/>
                <w:color w:val="000000"/>
                <w:kern w:val="0"/>
                <w:sz w:val="18"/>
                <w:szCs w:val="18"/>
                <w:u w:val="none"/>
                <w:lang w:val="en-US" w:eastAsia="zh-CN" w:bidi="ar"/>
              </w:rPr>
              <w:t>3</w:t>
            </w:r>
            <w:r>
              <w:rPr>
                <w:rFonts w:hint="eastAsia" w:ascii="宋体" w:hAnsi="宋体" w:eastAsia="宋体" w:cs="宋体"/>
                <w:i w:val="0"/>
                <w:color w:val="000000"/>
                <w:kern w:val="0"/>
                <w:sz w:val="18"/>
                <w:szCs w:val="18"/>
                <w:u w:val="none"/>
                <w:lang w:val="en-US" w:eastAsia="zh-CN" w:bidi="ar"/>
              </w:rPr>
              <w:t>、上述两项合计：（</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大写：贰亿陆仟玖佰伍拾贰万肆仟伍佰壹拾柒元伍角贰）（人民币）￥：（</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小写</w:t>
            </w:r>
            <w:r>
              <w:rPr>
                <w:rFonts w:hint="default" w:ascii="Arial" w:hAnsi="Arial" w:eastAsia="宋体" w:cs="Arial"/>
                <w:i w:val="0"/>
                <w:color w:val="000000"/>
                <w:kern w:val="0"/>
                <w:sz w:val="18"/>
                <w:szCs w:val="18"/>
                <w:u w:val="none"/>
                <w:lang w:val="en-US" w:eastAsia="zh-CN" w:bidi="ar"/>
              </w:rPr>
              <w:t xml:space="preserve"> 269,524,517.52 </w:t>
            </w:r>
            <w:r>
              <w:rPr>
                <w:rFonts w:hint="eastAsia" w:ascii="宋体" w:hAnsi="宋体" w:eastAsia="宋体" w:cs="宋体"/>
                <w:i w:val="0"/>
                <w:color w:val="000000"/>
                <w:kern w:val="0"/>
                <w:sz w:val="18"/>
                <w:szCs w:val="18"/>
                <w:u w:val="none"/>
                <w:lang w:val="en-US" w:eastAsia="zh-CN" w:bidi="ar"/>
              </w:rPr>
              <w:t>）元，增值税税率</w:t>
            </w:r>
            <w:r>
              <w:rPr>
                <w:rFonts w:hint="default" w:ascii="Arial" w:hAnsi="Arial" w:eastAsia="宋体" w:cs="Arial"/>
                <w:i w:val="0"/>
                <w:color w:val="000000"/>
                <w:kern w:val="0"/>
                <w:sz w:val="18"/>
                <w:szCs w:val="18"/>
                <w:u w:val="none"/>
                <w:lang w:val="en-US" w:eastAsia="zh-CN" w:bidi="ar"/>
              </w:rPr>
              <w:t xml:space="preserve"> 9%</w:t>
            </w:r>
            <w:r>
              <w:rPr>
                <w:rFonts w:hint="eastAsia" w:ascii="宋体" w:hAnsi="宋体" w:eastAsia="宋体" w:cs="宋体"/>
                <w:i w:val="0"/>
                <w:color w:val="000000"/>
                <w:kern w:val="0"/>
                <w:sz w:val="18"/>
                <w:szCs w:val="18"/>
                <w:u w:val="none"/>
                <w:lang w:val="en-US" w:eastAsia="zh-CN" w:bidi="ar"/>
              </w:rPr>
              <w:t>，其中不含税总价为：（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大写：贰</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亿</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肆</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仟</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柒</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佰</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贰</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拾</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柒</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万</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零</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壹</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佰</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玖</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拾</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玖</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元</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伍</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角</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陆</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分</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人</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民</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币</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小</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写</w:t>
            </w:r>
            <w:r>
              <w:rPr>
                <w:rFonts w:hint="default" w:ascii="Arial" w:hAnsi="Arial" w:eastAsia="宋体" w:cs="Arial"/>
                <w:i w:val="0"/>
                <w:color w:val="000000"/>
                <w:kern w:val="0"/>
                <w:sz w:val="18"/>
                <w:szCs w:val="18"/>
                <w:u w:val="none"/>
                <w:lang w:val="en-US" w:eastAsia="zh-CN" w:bidi="ar"/>
              </w:rPr>
              <w:t xml:space="preserve">247,270,199.56 </w:t>
            </w:r>
            <w:r>
              <w:rPr>
                <w:rFonts w:hint="eastAsia" w:ascii="宋体" w:hAnsi="宋体" w:eastAsia="宋体" w:cs="宋体"/>
                <w:i w:val="0"/>
                <w:color w:val="000000"/>
                <w:kern w:val="0"/>
                <w:sz w:val="18"/>
                <w:szCs w:val="18"/>
                <w:u w:val="none"/>
                <w:lang w:val="en-US" w:eastAsia="zh-CN" w:bidi="ar"/>
              </w:rPr>
              <w:t>）元。</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随主合同</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101</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744.05</w:t>
            </w:r>
          </w:p>
        </w:tc>
      </w:tr>
      <w:tr>
        <w:tblPrEx>
          <w:tblCellMar>
            <w:top w:w="0" w:type="dxa"/>
            <w:left w:w="0" w:type="dxa"/>
            <w:bottom w:w="0" w:type="dxa"/>
            <w:right w:w="0" w:type="dxa"/>
          </w:tblCellMar>
        </w:tblPrEx>
        <w:trPr>
          <w:trHeight w:val="176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cs="宋体"/>
                <w:i w:val="0"/>
                <w:color w:val="000000"/>
                <w:kern w:val="0"/>
                <w:sz w:val="18"/>
                <w:szCs w:val="18"/>
                <w:u w:val="none"/>
                <w:lang w:val="en-US" w:eastAsia="zh-CN" w:bidi="ar"/>
              </w:rPr>
              <w:t>正</w:t>
            </w:r>
            <w:r>
              <w:rPr>
                <w:rFonts w:hint="eastAsia" w:ascii="宋体" w:hAnsi="宋体" w:eastAsia="宋体" w:cs="宋体"/>
                <w:i w:val="0"/>
                <w:color w:val="000000"/>
                <w:kern w:val="0"/>
                <w:sz w:val="18"/>
                <w:szCs w:val="18"/>
                <w:u w:val="none"/>
                <w:lang w:val="en-US" w:eastAsia="zh-CN" w:bidi="ar"/>
              </w:rPr>
              <w:t>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武汉德美印刷有限公司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武汉公司</w:t>
            </w:r>
            <w:r>
              <w:rPr>
                <w:rFonts w:hint="default" w:ascii="Arial" w:hAnsi="Arial" w:eastAsia="宋体" w:cs="Arial"/>
                <w:i w:val="0"/>
                <w:color w:val="000000"/>
                <w:kern w:val="0"/>
                <w:sz w:val="18"/>
                <w:szCs w:val="18"/>
                <w:u w:val="none"/>
                <w:lang w:val="en-US" w:eastAsia="zh-CN" w:bidi="ar"/>
              </w:rPr>
              <w:t xml:space="preserve"> 2019</w:t>
            </w:r>
            <w:r>
              <w:rPr>
                <w:rFonts w:hint="eastAsia" w:ascii="宋体" w:hAnsi="宋体" w:eastAsia="宋体" w:cs="宋体"/>
                <w:i w:val="0"/>
                <w:color w:val="000000"/>
                <w:kern w:val="0"/>
                <w:sz w:val="18"/>
                <w:szCs w:val="18"/>
                <w:u w:val="none"/>
                <w:lang w:val="en-US" w:eastAsia="zh-CN" w:bidi="ar"/>
              </w:rPr>
              <w:t>年印刷集采合同</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本合同有效期自</w:t>
            </w:r>
            <w:r>
              <w:rPr>
                <w:rFonts w:hint="default" w:ascii="Arial" w:hAnsi="Arial" w:eastAsia="宋体" w:cs="Arial"/>
                <w:i w:val="0"/>
                <w:color w:val="000000"/>
                <w:kern w:val="0"/>
                <w:sz w:val="18"/>
                <w:szCs w:val="18"/>
                <w:u w:val="none"/>
                <w:lang w:val="en-US" w:eastAsia="zh-CN" w:bidi="ar"/>
              </w:rPr>
              <w:t xml:space="preserve">2019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7 </w:t>
            </w:r>
            <w:r>
              <w:rPr>
                <w:rFonts w:hint="eastAsia" w:ascii="宋体" w:hAnsi="宋体" w:eastAsia="宋体" w:cs="宋体"/>
                <w:i w:val="0"/>
                <w:color w:val="000000"/>
                <w:kern w:val="0"/>
                <w:sz w:val="18"/>
                <w:szCs w:val="18"/>
                <w:u w:val="none"/>
                <w:lang w:val="en-US" w:eastAsia="zh-CN" w:bidi="ar"/>
              </w:rPr>
              <w:t>日起至</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6</w:t>
            </w:r>
            <w:r>
              <w:rPr>
                <w:rFonts w:hint="eastAsia" w:ascii="宋体" w:hAnsi="宋体" w:eastAsia="宋体" w:cs="宋体"/>
                <w:i w:val="0"/>
                <w:color w:val="000000"/>
                <w:kern w:val="0"/>
                <w:sz w:val="18"/>
                <w:szCs w:val="18"/>
                <w:u w:val="none"/>
                <w:lang w:val="en-US" w:eastAsia="zh-CN" w:bidi="ar"/>
              </w:rPr>
              <w:t>日止。方将依照乙方提供的盖有乙方公章的印刷品报价单（详见附件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）进行下单。报价单作为本合同的附件，为本合同的有效组成部分，与本合同具有同等法律效力。报价含【</w:t>
            </w:r>
            <w:r>
              <w:rPr>
                <w:rFonts w:hint="default" w:ascii="Arial" w:hAnsi="Arial" w:eastAsia="宋体" w:cs="Arial"/>
                <w:i w:val="0"/>
                <w:color w:val="000000"/>
                <w:kern w:val="0"/>
                <w:sz w:val="18"/>
                <w:szCs w:val="18"/>
                <w:u w:val="none"/>
                <w:lang w:val="en-US" w:eastAsia="zh-CN" w:bidi="ar"/>
              </w:rPr>
              <w:t>13</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增值税、材料费、人工、送货等一切费用</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月结：每月</w:t>
            </w:r>
            <w:r>
              <w:rPr>
                <w:rFonts w:hint="default" w:ascii="Arial" w:hAnsi="Arial" w:eastAsia="宋体" w:cs="Arial"/>
                <w:i w:val="0"/>
                <w:color w:val="000000"/>
                <w:kern w:val="0"/>
                <w:sz w:val="18"/>
                <w:szCs w:val="18"/>
                <w:u w:val="none"/>
                <w:lang w:val="en-US" w:eastAsia="zh-CN" w:bidi="ar"/>
              </w:rPr>
              <w:t xml:space="preserve"> 5 </w:t>
            </w:r>
            <w:r>
              <w:rPr>
                <w:rFonts w:hint="eastAsia" w:ascii="宋体" w:hAnsi="宋体" w:eastAsia="宋体" w:cs="宋体"/>
                <w:i w:val="0"/>
                <w:color w:val="000000"/>
                <w:kern w:val="0"/>
                <w:sz w:val="18"/>
                <w:szCs w:val="18"/>
                <w:u w:val="none"/>
                <w:lang w:val="en-US" w:eastAsia="zh-CN" w:bidi="ar"/>
              </w:rPr>
              <w:t>日甲、乙双方及时核对上月账目，核对无误后，由乙方开具等额正规发票交至甲方财务部，甲方收到发票后</w:t>
            </w:r>
            <w:r>
              <w:rPr>
                <w:rFonts w:hint="default" w:ascii="Arial" w:hAnsi="Arial" w:eastAsia="宋体" w:cs="Arial"/>
                <w:i w:val="0"/>
                <w:color w:val="000000"/>
                <w:kern w:val="0"/>
                <w:sz w:val="18"/>
                <w:szCs w:val="18"/>
                <w:u w:val="none"/>
                <w:lang w:val="en-US" w:eastAsia="zh-CN" w:bidi="ar"/>
              </w:rPr>
              <w:t xml:space="preserve">  90</w:t>
            </w:r>
            <w:r>
              <w:rPr>
                <w:rFonts w:hint="eastAsia" w:ascii="宋体" w:hAnsi="宋体" w:eastAsia="宋体" w:cs="宋体"/>
                <w:i w:val="0"/>
                <w:color w:val="000000"/>
                <w:kern w:val="0"/>
                <w:sz w:val="18"/>
                <w:szCs w:val="18"/>
                <w:u w:val="none"/>
                <w:lang w:val="en-US" w:eastAsia="zh-CN" w:bidi="ar"/>
              </w:rPr>
              <w:t>日</w:t>
            </w:r>
            <w:r>
              <w:rPr>
                <w:rFonts w:hint="default" w:ascii="Arial" w:hAnsi="Arial" w:eastAsia="宋体" w:cs="Arial"/>
                <w:i w:val="0"/>
                <w:color w:val="000000"/>
                <w:kern w:val="0"/>
                <w:sz w:val="18"/>
                <w:szCs w:val="18"/>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内结清货款。</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按月据实结算</w:t>
            </w:r>
          </w:p>
        </w:tc>
      </w:tr>
      <w:tr>
        <w:tblPrEx>
          <w:tblCellMar>
            <w:top w:w="0" w:type="dxa"/>
            <w:left w:w="0" w:type="dxa"/>
            <w:bottom w:w="0" w:type="dxa"/>
            <w:right w:w="0" w:type="dxa"/>
          </w:tblCellMar>
        </w:tblPrEx>
        <w:trPr>
          <w:trHeight w:val="9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武汉鑫佳捷印务有限公司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武汉公司</w:t>
            </w:r>
            <w:r>
              <w:rPr>
                <w:rFonts w:hint="default" w:ascii="Arial" w:hAnsi="Arial" w:eastAsia="宋体" w:cs="Arial"/>
                <w:i w:val="0"/>
                <w:color w:val="000000"/>
                <w:kern w:val="0"/>
                <w:sz w:val="18"/>
                <w:szCs w:val="18"/>
                <w:u w:val="none"/>
                <w:lang w:val="en-US" w:eastAsia="zh-CN" w:bidi="ar"/>
              </w:rPr>
              <w:t xml:space="preserve"> 2019</w:t>
            </w:r>
            <w:r>
              <w:rPr>
                <w:rFonts w:hint="eastAsia" w:ascii="宋体" w:hAnsi="宋体" w:eastAsia="宋体" w:cs="宋体"/>
                <w:i w:val="0"/>
                <w:color w:val="000000"/>
                <w:kern w:val="0"/>
                <w:sz w:val="18"/>
                <w:szCs w:val="18"/>
                <w:u w:val="none"/>
                <w:lang w:val="en-US" w:eastAsia="zh-CN" w:bidi="ar"/>
              </w:rPr>
              <w:t>年印刷集采合同</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本合同有效期自</w:t>
            </w:r>
            <w:r>
              <w:rPr>
                <w:rFonts w:hint="default" w:ascii="Arial" w:hAnsi="Arial" w:eastAsia="宋体" w:cs="Arial"/>
                <w:i w:val="0"/>
                <w:color w:val="000000"/>
                <w:kern w:val="0"/>
                <w:sz w:val="18"/>
                <w:szCs w:val="18"/>
                <w:u w:val="none"/>
                <w:lang w:val="en-US" w:eastAsia="zh-CN" w:bidi="ar"/>
              </w:rPr>
              <w:t xml:space="preserve">2019 </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12</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7 </w:t>
            </w:r>
            <w:r>
              <w:rPr>
                <w:rFonts w:hint="eastAsia" w:ascii="宋体" w:hAnsi="宋体" w:eastAsia="宋体" w:cs="宋体"/>
                <w:i w:val="0"/>
                <w:color w:val="000000"/>
                <w:kern w:val="0"/>
                <w:sz w:val="18"/>
                <w:szCs w:val="18"/>
                <w:u w:val="none"/>
                <w:lang w:val="en-US" w:eastAsia="zh-CN" w:bidi="ar"/>
              </w:rPr>
              <w:t>日起至</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w:t>
            </w:r>
            <w:r>
              <w:rPr>
                <w:rFonts w:hint="default" w:ascii="Arial" w:hAnsi="Arial" w:eastAsia="宋体" w:cs="Arial"/>
                <w:i w:val="0"/>
                <w:color w:val="000000"/>
                <w:kern w:val="0"/>
                <w:sz w:val="18"/>
                <w:szCs w:val="18"/>
                <w:u w:val="none"/>
                <w:lang w:val="en-US" w:eastAsia="zh-CN" w:bidi="ar"/>
              </w:rPr>
              <w:t xml:space="preserve"> 12</w:t>
            </w:r>
            <w:r>
              <w:rPr>
                <w:rFonts w:hint="eastAsia" w:ascii="宋体" w:hAnsi="宋体" w:eastAsia="宋体" w:cs="宋体"/>
                <w:i w:val="0"/>
                <w:color w:val="000000"/>
                <w:kern w:val="0"/>
                <w:sz w:val="18"/>
                <w:szCs w:val="18"/>
                <w:u w:val="none"/>
                <w:lang w:val="en-US" w:eastAsia="zh-CN" w:bidi="ar"/>
              </w:rPr>
              <w:t>月</w:t>
            </w:r>
            <w:r>
              <w:rPr>
                <w:rFonts w:hint="default" w:ascii="Arial" w:hAnsi="Arial" w:eastAsia="宋体" w:cs="Arial"/>
                <w:i w:val="0"/>
                <w:color w:val="000000"/>
                <w:kern w:val="0"/>
                <w:sz w:val="18"/>
                <w:szCs w:val="18"/>
                <w:u w:val="none"/>
                <w:lang w:val="en-US" w:eastAsia="zh-CN" w:bidi="ar"/>
              </w:rPr>
              <w:t xml:space="preserve"> 6</w:t>
            </w:r>
            <w:r>
              <w:rPr>
                <w:rFonts w:hint="eastAsia" w:ascii="宋体" w:hAnsi="宋体" w:eastAsia="宋体" w:cs="宋体"/>
                <w:i w:val="0"/>
                <w:color w:val="000000"/>
                <w:kern w:val="0"/>
                <w:sz w:val="18"/>
                <w:szCs w:val="18"/>
                <w:u w:val="none"/>
                <w:lang w:val="en-US" w:eastAsia="zh-CN" w:bidi="ar"/>
              </w:rPr>
              <w:t>日止。方将依照乙方提供的盖有乙方公章的印刷品报价单（详见附件</w:t>
            </w:r>
            <w:r>
              <w:rPr>
                <w:rFonts w:hint="default" w:ascii="Arial" w:hAnsi="Arial" w:eastAsia="宋体" w:cs="Arial"/>
                <w:i w:val="0"/>
                <w:color w:val="000000"/>
                <w:kern w:val="0"/>
                <w:sz w:val="18"/>
                <w:szCs w:val="18"/>
                <w:u w:val="none"/>
                <w:lang w:val="en-US" w:eastAsia="zh-CN" w:bidi="ar"/>
              </w:rPr>
              <w:t>1</w:t>
            </w:r>
            <w:r>
              <w:rPr>
                <w:rFonts w:hint="eastAsia" w:ascii="宋体" w:hAnsi="宋体" w:eastAsia="宋体" w:cs="宋体"/>
                <w:i w:val="0"/>
                <w:color w:val="000000"/>
                <w:kern w:val="0"/>
                <w:sz w:val="18"/>
                <w:szCs w:val="18"/>
                <w:u w:val="none"/>
                <w:lang w:val="en-US" w:eastAsia="zh-CN" w:bidi="ar"/>
              </w:rPr>
              <w:t>）进行下单。报价单作为本合同的附件，为本合同的有效组成部分，与本合同具有同等法律效力。报价含【</w:t>
            </w:r>
            <w:r>
              <w:rPr>
                <w:rFonts w:hint="default" w:ascii="Arial" w:hAnsi="Arial" w:eastAsia="宋体" w:cs="Arial"/>
                <w:i w:val="0"/>
                <w:color w:val="000000"/>
                <w:kern w:val="0"/>
                <w:sz w:val="18"/>
                <w:szCs w:val="18"/>
                <w:u w:val="none"/>
                <w:lang w:val="en-US" w:eastAsia="zh-CN" w:bidi="ar"/>
              </w:rPr>
              <w:t>13</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增值税、材料费、人工、送货等一切费用</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月结：每月</w:t>
            </w:r>
            <w:r>
              <w:rPr>
                <w:rFonts w:hint="default" w:ascii="Arial" w:hAnsi="Arial" w:eastAsia="宋体" w:cs="Arial"/>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日甲、乙双方及时核对上月账目，核对无误后，由乙方开具等额正规发票交至甲方财务部，甲方收到发票后</w:t>
            </w:r>
            <w:r>
              <w:rPr>
                <w:rFonts w:hint="default" w:ascii="Arial" w:hAnsi="Arial" w:eastAsia="宋体" w:cs="Arial"/>
                <w:i w:val="0"/>
                <w:color w:val="000000"/>
                <w:kern w:val="0"/>
                <w:sz w:val="18"/>
                <w:szCs w:val="18"/>
                <w:u w:val="none"/>
                <w:lang w:val="en-US" w:eastAsia="zh-CN" w:bidi="ar"/>
              </w:rPr>
              <w:t xml:space="preserve"> 90</w:t>
            </w:r>
            <w:r>
              <w:rPr>
                <w:rFonts w:hint="eastAsia" w:ascii="宋体" w:hAnsi="宋体" w:eastAsia="宋体" w:cs="宋体"/>
                <w:i w:val="0"/>
                <w:color w:val="000000"/>
                <w:kern w:val="0"/>
                <w:sz w:val="18"/>
                <w:szCs w:val="18"/>
                <w:u w:val="none"/>
                <w:lang w:val="en-US" w:eastAsia="zh-CN" w:bidi="ar"/>
              </w:rPr>
              <w:t>日内结清货款。</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按月据实结算</w:t>
            </w:r>
          </w:p>
        </w:tc>
      </w:tr>
      <w:tr>
        <w:tblPrEx>
          <w:tblCellMar>
            <w:top w:w="0" w:type="dxa"/>
            <w:left w:w="0" w:type="dxa"/>
            <w:bottom w:w="0" w:type="dxa"/>
            <w:right w:w="0" w:type="dxa"/>
          </w:tblCellMar>
        </w:tblPrEx>
        <w:trPr>
          <w:trHeight w:val="96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武汉天</w:t>
            </w:r>
            <w:r>
              <w:rPr>
                <w:rFonts w:hint="eastAsia" w:ascii="宋体" w:hAnsi="宋体" w:eastAsia="宋体" w:cs="宋体"/>
                <w:i w:val="0"/>
                <w:color w:val="000000"/>
                <w:kern w:val="0"/>
                <w:sz w:val="18"/>
                <w:szCs w:val="18"/>
                <w:highlight w:val="none"/>
                <w:u w:val="none"/>
                <w:lang w:val="en-US" w:eastAsia="zh-CN" w:bidi="ar"/>
              </w:rPr>
              <w:t>风彩</w:t>
            </w:r>
            <w:r>
              <w:rPr>
                <w:rFonts w:hint="eastAsia" w:ascii="宋体" w:hAnsi="宋体" w:eastAsia="宋体" w:cs="宋体"/>
                <w:i w:val="0"/>
                <w:color w:val="000000"/>
                <w:kern w:val="0"/>
                <w:sz w:val="18"/>
                <w:szCs w:val="18"/>
                <w:u w:val="none"/>
                <w:lang w:val="en-US" w:eastAsia="zh-CN" w:bidi="ar"/>
              </w:rPr>
              <w:t>数码广告喷绘有限公司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武汉公司</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年物料制作集采合同</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本框架合同下，乙方提供物料制作服务的清单见本框架合同附件一《价格清单》（以下简称</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清单</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），包括物料名称、品牌、规格及单价等</w:t>
            </w:r>
          </w:p>
        </w:tc>
        <w:tc>
          <w:tcPr>
            <w:tcW w:w="295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每批订单，在乙方交付的全部定制物料经甲方验收通过后且乙方向甲方提交符合甲方要求的增值税专用发票及其他甲方要求的付款资料后的3个月内向乙方支付对应每批订单的【100】%</w:t>
            </w:r>
            <w:r>
              <w:rPr>
                <w:rFonts w:hint="eastAsia" w:ascii="宋体" w:hAnsi="宋体" w:eastAsia="宋体" w:cs="宋体"/>
                <w:i w:val="0"/>
                <w:color w:val="000000"/>
                <w:kern w:val="0"/>
                <w:sz w:val="18"/>
                <w:szCs w:val="18"/>
                <w:highlight w:val="none"/>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据实结算</w:t>
            </w:r>
          </w:p>
        </w:tc>
      </w:tr>
      <w:tr>
        <w:tblPrEx>
          <w:tblCellMar>
            <w:top w:w="0" w:type="dxa"/>
            <w:left w:w="0" w:type="dxa"/>
            <w:bottom w:w="0" w:type="dxa"/>
            <w:right w:w="0" w:type="dxa"/>
          </w:tblCellMar>
        </w:tblPrEx>
        <w:trPr>
          <w:trHeight w:val="134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武汉中桢广告有限公司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武汉公司</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年物料制作集采合同</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乙方提供物料制作服务的清单见本框架合同附件一《价格清单》（以下简称</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清单</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），包括物料名称、品牌、规格及单价等</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每批订单，在乙方交付的全部定制物料经甲方验收通过后且乙方向甲方提交符合甲方要求的增值税专用发票及其他甲方要求的付款资料后的3个月内向乙方支付对应每批订单的【100】%。</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据实结算</w:t>
            </w:r>
          </w:p>
        </w:tc>
      </w:tr>
      <w:tr>
        <w:tblPrEx>
          <w:tblCellMar>
            <w:top w:w="0" w:type="dxa"/>
            <w:left w:w="0" w:type="dxa"/>
            <w:bottom w:w="0" w:type="dxa"/>
            <w:right w:w="0" w:type="dxa"/>
          </w:tblCellMar>
        </w:tblPrEx>
        <w:trPr>
          <w:trHeight w:val="1452"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正荣地产控股股份有限公司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【盘龙正荣府】营销咨询及支持服务合同</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甲方委托乙方负责项目的营销策划、顾问、全程推广及广告企划服务，包括本项目全程营销推广、阶段性市调分析、平面广告、电台、电视、网络广告及各类公关促销活动的策划、创意、设计、监控和调研评估等事宜</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在本合同有效期限内，甲方向乙方支付的含税营销策划费按</w:t>
            </w:r>
            <w:r>
              <w:rPr>
                <w:rFonts w:hint="eastAsia" w:ascii="宋体" w:hAnsi="宋体" w:eastAsia="宋体" w:cs="宋体"/>
                <w:i w:val="0"/>
                <w:color w:val="000000"/>
                <w:kern w:val="0"/>
                <w:sz w:val="18"/>
                <w:szCs w:val="18"/>
                <w:highlight w:val="none"/>
                <w:u w:val="none"/>
                <w:lang w:val="en-US" w:eastAsia="zh-CN" w:bidi="ar"/>
              </w:rPr>
              <w:t>签定</w:t>
            </w:r>
            <w:r>
              <w:rPr>
                <w:rFonts w:hint="eastAsia" w:ascii="宋体" w:hAnsi="宋体" w:eastAsia="宋体" w:cs="宋体"/>
                <w:i w:val="0"/>
                <w:color w:val="000000"/>
                <w:kern w:val="0"/>
                <w:sz w:val="18"/>
                <w:szCs w:val="18"/>
                <w:u w:val="none"/>
                <w:lang w:val="en-US" w:eastAsia="zh-CN" w:bidi="ar"/>
              </w:rPr>
              <w:t>《商品房买卖合同》的含税合同金额的</w:t>
            </w:r>
            <w:r>
              <w:rPr>
                <w:rFonts w:hint="default" w:ascii="Arial" w:hAnsi="Arial" w:eastAsia="宋体" w:cs="Arial"/>
                <w:i w:val="0"/>
                <w:color w:val="000000"/>
                <w:kern w:val="0"/>
                <w:sz w:val="18"/>
                <w:szCs w:val="18"/>
                <w:u w:val="none"/>
                <w:lang w:val="en-US" w:eastAsia="zh-CN" w:bidi="ar"/>
              </w:rPr>
              <w:t xml:space="preserve"> 1.5 %</w:t>
            </w:r>
            <w:r>
              <w:rPr>
                <w:rFonts w:hint="eastAsia" w:ascii="宋体" w:hAnsi="宋体" w:eastAsia="宋体" w:cs="宋体"/>
                <w:i w:val="0"/>
                <w:color w:val="000000"/>
                <w:kern w:val="0"/>
                <w:sz w:val="18"/>
                <w:szCs w:val="18"/>
                <w:u w:val="none"/>
                <w:lang w:val="en-US" w:eastAsia="zh-CN" w:bidi="ar"/>
              </w:rPr>
              <w:t>支付。增值税税率</w:t>
            </w:r>
            <w:r>
              <w:rPr>
                <w:rFonts w:hint="default" w:ascii="Arial" w:hAnsi="Arial" w:eastAsia="宋体" w:cs="Arial"/>
                <w:i w:val="0"/>
                <w:color w:val="000000"/>
                <w:kern w:val="0"/>
                <w:sz w:val="18"/>
                <w:szCs w:val="18"/>
                <w:u w:val="none"/>
                <w:lang w:val="en-US" w:eastAsia="zh-CN" w:bidi="ar"/>
              </w:rPr>
              <w:t>6 %</w:t>
            </w:r>
            <w:r>
              <w:rPr>
                <w:rFonts w:hint="eastAsia" w:ascii="宋体" w:hAnsi="宋体" w:eastAsia="宋体" w:cs="宋体"/>
                <w:i w:val="0"/>
                <w:color w:val="000000"/>
                <w:kern w:val="0"/>
                <w:sz w:val="18"/>
                <w:szCs w:val="18"/>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销售金额</w:t>
            </w:r>
            <w:r>
              <w:rPr>
                <w:rFonts w:hint="default" w:ascii="Arial" w:hAnsi="Arial" w:eastAsia="宋体" w:cs="Arial"/>
                <w:i w:val="0"/>
                <w:color w:val="000000"/>
                <w:kern w:val="0"/>
                <w:sz w:val="18"/>
                <w:szCs w:val="18"/>
                <w:u w:val="none"/>
                <w:lang w:val="en-US" w:eastAsia="zh-CN" w:bidi="ar"/>
              </w:rPr>
              <w:t>1.5%</w:t>
            </w:r>
          </w:p>
        </w:tc>
      </w:tr>
      <w:tr>
        <w:tblPrEx>
          <w:shd w:val="clear" w:color="auto" w:fill="auto"/>
          <w:tblCellMar>
            <w:top w:w="0" w:type="dxa"/>
            <w:left w:w="0" w:type="dxa"/>
            <w:bottom w:w="0" w:type="dxa"/>
            <w:right w:w="0" w:type="dxa"/>
          </w:tblCellMar>
        </w:tblPrEx>
        <w:trPr>
          <w:trHeight w:val="852"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湖北福珍建筑工程有限公司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w:t>
            </w:r>
            <w:r>
              <w:rPr>
                <w:rFonts w:hint="default" w:ascii="Arial" w:hAnsi="Arial" w:eastAsia="宋体" w:cs="Arial"/>
                <w:i w:val="0"/>
                <w:color w:val="000000"/>
                <w:kern w:val="0"/>
                <w:sz w:val="18"/>
                <w:szCs w:val="18"/>
                <w:u w:val="none"/>
                <w:lang w:val="en-US" w:eastAsia="zh-CN" w:bidi="ar"/>
              </w:rPr>
              <w:t>以正舟301786元和正楚949107元共计1250893工程款抵扣购买</w:t>
            </w:r>
            <w:r>
              <w:rPr>
                <w:rFonts w:hint="default" w:ascii="Arial" w:hAnsi="Arial" w:eastAsia="宋体" w:cs="Arial"/>
                <w:i w:val="0"/>
                <w:color w:val="000000"/>
                <w:kern w:val="0"/>
                <w:sz w:val="18"/>
                <w:szCs w:val="18"/>
                <w:highlight w:val="none"/>
                <w:u w:val="none"/>
                <w:lang w:val="en-US" w:eastAsia="zh-CN" w:bidi="ar"/>
              </w:rPr>
              <w:t>正楚</w:t>
            </w:r>
            <w:r>
              <w:rPr>
                <w:rFonts w:hint="default" w:ascii="Arial" w:hAnsi="Arial" w:eastAsia="宋体" w:cs="Arial"/>
                <w:i w:val="0"/>
                <w:color w:val="000000"/>
                <w:kern w:val="0"/>
                <w:sz w:val="18"/>
                <w:szCs w:val="18"/>
                <w:u w:val="none"/>
                <w:lang w:val="en-US" w:eastAsia="zh-CN" w:bidi="ar"/>
              </w:rPr>
              <w:t>购房款</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250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893.00</w:t>
            </w:r>
          </w:p>
        </w:tc>
      </w:tr>
      <w:tr>
        <w:tblPrEx>
          <w:tblCellMar>
            <w:top w:w="0" w:type="dxa"/>
            <w:left w:w="0" w:type="dxa"/>
            <w:bottom w:w="0" w:type="dxa"/>
            <w:right w:w="0" w:type="dxa"/>
          </w:tblCellMar>
        </w:tblPrEx>
        <w:trPr>
          <w:trHeight w:val="622"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湖北福珍建筑工程有限公司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w:t>
            </w:r>
            <w:r>
              <w:rPr>
                <w:rFonts w:hint="eastAsia" w:ascii="宋体" w:hAnsi="宋体" w:eastAsia="宋体" w:cs="宋体"/>
                <w:i w:val="0"/>
                <w:color w:val="000000"/>
                <w:kern w:val="0"/>
                <w:sz w:val="18"/>
                <w:szCs w:val="18"/>
                <w:highlight w:val="none"/>
                <w:u w:val="none"/>
                <w:lang w:val="en-US" w:eastAsia="zh-CN" w:bidi="ar"/>
              </w:rPr>
              <w:t>正楚</w:t>
            </w:r>
            <w:r>
              <w:rPr>
                <w:rFonts w:hint="eastAsia" w:ascii="宋体" w:hAnsi="宋体" w:eastAsia="宋体" w:cs="宋体"/>
                <w:i w:val="0"/>
                <w:color w:val="000000"/>
                <w:kern w:val="0"/>
                <w:sz w:val="18"/>
                <w:szCs w:val="18"/>
                <w:u w:val="none"/>
                <w:lang w:val="en-US" w:eastAsia="zh-CN" w:bidi="ar"/>
              </w:rPr>
              <w:t>工程款1250893元抵扣购买</w:t>
            </w:r>
            <w:r>
              <w:rPr>
                <w:rFonts w:hint="eastAsia" w:ascii="宋体" w:hAnsi="宋体" w:eastAsia="宋体" w:cs="宋体"/>
                <w:i w:val="0"/>
                <w:color w:val="000000"/>
                <w:kern w:val="0"/>
                <w:sz w:val="18"/>
                <w:szCs w:val="18"/>
                <w:highlight w:val="none"/>
                <w:u w:val="none"/>
                <w:lang w:val="en-US" w:eastAsia="zh-CN" w:bidi="ar"/>
              </w:rPr>
              <w:t>正楚</w:t>
            </w:r>
            <w:r>
              <w:rPr>
                <w:rFonts w:hint="eastAsia" w:ascii="宋体" w:hAnsi="宋体" w:eastAsia="宋体" w:cs="宋体"/>
                <w:i w:val="0"/>
                <w:color w:val="000000"/>
                <w:kern w:val="0"/>
                <w:sz w:val="18"/>
                <w:szCs w:val="18"/>
                <w:u w:val="none"/>
                <w:lang w:val="en-US" w:eastAsia="zh-CN" w:bidi="ar"/>
              </w:rPr>
              <w:t>购房款</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250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893.00</w:t>
            </w:r>
          </w:p>
        </w:tc>
      </w:tr>
      <w:tr>
        <w:tblPrEx>
          <w:tblCellMar>
            <w:top w:w="0" w:type="dxa"/>
            <w:left w:w="0" w:type="dxa"/>
            <w:bottom w:w="0" w:type="dxa"/>
            <w:right w:w="0" w:type="dxa"/>
          </w:tblCellMar>
        </w:tblPrEx>
        <w:trPr>
          <w:trHeight w:val="692"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一鼎生态园林建设有限公司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乙方以正荣正升工程款抵扣购房甲方房屋</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1,202,977.00</w:t>
            </w:r>
          </w:p>
        </w:tc>
      </w:tr>
      <w:tr>
        <w:tblPrEx>
          <w:tblCellMar>
            <w:top w:w="0" w:type="dxa"/>
            <w:left w:w="0" w:type="dxa"/>
            <w:bottom w:w="0" w:type="dxa"/>
            <w:right w:w="0" w:type="dxa"/>
          </w:tblCellMar>
        </w:tblPrEx>
        <w:trPr>
          <w:trHeight w:val="642"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成都科顿装饰工程有限公司南京分公司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乙方以正荣正升工程款抵扣购房甲方房屋</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938,841.00</w:t>
            </w:r>
          </w:p>
        </w:tc>
      </w:tr>
      <w:tr>
        <w:tblPrEx>
          <w:tblCellMar>
            <w:top w:w="0" w:type="dxa"/>
            <w:left w:w="0" w:type="dxa"/>
            <w:bottom w:w="0" w:type="dxa"/>
            <w:right w:w="0" w:type="dxa"/>
          </w:tblCellMar>
        </w:tblPrEx>
        <w:trPr>
          <w:trHeight w:val="553"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东莞市民兴电缆有限公司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工抵房协议</w:t>
            </w:r>
          </w:p>
        </w:tc>
        <w:tc>
          <w:tcPr>
            <w:tcW w:w="2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乙方已正荣正升工程款抵扣购房正楚房屋</w:t>
            </w:r>
          </w:p>
        </w:tc>
        <w:tc>
          <w:tcPr>
            <w:tcW w:w="2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合同签订</w:t>
            </w:r>
            <w:r>
              <w:rPr>
                <w:rFonts w:hint="default" w:ascii="Arial" w:hAnsi="Arial" w:eastAsia="宋体" w:cs="Arial"/>
                <w:i w:val="0"/>
                <w:color w:val="000000"/>
                <w:kern w:val="0"/>
                <w:sz w:val="18"/>
                <w:szCs w:val="18"/>
                <w:u w:val="none"/>
                <w:lang w:val="en-US" w:eastAsia="zh-CN" w:bidi="ar"/>
              </w:rPr>
              <w:t>10</w:t>
            </w:r>
            <w:r>
              <w:rPr>
                <w:rFonts w:hint="eastAsia" w:ascii="宋体" w:hAnsi="宋体" w:eastAsia="宋体" w:cs="宋体"/>
                <w:i w:val="0"/>
                <w:color w:val="000000"/>
                <w:kern w:val="0"/>
                <w:sz w:val="18"/>
                <w:szCs w:val="18"/>
                <w:u w:val="none"/>
                <w:lang w:val="en-US" w:eastAsia="zh-CN" w:bidi="ar"/>
              </w:rPr>
              <w:t>个工作日</w:t>
            </w:r>
          </w:p>
        </w:tc>
        <w:tc>
          <w:tcPr>
            <w:tcW w:w="13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1,246,632.00</w:t>
            </w:r>
          </w:p>
        </w:tc>
      </w:tr>
    </w:tbl>
    <w:p>
      <w:pPr>
        <w:pStyle w:val="2"/>
        <w:spacing w:before="300" w:after="300" w:line="360" w:lineRule="exact"/>
        <w:rPr>
          <w:rFonts w:hint="default" w:ascii="Arial" w:hAnsi="Arial" w:eastAsia="宋体" w:cs="Arial"/>
          <w:sz w:val="24"/>
          <w:szCs w:val="24"/>
        </w:rPr>
      </w:pPr>
      <w:bookmarkStart w:id="53" w:name="_Toc17163"/>
      <w:bookmarkStart w:id="54" w:name="_Toc22040"/>
      <w:bookmarkStart w:id="55" w:name="_Toc20444"/>
      <w:bookmarkStart w:id="56" w:name="_Toc50218135"/>
      <w:r>
        <w:rPr>
          <w:rFonts w:hint="default" w:ascii="Arial" w:hAnsi="Arial" w:eastAsia="宋体" w:cs="Arial"/>
          <w:sz w:val="24"/>
          <w:szCs w:val="24"/>
        </w:rPr>
        <w:t>6 项目销售情况汇总表</w:t>
      </w:r>
      <w:bookmarkEnd w:id="53"/>
      <w:bookmarkEnd w:id="54"/>
      <w:bookmarkEnd w:id="55"/>
    </w:p>
    <w:p>
      <w:pPr>
        <w:spacing w:line="360" w:lineRule="auto"/>
        <w:ind w:firstLine="420" w:firstLineChars="200"/>
        <w:rPr>
          <w:rFonts w:hint="default" w:ascii="Arial" w:hAnsi="Arial" w:cs="Arial"/>
          <w:sz w:val="21"/>
          <w:szCs w:val="21"/>
        </w:rPr>
      </w:pPr>
      <w:r>
        <w:rPr>
          <w:rFonts w:hint="default" w:ascii="Arial" w:hAnsi="Arial" w:cs="Arial"/>
          <w:bCs/>
          <w:kern w:val="44"/>
          <w:szCs w:val="21"/>
        </w:rPr>
        <w:t>截至2020年</w:t>
      </w:r>
      <w:r>
        <w:rPr>
          <w:rFonts w:hint="default" w:ascii="Arial" w:hAnsi="Arial" w:cs="Arial"/>
          <w:bCs/>
          <w:kern w:val="44"/>
          <w:szCs w:val="21"/>
          <w:lang w:val="en-US" w:eastAsia="zh-CN"/>
        </w:rPr>
        <w:t>1</w:t>
      </w:r>
      <w:r>
        <w:rPr>
          <w:rFonts w:hint="eastAsia" w:ascii="Arial" w:hAnsi="Arial" w:cs="Arial"/>
          <w:bCs/>
          <w:kern w:val="44"/>
          <w:szCs w:val="21"/>
          <w:lang w:val="en-US" w:eastAsia="zh-CN"/>
        </w:rPr>
        <w:t>2</w:t>
      </w:r>
      <w:r>
        <w:rPr>
          <w:rFonts w:hint="default" w:ascii="Arial" w:hAnsi="Arial" w:cs="Arial"/>
          <w:bCs/>
          <w:kern w:val="44"/>
          <w:szCs w:val="21"/>
        </w:rPr>
        <w:t>月</w:t>
      </w:r>
      <w:r>
        <w:rPr>
          <w:rFonts w:hint="default" w:ascii="Arial" w:hAnsi="Arial" w:cs="Arial"/>
          <w:bCs/>
          <w:kern w:val="44"/>
          <w:szCs w:val="21"/>
          <w:lang w:val="en-US" w:eastAsia="zh-CN"/>
        </w:rPr>
        <w:t>3</w:t>
      </w:r>
      <w:r>
        <w:rPr>
          <w:rFonts w:hint="eastAsia" w:ascii="Arial" w:hAnsi="Arial" w:cs="Arial"/>
          <w:bCs/>
          <w:kern w:val="44"/>
          <w:szCs w:val="21"/>
          <w:lang w:val="en-US" w:eastAsia="zh-CN"/>
        </w:rPr>
        <w:t>1</w:t>
      </w:r>
      <w:r>
        <w:rPr>
          <w:rFonts w:hint="default" w:ascii="Arial" w:hAnsi="Arial" w:cs="Arial"/>
          <w:bCs/>
          <w:kern w:val="44"/>
          <w:szCs w:val="21"/>
        </w:rPr>
        <w:t>日武汉光谷正荣府项目销售汇总表</w:t>
      </w:r>
      <w:r>
        <w:rPr>
          <w:rFonts w:hint="default" w:ascii="Arial" w:hAnsi="Arial" w:cs="Arial"/>
          <w:sz w:val="21"/>
          <w:szCs w:val="21"/>
        </w:rPr>
        <w:t>：</w:t>
      </w:r>
    </w:p>
    <w:tbl>
      <w:tblPr>
        <w:tblStyle w:val="23"/>
        <w:tblW w:w="8940" w:type="dxa"/>
        <w:jc w:val="center"/>
        <w:shd w:val="clear" w:color="auto" w:fill="auto"/>
        <w:tblLayout w:type="autofit"/>
        <w:tblCellMar>
          <w:top w:w="0" w:type="dxa"/>
          <w:left w:w="0" w:type="dxa"/>
          <w:bottom w:w="0" w:type="dxa"/>
          <w:right w:w="0" w:type="dxa"/>
        </w:tblCellMar>
      </w:tblPr>
      <w:tblGrid>
        <w:gridCol w:w="2235"/>
        <w:gridCol w:w="2235"/>
        <w:gridCol w:w="2235"/>
        <w:gridCol w:w="2235"/>
      </w:tblGrid>
      <w:tr>
        <w:tblPrEx>
          <w:shd w:val="clear" w:color="auto" w:fill="auto"/>
        </w:tblPrEx>
        <w:trPr>
          <w:trHeight w:val="460" w:hRule="atLeast"/>
          <w:tblHeade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住宅</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本期累计</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本期新增</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房源套数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617</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认购套数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493</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472</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备案套数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套</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379</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房源面积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63,472.05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认购面积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50,948.35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4,914.93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48,809.80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2,972.04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备案面积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39,022.25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9,923.29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签约总额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元</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929,136,404.00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61,733,241.00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回款总额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元</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748,264,446.21 </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101,106,815.00 </w:t>
            </w:r>
          </w:p>
        </w:tc>
      </w:tr>
    </w:tbl>
    <w:p>
      <w:pPr>
        <w:spacing w:line="360" w:lineRule="auto"/>
        <w:ind w:firstLine="420" w:firstLineChars="200"/>
        <w:rPr>
          <w:rFonts w:hint="default" w:ascii="Arial" w:hAnsi="Arial" w:cs="Arial"/>
          <w:sz w:val="21"/>
          <w:szCs w:val="21"/>
        </w:rPr>
      </w:pPr>
    </w:p>
    <w:bookmarkEnd w:id="56"/>
    <w:p>
      <w:pPr>
        <w:ind w:right="525" w:rightChars="250" w:firstLine="150" w:firstLineChars="100"/>
        <w:rPr>
          <w:rFonts w:hint="default" w:ascii="Arial" w:hAnsi="Arial" w:cs="Arial"/>
          <w:sz w:val="15"/>
          <w:szCs w:val="15"/>
        </w:rPr>
      </w:pPr>
      <w:r>
        <w:rPr>
          <w:rFonts w:hint="default" w:ascii="Arial" w:hAnsi="Arial" w:cs="Arial"/>
          <w:sz w:val="15"/>
          <w:szCs w:val="15"/>
        </w:rPr>
        <w:t>注：1、网签账户名、密码未移交共管，网签备案信息来源为项目公司提供的网签明细表；</w:t>
      </w:r>
    </w:p>
    <w:p>
      <w:pPr>
        <w:numPr>
          <w:ilvl w:val="0"/>
          <w:numId w:val="2"/>
        </w:numPr>
        <w:ind w:right="525" w:rightChars="250" w:firstLine="450" w:firstLineChars="300"/>
        <w:rPr>
          <w:rFonts w:hint="default" w:ascii="Arial" w:hAnsi="Arial" w:cs="Arial"/>
          <w:sz w:val="15"/>
          <w:szCs w:val="15"/>
        </w:rPr>
      </w:pPr>
      <w:r>
        <w:rPr>
          <w:rFonts w:hint="default" w:ascii="Arial" w:hAnsi="Arial" w:cs="Arial"/>
          <w:sz w:val="15"/>
          <w:szCs w:val="15"/>
        </w:rPr>
        <w:t>房源套数及房源面积为汉口项目已取得商品房预售证的总套数及总面积,回款总额为银行收到销售回款金额</w:t>
      </w:r>
      <w:r>
        <w:rPr>
          <w:rFonts w:hint="default" w:ascii="Arial" w:hAnsi="Arial" w:cs="Arial"/>
          <w:sz w:val="15"/>
          <w:szCs w:val="15"/>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300" w:right="525" w:rightChars="250"/>
        <w:textAlignment w:val="auto"/>
        <w:rPr>
          <w:rFonts w:hint="default" w:ascii="Arial" w:hAnsi="Arial" w:cs="Arial"/>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300" w:right="525" w:rightChars="250"/>
        <w:textAlignment w:val="auto"/>
        <w:rPr>
          <w:rFonts w:hint="default" w:ascii="Arial" w:hAnsi="Arial" w:cs="Arial"/>
          <w:sz w:val="15"/>
          <w:szCs w:val="15"/>
          <w:lang w:val="en-US" w:eastAsia="zh-CN"/>
        </w:rPr>
      </w:pPr>
    </w:p>
    <w:p>
      <w:pPr>
        <w:numPr>
          <w:ilvl w:val="-1"/>
          <w:numId w:val="0"/>
        </w:numPr>
        <w:ind w:right="0" w:rightChars="0"/>
        <w:rPr>
          <w:rFonts w:hint="default" w:ascii="Arial" w:hAnsi="Arial" w:eastAsia="宋体" w:cs="Arial"/>
          <w:b/>
          <w:bCs/>
          <w:sz w:val="24"/>
          <w:szCs w:val="24"/>
        </w:rPr>
      </w:pPr>
      <w:bookmarkStart w:id="57" w:name="_Toc19151"/>
      <w:bookmarkStart w:id="58" w:name="_Toc19245"/>
      <w:bookmarkStart w:id="59" w:name="_Toc535580097"/>
      <w:bookmarkStart w:id="60" w:name="_Toc535508642"/>
      <w:bookmarkStart w:id="61" w:name="_Toc535570756"/>
      <w:bookmarkStart w:id="62" w:name="_Toc535580029"/>
      <w:bookmarkStart w:id="63" w:name="_Toc50218136"/>
      <w:bookmarkStart w:id="64" w:name="_Toc532281663"/>
    </w:p>
    <w:p>
      <w:pPr>
        <w:numPr>
          <w:ilvl w:val="-1"/>
          <w:numId w:val="0"/>
        </w:numPr>
        <w:ind w:right="0" w:rightChars="0"/>
        <w:rPr>
          <w:rFonts w:hint="default" w:ascii="Arial" w:hAnsi="Arial" w:eastAsia="宋体" w:cs="Arial"/>
          <w:b/>
          <w:bCs/>
          <w:sz w:val="24"/>
          <w:szCs w:val="24"/>
        </w:rPr>
      </w:pPr>
      <w:r>
        <w:rPr>
          <w:rFonts w:hint="default" w:ascii="Arial" w:hAnsi="Arial" w:eastAsia="宋体" w:cs="Arial"/>
          <w:b/>
          <w:bCs/>
          <w:sz w:val="24"/>
          <w:szCs w:val="24"/>
        </w:rPr>
        <w:t xml:space="preserve">7 </w:t>
      </w:r>
      <w:bookmarkStart w:id="65" w:name="_Toc26522"/>
      <w:bookmarkStart w:id="66" w:name="_Toc1799"/>
      <w:bookmarkStart w:id="67" w:name="_Toc26931"/>
      <w:bookmarkStart w:id="68" w:name="_Toc4641"/>
      <w:bookmarkStart w:id="69" w:name="_Toc18780"/>
      <w:bookmarkStart w:id="70" w:name="_Toc1084"/>
      <w:r>
        <w:rPr>
          <w:rFonts w:hint="default" w:ascii="Arial" w:hAnsi="Arial" w:eastAsia="宋体" w:cs="Arial"/>
          <w:b/>
          <w:bCs/>
          <w:sz w:val="24"/>
          <w:szCs w:val="24"/>
        </w:rPr>
        <w:t>项目竞品分析</w:t>
      </w:r>
      <w:bookmarkEnd w:id="57"/>
      <w:bookmarkEnd w:id="58"/>
      <w:bookmarkEnd w:id="65"/>
      <w:bookmarkEnd w:id="66"/>
      <w:bookmarkEnd w:id="67"/>
      <w:bookmarkEnd w:id="68"/>
      <w:bookmarkEnd w:id="69"/>
      <w:bookmarkEnd w:id="70"/>
    </w:p>
    <w:p>
      <w:pPr>
        <w:jc w:val="center"/>
        <w:rPr>
          <w:rFonts w:hint="default" w:ascii="Arial" w:hAnsi="Arial" w:cs="Arial"/>
        </w:rPr>
      </w:pPr>
      <w:r>
        <w:rPr>
          <w:rFonts w:hint="default" w:ascii="Arial" w:hAnsi="Arial" w:cs="Arial"/>
        </w:rPr>
        <w:drawing>
          <wp:inline distT="0" distB="0" distL="114300" distR="114300">
            <wp:extent cx="5259070" cy="3788410"/>
            <wp:effectExtent l="0" t="0" r="177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59070" cy="3788410"/>
                    </a:xfrm>
                    <a:prstGeom prst="rect">
                      <a:avLst/>
                    </a:prstGeom>
                    <a:noFill/>
                    <a:ln w="9525">
                      <a:noFill/>
                    </a:ln>
                  </pic:spPr>
                </pic:pic>
              </a:graphicData>
            </a:graphic>
          </wp:inline>
        </w:drawing>
      </w:r>
    </w:p>
    <w:p>
      <w:pPr>
        <w:numPr>
          <w:ilvl w:val="-1"/>
          <w:numId w:val="0"/>
        </w:numPr>
        <w:spacing w:line="360" w:lineRule="auto"/>
        <w:ind w:right="0" w:rightChars="0" w:firstLine="420" w:firstLineChars="200"/>
        <w:rPr>
          <w:rFonts w:hint="default" w:ascii="Arial" w:hAnsi="Arial" w:cs="Arial"/>
          <w:bCs/>
          <w:kern w:val="44"/>
          <w:szCs w:val="21"/>
        </w:rPr>
      </w:pPr>
    </w:p>
    <w:p>
      <w:pPr>
        <w:numPr>
          <w:ilvl w:val="-1"/>
          <w:numId w:val="0"/>
        </w:numPr>
        <w:spacing w:line="480" w:lineRule="auto"/>
        <w:ind w:right="0" w:rightChars="0" w:firstLine="420" w:firstLineChars="200"/>
        <w:rPr>
          <w:rFonts w:hint="default" w:ascii="Arial" w:hAnsi="Arial" w:cs="Arial"/>
          <w:b w:val="0"/>
          <w:bCs/>
          <w:kern w:val="44"/>
          <w:sz w:val="21"/>
          <w:szCs w:val="21"/>
          <w:lang w:val="en-US" w:eastAsia="zh-CN"/>
        </w:rPr>
      </w:pPr>
      <w:r>
        <w:rPr>
          <w:rFonts w:hint="default"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北方向有金融港企业中心，光谷软件园，未来科技城等，人口吸附力增强。配套</w:t>
      </w:r>
      <w:r>
        <w:rPr>
          <w:rFonts w:hint="default" w:ascii="Arial" w:hAnsi="Arial" w:cs="Arial"/>
          <w:bCs/>
          <w:color w:val="333333"/>
          <w:szCs w:val="21"/>
        </w:rPr>
        <w:t>交通750路，光谷有轨电车l2路、地铁11号线、19号线（规划中），项目西邻光谷四路，南邻高新四路，北面关豹高速，交通主干道环绕；</w:t>
      </w:r>
      <w:r>
        <w:rPr>
          <w:rFonts w:hint="default" w:ascii="Arial" w:hAnsi="Arial" w:cs="Arial"/>
          <w:bCs/>
          <w:kern w:val="44"/>
          <w:szCs w:val="21"/>
        </w:rPr>
        <w:t>购物方面</w:t>
      </w:r>
      <w:r>
        <w:rPr>
          <w:rFonts w:hint="default" w:ascii="Arial" w:hAnsi="Arial" w:cs="Arial"/>
          <w:bCs/>
          <w:color w:val="333333"/>
          <w:szCs w:val="21"/>
        </w:rPr>
        <w:t>项目周边有首创奥特莱斯小镇（已开业）、宜家（规划中）、永旺（规划中）、瑞安光谷天地、龙湖天街</w:t>
      </w:r>
      <w:r>
        <w:rPr>
          <w:rFonts w:hint="default" w:ascii="Arial" w:hAnsi="Arial" w:cs="Arial"/>
          <w:bCs/>
          <w:kern w:val="44"/>
          <w:szCs w:val="21"/>
        </w:rPr>
        <w:t>；</w:t>
      </w:r>
      <w:r>
        <w:rPr>
          <w:rFonts w:hint="default" w:ascii="Arial" w:hAnsi="Arial" w:cs="Arial"/>
          <w:bCs/>
          <w:color w:val="333333"/>
          <w:szCs w:val="21"/>
        </w:rPr>
        <w:t>医院同济医院光谷分院、省人民医院光谷分院、省妇幼光谷分院、光谷国际医院，休闲本项目西面总长度5090米豹子溪生态廊道沿线生态中轴，将打造文化山林区、湿地田园区和雨洪花园区，兼具生态休闲、生产和科普的生态绿地功能，坐享得天独厚的生态资源；新月溪公园、二妃山生态体育公园等。</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2020年</w:t>
      </w:r>
      <w:r>
        <w:rPr>
          <w:rFonts w:hint="default" w:ascii="Arial" w:hAnsi="Arial" w:cs="Arial"/>
          <w:bCs/>
          <w:kern w:val="44"/>
          <w:szCs w:val="21"/>
          <w:lang w:val="en-US" w:eastAsia="zh-CN"/>
        </w:rPr>
        <w:t>1</w:t>
      </w:r>
      <w:r>
        <w:rPr>
          <w:rFonts w:hint="eastAsia" w:ascii="Arial" w:hAnsi="Arial" w:cs="Arial"/>
          <w:bCs/>
          <w:kern w:val="44"/>
          <w:szCs w:val="21"/>
          <w:lang w:val="en-US" w:eastAsia="zh-CN"/>
        </w:rPr>
        <w:t>2</w:t>
      </w:r>
      <w:r>
        <w:rPr>
          <w:rFonts w:hint="default" w:ascii="Arial" w:hAnsi="Arial" w:cs="Arial"/>
          <w:bCs/>
          <w:kern w:val="44"/>
          <w:szCs w:val="21"/>
        </w:rPr>
        <w:t>月份竞品楼盘情况如下：</w:t>
      </w:r>
    </w:p>
    <w:tbl>
      <w:tblPr>
        <w:tblStyle w:val="23"/>
        <w:tblW w:w="10830" w:type="dxa"/>
        <w:jc w:val="center"/>
        <w:shd w:val="clear" w:color="auto" w:fill="auto"/>
        <w:tblLayout w:type="autofit"/>
        <w:tblCellMar>
          <w:top w:w="0" w:type="dxa"/>
          <w:left w:w="0" w:type="dxa"/>
          <w:bottom w:w="0" w:type="dxa"/>
          <w:right w:w="0" w:type="dxa"/>
        </w:tblCellMar>
      </w:tblPr>
      <w:tblGrid>
        <w:gridCol w:w="465"/>
        <w:gridCol w:w="1110"/>
        <w:gridCol w:w="3375"/>
        <w:gridCol w:w="855"/>
        <w:gridCol w:w="1035"/>
        <w:gridCol w:w="1080"/>
        <w:gridCol w:w="2910"/>
      </w:tblGrid>
      <w:tr>
        <w:tblPrEx>
          <w:tblCellMar>
            <w:top w:w="0" w:type="dxa"/>
            <w:left w:w="0" w:type="dxa"/>
            <w:bottom w:w="0" w:type="dxa"/>
            <w:right w:w="0" w:type="dxa"/>
          </w:tblCellMar>
        </w:tblPrEx>
        <w:trPr>
          <w:trHeight w:val="482" w:hRule="atLeast"/>
          <w:tblHeader/>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项目名称</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项目简介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主力在售</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面积分布（㎡）</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2020年11月</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当前楼盘详情</w:t>
            </w:r>
          </w:p>
        </w:tc>
      </w:tr>
      <w:tr>
        <w:tblPrEx>
          <w:shd w:val="clear" w:color="auto" w:fill="auto"/>
          <w:tblCellMar>
            <w:top w:w="0" w:type="dxa"/>
            <w:left w:w="0" w:type="dxa"/>
            <w:bottom w:w="0" w:type="dxa"/>
            <w:right w:w="0" w:type="dxa"/>
          </w:tblCellMar>
        </w:tblPrEx>
        <w:trPr>
          <w:trHeight w:val="75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新希望锦粼九里</w:t>
            </w:r>
          </w:p>
        </w:tc>
        <w:tc>
          <w:tcPr>
            <w:tcW w:w="3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高新五路与光谷五路交叉口，占地面积116003.09平方米，338418.03平方米，项目规划建设1954户户。33栋楼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92-132㎡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高层17175/㎡</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总房源921套，非住宅84套，住宅可售658，当前已售160套,12月去化74</w:t>
            </w:r>
          </w:p>
        </w:tc>
      </w:tr>
      <w:tr>
        <w:tblPrEx>
          <w:tblCellMar>
            <w:top w:w="0" w:type="dxa"/>
            <w:left w:w="0" w:type="dxa"/>
            <w:bottom w:w="0" w:type="dxa"/>
            <w:right w:w="0" w:type="dxa"/>
          </w:tblCellMar>
        </w:tblPrEx>
        <w:trPr>
          <w:trHeight w:val="96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光谷南山府</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东湖高新区神墩一路与高科园二路交汇处，占地面积：68070.66平方米，建筑面积：248385.7平方米，项目规划建设1359户，22栋楼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高层97㎡-143㎡，</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普通住宅：22325元/m²</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总房源845套，非住宅20套，住宅可售435，当前已售363套,</w:t>
            </w:r>
          </w:p>
        </w:tc>
      </w:tr>
      <w:tr>
        <w:tblPrEx>
          <w:tblCellMar>
            <w:top w:w="0" w:type="dxa"/>
            <w:left w:w="0" w:type="dxa"/>
            <w:bottom w:w="0" w:type="dxa"/>
            <w:right w:w="0" w:type="dxa"/>
          </w:tblCellMar>
        </w:tblPrEx>
        <w:trPr>
          <w:trHeight w:val="168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新城璞樾门第</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东湖高新区光谷四路和流芳园横</w:t>
            </w:r>
            <w:r>
              <w:rPr>
                <w:rFonts w:hint="default" w:ascii="Arial" w:hAnsi="Arial" w:eastAsia="宋体" w:cs="Arial"/>
                <w:i w:val="0"/>
                <w:color w:val="000000"/>
                <w:kern w:val="0"/>
                <w:sz w:val="18"/>
                <w:szCs w:val="18"/>
                <w:highlight w:val="none"/>
                <w:u w:val="none"/>
                <w:lang w:val="en-US" w:eastAsia="zh-CN" w:bidi="ar"/>
              </w:rPr>
              <w:t>路交汇处</w:t>
            </w:r>
            <w:r>
              <w:rPr>
                <w:rFonts w:hint="default" w:ascii="Arial" w:hAnsi="Arial" w:eastAsia="宋体" w:cs="Arial"/>
                <w:i w:val="0"/>
                <w:color w:val="000000"/>
                <w:kern w:val="0"/>
                <w:sz w:val="18"/>
                <w:szCs w:val="18"/>
                <w:u w:val="none"/>
                <w:lang w:val="en-US" w:eastAsia="zh-CN" w:bidi="ar"/>
              </w:rPr>
              <w:t>，占地面积：170000平方米建筑面积：550000平方米，项目规划建设3084户户。</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精装高层，毛坯叠拼</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高层109㎡-139㎡，叠拼137㎡-223㎡</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普通住宅：18750元/m²联排：33000元/m²叠拼：27000元/m²</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总房源3200套，非住宅116套，住宅可售1048，11月已售1875套，当前已售2034套，12月去化159套</w:t>
            </w:r>
          </w:p>
        </w:tc>
      </w:tr>
      <w:tr>
        <w:tblPrEx>
          <w:tblCellMar>
            <w:top w:w="0" w:type="dxa"/>
            <w:left w:w="0" w:type="dxa"/>
            <w:bottom w:w="0" w:type="dxa"/>
            <w:right w:w="0" w:type="dxa"/>
          </w:tblCellMar>
        </w:tblPrEx>
        <w:trPr>
          <w:trHeight w:val="219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碧桂园十里春风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光谷四路与大吕</w:t>
            </w:r>
            <w:r>
              <w:rPr>
                <w:rFonts w:hint="default" w:ascii="Arial" w:hAnsi="Arial" w:eastAsia="宋体" w:cs="Arial"/>
                <w:i w:val="0"/>
                <w:color w:val="000000"/>
                <w:kern w:val="0"/>
                <w:sz w:val="18"/>
                <w:szCs w:val="18"/>
                <w:highlight w:val="none"/>
                <w:u w:val="none"/>
                <w:lang w:val="en-US" w:eastAsia="zh-CN" w:bidi="ar"/>
              </w:rPr>
              <w:t>路交汇处</w:t>
            </w:r>
            <w:r>
              <w:rPr>
                <w:rFonts w:hint="default" w:ascii="Arial" w:hAnsi="Arial" w:eastAsia="宋体" w:cs="Arial"/>
                <w:i w:val="0"/>
                <w:color w:val="000000"/>
                <w:kern w:val="0"/>
                <w:sz w:val="18"/>
                <w:szCs w:val="18"/>
                <w:u w:val="none"/>
                <w:lang w:val="en-US" w:eastAsia="zh-CN" w:bidi="ar"/>
              </w:rPr>
              <w:t>，占地面积：100000平方米建筑面积：225000平方米，项目规划建设1826户，楼栋总数：29栋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毛坯高层，毛坯叠拼</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高层109㎡-141㎡，叠拼141㎡-151㎡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普通住宅均价18700元/平方米；叠拼均价27000元/平方米</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总房源2270套，非住宅459套，住宅可售741，11月已售969套。当前已售1070套，12月去化101套</w:t>
            </w:r>
          </w:p>
        </w:tc>
      </w:tr>
    </w:tbl>
    <w:p>
      <w:pPr>
        <w:spacing w:line="480" w:lineRule="auto"/>
        <w:ind w:firstLine="420" w:firstLineChars="200"/>
        <w:rPr>
          <w:rFonts w:hint="default" w:ascii="Arial" w:hAnsi="Arial" w:cs="Arial"/>
          <w:bCs/>
          <w:kern w:val="44"/>
          <w:szCs w:val="21"/>
        </w:rPr>
      </w:pPr>
    </w:p>
    <w:p>
      <w:pPr>
        <w:pStyle w:val="2"/>
        <w:spacing w:before="300" w:after="300" w:line="360" w:lineRule="exact"/>
        <w:rPr>
          <w:rFonts w:hint="default" w:ascii="Arial" w:hAnsi="Arial" w:eastAsia="宋体" w:cs="Arial"/>
          <w:sz w:val="24"/>
          <w:szCs w:val="24"/>
        </w:rPr>
      </w:pPr>
      <w:bookmarkStart w:id="71" w:name="_Toc31318"/>
      <w:bookmarkStart w:id="72" w:name="_Toc23751"/>
      <w:bookmarkStart w:id="73" w:name="_Toc20313"/>
    </w:p>
    <w:p>
      <w:pPr>
        <w:pStyle w:val="2"/>
        <w:spacing w:before="300" w:after="300" w:line="360" w:lineRule="exact"/>
        <w:rPr>
          <w:rFonts w:hint="default" w:ascii="Arial" w:hAnsi="Arial" w:eastAsia="宋体" w:cs="Arial"/>
          <w:sz w:val="24"/>
          <w:szCs w:val="24"/>
        </w:rPr>
      </w:pPr>
      <w:r>
        <w:rPr>
          <w:rFonts w:hint="default" w:ascii="Arial" w:hAnsi="Arial" w:eastAsia="宋体" w:cs="Arial"/>
          <w:sz w:val="24"/>
          <w:szCs w:val="24"/>
        </w:rPr>
        <w:t>8 资金情况</w:t>
      </w:r>
      <w:bookmarkEnd w:id="50"/>
      <w:bookmarkEnd w:id="51"/>
      <w:bookmarkEnd w:id="59"/>
      <w:bookmarkEnd w:id="60"/>
      <w:bookmarkEnd w:id="61"/>
      <w:bookmarkEnd w:id="62"/>
      <w:bookmarkEnd w:id="63"/>
      <w:bookmarkEnd w:id="64"/>
      <w:bookmarkEnd w:id="71"/>
      <w:bookmarkEnd w:id="72"/>
      <w:bookmarkEnd w:id="73"/>
    </w:p>
    <w:p>
      <w:pPr>
        <w:pStyle w:val="3"/>
        <w:keepNext w:val="0"/>
        <w:keepLines w:val="0"/>
        <w:spacing w:before="300" w:after="300" w:line="360" w:lineRule="exact"/>
        <w:jc w:val="left"/>
        <w:rPr>
          <w:rFonts w:hint="default" w:ascii="Arial" w:hAnsi="Arial" w:eastAsia="宋体" w:cs="Arial"/>
          <w:sz w:val="24"/>
          <w:szCs w:val="24"/>
        </w:rPr>
      </w:pPr>
      <w:bookmarkStart w:id="74" w:name="_Toc50218137"/>
      <w:bookmarkStart w:id="75" w:name="_Toc18768"/>
      <w:bookmarkStart w:id="76" w:name="_Toc25450"/>
      <w:bookmarkStart w:id="77" w:name="_Toc32724"/>
      <w:r>
        <w:rPr>
          <w:rFonts w:hint="default" w:ascii="Arial" w:hAnsi="Arial" w:eastAsia="宋体" w:cs="Arial"/>
          <w:sz w:val="24"/>
          <w:szCs w:val="24"/>
        </w:rPr>
        <w:t>8.1 资金使用汇总表</w:t>
      </w:r>
      <w:bookmarkEnd w:id="74"/>
      <w:r>
        <w:rPr>
          <w:rFonts w:hint="default" w:ascii="Arial" w:hAnsi="Arial" w:eastAsia="宋体" w:cs="Arial"/>
          <w:sz w:val="24"/>
          <w:szCs w:val="24"/>
        </w:rPr>
        <w:t>（2020年</w:t>
      </w:r>
      <w:r>
        <w:rPr>
          <w:rFonts w:hint="default" w:ascii="Arial" w:hAnsi="Arial" w:eastAsia="宋体" w:cs="Arial"/>
          <w:sz w:val="24"/>
          <w:szCs w:val="24"/>
          <w:lang w:val="en-US" w:eastAsia="zh-CN"/>
        </w:rPr>
        <w:t>1</w:t>
      </w:r>
      <w:r>
        <w:rPr>
          <w:rFonts w:hint="eastAsia" w:eastAsia="宋体" w:cs="Arial"/>
          <w:sz w:val="24"/>
          <w:szCs w:val="24"/>
          <w:lang w:val="en-US" w:eastAsia="zh-CN"/>
        </w:rPr>
        <w:t>2</w:t>
      </w:r>
      <w:r>
        <w:rPr>
          <w:rFonts w:hint="default" w:ascii="Arial" w:hAnsi="Arial" w:eastAsia="宋体" w:cs="Arial"/>
          <w:sz w:val="24"/>
          <w:szCs w:val="24"/>
        </w:rPr>
        <w:t>月）</w:t>
      </w:r>
      <w:bookmarkEnd w:id="75"/>
      <w:bookmarkEnd w:id="76"/>
      <w:bookmarkEnd w:id="77"/>
    </w:p>
    <w:tbl>
      <w:tblPr>
        <w:tblStyle w:val="23"/>
        <w:tblW w:w="9327" w:type="dxa"/>
        <w:jc w:val="center"/>
        <w:tblLayout w:type="fixed"/>
        <w:tblCellMar>
          <w:top w:w="0" w:type="dxa"/>
          <w:left w:w="0" w:type="dxa"/>
          <w:bottom w:w="0" w:type="dxa"/>
          <w:right w:w="0" w:type="dxa"/>
        </w:tblCellMar>
      </w:tblPr>
      <w:tblGrid>
        <w:gridCol w:w="794"/>
        <w:gridCol w:w="2415"/>
        <w:gridCol w:w="2580"/>
        <w:gridCol w:w="2265"/>
        <w:gridCol w:w="1273"/>
      </w:tblGrid>
      <w:tr>
        <w:tblPrEx>
          <w:tblCellMar>
            <w:top w:w="0" w:type="dxa"/>
            <w:left w:w="0" w:type="dxa"/>
            <w:bottom w:w="0" w:type="dxa"/>
            <w:right w:w="0" w:type="dxa"/>
          </w:tblCellMar>
        </w:tblPrEx>
        <w:trPr>
          <w:cantSplit/>
          <w:trHeight w:val="442" w:hRule="atLeast"/>
          <w:tblHeader/>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b/>
                <w:bCs/>
                <w:kern w:val="0"/>
                <w:sz w:val="18"/>
                <w:szCs w:val="18"/>
              </w:rPr>
            </w:pPr>
            <w:r>
              <w:rPr>
                <w:rFonts w:hint="default" w:ascii="Arial" w:hAnsi="Arial" w:cs="Arial"/>
                <w:b/>
                <w:bCs/>
                <w:kern w:val="0"/>
                <w:sz w:val="18"/>
                <w:szCs w:val="18"/>
              </w:rPr>
              <w:t>序号</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b/>
                <w:bCs/>
                <w:kern w:val="0"/>
                <w:sz w:val="18"/>
                <w:szCs w:val="18"/>
              </w:rPr>
              <w:t>成本项目</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sz w:val="18"/>
                <w:szCs w:val="18"/>
              </w:rPr>
            </w:pPr>
            <w:r>
              <w:rPr>
                <w:rFonts w:hint="default" w:ascii="Arial" w:hAnsi="Arial" w:cs="Arial"/>
                <w:b/>
                <w:bCs/>
                <w:kern w:val="0"/>
                <w:sz w:val="18"/>
                <w:szCs w:val="18"/>
              </w:rPr>
              <w:t>本月付款（元）</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b/>
                <w:bCs/>
                <w:kern w:val="0"/>
                <w:sz w:val="18"/>
                <w:szCs w:val="18"/>
              </w:rPr>
              <w:t>入场后累计已支付（元）</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1</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土地费用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0.00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2</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前期费用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613,847.06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3</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建筑工程费用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494,433.72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67,996,806.20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4</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开发间接费</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0.00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5</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财务费用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23,587,220.03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29,819,957.50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6</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税费</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322,556.75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9,706,381.27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7</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管理费用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3,640,064.46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11,373,017.62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8</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营销费用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1,587,059.36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4,701,467.25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9</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往来款</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283,755,437.74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2,258,778,123.07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10</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收费退款</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520,000.00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9,374,077.60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b/>
                <w:bCs/>
                <w:color w:val="000000"/>
                <w:sz w:val="18"/>
                <w:szCs w:val="18"/>
              </w:rPr>
            </w:pPr>
            <w:r>
              <w:rPr>
                <w:rFonts w:hint="default" w:ascii="Arial" w:hAnsi="Arial" w:cs="Arial"/>
                <w:b/>
                <w:bCs/>
                <w:color w:val="000000"/>
                <w:kern w:val="0"/>
                <w:sz w:val="18"/>
                <w:szCs w:val="18"/>
                <w:lang w:bidi="ar"/>
              </w:rPr>
              <w:t>总计</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b/>
                <w:i w:val="0"/>
                <w:color w:val="000000"/>
                <w:kern w:val="0"/>
                <w:sz w:val="18"/>
                <w:szCs w:val="18"/>
                <w:u w:val="none"/>
                <w:lang w:val="en-US" w:eastAsia="zh-CN" w:bidi="ar"/>
              </w:rPr>
              <w:t xml:space="preserve">313,906,772.06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b/>
                <w:i w:val="0"/>
                <w:color w:val="000000"/>
                <w:kern w:val="0"/>
                <w:sz w:val="18"/>
                <w:szCs w:val="18"/>
                <w:u w:val="none"/>
                <w:lang w:val="en-US" w:eastAsia="zh-CN" w:bidi="ar"/>
              </w:rPr>
              <w:t xml:space="preserve">2,392,363,677.57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bidi="ar"/>
              </w:rPr>
            </w:pPr>
          </w:p>
        </w:tc>
      </w:tr>
    </w:tbl>
    <w:p>
      <w:pPr>
        <w:rPr>
          <w:rFonts w:hint="default" w:ascii="Arial" w:hAnsi="Arial" w:cs="Arial"/>
          <w:sz w:val="18"/>
          <w:szCs w:val="18"/>
        </w:rPr>
      </w:pPr>
    </w:p>
    <w:p>
      <w:pPr>
        <w:pStyle w:val="3"/>
        <w:keepNext w:val="0"/>
        <w:keepLines w:val="0"/>
        <w:spacing w:before="300" w:after="300" w:line="360" w:lineRule="exact"/>
        <w:jc w:val="left"/>
        <w:rPr>
          <w:rFonts w:hint="default" w:ascii="Arial" w:hAnsi="Arial" w:eastAsia="宋体" w:cs="Arial"/>
          <w:sz w:val="24"/>
          <w:szCs w:val="24"/>
        </w:rPr>
      </w:pPr>
      <w:bookmarkStart w:id="78" w:name="_Toc29918"/>
      <w:bookmarkStart w:id="79" w:name="_Toc50218138"/>
      <w:bookmarkStart w:id="80" w:name="_Toc12509"/>
      <w:bookmarkStart w:id="81" w:name="_Toc18337"/>
      <w:r>
        <w:rPr>
          <w:rFonts w:hint="default" w:ascii="Arial" w:hAnsi="Arial" w:eastAsia="宋体" w:cs="Arial"/>
          <w:sz w:val="24"/>
          <w:szCs w:val="24"/>
        </w:rPr>
        <w:t>8.2资金流出情况</w:t>
      </w:r>
      <w:bookmarkEnd w:id="78"/>
      <w:bookmarkEnd w:id="79"/>
      <w:bookmarkEnd w:id="80"/>
      <w:bookmarkEnd w:id="81"/>
    </w:p>
    <w:p>
      <w:pPr>
        <w:spacing w:line="480" w:lineRule="auto"/>
        <w:ind w:firstLine="420" w:firstLineChars="200"/>
        <w:rPr>
          <w:rFonts w:hint="default" w:ascii="Arial" w:hAnsi="Arial" w:cs="Arial"/>
          <w:bCs/>
          <w:color w:val="0000FF"/>
          <w:kern w:val="44"/>
          <w:sz w:val="21"/>
          <w:szCs w:val="21"/>
        </w:rPr>
      </w:pPr>
      <w:r>
        <w:rPr>
          <w:rFonts w:hint="default" w:ascii="Arial" w:hAnsi="Arial" w:cs="Arial"/>
          <w:bCs/>
          <w:kern w:val="44"/>
          <w:sz w:val="21"/>
          <w:szCs w:val="21"/>
        </w:rPr>
        <w:t>2020年</w:t>
      </w:r>
      <w:r>
        <w:rPr>
          <w:rFonts w:hint="default" w:ascii="Arial" w:hAnsi="Arial" w:cs="Arial"/>
          <w:bCs/>
          <w:kern w:val="44"/>
          <w:sz w:val="21"/>
          <w:szCs w:val="21"/>
          <w:lang w:val="en-US" w:eastAsia="zh-CN"/>
        </w:rPr>
        <w:t>1</w:t>
      </w:r>
      <w:r>
        <w:rPr>
          <w:rFonts w:hint="eastAsia" w:ascii="Arial" w:hAnsi="Arial" w:cs="Arial"/>
          <w:bCs/>
          <w:kern w:val="44"/>
          <w:sz w:val="21"/>
          <w:szCs w:val="21"/>
          <w:lang w:val="en-US" w:eastAsia="zh-CN"/>
        </w:rPr>
        <w:t>2</w:t>
      </w:r>
      <w:r>
        <w:rPr>
          <w:rFonts w:hint="default" w:ascii="Arial" w:hAnsi="Arial" w:cs="Arial"/>
          <w:bCs/>
          <w:kern w:val="44"/>
          <w:sz w:val="21"/>
          <w:szCs w:val="21"/>
        </w:rPr>
        <w:t>月监管范围内资金流出额共计</w:t>
      </w:r>
      <w:r>
        <w:rPr>
          <w:rFonts w:hint="default" w:ascii="Arial" w:hAnsi="Arial" w:eastAsia="宋体" w:cs="Arial"/>
          <w:i w:val="0"/>
          <w:color w:val="000000"/>
          <w:kern w:val="0"/>
          <w:sz w:val="21"/>
          <w:szCs w:val="21"/>
          <w:u w:val="none"/>
          <w:lang w:val="en-US" w:eastAsia="zh-CN" w:bidi="ar"/>
        </w:rPr>
        <w:t>313,906,772.06</w:t>
      </w:r>
      <w:r>
        <w:rPr>
          <w:rFonts w:hint="default" w:ascii="Arial" w:hAnsi="Arial" w:cs="Arial"/>
          <w:bCs/>
          <w:kern w:val="44"/>
          <w:sz w:val="21"/>
          <w:szCs w:val="21"/>
        </w:rPr>
        <w:t>元。</w:t>
      </w:r>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2</w:t>
      </w:r>
      <w:r>
        <w:rPr>
          <w:rFonts w:hint="default" w:ascii="Arial" w:hAnsi="Arial" w:cs="Arial"/>
          <w:b/>
          <w:color w:val="000000"/>
          <w:sz w:val="24"/>
        </w:rPr>
        <w:t>月资金流出明细表</w:t>
      </w:r>
    </w:p>
    <w:tbl>
      <w:tblPr>
        <w:tblStyle w:val="23"/>
        <w:tblW w:w="10035" w:type="dxa"/>
        <w:jc w:val="center"/>
        <w:shd w:val="clear" w:color="auto" w:fill="auto"/>
        <w:tblLayout w:type="autofit"/>
        <w:tblCellMar>
          <w:top w:w="0" w:type="dxa"/>
          <w:left w:w="0" w:type="dxa"/>
          <w:bottom w:w="0" w:type="dxa"/>
          <w:right w:w="0" w:type="dxa"/>
        </w:tblCellMar>
      </w:tblPr>
      <w:tblGrid>
        <w:gridCol w:w="967"/>
        <w:gridCol w:w="1242"/>
        <w:gridCol w:w="2142"/>
        <w:gridCol w:w="1492"/>
        <w:gridCol w:w="1750"/>
        <w:gridCol w:w="1370"/>
        <w:gridCol w:w="1072"/>
      </w:tblGrid>
      <w:tr>
        <w:tblPrEx>
          <w:tblCellMar>
            <w:top w:w="0" w:type="dxa"/>
            <w:left w:w="0" w:type="dxa"/>
            <w:bottom w:w="0" w:type="dxa"/>
            <w:right w:w="0" w:type="dxa"/>
          </w:tblCellMar>
        </w:tblPrEx>
        <w:trPr>
          <w:trHeight w:val="272" w:hRule="atLeast"/>
          <w:tblHeader/>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收款日期</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 name="Host_Control__7"/>
                  <wp:cNvGraphicFramePr/>
                  <a:graphic xmlns:a="http://schemas.openxmlformats.org/drawingml/2006/main">
                    <a:graphicData uri="http://schemas.openxmlformats.org/drawingml/2006/picture">
                      <pic:pic xmlns:pic="http://schemas.openxmlformats.org/drawingml/2006/picture">
                        <pic:nvPicPr>
                          <pic:cNvPr id="24" name="Host_Control__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 name="Host_Control__9"/>
                  <wp:cNvGraphicFramePr/>
                  <a:graphic xmlns:a="http://schemas.openxmlformats.org/drawingml/2006/main">
                    <a:graphicData uri="http://schemas.openxmlformats.org/drawingml/2006/picture">
                      <pic:pic xmlns:pic="http://schemas.openxmlformats.org/drawingml/2006/picture">
                        <pic:nvPicPr>
                          <pic:cNvPr id="27" name="Host_Control__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 name="Host_Control__13"/>
                  <wp:cNvGraphicFramePr/>
                  <a:graphic xmlns:a="http://schemas.openxmlformats.org/drawingml/2006/main">
                    <a:graphicData uri="http://schemas.openxmlformats.org/drawingml/2006/picture">
                      <pic:pic xmlns:pic="http://schemas.openxmlformats.org/drawingml/2006/picture">
                        <pic:nvPicPr>
                          <pic:cNvPr id="37" name="Host_Control__1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6" name="Host_Control__21"/>
                  <wp:cNvGraphicFramePr/>
                  <a:graphic xmlns:a="http://schemas.openxmlformats.org/drawingml/2006/main">
                    <a:graphicData uri="http://schemas.openxmlformats.org/drawingml/2006/picture">
                      <pic:pic xmlns:pic="http://schemas.openxmlformats.org/drawingml/2006/picture">
                        <pic:nvPicPr>
                          <pic:cNvPr id="26" name="Host_Control__2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 name="Host_Control__36"/>
                  <wp:cNvGraphicFramePr/>
                  <a:graphic xmlns:a="http://schemas.openxmlformats.org/drawingml/2006/main">
                    <a:graphicData uri="http://schemas.openxmlformats.org/drawingml/2006/picture">
                      <pic:pic xmlns:pic="http://schemas.openxmlformats.org/drawingml/2006/picture">
                        <pic:nvPicPr>
                          <pic:cNvPr id="13" name="Host_Control__36"/>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 name="Host_Control__37"/>
                  <wp:cNvGraphicFramePr/>
                  <a:graphic xmlns:a="http://schemas.openxmlformats.org/drawingml/2006/main">
                    <a:graphicData uri="http://schemas.openxmlformats.org/drawingml/2006/picture">
                      <pic:pic xmlns:pic="http://schemas.openxmlformats.org/drawingml/2006/picture">
                        <pic:nvPicPr>
                          <pic:cNvPr id="19" name="Host_Control__37"/>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 name="Host_Control__35"/>
                  <wp:cNvGraphicFramePr/>
                  <a:graphic xmlns:a="http://schemas.openxmlformats.org/drawingml/2006/main">
                    <a:graphicData uri="http://schemas.openxmlformats.org/drawingml/2006/picture">
                      <pic:pic xmlns:pic="http://schemas.openxmlformats.org/drawingml/2006/picture">
                        <pic:nvPicPr>
                          <pic:cNvPr id="15" name="Host_Control__35"/>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 name="Host_Control__34"/>
                  <wp:cNvGraphicFramePr/>
                  <a:graphic xmlns:a="http://schemas.openxmlformats.org/drawingml/2006/main">
                    <a:graphicData uri="http://schemas.openxmlformats.org/drawingml/2006/picture">
                      <pic:pic xmlns:pic="http://schemas.openxmlformats.org/drawingml/2006/picture">
                        <pic:nvPicPr>
                          <pic:cNvPr id="10" name="Host_Control__3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 name="Host_Control__33"/>
                  <wp:cNvGraphicFramePr/>
                  <a:graphic xmlns:a="http://schemas.openxmlformats.org/drawingml/2006/main">
                    <a:graphicData uri="http://schemas.openxmlformats.org/drawingml/2006/picture">
                      <pic:pic xmlns:pic="http://schemas.openxmlformats.org/drawingml/2006/picture">
                        <pic:nvPicPr>
                          <pic:cNvPr id="21" name="Host_Control__3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 name="Host_Control__32"/>
                  <wp:cNvGraphicFramePr/>
                  <a:graphic xmlns:a="http://schemas.openxmlformats.org/drawingml/2006/main">
                    <a:graphicData uri="http://schemas.openxmlformats.org/drawingml/2006/picture">
                      <pic:pic xmlns:pic="http://schemas.openxmlformats.org/drawingml/2006/picture">
                        <pic:nvPicPr>
                          <pic:cNvPr id="16" name="Host_Control__3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 name="Host_Control__31"/>
                  <wp:cNvGraphicFramePr/>
                  <a:graphic xmlns:a="http://schemas.openxmlformats.org/drawingml/2006/main">
                    <a:graphicData uri="http://schemas.openxmlformats.org/drawingml/2006/picture">
                      <pic:pic xmlns:pic="http://schemas.openxmlformats.org/drawingml/2006/picture">
                        <pic:nvPicPr>
                          <pic:cNvPr id="11" name="Host_Control__3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 name="Host_Control__30"/>
                  <wp:cNvGraphicFramePr/>
                  <a:graphic xmlns:a="http://schemas.openxmlformats.org/drawingml/2006/main">
                    <a:graphicData uri="http://schemas.openxmlformats.org/drawingml/2006/picture">
                      <pic:pic xmlns:pic="http://schemas.openxmlformats.org/drawingml/2006/picture">
                        <pic:nvPicPr>
                          <pic:cNvPr id="22" name="Host_Control__30"/>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 name="Host_Control__29"/>
                  <wp:cNvGraphicFramePr/>
                  <a:graphic xmlns:a="http://schemas.openxmlformats.org/drawingml/2006/main">
                    <a:graphicData uri="http://schemas.openxmlformats.org/drawingml/2006/picture">
                      <pic:pic xmlns:pic="http://schemas.openxmlformats.org/drawingml/2006/picture">
                        <pic:nvPicPr>
                          <pic:cNvPr id="31" name="Host_Control__29"/>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 name="Host_Control__28"/>
                  <wp:cNvGraphicFramePr/>
                  <a:graphic xmlns:a="http://schemas.openxmlformats.org/drawingml/2006/main">
                    <a:graphicData uri="http://schemas.openxmlformats.org/drawingml/2006/picture">
                      <pic:pic xmlns:pic="http://schemas.openxmlformats.org/drawingml/2006/picture">
                        <pic:nvPicPr>
                          <pic:cNvPr id="32" name="Host_Control__28"/>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 name="Host_Control__27"/>
                  <wp:cNvGraphicFramePr/>
                  <a:graphic xmlns:a="http://schemas.openxmlformats.org/drawingml/2006/main">
                    <a:graphicData uri="http://schemas.openxmlformats.org/drawingml/2006/picture">
                      <pic:pic xmlns:pic="http://schemas.openxmlformats.org/drawingml/2006/picture">
                        <pic:nvPicPr>
                          <pic:cNvPr id="30" name="Host_Control__27"/>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 name="Host_Control__26"/>
                  <wp:cNvGraphicFramePr/>
                  <a:graphic xmlns:a="http://schemas.openxmlformats.org/drawingml/2006/main">
                    <a:graphicData uri="http://schemas.openxmlformats.org/drawingml/2006/picture">
                      <pic:pic xmlns:pic="http://schemas.openxmlformats.org/drawingml/2006/picture">
                        <pic:nvPicPr>
                          <pic:cNvPr id="29" name="Host_Control__2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 name="Host_Control__25"/>
                  <wp:cNvGraphicFramePr/>
                  <a:graphic xmlns:a="http://schemas.openxmlformats.org/drawingml/2006/main">
                    <a:graphicData uri="http://schemas.openxmlformats.org/drawingml/2006/picture">
                      <pic:pic xmlns:pic="http://schemas.openxmlformats.org/drawingml/2006/picture">
                        <pic:nvPicPr>
                          <pic:cNvPr id="12" name="Host_Control__2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8" name="Host_Control__24"/>
                  <wp:cNvGraphicFramePr/>
                  <a:graphic xmlns:a="http://schemas.openxmlformats.org/drawingml/2006/main">
                    <a:graphicData uri="http://schemas.openxmlformats.org/drawingml/2006/picture">
                      <pic:pic xmlns:pic="http://schemas.openxmlformats.org/drawingml/2006/picture">
                        <pic:nvPicPr>
                          <pic:cNvPr id="18" name="Host_Control__2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 name="Host_Control__23"/>
                  <wp:cNvGraphicFramePr/>
                  <a:graphic xmlns:a="http://schemas.openxmlformats.org/drawingml/2006/main">
                    <a:graphicData uri="http://schemas.openxmlformats.org/drawingml/2006/picture">
                      <pic:pic xmlns:pic="http://schemas.openxmlformats.org/drawingml/2006/picture">
                        <pic:nvPicPr>
                          <pic:cNvPr id="4" name="Host_Control__2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 name="Host_Control__20"/>
                  <wp:cNvGraphicFramePr/>
                  <a:graphic xmlns:a="http://schemas.openxmlformats.org/drawingml/2006/main">
                    <a:graphicData uri="http://schemas.openxmlformats.org/drawingml/2006/picture">
                      <pic:pic xmlns:pic="http://schemas.openxmlformats.org/drawingml/2006/picture">
                        <pic:nvPicPr>
                          <pic:cNvPr id="20" name="Host_Control__2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 name="Host_Control__22"/>
                  <wp:cNvGraphicFramePr/>
                  <a:graphic xmlns:a="http://schemas.openxmlformats.org/drawingml/2006/main">
                    <a:graphicData uri="http://schemas.openxmlformats.org/drawingml/2006/picture">
                      <pic:pic xmlns:pic="http://schemas.openxmlformats.org/drawingml/2006/picture">
                        <pic:nvPicPr>
                          <pic:cNvPr id="38" name="Host_Control__2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 name="Host_Control__19"/>
                  <wp:cNvGraphicFramePr/>
                  <a:graphic xmlns:a="http://schemas.openxmlformats.org/drawingml/2006/main">
                    <a:graphicData uri="http://schemas.openxmlformats.org/drawingml/2006/picture">
                      <pic:pic xmlns:pic="http://schemas.openxmlformats.org/drawingml/2006/picture">
                        <pic:nvPicPr>
                          <pic:cNvPr id="33" name="Host_Control__1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 name="Host_Control__18"/>
                  <wp:cNvGraphicFramePr/>
                  <a:graphic xmlns:a="http://schemas.openxmlformats.org/drawingml/2006/main">
                    <a:graphicData uri="http://schemas.openxmlformats.org/drawingml/2006/picture">
                      <pic:pic xmlns:pic="http://schemas.openxmlformats.org/drawingml/2006/picture">
                        <pic:nvPicPr>
                          <pic:cNvPr id="39" name="Host_Control__1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 name="Host_Control__17"/>
                  <wp:cNvGraphicFramePr/>
                  <a:graphic xmlns:a="http://schemas.openxmlformats.org/drawingml/2006/main">
                    <a:graphicData uri="http://schemas.openxmlformats.org/drawingml/2006/picture">
                      <pic:pic xmlns:pic="http://schemas.openxmlformats.org/drawingml/2006/picture">
                        <pic:nvPicPr>
                          <pic:cNvPr id="34" name="Host_Control__1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 name="Host_Control__16"/>
                  <wp:cNvGraphicFramePr/>
                  <a:graphic xmlns:a="http://schemas.openxmlformats.org/drawingml/2006/main">
                    <a:graphicData uri="http://schemas.openxmlformats.org/drawingml/2006/picture">
                      <pic:pic xmlns:pic="http://schemas.openxmlformats.org/drawingml/2006/picture">
                        <pic:nvPicPr>
                          <pic:cNvPr id="36" name="Host_Control__1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 name="Host_Control__15"/>
                  <wp:cNvGraphicFramePr/>
                  <a:graphic xmlns:a="http://schemas.openxmlformats.org/drawingml/2006/main">
                    <a:graphicData uri="http://schemas.openxmlformats.org/drawingml/2006/picture">
                      <pic:pic xmlns:pic="http://schemas.openxmlformats.org/drawingml/2006/picture">
                        <pic:nvPicPr>
                          <pic:cNvPr id="35" name="Host_Control__1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7" name="Host_Control__12"/>
                  <wp:cNvGraphicFramePr/>
                  <a:graphic xmlns:a="http://schemas.openxmlformats.org/drawingml/2006/main">
                    <a:graphicData uri="http://schemas.openxmlformats.org/drawingml/2006/picture">
                      <pic:pic xmlns:pic="http://schemas.openxmlformats.org/drawingml/2006/picture">
                        <pic:nvPicPr>
                          <pic:cNvPr id="17" name="Host_Control__1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 name="Host_Control__14"/>
                  <wp:cNvGraphicFramePr/>
                  <a:graphic xmlns:a="http://schemas.openxmlformats.org/drawingml/2006/main">
                    <a:graphicData uri="http://schemas.openxmlformats.org/drawingml/2006/picture">
                      <pic:pic xmlns:pic="http://schemas.openxmlformats.org/drawingml/2006/picture">
                        <pic:nvPicPr>
                          <pic:cNvPr id="14" name="Host_Control__1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 name="Host_Control__11"/>
                  <wp:cNvGraphicFramePr/>
                  <a:graphic xmlns:a="http://schemas.openxmlformats.org/drawingml/2006/main">
                    <a:graphicData uri="http://schemas.openxmlformats.org/drawingml/2006/picture">
                      <pic:pic xmlns:pic="http://schemas.openxmlformats.org/drawingml/2006/picture">
                        <pic:nvPicPr>
                          <pic:cNvPr id="23" name="Host_Control__1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 name="Host_Control__8"/>
                  <wp:cNvGraphicFramePr/>
                  <a:graphic xmlns:a="http://schemas.openxmlformats.org/drawingml/2006/main">
                    <a:graphicData uri="http://schemas.openxmlformats.org/drawingml/2006/picture">
                      <pic:pic xmlns:pic="http://schemas.openxmlformats.org/drawingml/2006/picture">
                        <pic:nvPicPr>
                          <pic:cNvPr id="28" name="Host_Control__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5" name="Host_Control__10"/>
                  <wp:cNvGraphicFramePr/>
                  <a:graphic xmlns:a="http://schemas.openxmlformats.org/drawingml/2006/main">
                    <a:graphicData uri="http://schemas.openxmlformats.org/drawingml/2006/picture">
                      <pic:pic xmlns:pic="http://schemas.openxmlformats.org/drawingml/2006/picture">
                        <pic:nvPicPr>
                          <pic:cNvPr id="25" name="Host_Control__1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lang w:val="en-US" w:eastAsia="zh-CN" w:bidi="ar"/>
              </w:rPr>
              <w:t>付款方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用款类型</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国家金库武汉市东湖开发区支库（代理）</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个人所得税</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165,658.25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短信通服务费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短信通知手续费收入（对公）</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国家金库武汉市东湖开发区支库（代理）</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增值税</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支付利息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中国工商银行工资专用账户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发工资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1,647,267.20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32.95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平潭荣文投资合伙企业（有限合伙）</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支付利息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14,005,437.74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转账手续费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25.80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国网湖北省电力有限公司武汉供电公司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电费及服务费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94,743.37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5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国家金库武汉市东湖开发区支库</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印花税</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56,898.50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5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国家金库武汉市东湖开发区支库</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企业职工基本养老保险费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65,916.16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5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国家金库武汉市东湖开发区支库</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失业保险费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2,471.95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5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国家金库武汉市东湖开发区支库</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基本医疗保险费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88,575.77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上海英斯佛朗环境景观规划设计有限公司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商票承兑工程款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523,750.00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北京戴德梁行物业管理有限公司武汉分公司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2,824.86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耿翔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19,687.00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耿翔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18,546.00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黄吉康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3,279.50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耿翔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18,797.00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25,040.00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甘露</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上海济翔实业有限公司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王艳坤</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14,127.00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李钦</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严兴华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11,544.00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吴汉明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杜顺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秦晗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谢志飞</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梁绍伟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杜顺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安徽美厚醇香酒业销售有限公司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8,295.00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崔梦雪</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12,917.00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4,597.44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胡小松</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杨沅法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崔梦雪</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1,517.60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1,640.90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3,956.99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26,030.00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福州华祥苑茶业有限公司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杜顺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汪仁义</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2,770.00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汪仁义</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杜顺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梁绍伟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11,489.00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李梅玲</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梁绍伟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16,601.00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屈俊雄</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胡译文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胡译文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手续费撤销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16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网银跨行汇款失败，原交易流水号：901317026565，收款行拒绝原因：借记卡卡号不存在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李冬梅</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涂若男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吴娜</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补贴－备注：退预约金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周冬</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郝江波</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财务报销－备注：退预约金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76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武汉住房公积金管理中心</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汇补缴-20201216198138</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220,715.40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李玉玲</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秦晗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919.00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吴育炎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10,364.69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吴育炎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12,998.00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2,716.00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舒天雄</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刘昶</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吴育炎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13,457.00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甘露</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5,227.00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快递费报销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团建费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安徽美厚醇香酒业销售有限公司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吴莞</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工商加急</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吴育炎</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杜顺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刘阳</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团建费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2,443.00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杨志秘</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秦晗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刘茜</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1,673.00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1,536.70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章强</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732.50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杨志秘</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杨志秘</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1,318.00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员工福利费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周春雷</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7,132.00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王维</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杨沅法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3,169.00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张小街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2,481.84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胡飞武</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邓翔</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团建费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胡飞武</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杨沅法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物业费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97,403.59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杨沅法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刘力文</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刘晓</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税盘报销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喻苗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退预约金</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网银注册账户服务费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上海潜意识广告有限公司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武汉市山之田模型艺术设计有限公司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手续费撤销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武汉简一文化传媒有限公司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武汉简一文化传媒有限公司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武汉中桢广告有限公司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武汉中桢广告有限公司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112,806.48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手续费撤销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上海世通信息技术有限公司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收款行拒绝</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上海世通信息技术有限公司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武汉简一文化传媒有限公司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武汉显扬广告有限公司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38,797.00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武汉蔚蓝文化传播有限公司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武汉蔚蓝文化传播有限公司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武汉蔚蓝文化传播有限公司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90,300.00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武汉蔚蓝文化传播有限公司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物业费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240,286.40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开发贷利息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3,433,986.11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光大银行2228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开发贷利息</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5,150,979.17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光大银行2228</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胡浩</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李慧</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1,832.54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武汉小盆景芙蓉堂酒店管理有限公司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7,501.00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汪仁义</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1,783.00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张小街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爬山俱乐部报销</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物业费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41,092.13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熊伟</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武汉旭日互动文化传播有限公司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活动费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12,720.00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南京铂讯信息科技有限公司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武汉创联凯尔咨询顾问有限公司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1,030.46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甘露</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武汉德美印刷有限公司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物料费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11,706.00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物业费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29,724.79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2,705.00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汤天志</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上海利宾实业有限公司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采购费用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11,779.00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一鼎</w:t>
            </w:r>
            <w:r>
              <w:rPr>
                <w:rFonts w:hint="default" w:ascii="Arial" w:hAnsi="Arial" w:eastAsia="宋体" w:cs="Arial"/>
                <w:i w:val="0"/>
                <w:color w:val="000000"/>
                <w:kern w:val="0"/>
                <w:sz w:val="18"/>
                <w:szCs w:val="18"/>
                <w:u w:val="none"/>
                <w:lang w:val="en-US" w:eastAsia="zh-CN" w:bidi="ar"/>
              </w:rPr>
              <w:t>（福建）生态园林建设有限公司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32,800.00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上海潜意识广告有限公司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武汉鑫佳捷印务有限公司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64,066.48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陈琦</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水果采购费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武汉简一文化传媒有限公司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武汉道和元方文化传播有限公司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50,503.00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上海世意信息技术有限公司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武汉道和元方文化传播有限公司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武汉道和元方文化传播有限公司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潘燕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911.40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潘燕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760.68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潘燕</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电子汇划费收入</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对公</w:t>
            </w:r>
            <w:r>
              <w:rPr>
                <w:rFonts w:hint="default" w:ascii="Arial" w:hAnsi="Arial" w:eastAsia="宋体" w:cs="Arial"/>
                <w:i w:val="0"/>
                <w:color w:val="000000"/>
                <w:kern w:val="0"/>
                <w:sz w:val="18"/>
                <w:szCs w:val="18"/>
                <w:highlight w:val="none"/>
                <w:u w:val="none"/>
                <w:lang w:val="en-US" w:eastAsia="zh-CN" w:bidi="ar"/>
              </w:rPr>
              <w:t>)</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武汉鑫源世隆商贸有限公司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9,250,000.00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湖北福珍建筑工程有限公司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湖北建鄂勘察设计审查咨询有限公司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万众隆项目管理有限公司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239,433.72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宁夏伊</w:t>
            </w:r>
            <w:r>
              <w:rPr>
                <w:rFonts w:hint="default" w:ascii="Arial" w:hAnsi="Arial" w:eastAsia="宋体" w:cs="Arial"/>
                <w:i w:val="0"/>
                <w:color w:val="000000"/>
                <w:kern w:val="0"/>
                <w:sz w:val="18"/>
                <w:szCs w:val="18"/>
                <w:highlight w:val="none"/>
                <w:u w:val="none"/>
                <w:lang w:val="en-US" w:eastAsia="zh-CN" w:bidi="ar"/>
              </w:rPr>
              <w:t>地地</w:t>
            </w:r>
            <w:r>
              <w:rPr>
                <w:rFonts w:hint="default" w:ascii="Arial" w:hAnsi="Arial" w:eastAsia="宋体" w:cs="Arial"/>
                <w:i w:val="0"/>
                <w:color w:val="000000"/>
                <w:kern w:val="0"/>
                <w:sz w:val="18"/>
                <w:szCs w:val="18"/>
                <w:u w:val="none"/>
                <w:lang w:val="en-US" w:eastAsia="zh-CN" w:bidi="ar"/>
              </w:rPr>
              <w:t>质工程有限公司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江西方正工程监理造价咨询有限公司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电子汇划费收入</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对公</w:t>
            </w:r>
            <w:r>
              <w:rPr>
                <w:rFonts w:hint="default" w:ascii="Arial" w:hAnsi="Arial" w:eastAsia="宋体" w:cs="Arial"/>
                <w:i w:val="0"/>
                <w:color w:val="000000"/>
                <w:kern w:val="0"/>
                <w:sz w:val="18"/>
                <w:szCs w:val="18"/>
                <w:highlight w:val="none"/>
                <w:u w:val="none"/>
                <w:lang w:val="en-US" w:eastAsia="zh-CN" w:bidi="ar"/>
              </w:rPr>
              <w:t>)</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正荣地产控股股份有限公司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58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313,906,772.06 </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Arial" w:hAnsi="Arial" w:eastAsia="宋体" w:cs="Arial"/>
                <w:i w:val="0"/>
                <w:color w:val="000000"/>
                <w:sz w:val="18"/>
                <w:szCs w:val="18"/>
                <w:u w:val="none"/>
              </w:rPr>
            </w:pPr>
          </w:p>
        </w:tc>
      </w:tr>
    </w:tbl>
    <w:p>
      <w:pPr>
        <w:widowControl/>
        <w:jc w:val="center"/>
        <w:textAlignment w:val="center"/>
        <w:rPr>
          <w:rFonts w:hint="default" w:ascii="Arial" w:hAnsi="Arial" w:cs="Arial"/>
          <w:b/>
          <w:color w:val="000000"/>
          <w:sz w:val="24"/>
        </w:rPr>
      </w:pPr>
    </w:p>
    <w:p>
      <w:pPr>
        <w:widowControl w:val="0"/>
        <w:spacing w:before="313" w:beforeLines="100" w:line="240" w:lineRule="auto"/>
        <w:jc w:val="center"/>
        <w:textAlignment w:val="auto"/>
        <w:rPr>
          <w:rFonts w:hint="eastAsia" w:ascii="Arial" w:hAnsi="Arial" w:cs="Arial"/>
          <w:b/>
          <w:bCs w:val="0"/>
          <w:kern w:val="44"/>
          <w:sz w:val="24"/>
          <w:szCs w:val="24"/>
          <w:lang w:val="en-US" w:eastAsia="zh-CN"/>
        </w:rPr>
      </w:pPr>
      <w:r>
        <w:rPr>
          <w:rFonts w:ascii="Arial" w:hAnsi="Arial" w:cs="Arial"/>
          <w:b/>
          <w:bCs w:val="0"/>
          <w:color w:val="auto"/>
          <w:kern w:val="44"/>
          <w:sz w:val="24"/>
          <w:szCs w:val="24"/>
        </w:rPr>
        <w:t>2020年1</w:t>
      </w:r>
      <w:r>
        <w:rPr>
          <w:rFonts w:hint="eastAsia" w:ascii="Arial" w:hAnsi="Arial" w:cs="Arial"/>
          <w:b/>
          <w:bCs w:val="0"/>
          <w:color w:val="auto"/>
          <w:kern w:val="44"/>
          <w:sz w:val="24"/>
          <w:szCs w:val="24"/>
          <w:lang w:val="en-US" w:eastAsia="zh-CN"/>
        </w:rPr>
        <w:t>2</w:t>
      </w:r>
      <w:r>
        <w:rPr>
          <w:rFonts w:ascii="Arial" w:hAnsi="Arial" w:cs="Arial"/>
          <w:b/>
          <w:bCs w:val="0"/>
          <w:color w:val="auto"/>
          <w:kern w:val="44"/>
          <w:sz w:val="24"/>
          <w:szCs w:val="24"/>
          <w:highlight w:val="none"/>
        </w:rPr>
        <w:t>月商</w:t>
      </w:r>
      <w:r>
        <w:rPr>
          <w:rFonts w:ascii="Arial" w:hAnsi="Arial" w:cs="Arial"/>
          <w:b/>
          <w:bCs w:val="0"/>
          <w:color w:val="auto"/>
          <w:kern w:val="44"/>
          <w:sz w:val="24"/>
          <w:szCs w:val="24"/>
        </w:rPr>
        <w:t>票支付</w:t>
      </w:r>
      <w:r>
        <w:rPr>
          <w:rFonts w:hint="eastAsia" w:ascii="Arial" w:hAnsi="Arial" w:cs="Arial"/>
          <w:b/>
          <w:bCs w:val="0"/>
          <w:kern w:val="44"/>
          <w:sz w:val="24"/>
          <w:szCs w:val="24"/>
          <w:lang w:val="en-US" w:eastAsia="zh-CN"/>
        </w:rPr>
        <w:t>情况</w:t>
      </w:r>
    </w:p>
    <w:tbl>
      <w:tblPr>
        <w:tblStyle w:val="23"/>
        <w:tblW w:w="10305" w:type="dxa"/>
        <w:jc w:val="center"/>
        <w:shd w:val="clear" w:color="auto" w:fill="auto"/>
        <w:tblLayout w:type="autofit"/>
        <w:tblCellMar>
          <w:top w:w="0" w:type="dxa"/>
          <w:left w:w="0" w:type="dxa"/>
          <w:bottom w:w="0" w:type="dxa"/>
          <w:right w:w="0" w:type="dxa"/>
        </w:tblCellMar>
      </w:tblPr>
      <w:tblGrid>
        <w:gridCol w:w="1162"/>
        <w:gridCol w:w="1105"/>
        <w:gridCol w:w="3034"/>
        <w:gridCol w:w="1448"/>
        <w:gridCol w:w="1289"/>
        <w:gridCol w:w="1523"/>
        <w:gridCol w:w="744"/>
      </w:tblGrid>
      <w:tr>
        <w:tblPrEx>
          <w:shd w:val="clear" w:color="auto" w:fill="auto"/>
          <w:tblCellMar>
            <w:top w:w="0" w:type="dxa"/>
            <w:left w:w="0" w:type="dxa"/>
            <w:bottom w:w="0" w:type="dxa"/>
            <w:right w:w="0" w:type="dxa"/>
          </w:tblCellMar>
        </w:tblPrEx>
        <w:trPr>
          <w:trHeight w:val="27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出票日期</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承兑日期</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汇票号码</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收款单位</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开票银行</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开票金额（元）</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款项性质</w:t>
            </w:r>
          </w:p>
        </w:tc>
      </w:tr>
      <w:tr>
        <w:tblPrEx>
          <w:tblCellMar>
            <w:top w:w="0" w:type="dxa"/>
            <w:left w:w="0" w:type="dxa"/>
            <w:bottom w:w="0" w:type="dxa"/>
            <w:right w:w="0" w:type="dxa"/>
          </w:tblCellMar>
        </w:tblPrEx>
        <w:trPr>
          <w:trHeight w:val="51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2021-06-30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210252100040920201231812673711</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中国核工业二三建设有限公司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工商银行汉阳支行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合同款</w:t>
            </w:r>
          </w:p>
        </w:tc>
      </w:tr>
      <w:tr>
        <w:tblPrEx>
          <w:shd w:val="clear" w:color="auto" w:fill="auto"/>
          <w:tblCellMar>
            <w:top w:w="0" w:type="dxa"/>
            <w:left w:w="0" w:type="dxa"/>
            <w:bottom w:w="0" w:type="dxa"/>
            <w:right w:w="0" w:type="dxa"/>
          </w:tblCellMar>
        </w:tblPrEx>
        <w:trPr>
          <w:trHeight w:val="51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2021-06-30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210252100040920201231812673746</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中国核工业二三建设有限公司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工商银行汉阳支行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合同款</w:t>
            </w:r>
          </w:p>
        </w:tc>
      </w:tr>
      <w:tr>
        <w:tblPrEx>
          <w:tblCellMar>
            <w:top w:w="0" w:type="dxa"/>
            <w:left w:w="0" w:type="dxa"/>
            <w:bottom w:w="0" w:type="dxa"/>
            <w:right w:w="0" w:type="dxa"/>
          </w:tblCellMar>
        </w:tblPrEx>
        <w:trPr>
          <w:trHeight w:val="51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2021-06-30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210252100040920201231812673779</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中国核工业二三建设有限公司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工商银行汉阳支行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合同款</w:t>
            </w:r>
          </w:p>
        </w:tc>
      </w:tr>
      <w:tr>
        <w:tblPrEx>
          <w:tblCellMar>
            <w:top w:w="0" w:type="dxa"/>
            <w:left w:w="0" w:type="dxa"/>
            <w:bottom w:w="0" w:type="dxa"/>
            <w:right w:w="0" w:type="dxa"/>
          </w:tblCellMar>
        </w:tblPrEx>
        <w:trPr>
          <w:trHeight w:val="51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2021-06-30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210252100040920201231812673754</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中国核工业二三建设有限公司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工商银行汉阳支行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合同款</w:t>
            </w:r>
          </w:p>
        </w:tc>
      </w:tr>
      <w:tr>
        <w:tblPrEx>
          <w:tblCellMar>
            <w:top w:w="0" w:type="dxa"/>
            <w:left w:w="0" w:type="dxa"/>
            <w:bottom w:w="0" w:type="dxa"/>
            <w:right w:w="0" w:type="dxa"/>
          </w:tblCellMar>
        </w:tblPrEx>
        <w:trPr>
          <w:trHeight w:val="510" w:hRule="atLeast"/>
          <w:jc w:val="center"/>
        </w:trPr>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2021-06-30</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210252100040920201231812673738</w:t>
            </w:r>
          </w:p>
        </w:tc>
        <w:tc>
          <w:tcPr>
            <w:tcW w:w="1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中国核工业二三建设有限公司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工商银行汉阳支行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合同款</w:t>
            </w:r>
          </w:p>
        </w:tc>
      </w:tr>
    </w:tbl>
    <w:p>
      <w:pPr>
        <w:widowControl/>
        <w:jc w:val="center"/>
        <w:textAlignment w:val="center"/>
        <w:rPr>
          <w:rFonts w:hint="default" w:ascii="Arial" w:hAnsi="Arial" w:cs="Arial"/>
          <w:b/>
          <w:color w:val="000000"/>
          <w:sz w:val="24"/>
        </w:rPr>
      </w:pPr>
    </w:p>
    <w:p>
      <w:pPr>
        <w:widowControl/>
        <w:jc w:val="center"/>
        <w:textAlignment w:val="center"/>
        <w:rPr>
          <w:rFonts w:hint="default" w:ascii="Arial" w:hAnsi="Arial" w:cs="Arial"/>
          <w:b/>
          <w:color w:val="000000"/>
          <w:sz w:val="24"/>
        </w:rPr>
      </w:pPr>
    </w:p>
    <w:p>
      <w:pPr>
        <w:widowControl/>
        <w:spacing w:before="313" w:beforeLines="100"/>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2</w:t>
      </w:r>
      <w:r>
        <w:rPr>
          <w:rFonts w:hint="default" w:ascii="Arial" w:hAnsi="Arial" w:cs="Arial"/>
          <w:b/>
          <w:color w:val="000000"/>
          <w:sz w:val="24"/>
        </w:rPr>
        <w:t>月账内互转表</w:t>
      </w:r>
    </w:p>
    <w:tbl>
      <w:tblPr>
        <w:tblStyle w:val="23"/>
        <w:tblW w:w="9735" w:type="dxa"/>
        <w:tblInd w:w="0" w:type="dxa"/>
        <w:shd w:val="clear" w:color="auto" w:fill="auto"/>
        <w:tblLayout w:type="autofit"/>
        <w:tblCellMar>
          <w:top w:w="0" w:type="dxa"/>
          <w:left w:w="0" w:type="dxa"/>
          <w:bottom w:w="0" w:type="dxa"/>
          <w:right w:w="0" w:type="dxa"/>
        </w:tblCellMar>
      </w:tblPr>
      <w:tblGrid>
        <w:gridCol w:w="1005"/>
        <w:gridCol w:w="3420"/>
        <w:gridCol w:w="1350"/>
        <w:gridCol w:w="1350"/>
        <w:gridCol w:w="1485"/>
        <w:gridCol w:w="1125"/>
      </w:tblGrid>
      <w:tr>
        <w:tblPrEx>
          <w:shd w:val="clear" w:color="auto" w:fill="auto"/>
          <w:tblCellMar>
            <w:top w:w="0" w:type="dxa"/>
            <w:left w:w="0" w:type="dxa"/>
            <w:bottom w:w="0" w:type="dxa"/>
            <w:right w:w="0" w:type="dxa"/>
          </w:tblCellMar>
        </w:tblPrEx>
        <w:trPr>
          <w:cantSplit/>
          <w:trHeight w:val="272" w:hRule="atLeast"/>
          <w:tblHeader/>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事由</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付款行</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申请日期</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转小额账户</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支付商票承兑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523,750.00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7,670,000.00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支付开发贷利息</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光大银行2228</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8,584,965.28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3,285,074.00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12,930,000.00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16,240,000.00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1,746,000.00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光大预售1088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6,160,000.00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2020-12-31</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光大预售1088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5,040,000.00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2020-12-31</w:t>
            </w:r>
          </w:p>
        </w:tc>
      </w:tr>
      <w:tr>
        <w:tblPrEx>
          <w:shd w:val="clear" w:color="auto" w:fill="auto"/>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光大预售2665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8,310,000.00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2020-12-31</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none"/>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光大预售9112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6,700,000.00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2020-12-31</w:t>
            </w:r>
          </w:p>
        </w:tc>
      </w:tr>
    </w:tbl>
    <w:p>
      <w:pPr>
        <w:pStyle w:val="3"/>
        <w:spacing w:before="300" w:after="300" w:line="360" w:lineRule="exact"/>
        <w:rPr>
          <w:rFonts w:hint="default" w:ascii="Arial" w:hAnsi="Arial" w:eastAsia="宋体" w:cs="Arial"/>
          <w:sz w:val="24"/>
          <w:szCs w:val="24"/>
        </w:rPr>
      </w:pPr>
      <w:bookmarkStart w:id="82" w:name="_Toc10592"/>
      <w:bookmarkStart w:id="83" w:name="_Toc12484"/>
      <w:bookmarkStart w:id="84" w:name="_Toc50218139"/>
      <w:bookmarkStart w:id="85" w:name="_Toc16162"/>
      <w:bookmarkStart w:id="86" w:name="_Toc50218140"/>
      <w:r>
        <w:rPr>
          <w:rFonts w:hint="default" w:ascii="Arial" w:hAnsi="Arial" w:eastAsia="宋体" w:cs="Arial"/>
          <w:sz w:val="24"/>
          <w:szCs w:val="24"/>
        </w:rPr>
        <w:t>8.3 资金流入情况</w:t>
      </w:r>
      <w:bookmarkEnd w:id="82"/>
      <w:bookmarkEnd w:id="83"/>
      <w:bookmarkEnd w:id="84"/>
      <w:bookmarkEnd w:id="85"/>
    </w:p>
    <w:p>
      <w:pPr>
        <w:spacing w:before="300" w:after="300" w:line="480" w:lineRule="auto"/>
        <w:ind w:firstLine="420" w:firstLineChars="200"/>
        <w:rPr>
          <w:rFonts w:hint="default" w:ascii="Arial" w:hAnsi="Arial" w:eastAsia="宋体" w:cs="Arial"/>
          <w:b/>
          <w:bCs/>
          <w:sz w:val="21"/>
          <w:szCs w:val="21"/>
        </w:rPr>
      </w:pPr>
      <w:r>
        <w:rPr>
          <w:rFonts w:hint="default" w:ascii="Arial" w:hAnsi="Arial" w:cs="Arial"/>
          <w:bCs/>
          <w:kern w:val="44"/>
          <w:szCs w:val="21"/>
        </w:rPr>
        <w:t>2020年</w:t>
      </w:r>
      <w:r>
        <w:rPr>
          <w:rFonts w:hint="default" w:ascii="Arial" w:hAnsi="Arial" w:cs="Arial"/>
          <w:bCs/>
          <w:kern w:val="44"/>
          <w:szCs w:val="21"/>
          <w:lang w:val="en-US" w:eastAsia="zh-CN"/>
        </w:rPr>
        <w:t>1</w:t>
      </w:r>
      <w:r>
        <w:rPr>
          <w:rFonts w:hint="eastAsia" w:ascii="Arial" w:hAnsi="Arial" w:cs="Arial"/>
          <w:bCs/>
          <w:kern w:val="44"/>
          <w:szCs w:val="21"/>
          <w:lang w:val="en-US" w:eastAsia="zh-CN"/>
        </w:rPr>
        <w:t>2</w:t>
      </w:r>
      <w:r>
        <w:rPr>
          <w:rFonts w:hint="default" w:ascii="Arial" w:hAnsi="Arial" w:cs="Arial"/>
          <w:bCs/>
          <w:kern w:val="44"/>
          <w:szCs w:val="21"/>
        </w:rPr>
        <w:t>月监管范围内各类资金流入共计</w:t>
      </w:r>
      <w:r>
        <w:rPr>
          <w:rFonts w:hint="default" w:ascii="Arial" w:hAnsi="Arial" w:eastAsia="宋体" w:cs="Arial"/>
          <w:i w:val="0"/>
          <w:color w:val="000000"/>
          <w:kern w:val="0"/>
          <w:sz w:val="20"/>
          <w:szCs w:val="20"/>
          <w:u w:val="none"/>
          <w:lang w:val="en-US" w:eastAsia="zh-CN" w:bidi="ar"/>
        </w:rPr>
        <w:t>267,198,626.43</w:t>
      </w:r>
      <w:r>
        <w:rPr>
          <w:rFonts w:hint="default" w:ascii="Arial" w:hAnsi="Arial" w:cs="Arial"/>
          <w:bCs/>
          <w:kern w:val="44"/>
          <w:szCs w:val="21"/>
        </w:rPr>
        <w:t>元，其中销售回款流入</w:t>
      </w:r>
      <w:r>
        <w:rPr>
          <w:rFonts w:hint="default" w:ascii="Arial" w:hAnsi="Arial" w:eastAsia="宋体" w:cs="Arial"/>
          <w:i w:val="0"/>
          <w:color w:val="000000"/>
          <w:kern w:val="0"/>
          <w:sz w:val="20"/>
          <w:szCs w:val="20"/>
          <w:u w:val="none"/>
          <w:lang w:val="en-US" w:eastAsia="zh-CN" w:bidi="ar"/>
        </w:rPr>
        <w:t>101,106,815.00</w:t>
      </w:r>
      <w:r>
        <w:rPr>
          <w:rFonts w:hint="default" w:ascii="Arial" w:hAnsi="Arial" w:cs="Arial"/>
          <w:bCs/>
          <w:kern w:val="44"/>
          <w:szCs w:val="21"/>
          <w:lang w:bidi="ar"/>
        </w:rPr>
        <w:t>元，</w:t>
      </w:r>
      <w:r>
        <w:rPr>
          <w:rFonts w:hint="default" w:ascii="Arial" w:hAnsi="Arial" w:cs="Arial"/>
          <w:bCs/>
          <w:kern w:val="44"/>
          <w:szCs w:val="21"/>
        </w:rPr>
        <w:t>其他资金流入额</w:t>
      </w:r>
      <w:r>
        <w:rPr>
          <w:rFonts w:hint="default" w:ascii="Arial" w:hAnsi="Arial" w:eastAsia="宋体" w:cs="Arial"/>
          <w:i w:val="0"/>
          <w:color w:val="000000"/>
          <w:kern w:val="0"/>
          <w:sz w:val="20"/>
          <w:szCs w:val="20"/>
          <w:u w:val="none"/>
          <w:lang w:val="en-US" w:eastAsia="zh-CN" w:bidi="ar"/>
        </w:rPr>
        <w:t>166,091,811.43</w:t>
      </w:r>
      <w:r>
        <w:rPr>
          <w:rFonts w:hint="default" w:ascii="Arial" w:hAnsi="Arial" w:cs="Arial"/>
          <w:bCs/>
          <w:kern w:val="44"/>
          <w:szCs w:val="21"/>
        </w:rPr>
        <w:t>元。</w:t>
      </w:r>
      <w:bookmarkStart w:id="87" w:name="_Toc24752"/>
      <w:bookmarkStart w:id="88" w:name="_Toc20087"/>
      <w:bookmarkStart w:id="89" w:name="_Toc9400"/>
    </w:p>
    <w:p>
      <w:pPr>
        <w:pStyle w:val="4"/>
        <w:spacing w:before="300" w:after="300" w:line="360" w:lineRule="exact"/>
        <w:rPr>
          <w:rFonts w:hint="default" w:ascii="Arial" w:hAnsi="Arial" w:eastAsia="宋体" w:cs="Arial"/>
          <w:sz w:val="24"/>
          <w:szCs w:val="24"/>
        </w:rPr>
      </w:pPr>
      <w:r>
        <w:rPr>
          <w:rFonts w:hint="default" w:ascii="Arial" w:hAnsi="Arial" w:eastAsia="宋体" w:cs="Arial"/>
          <w:b/>
          <w:bCs/>
          <w:sz w:val="24"/>
          <w:szCs w:val="24"/>
        </w:rPr>
        <w:t>8.3.1其他资金流入明细</w:t>
      </w:r>
      <w:bookmarkEnd w:id="86"/>
      <w:bookmarkEnd w:id="87"/>
      <w:bookmarkEnd w:id="88"/>
      <w:bookmarkEnd w:id="89"/>
    </w:p>
    <w:p>
      <w:pPr>
        <w:widowControl/>
        <w:jc w:val="center"/>
        <w:textAlignment w:val="center"/>
        <w:rPr>
          <w:rFonts w:hint="default" w:ascii="Arial" w:hAnsi="Arial" w:cs="Arial"/>
          <w:b/>
          <w:color w:val="000000"/>
          <w:sz w:val="24"/>
        </w:rPr>
      </w:pPr>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eastAsia" w:ascii="Arial" w:hAnsi="Arial" w:cs="Arial"/>
          <w:b/>
          <w:color w:val="000000"/>
          <w:sz w:val="24"/>
          <w:lang w:val="en-US" w:eastAsia="zh-CN"/>
        </w:rPr>
        <w:t>12</w:t>
      </w:r>
      <w:r>
        <w:rPr>
          <w:rFonts w:hint="default" w:ascii="Arial" w:hAnsi="Arial" w:cs="Arial"/>
          <w:b/>
          <w:color w:val="000000"/>
          <w:sz w:val="24"/>
        </w:rPr>
        <w:t>月资金流入明细表</w:t>
      </w:r>
    </w:p>
    <w:tbl>
      <w:tblPr>
        <w:tblStyle w:val="23"/>
        <w:tblW w:w="8940" w:type="dxa"/>
        <w:tblInd w:w="0" w:type="dxa"/>
        <w:shd w:val="clear" w:color="auto" w:fill="auto"/>
        <w:tblLayout w:type="autofit"/>
        <w:tblCellMar>
          <w:top w:w="0" w:type="dxa"/>
          <w:left w:w="0" w:type="dxa"/>
          <w:bottom w:w="0" w:type="dxa"/>
          <w:right w:w="0" w:type="dxa"/>
        </w:tblCellMar>
      </w:tblPr>
      <w:tblGrid>
        <w:gridCol w:w="915"/>
        <w:gridCol w:w="1125"/>
        <w:gridCol w:w="3120"/>
        <w:gridCol w:w="915"/>
        <w:gridCol w:w="1485"/>
        <w:gridCol w:w="1380"/>
      </w:tblGrid>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项目公司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收款日期</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w:t>
            </w:r>
          </w:p>
        </w:tc>
        <w:tc>
          <w:tcPr>
            <w:tcW w:w="138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497.52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2,907.50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光大预售9500</w:t>
            </w: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应付单位活期存款利息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378,082.85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应付单位活期存款利息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45,917.64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光大银行2310</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712.89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光大银行2228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26,847.20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应付单位活期存款利息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38,137.20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587.17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李相辉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孙小琴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李相辉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孙小琴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97,403.59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武汉鑫源世隆商贸有限公司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shd w:val="clear" w:color="auto" w:fill="auto"/>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正荣地产控股股份有限公司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22,000,000.00 </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50,000,000.00 </w:t>
            </w:r>
          </w:p>
        </w:tc>
        <w:tc>
          <w:tcPr>
            <w:tcW w:w="0" w:type="auto"/>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166,091,811.43 </w:t>
            </w:r>
          </w:p>
        </w:tc>
        <w:tc>
          <w:tcPr>
            <w:tcW w:w="0" w:type="auto"/>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r>
    </w:tbl>
    <w:p>
      <w:pPr>
        <w:widowControl/>
        <w:jc w:val="center"/>
        <w:textAlignment w:val="center"/>
        <w:rPr>
          <w:rFonts w:hint="default" w:ascii="Arial" w:hAnsi="Arial" w:cs="Arial"/>
          <w:b/>
          <w:color w:val="000000"/>
          <w:sz w:val="24"/>
        </w:rPr>
      </w:pPr>
    </w:p>
    <w:p>
      <w:pPr>
        <w:ind w:firstLine="630" w:firstLineChars="300"/>
        <w:rPr>
          <w:rFonts w:hint="default" w:ascii="Arial" w:hAnsi="Arial" w:cs="Arial"/>
          <w:bCs/>
          <w:kern w:val="44"/>
          <w:szCs w:val="21"/>
        </w:rPr>
      </w:pPr>
    </w:p>
    <w:p>
      <w:pPr>
        <w:pStyle w:val="4"/>
        <w:rPr>
          <w:rFonts w:hint="default" w:ascii="Arial" w:hAnsi="Arial" w:eastAsia="宋体" w:cs="Arial"/>
          <w:sz w:val="24"/>
          <w:szCs w:val="24"/>
        </w:rPr>
      </w:pPr>
      <w:bookmarkStart w:id="90" w:name="_Toc25943"/>
      <w:bookmarkStart w:id="91" w:name="_Toc24512"/>
      <w:r>
        <w:rPr>
          <w:rFonts w:hint="default" w:ascii="Arial" w:hAnsi="Arial" w:eastAsia="宋体" w:cs="Arial"/>
          <w:sz w:val="24"/>
          <w:szCs w:val="24"/>
        </w:rPr>
        <w:t>8.3.2销售资金流入明细</w:t>
      </w:r>
      <w:bookmarkEnd w:id="90"/>
      <w:bookmarkEnd w:id="91"/>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2</w:t>
      </w:r>
      <w:r>
        <w:rPr>
          <w:rFonts w:hint="default" w:ascii="Arial" w:hAnsi="Arial" w:cs="Arial"/>
          <w:b/>
          <w:color w:val="000000"/>
          <w:sz w:val="24"/>
        </w:rPr>
        <w:t>月销售资金流入明细表</w:t>
      </w:r>
    </w:p>
    <w:tbl>
      <w:tblPr>
        <w:tblStyle w:val="2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25"/>
        <w:gridCol w:w="2055"/>
        <w:gridCol w:w="2790"/>
        <w:gridCol w:w="915"/>
        <w:gridCol w:w="148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项目公司</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收款日期</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8" name="Host_Control__7"/>
                  <wp:cNvGraphicFramePr/>
                  <a:graphic xmlns:a="http://schemas.openxmlformats.org/drawingml/2006/main">
                    <a:graphicData uri="http://schemas.openxmlformats.org/drawingml/2006/picture">
                      <pic:pic xmlns:pic="http://schemas.openxmlformats.org/drawingml/2006/picture">
                        <pic:nvPicPr>
                          <pic:cNvPr id="478" name="Host_Control__7"/>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0" name="Host_Control__9"/>
                  <wp:cNvGraphicFramePr/>
                  <a:graphic xmlns:a="http://schemas.openxmlformats.org/drawingml/2006/main">
                    <a:graphicData uri="http://schemas.openxmlformats.org/drawingml/2006/picture">
                      <pic:pic xmlns:pic="http://schemas.openxmlformats.org/drawingml/2006/picture">
                        <pic:nvPicPr>
                          <pic:cNvPr id="470" name="Host_Control__9"/>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9" name="Host_Control__13"/>
                  <wp:cNvGraphicFramePr/>
                  <a:graphic xmlns:a="http://schemas.openxmlformats.org/drawingml/2006/main">
                    <a:graphicData uri="http://schemas.openxmlformats.org/drawingml/2006/picture">
                      <pic:pic xmlns:pic="http://schemas.openxmlformats.org/drawingml/2006/picture">
                        <pic:nvPicPr>
                          <pic:cNvPr id="469" name="Host_Control__1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5" name="Host_Control__21"/>
                  <wp:cNvGraphicFramePr/>
                  <a:graphic xmlns:a="http://schemas.openxmlformats.org/drawingml/2006/main">
                    <a:graphicData uri="http://schemas.openxmlformats.org/drawingml/2006/picture">
                      <pic:pic xmlns:pic="http://schemas.openxmlformats.org/drawingml/2006/picture">
                        <pic:nvPicPr>
                          <pic:cNvPr id="475" name="Host_Control__2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7" name="Host_Control__37"/>
                  <wp:cNvGraphicFramePr/>
                  <a:graphic xmlns:a="http://schemas.openxmlformats.org/drawingml/2006/main">
                    <a:graphicData uri="http://schemas.openxmlformats.org/drawingml/2006/picture">
                      <pic:pic xmlns:pic="http://schemas.openxmlformats.org/drawingml/2006/picture">
                        <pic:nvPicPr>
                          <pic:cNvPr id="467" name="Host_Control__37"/>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4" name="Host_Control__7_SpCnt_1"/>
                  <wp:cNvGraphicFramePr/>
                  <a:graphic xmlns:a="http://schemas.openxmlformats.org/drawingml/2006/main">
                    <a:graphicData uri="http://schemas.openxmlformats.org/drawingml/2006/picture">
                      <pic:pic xmlns:pic="http://schemas.openxmlformats.org/drawingml/2006/picture">
                        <pic:nvPicPr>
                          <pic:cNvPr id="474" name="Host_Control__7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6" name="Host_Control__9_SpCnt_1"/>
                  <wp:cNvGraphicFramePr/>
                  <a:graphic xmlns:a="http://schemas.openxmlformats.org/drawingml/2006/main">
                    <a:graphicData uri="http://schemas.openxmlformats.org/drawingml/2006/picture">
                      <pic:pic xmlns:pic="http://schemas.openxmlformats.org/drawingml/2006/picture">
                        <pic:nvPicPr>
                          <pic:cNvPr id="476" name="Host_Control__9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7" name="Host_Control__37_SpCnt_1"/>
                  <wp:cNvGraphicFramePr/>
                  <a:graphic xmlns:a="http://schemas.openxmlformats.org/drawingml/2006/main">
                    <a:graphicData uri="http://schemas.openxmlformats.org/drawingml/2006/picture">
                      <pic:pic xmlns:pic="http://schemas.openxmlformats.org/drawingml/2006/picture">
                        <pic:nvPicPr>
                          <pic:cNvPr id="477" name="Host_Control__37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8" name="Host_Control__36"/>
                  <wp:cNvGraphicFramePr/>
                  <a:graphic xmlns:a="http://schemas.openxmlformats.org/drawingml/2006/main">
                    <a:graphicData uri="http://schemas.openxmlformats.org/drawingml/2006/picture">
                      <pic:pic xmlns:pic="http://schemas.openxmlformats.org/drawingml/2006/picture">
                        <pic:nvPicPr>
                          <pic:cNvPr id="468" name="Host_Control__36"/>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2" name="Host_Control__35"/>
                  <wp:cNvGraphicFramePr/>
                  <a:graphic xmlns:a="http://schemas.openxmlformats.org/drawingml/2006/main">
                    <a:graphicData uri="http://schemas.openxmlformats.org/drawingml/2006/picture">
                      <pic:pic xmlns:pic="http://schemas.openxmlformats.org/drawingml/2006/picture">
                        <pic:nvPicPr>
                          <pic:cNvPr id="472" name="Host_Control__35"/>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1" name="Host_Control__34"/>
                  <wp:cNvGraphicFramePr/>
                  <a:graphic xmlns:a="http://schemas.openxmlformats.org/drawingml/2006/main">
                    <a:graphicData uri="http://schemas.openxmlformats.org/drawingml/2006/picture">
                      <pic:pic xmlns:pic="http://schemas.openxmlformats.org/drawingml/2006/picture">
                        <pic:nvPicPr>
                          <pic:cNvPr id="471" name="Host_Control__3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3" name="Host_Control__33"/>
                  <wp:cNvGraphicFramePr/>
                  <a:graphic xmlns:a="http://schemas.openxmlformats.org/drawingml/2006/main">
                    <a:graphicData uri="http://schemas.openxmlformats.org/drawingml/2006/picture">
                      <pic:pic xmlns:pic="http://schemas.openxmlformats.org/drawingml/2006/picture">
                        <pic:nvPicPr>
                          <pic:cNvPr id="473" name="Host_Control__3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3" name="Host_Control__32"/>
                  <wp:cNvGraphicFramePr/>
                  <a:graphic xmlns:a="http://schemas.openxmlformats.org/drawingml/2006/main">
                    <a:graphicData uri="http://schemas.openxmlformats.org/drawingml/2006/picture">
                      <pic:pic xmlns:pic="http://schemas.openxmlformats.org/drawingml/2006/picture">
                        <pic:nvPicPr>
                          <pic:cNvPr id="323" name="Host_Control__3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4" name="Host_Control__31"/>
                  <wp:cNvGraphicFramePr/>
                  <a:graphic xmlns:a="http://schemas.openxmlformats.org/drawingml/2006/main">
                    <a:graphicData uri="http://schemas.openxmlformats.org/drawingml/2006/picture">
                      <pic:pic xmlns:pic="http://schemas.openxmlformats.org/drawingml/2006/picture">
                        <pic:nvPicPr>
                          <pic:cNvPr id="324" name="Host_Control__3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5" name="Host_Control__30"/>
                  <wp:cNvGraphicFramePr/>
                  <a:graphic xmlns:a="http://schemas.openxmlformats.org/drawingml/2006/main">
                    <a:graphicData uri="http://schemas.openxmlformats.org/drawingml/2006/picture">
                      <pic:pic xmlns:pic="http://schemas.openxmlformats.org/drawingml/2006/picture">
                        <pic:nvPicPr>
                          <pic:cNvPr id="325" name="Host_Control__30"/>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6" name="Host_Control__29"/>
                  <wp:cNvGraphicFramePr/>
                  <a:graphic xmlns:a="http://schemas.openxmlformats.org/drawingml/2006/main">
                    <a:graphicData uri="http://schemas.openxmlformats.org/drawingml/2006/picture">
                      <pic:pic xmlns:pic="http://schemas.openxmlformats.org/drawingml/2006/picture">
                        <pic:nvPicPr>
                          <pic:cNvPr id="326" name="Host_Control__29"/>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7" name="Host_Control__28"/>
                  <wp:cNvGraphicFramePr/>
                  <a:graphic xmlns:a="http://schemas.openxmlformats.org/drawingml/2006/main">
                    <a:graphicData uri="http://schemas.openxmlformats.org/drawingml/2006/picture">
                      <pic:pic xmlns:pic="http://schemas.openxmlformats.org/drawingml/2006/picture">
                        <pic:nvPicPr>
                          <pic:cNvPr id="327" name="Host_Control__28"/>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8" name="Host_Control__27"/>
                  <wp:cNvGraphicFramePr/>
                  <a:graphic xmlns:a="http://schemas.openxmlformats.org/drawingml/2006/main">
                    <a:graphicData uri="http://schemas.openxmlformats.org/drawingml/2006/picture">
                      <pic:pic xmlns:pic="http://schemas.openxmlformats.org/drawingml/2006/picture">
                        <pic:nvPicPr>
                          <pic:cNvPr id="328" name="Host_Control__27"/>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9" name="Host_Control__26"/>
                  <wp:cNvGraphicFramePr/>
                  <a:graphic xmlns:a="http://schemas.openxmlformats.org/drawingml/2006/main">
                    <a:graphicData uri="http://schemas.openxmlformats.org/drawingml/2006/picture">
                      <pic:pic xmlns:pic="http://schemas.openxmlformats.org/drawingml/2006/picture">
                        <pic:nvPicPr>
                          <pic:cNvPr id="329" name="Host_Control__26"/>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0" name="Host_Control__25"/>
                  <wp:cNvGraphicFramePr/>
                  <a:graphic xmlns:a="http://schemas.openxmlformats.org/drawingml/2006/main">
                    <a:graphicData uri="http://schemas.openxmlformats.org/drawingml/2006/picture">
                      <pic:pic xmlns:pic="http://schemas.openxmlformats.org/drawingml/2006/picture">
                        <pic:nvPicPr>
                          <pic:cNvPr id="330" name="Host_Control__25"/>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1" name="Host_Control__24"/>
                  <wp:cNvGraphicFramePr/>
                  <a:graphic xmlns:a="http://schemas.openxmlformats.org/drawingml/2006/main">
                    <a:graphicData uri="http://schemas.openxmlformats.org/drawingml/2006/picture">
                      <pic:pic xmlns:pic="http://schemas.openxmlformats.org/drawingml/2006/picture">
                        <pic:nvPicPr>
                          <pic:cNvPr id="331" name="Host_Control__2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2" name="Host_Control__23"/>
                  <wp:cNvGraphicFramePr/>
                  <a:graphic xmlns:a="http://schemas.openxmlformats.org/drawingml/2006/main">
                    <a:graphicData uri="http://schemas.openxmlformats.org/drawingml/2006/picture">
                      <pic:pic xmlns:pic="http://schemas.openxmlformats.org/drawingml/2006/picture">
                        <pic:nvPicPr>
                          <pic:cNvPr id="332" name="Host_Control__2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3" name="Host_Control__22"/>
                  <wp:cNvGraphicFramePr/>
                  <a:graphic xmlns:a="http://schemas.openxmlformats.org/drawingml/2006/main">
                    <a:graphicData uri="http://schemas.openxmlformats.org/drawingml/2006/picture">
                      <pic:pic xmlns:pic="http://schemas.openxmlformats.org/drawingml/2006/picture">
                        <pic:nvPicPr>
                          <pic:cNvPr id="333" name="Host_Control__2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4" name="Host_Control__21_SpCnt_1"/>
                  <wp:cNvGraphicFramePr/>
                  <a:graphic xmlns:a="http://schemas.openxmlformats.org/drawingml/2006/main">
                    <a:graphicData uri="http://schemas.openxmlformats.org/drawingml/2006/picture">
                      <pic:pic xmlns:pic="http://schemas.openxmlformats.org/drawingml/2006/picture">
                        <pic:nvPicPr>
                          <pic:cNvPr id="334" name="Host_Control__21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5" name="Host_Control__20"/>
                  <wp:cNvGraphicFramePr/>
                  <a:graphic xmlns:a="http://schemas.openxmlformats.org/drawingml/2006/main">
                    <a:graphicData uri="http://schemas.openxmlformats.org/drawingml/2006/picture">
                      <pic:pic xmlns:pic="http://schemas.openxmlformats.org/drawingml/2006/picture">
                        <pic:nvPicPr>
                          <pic:cNvPr id="335" name="Host_Control__20"/>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6" name="Host_Control__19"/>
                  <wp:cNvGraphicFramePr/>
                  <a:graphic xmlns:a="http://schemas.openxmlformats.org/drawingml/2006/main">
                    <a:graphicData uri="http://schemas.openxmlformats.org/drawingml/2006/picture">
                      <pic:pic xmlns:pic="http://schemas.openxmlformats.org/drawingml/2006/picture">
                        <pic:nvPicPr>
                          <pic:cNvPr id="336" name="Host_Control__19"/>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7" name="Host_Control__18"/>
                  <wp:cNvGraphicFramePr/>
                  <a:graphic xmlns:a="http://schemas.openxmlformats.org/drawingml/2006/main">
                    <a:graphicData uri="http://schemas.openxmlformats.org/drawingml/2006/picture">
                      <pic:pic xmlns:pic="http://schemas.openxmlformats.org/drawingml/2006/picture">
                        <pic:nvPicPr>
                          <pic:cNvPr id="337" name="Host_Control__18"/>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8" name="Host_Control__17"/>
                  <wp:cNvGraphicFramePr/>
                  <a:graphic xmlns:a="http://schemas.openxmlformats.org/drawingml/2006/main">
                    <a:graphicData uri="http://schemas.openxmlformats.org/drawingml/2006/picture">
                      <pic:pic xmlns:pic="http://schemas.openxmlformats.org/drawingml/2006/picture">
                        <pic:nvPicPr>
                          <pic:cNvPr id="338" name="Host_Control__17"/>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9" name="Host_Control__16"/>
                  <wp:cNvGraphicFramePr/>
                  <a:graphic xmlns:a="http://schemas.openxmlformats.org/drawingml/2006/main">
                    <a:graphicData uri="http://schemas.openxmlformats.org/drawingml/2006/picture">
                      <pic:pic xmlns:pic="http://schemas.openxmlformats.org/drawingml/2006/picture">
                        <pic:nvPicPr>
                          <pic:cNvPr id="339" name="Host_Control__16"/>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0" name="Host_Control__15"/>
                  <wp:cNvGraphicFramePr/>
                  <a:graphic xmlns:a="http://schemas.openxmlformats.org/drawingml/2006/main">
                    <a:graphicData uri="http://schemas.openxmlformats.org/drawingml/2006/picture">
                      <pic:pic xmlns:pic="http://schemas.openxmlformats.org/drawingml/2006/picture">
                        <pic:nvPicPr>
                          <pic:cNvPr id="340" name="Host_Control__15"/>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1" name="Host_Control__14"/>
                  <wp:cNvGraphicFramePr/>
                  <a:graphic xmlns:a="http://schemas.openxmlformats.org/drawingml/2006/main">
                    <a:graphicData uri="http://schemas.openxmlformats.org/drawingml/2006/picture">
                      <pic:pic xmlns:pic="http://schemas.openxmlformats.org/drawingml/2006/picture">
                        <pic:nvPicPr>
                          <pic:cNvPr id="341" name="Host_Control__1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2" name="Host_Control__13_SpCnt_1"/>
                  <wp:cNvGraphicFramePr/>
                  <a:graphic xmlns:a="http://schemas.openxmlformats.org/drawingml/2006/main">
                    <a:graphicData uri="http://schemas.openxmlformats.org/drawingml/2006/picture">
                      <pic:pic xmlns:pic="http://schemas.openxmlformats.org/drawingml/2006/picture">
                        <pic:nvPicPr>
                          <pic:cNvPr id="342" name="Host_Control__13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3" name="Host_Control__12"/>
                  <wp:cNvGraphicFramePr/>
                  <a:graphic xmlns:a="http://schemas.openxmlformats.org/drawingml/2006/main">
                    <a:graphicData uri="http://schemas.openxmlformats.org/drawingml/2006/picture">
                      <pic:pic xmlns:pic="http://schemas.openxmlformats.org/drawingml/2006/picture">
                        <pic:nvPicPr>
                          <pic:cNvPr id="343" name="Host_Control__1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4" name="Host_Control__11"/>
                  <wp:cNvGraphicFramePr/>
                  <a:graphic xmlns:a="http://schemas.openxmlformats.org/drawingml/2006/main">
                    <a:graphicData uri="http://schemas.openxmlformats.org/drawingml/2006/picture">
                      <pic:pic xmlns:pic="http://schemas.openxmlformats.org/drawingml/2006/picture">
                        <pic:nvPicPr>
                          <pic:cNvPr id="344" name="Host_Control__1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5" name="Host_Control__8"/>
                  <wp:cNvGraphicFramePr/>
                  <a:graphic xmlns:a="http://schemas.openxmlformats.org/drawingml/2006/main">
                    <a:graphicData uri="http://schemas.openxmlformats.org/drawingml/2006/picture">
                      <pic:pic xmlns:pic="http://schemas.openxmlformats.org/drawingml/2006/picture">
                        <pic:nvPicPr>
                          <pic:cNvPr id="345" name="Host_Control__8"/>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6" name="Host_Control__10"/>
                  <wp:cNvGraphicFramePr/>
                  <a:graphic xmlns:a="http://schemas.openxmlformats.org/drawingml/2006/main">
                    <a:graphicData uri="http://schemas.openxmlformats.org/drawingml/2006/picture">
                      <pic:pic xmlns:pic="http://schemas.openxmlformats.org/drawingml/2006/picture">
                        <pic:nvPicPr>
                          <pic:cNvPr id="346" name="Host_Control__10"/>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7" name="Host_Control__7_SpCnt_2"/>
                  <wp:cNvGraphicFramePr/>
                  <a:graphic xmlns:a="http://schemas.openxmlformats.org/drawingml/2006/main">
                    <a:graphicData uri="http://schemas.openxmlformats.org/drawingml/2006/picture">
                      <pic:pic xmlns:pic="http://schemas.openxmlformats.org/drawingml/2006/picture">
                        <pic:nvPicPr>
                          <pic:cNvPr id="347" name="Host_Control__7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8" name="Host_Control__37_SpCnt_2"/>
                  <wp:cNvGraphicFramePr/>
                  <a:graphic xmlns:a="http://schemas.openxmlformats.org/drawingml/2006/main">
                    <a:graphicData uri="http://schemas.openxmlformats.org/drawingml/2006/picture">
                      <pic:pic xmlns:pic="http://schemas.openxmlformats.org/drawingml/2006/picture">
                        <pic:nvPicPr>
                          <pic:cNvPr id="348" name="Host_Control__37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9" name="Host_Control__36_SpCnt_1"/>
                  <wp:cNvGraphicFramePr/>
                  <a:graphic xmlns:a="http://schemas.openxmlformats.org/drawingml/2006/main">
                    <a:graphicData uri="http://schemas.openxmlformats.org/drawingml/2006/picture">
                      <pic:pic xmlns:pic="http://schemas.openxmlformats.org/drawingml/2006/picture">
                        <pic:nvPicPr>
                          <pic:cNvPr id="349" name="Host_Control__36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0" name="Host_Control__35_SpCnt_1"/>
                  <wp:cNvGraphicFramePr/>
                  <a:graphic xmlns:a="http://schemas.openxmlformats.org/drawingml/2006/main">
                    <a:graphicData uri="http://schemas.openxmlformats.org/drawingml/2006/picture">
                      <pic:pic xmlns:pic="http://schemas.openxmlformats.org/drawingml/2006/picture">
                        <pic:nvPicPr>
                          <pic:cNvPr id="350" name="Host_Control__35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1" name="Host_Control__34_SpCnt_1"/>
                  <wp:cNvGraphicFramePr/>
                  <a:graphic xmlns:a="http://schemas.openxmlformats.org/drawingml/2006/main">
                    <a:graphicData uri="http://schemas.openxmlformats.org/drawingml/2006/picture">
                      <pic:pic xmlns:pic="http://schemas.openxmlformats.org/drawingml/2006/picture">
                        <pic:nvPicPr>
                          <pic:cNvPr id="351" name="Host_Control__34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2" name="Host_Control__33_SpCnt_1"/>
                  <wp:cNvGraphicFramePr/>
                  <a:graphic xmlns:a="http://schemas.openxmlformats.org/drawingml/2006/main">
                    <a:graphicData uri="http://schemas.openxmlformats.org/drawingml/2006/picture">
                      <pic:pic xmlns:pic="http://schemas.openxmlformats.org/drawingml/2006/picture">
                        <pic:nvPicPr>
                          <pic:cNvPr id="352" name="Host_Control__33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3" name="Host_Control__32_SpCnt_1"/>
                  <wp:cNvGraphicFramePr/>
                  <a:graphic xmlns:a="http://schemas.openxmlformats.org/drawingml/2006/main">
                    <a:graphicData uri="http://schemas.openxmlformats.org/drawingml/2006/picture">
                      <pic:pic xmlns:pic="http://schemas.openxmlformats.org/drawingml/2006/picture">
                        <pic:nvPicPr>
                          <pic:cNvPr id="353" name="Host_Control__32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4" name="Host_Control__31_SpCnt_1"/>
                  <wp:cNvGraphicFramePr/>
                  <a:graphic xmlns:a="http://schemas.openxmlformats.org/drawingml/2006/main">
                    <a:graphicData uri="http://schemas.openxmlformats.org/drawingml/2006/picture">
                      <pic:pic xmlns:pic="http://schemas.openxmlformats.org/drawingml/2006/picture">
                        <pic:nvPicPr>
                          <pic:cNvPr id="354" name="Host_Control__31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6" name="Host_Control__30_SpCnt_1"/>
                  <wp:cNvGraphicFramePr/>
                  <a:graphic xmlns:a="http://schemas.openxmlformats.org/drawingml/2006/main">
                    <a:graphicData uri="http://schemas.openxmlformats.org/drawingml/2006/picture">
                      <pic:pic xmlns:pic="http://schemas.openxmlformats.org/drawingml/2006/picture">
                        <pic:nvPicPr>
                          <pic:cNvPr id="356" name="Host_Control__30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7" name="Host_Control__29_SpCnt_1"/>
                  <wp:cNvGraphicFramePr/>
                  <a:graphic xmlns:a="http://schemas.openxmlformats.org/drawingml/2006/main">
                    <a:graphicData uri="http://schemas.openxmlformats.org/drawingml/2006/picture">
                      <pic:pic xmlns:pic="http://schemas.openxmlformats.org/drawingml/2006/picture">
                        <pic:nvPicPr>
                          <pic:cNvPr id="357" name="Host_Control__29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8" name="Host_Control__28_SpCnt_1"/>
                  <wp:cNvGraphicFramePr/>
                  <a:graphic xmlns:a="http://schemas.openxmlformats.org/drawingml/2006/main">
                    <a:graphicData uri="http://schemas.openxmlformats.org/drawingml/2006/picture">
                      <pic:pic xmlns:pic="http://schemas.openxmlformats.org/drawingml/2006/picture">
                        <pic:nvPicPr>
                          <pic:cNvPr id="358" name="Host_Control__28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9" name="Host_Control__27_SpCnt_1"/>
                  <wp:cNvGraphicFramePr/>
                  <a:graphic xmlns:a="http://schemas.openxmlformats.org/drawingml/2006/main">
                    <a:graphicData uri="http://schemas.openxmlformats.org/drawingml/2006/picture">
                      <pic:pic xmlns:pic="http://schemas.openxmlformats.org/drawingml/2006/picture">
                        <pic:nvPicPr>
                          <pic:cNvPr id="359" name="Host_Control__27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0" name="Host_Control__26_SpCnt_1"/>
                  <wp:cNvGraphicFramePr/>
                  <a:graphic xmlns:a="http://schemas.openxmlformats.org/drawingml/2006/main">
                    <a:graphicData uri="http://schemas.openxmlformats.org/drawingml/2006/picture">
                      <pic:pic xmlns:pic="http://schemas.openxmlformats.org/drawingml/2006/picture">
                        <pic:nvPicPr>
                          <pic:cNvPr id="360" name="Host_Control__26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1" name="Host_Control__25_SpCnt_1"/>
                  <wp:cNvGraphicFramePr/>
                  <a:graphic xmlns:a="http://schemas.openxmlformats.org/drawingml/2006/main">
                    <a:graphicData uri="http://schemas.openxmlformats.org/drawingml/2006/picture">
                      <pic:pic xmlns:pic="http://schemas.openxmlformats.org/drawingml/2006/picture">
                        <pic:nvPicPr>
                          <pic:cNvPr id="361" name="Host_Control__25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2" name="Host_Control__24_SpCnt_1"/>
                  <wp:cNvGraphicFramePr/>
                  <a:graphic xmlns:a="http://schemas.openxmlformats.org/drawingml/2006/main">
                    <a:graphicData uri="http://schemas.openxmlformats.org/drawingml/2006/picture">
                      <pic:pic xmlns:pic="http://schemas.openxmlformats.org/drawingml/2006/picture">
                        <pic:nvPicPr>
                          <pic:cNvPr id="362" name="Host_Control__24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3" name="Host_Control__23_SpCnt_1"/>
                  <wp:cNvGraphicFramePr/>
                  <a:graphic xmlns:a="http://schemas.openxmlformats.org/drawingml/2006/main">
                    <a:graphicData uri="http://schemas.openxmlformats.org/drawingml/2006/picture">
                      <pic:pic xmlns:pic="http://schemas.openxmlformats.org/drawingml/2006/picture">
                        <pic:nvPicPr>
                          <pic:cNvPr id="363" name="Host_Control__23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4" name="Host_Control__22_SpCnt_1"/>
                  <wp:cNvGraphicFramePr/>
                  <a:graphic xmlns:a="http://schemas.openxmlformats.org/drawingml/2006/main">
                    <a:graphicData uri="http://schemas.openxmlformats.org/drawingml/2006/picture">
                      <pic:pic xmlns:pic="http://schemas.openxmlformats.org/drawingml/2006/picture">
                        <pic:nvPicPr>
                          <pic:cNvPr id="364" name="Host_Control__22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5" name="Host_Control__21_SpCnt_2"/>
                  <wp:cNvGraphicFramePr/>
                  <a:graphic xmlns:a="http://schemas.openxmlformats.org/drawingml/2006/main">
                    <a:graphicData uri="http://schemas.openxmlformats.org/drawingml/2006/picture">
                      <pic:pic xmlns:pic="http://schemas.openxmlformats.org/drawingml/2006/picture">
                        <pic:nvPicPr>
                          <pic:cNvPr id="365" name="Host_Control__21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6" name="Host_Control__20_SpCnt_1"/>
                  <wp:cNvGraphicFramePr/>
                  <a:graphic xmlns:a="http://schemas.openxmlformats.org/drawingml/2006/main">
                    <a:graphicData uri="http://schemas.openxmlformats.org/drawingml/2006/picture">
                      <pic:pic xmlns:pic="http://schemas.openxmlformats.org/drawingml/2006/picture">
                        <pic:nvPicPr>
                          <pic:cNvPr id="366" name="Host_Control__20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7" name="Host_Control__19_SpCnt_1"/>
                  <wp:cNvGraphicFramePr/>
                  <a:graphic xmlns:a="http://schemas.openxmlformats.org/drawingml/2006/main">
                    <a:graphicData uri="http://schemas.openxmlformats.org/drawingml/2006/picture">
                      <pic:pic xmlns:pic="http://schemas.openxmlformats.org/drawingml/2006/picture">
                        <pic:nvPicPr>
                          <pic:cNvPr id="367" name="Host_Control__19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8" name="Host_Control__18_SpCnt_1"/>
                  <wp:cNvGraphicFramePr/>
                  <a:graphic xmlns:a="http://schemas.openxmlformats.org/drawingml/2006/main">
                    <a:graphicData uri="http://schemas.openxmlformats.org/drawingml/2006/picture">
                      <pic:pic xmlns:pic="http://schemas.openxmlformats.org/drawingml/2006/picture">
                        <pic:nvPicPr>
                          <pic:cNvPr id="368" name="Host_Control__18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9" name="Host_Control__17_SpCnt_1"/>
                  <wp:cNvGraphicFramePr/>
                  <a:graphic xmlns:a="http://schemas.openxmlformats.org/drawingml/2006/main">
                    <a:graphicData uri="http://schemas.openxmlformats.org/drawingml/2006/picture">
                      <pic:pic xmlns:pic="http://schemas.openxmlformats.org/drawingml/2006/picture">
                        <pic:nvPicPr>
                          <pic:cNvPr id="369" name="Host_Control__17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0" name="Host_Control__16_SpCnt_1"/>
                  <wp:cNvGraphicFramePr/>
                  <a:graphic xmlns:a="http://schemas.openxmlformats.org/drawingml/2006/main">
                    <a:graphicData uri="http://schemas.openxmlformats.org/drawingml/2006/picture">
                      <pic:pic xmlns:pic="http://schemas.openxmlformats.org/drawingml/2006/picture">
                        <pic:nvPicPr>
                          <pic:cNvPr id="370" name="Host_Control__16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1" name="Host_Control__15_SpCnt_1"/>
                  <wp:cNvGraphicFramePr/>
                  <a:graphic xmlns:a="http://schemas.openxmlformats.org/drawingml/2006/main">
                    <a:graphicData uri="http://schemas.openxmlformats.org/drawingml/2006/picture">
                      <pic:pic xmlns:pic="http://schemas.openxmlformats.org/drawingml/2006/picture">
                        <pic:nvPicPr>
                          <pic:cNvPr id="371" name="Host_Control__15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2" name="Host_Control__14_SpCnt_1"/>
                  <wp:cNvGraphicFramePr/>
                  <a:graphic xmlns:a="http://schemas.openxmlformats.org/drawingml/2006/main">
                    <a:graphicData uri="http://schemas.openxmlformats.org/drawingml/2006/picture">
                      <pic:pic xmlns:pic="http://schemas.openxmlformats.org/drawingml/2006/picture">
                        <pic:nvPicPr>
                          <pic:cNvPr id="372" name="Host_Control__14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3" name="Host_Control__13_SpCnt_2"/>
                  <wp:cNvGraphicFramePr/>
                  <a:graphic xmlns:a="http://schemas.openxmlformats.org/drawingml/2006/main">
                    <a:graphicData uri="http://schemas.openxmlformats.org/drawingml/2006/picture">
                      <pic:pic xmlns:pic="http://schemas.openxmlformats.org/drawingml/2006/picture">
                        <pic:nvPicPr>
                          <pic:cNvPr id="373" name="Host_Control__13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4" name="Host_Control__12_SpCnt_1"/>
                  <wp:cNvGraphicFramePr/>
                  <a:graphic xmlns:a="http://schemas.openxmlformats.org/drawingml/2006/main">
                    <a:graphicData uri="http://schemas.openxmlformats.org/drawingml/2006/picture">
                      <pic:pic xmlns:pic="http://schemas.openxmlformats.org/drawingml/2006/picture">
                        <pic:nvPicPr>
                          <pic:cNvPr id="374" name="Host_Control__12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5" name="Host_Control__11_SpCnt_1"/>
                  <wp:cNvGraphicFramePr/>
                  <a:graphic xmlns:a="http://schemas.openxmlformats.org/drawingml/2006/main">
                    <a:graphicData uri="http://schemas.openxmlformats.org/drawingml/2006/picture">
                      <pic:pic xmlns:pic="http://schemas.openxmlformats.org/drawingml/2006/picture">
                        <pic:nvPicPr>
                          <pic:cNvPr id="375" name="Host_Control__11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6" name="Host_Control__10_SpCnt_1"/>
                  <wp:cNvGraphicFramePr/>
                  <a:graphic xmlns:a="http://schemas.openxmlformats.org/drawingml/2006/main">
                    <a:graphicData uri="http://schemas.openxmlformats.org/drawingml/2006/picture">
                      <pic:pic xmlns:pic="http://schemas.openxmlformats.org/drawingml/2006/picture">
                        <pic:nvPicPr>
                          <pic:cNvPr id="376" name="Host_Control__10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7" name="Host_Control__9_SpCnt_2"/>
                  <wp:cNvGraphicFramePr/>
                  <a:graphic xmlns:a="http://schemas.openxmlformats.org/drawingml/2006/main">
                    <a:graphicData uri="http://schemas.openxmlformats.org/drawingml/2006/picture">
                      <pic:pic xmlns:pic="http://schemas.openxmlformats.org/drawingml/2006/picture">
                        <pic:nvPicPr>
                          <pic:cNvPr id="377" name="Host_Control__9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8" name="Host_Control__8_SpCnt_1"/>
                  <wp:cNvGraphicFramePr/>
                  <a:graphic xmlns:a="http://schemas.openxmlformats.org/drawingml/2006/main">
                    <a:graphicData uri="http://schemas.openxmlformats.org/drawingml/2006/picture">
                      <pic:pic xmlns:pic="http://schemas.openxmlformats.org/drawingml/2006/picture">
                        <pic:nvPicPr>
                          <pic:cNvPr id="378" name="Host_Control__8_SpCnt_1"/>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9" name="Host_Control__7_SpCnt_3"/>
                  <wp:cNvGraphicFramePr/>
                  <a:graphic xmlns:a="http://schemas.openxmlformats.org/drawingml/2006/main">
                    <a:graphicData uri="http://schemas.openxmlformats.org/drawingml/2006/picture">
                      <pic:pic xmlns:pic="http://schemas.openxmlformats.org/drawingml/2006/picture">
                        <pic:nvPicPr>
                          <pic:cNvPr id="379" name="Host_Control__7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0" name="Host_Control__37_SpCnt_3"/>
                  <wp:cNvGraphicFramePr/>
                  <a:graphic xmlns:a="http://schemas.openxmlformats.org/drawingml/2006/main">
                    <a:graphicData uri="http://schemas.openxmlformats.org/drawingml/2006/picture">
                      <pic:pic xmlns:pic="http://schemas.openxmlformats.org/drawingml/2006/picture">
                        <pic:nvPicPr>
                          <pic:cNvPr id="380" name="Host_Control__37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1" name="Host_Control__36_SpCnt_2"/>
                  <wp:cNvGraphicFramePr/>
                  <a:graphic xmlns:a="http://schemas.openxmlformats.org/drawingml/2006/main">
                    <a:graphicData uri="http://schemas.openxmlformats.org/drawingml/2006/picture">
                      <pic:pic xmlns:pic="http://schemas.openxmlformats.org/drawingml/2006/picture">
                        <pic:nvPicPr>
                          <pic:cNvPr id="381" name="Host_Control__36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2" name="Host_Control__35_SpCnt_2"/>
                  <wp:cNvGraphicFramePr/>
                  <a:graphic xmlns:a="http://schemas.openxmlformats.org/drawingml/2006/main">
                    <a:graphicData uri="http://schemas.openxmlformats.org/drawingml/2006/picture">
                      <pic:pic xmlns:pic="http://schemas.openxmlformats.org/drawingml/2006/picture">
                        <pic:nvPicPr>
                          <pic:cNvPr id="382" name="Host_Control__35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3" name="Host_Control__34_SpCnt_2"/>
                  <wp:cNvGraphicFramePr/>
                  <a:graphic xmlns:a="http://schemas.openxmlformats.org/drawingml/2006/main">
                    <a:graphicData uri="http://schemas.openxmlformats.org/drawingml/2006/picture">
                      <pic:pic xmlns:pic="http://schemas.openxmlformats.org/drawingml/2006/picture">
                        <pic:nvPicPr>
                          <pic:cNvPr id="383" name="Host_Control__34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4" name="Host_Control__33_SpCnt_2"/>
                  <wp:cNvGraphicFramePr/>
                  <a:graphic xmlns:a="http://schemas.openxmlformats.org/drawingml/2006/main">
                    <a:graphicData uri="http://schemas.openxmlformats.org/drawingml/2006/picture">
                      <pic:pic xmlns:pic="http://schemas.openxmlformats.org/drawingml/2006/picture">
                        <pic:nvPicPr>
                          <pic:cNvPr id="384" name="Host_Control__33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5" name="Host_Control__32_SpCnt_2"/>
                  <wp:cNvGraphicFramePr/>
                  <a:graphic xmlns:a="http://schemas.openxmlformats.org/drawingml/2006/main">
                    <a:graphicData uri="http://schemas.openxmlformats.org/drawingml/2006/picture">
                      <pic:pic xmlns:pic="http://schemas.openxmlformats.org/drawingml/2006/picture">
                        <pic:nvPicPr>
                          <pic:cNvPr id="385" name="Host_Control__32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6" name="Host_Control__31_SpCnt_2"/>
                  <wp:cNvGraphicFramePr/>
                  <a:graphic xmlns:a="http://schemas.openxmlformats.org/drawingml/2006/main">
                    <a:graphicData uri="http://schemas.openxmlformats.org/drawingml/2006/picture">
                      <pic:pic xmlns:pic="http://schemas.openxmlformats.org/drawingml/2006/picture">
                        <pic:nvPicPr>
                          <pic:cNvPr id="386" name="Host_Control__31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7" name="Host_Control__30_SpCnt_2"/>
                  <wp:cNvGraphicFramePr/>
                  <a:graphic xmlns:a="http://schemas.openxmlformats.org/drawingml/2006/main">
                    <a:graphicData uri="http://schemas.openxmlformats.org/drawingml/2006/picture">
                      <pic:pic xmlns:pic="http://schemas.openxmlformats.org/drawingml/2006/picture">
                        <pic:nvPicPr>
                          <pic:cNvPr id="387" name="Host_Control__30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8" name="Host_Control__29_SpCnt_2"/>
                  <wp:cNvGraphicFramePr/>
                  <a:graphic xmlns:a="http://schemas.openxmlformats.org/drawingml/2006/main">
                    <a:graphicData uri="http://schemas.openxmlformats.org/drawingml/2006/picture">
                      <pic:pic xmlns:pic="http://schemas.openxmlformats.org/drawingml/2006/picture">
                        <pic:nvPicPr>
                          <pic:cNvPr id="388" name="Host_Control__29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9" name="Host_Control__28_SpCnt_2"/>
                  <wp:cNvGraphicFramePr/>
                  <a:graphic xmlns:a="http://schemas.openxmlformats.org/drawingml/2006/main">
                    <a:graphicData uri="http://schemas.openxmlformats.org/drawingml/2006/picture">
                      <pic:pic xmlns:pic="http://schemas.openxmlformats.org/drawingml/2006/picture">
                        <pic:nvPicPr>
                          <pic:cNvPr id="389" name="Host_Control__28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0" name="Host_Control__27_SpCnt_2"/>
                  <wp:cNvGraphicFramePr/>
                  <a:graphic xmlns:a="http://schemas.openxmlformats.org/drawingml/2006/main">
                    <a:graphicData uri="http://schemas.openxmlformats.org/drawingml/2006/picture">
                      <pic:pic xmlns:pic="http://schemas.openxmlformats.org/drawingml/2006/picture">
                        <pic:nvPicPr>
                          <pic:cNvPr id="390" name="Host_Control__27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1" name="Host_Control__26_SpCnt_2"/>
                  <wp:cNvGraphicFramePr/>
                  <a:graphic xmlns:a="http://schemas.openxmlformats.org/drawingml/2006/main">
                    <a:graphicData uri="http://schemas.openxmlformats.org/drawingml/2006/picture">
                      <pic:pic xmlns:pic="http://schemas.openxmlformats.org/drawingml/2006/picture">
                        <pic:nvPicPr>
                          <pic:cNvPr id="391" name="Host_Control__26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2" name="Host_Control__25_SpCnt_2"/>
                  <wp:cNvGraphicFramePr/>
                  <a:graphic xmlns:a="http://schemas.openxmlformats.org/drawingml/2006/main">
                    <a:graphicData uri="http://schemas.openxmlformats.org/drawingml/2006/picture">
                      <pic:pic xmlns:pic="http://schemas.openxmlformats.org/drawingml/2006/picture">
                        <pic:nvPicPr>
                          <pic:cNvPr id="392" name="Host_Control__25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3" name="Host_Control__24_SpCnt_2"/>
                  <wp:cNvGraphicFramePr/>
                  <a:graphic xmlns:a="http://schemas.openxmlformats.org/drawingml/2006/main">
                    <a:graphicData uri="http://schemas.openxmlformats.org/drawingml/2006/picture">
                      <pic:pic xmlns:pic="http://schemas.openxmlformats.org/drawingml/2006/picture">
                        <pic:nvPicPr>
                          <pic:cNvPr id="393" name="Host_Control__24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4" name="Host_Control__23_SpCnt_2"/>
                  <wp:cNvGraphicFramePr/>
                  <a:graphic xmlns:a="http://schemas.openxmlformats.org/drawingml/2006/main">
                    <a:graphicData uri="http://schemas.openxmlformats.org/drawingml/2006/picture">
                      <pic:pic xmlns:pic="http://schemas.openxmlformats.org/drawingml/2006/picture">
                        <pic:nvPicPr>
                          <pic:cNvPr id="394" name="Host_Control__23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5" name="Host_Control__22_SpCnt_2"/>
                  <wp:cNvGraphicFramePr/>
                  <a:graphic xmlns:a="http://schemas.openxmlformats.org/drawingml/2006/main">
                    <a:graphicData uri="http://schemas.openxmlformats.org/drawingml/2006/picture">
                      <pic:pic xmlns:pic="http://schemas.openxmlformats.org/drawingml/2006/picture">
                        <pic:nvPicPr>
                          <pic:cNvPr id="395" name="Host_Control__22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6" name="Host_Control__21_SpCnt_3"/>
                  <wp:cNvGraphicFramePr/>
                  <a:graphic xmlns:a="http://schemas.openxmlformats.org/drawingml/2006/main">
                    <a:graphicData uri="http://schemas.openxmlformats.org/drawingml/2006/picture">
                      <pic:pic xmlns:pic="http://schemas.openxmlformats.org/drawingml/2006/picture">
                        <pic:nvPicPr>
                          <pic:cNvPr id="396" name="Host_Control__21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7" name="Host_Control__20_SpCnt_2"/>
                  <wp:cNvGraphicFramePr/>
                  <a:graphic xmlns:a="http://schemas.openxmlformats.org/drawingml/2006/main">
                    <a:graphicData uri="http://schemas.openxmlformats.org/drawingml/2006/picture">
                      <pic:pic xmlns:pic="http://schemas.openxmlformats.org/drawingml/2006/picture">
                        <pic:nvPicPr>
                          <pic:cNvPr id="397" name="Host_Control__20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8" name="Host_Control__19_SpCnt_2"/>
                  <wp:cNvGraphicFramePr/>
                  <a:graphic xmlns:a="http://schemas.openxmlformats.org/drawingml/2006/main">
                    <a:graphicData uri="http://schemas.openxmlformats.org/drawingml/2006/picture">
                      <pic:pic xmlns:pic="http://schemas.openxmlformats.org/drawingml/2006/picture">
                        <pic:nvPicPr>
                          <pic:cNvPr id="398" name="Host_Control__19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9" name="Host_Control__18_SpCnt_2"/>
                  <wp:cNvGraphicFramePr/>
                  <a:graphic xmlns:a="http://schemas.openxmlformats.org/drawingml/2006/main">
                    <a:graphicData uri="http://schemas.openxmlformats.org/drawingml/2006/picture">
                      <pic:pic xmlns:pic="http://schemas.openxmlformats.org/drawingml/2006/picture">
                        <pic:nvPicPr>
                          <pic:cNvPr id="399" name="Host_Control__18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0" name="Host_Control__17_SpCnt_2"/>
                  <wp:cNvGraphicFramePr/>
                  <a:graphic xmlns:a="http://schemas.openxmlformats.org/drawingml/2006/main">
                    <a:graphicData uri="http://schemas.openxmlformats.org/drawingml/2006/picture">
                      <pic:pic xmlns:pic="http://schemas.openxmlformats.org/drawingml/2006/picture">
                        <pic:nvPicPr>
                          <pic:cNvPr id="400" name="Host_Control__17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1" name="Host_Control__16_SpCnt_2"/>
                  <wp:cNvGraphicFramePr/>
                  <a:graphic xmlns:a="http://schemas.openxmlformats.org/drawingml/2006/main">
                    <a:graphicData uri="http://schemas.openxmlformats.org/drawingml/2006/picture">
                      <pic:pic xmlns:pic="http://schemas.openxmlformats.org/drawingml/2006/picture">
                        <pic:nvPicPr>
                          <pic:cNvPr id="401" name="Host_Control__16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2" name="Host_Control__15_SpCnt_2"/>
                  <wp:cNvGraphicFramePr/>
                  <a:graphic xmlns:a="http://schemas.openxmlformats.org/drawingml/2006/main">
                    <a:graphicData uri="http://schemas.openxmlformats.org/drawingml/2006/picture">
                      <pic:pic xmlns:pic="http://schemas.openxmlformats.org/drawingml/2006/picture">
                        <pic:nvPicPr>
                          <pic:cNvPr id="402" name="Host_Control__15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3" name="Host_Control__14_SpCnt_2"/>
                  <wp:cNvGraphicFramePr/>
                  <a:graphic xmlns:a="http://schemas.openxmlformats.org/drawingml/2006/main">
                    <a:graphicData uri="http://schemas.openxmlformats.org/drawingml/2006/picture">
                      <pic:pic xmlns:pic="http://schemas.openxmlformats.org/drawingml/2006/picture">
                        <pic:nvPicPr>
                          <pic:cNvPr id="403" name="Host_Control__14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4" name="Host_Control__13_SpCnt_3"/>
                  <wp:cNvGraphicFramePr/>
                  <a:graphic xmlns:a="http://schemas.openxmlformats.org/drawingml/2006/main">
                    <a:graphicData uri="http://schemas.openxmlformats.org/drawingml/2006/picture">
                      <pic:pic xmlns:pic="http://schemas.openxmlformats.org/drawingml/2006/picture">
                        <pic:nvPicPr>
                          <pic:cNvPr id="404" name="Host_Control__13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5" name="Host_Control__12_SpCnt_2"/>
                  <wp:cNvGraphicFramePr/>
                  <a:graphic xmlns:a="http://schemas.openxmlformats.org/drawingml/2006/main">
                    <a:graphicData uri="http://schemas.openxmlformats.org/drawingml/2006/picture">
                      <pic:pic xmlns:pic="http://schemas.openxmlformats.org/drawingml/2006/picture">
                        <pic:nvPicPr>
                          <pic:cNvPr id="405" name="Host_Control__12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6" name="Host_Control__11_SpCnt_2"/>
                  <wp:cNvGraphicFramePr/>
                  <a:graphic xmlns:a="http://schemas.openxmlformats.org/drawingml/2006/main">
                    <a:graphicData uri="http://schemas.openxmlformats.org/drawingml/2006/picture">
                      <pic:pic xmlns:pic="http://schemas.openxmlformats.org/drawingml/2006/picture">
                        <pic:nvPicPr>
                          <pic:cNvPr id="406" name="Host_Control__11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7" name="Host_Control__10_SpCnt_2"/>
                  <wp:cNvGraphicFramePr/>
                  <a:graphic xmlns:a="http://schemas.openxmlformats.org/drawingml/2006/main">
                    <a:graphicData uri="http://schemas.openxmlformats.org/drawingml/2006/picture">
                      <pic:pic xmlns:pic="http://schemas.openxmlformats.org/drawingml/2006/picture">
                        <pic:nvPicPr>
                          <pic:cNvPr id="407" name="Host_Control__10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8" name="Host_Control__9_SpCnt_3"/>
                  <wp:cNvGraphicFramePr/>
                  <a:graphic xmlns:a="http://schemas.openxmlformats.org/drawingml/2006/main">
                    <a:graphicData uri="http://schemas.openxmlformats.org/drawingml/2006/picture">
                      <pic:pic xmlns:pic="http://schemas.openxmlformats.org/drawingml/2006/picture">
                        <pic:nvPicPr>
                          <pic:cNvPr id="408" name="Host_Control__9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9" name="Host_Control__37_SpCnt_4"/>
                  <wp:cNvGraphicFramePr/>
                  <a:graphic xmlns:a="http://schemas.openxmlformats.org/drawingml/2006/main">
                    <a:graphicData uri="http://schemas.openxmlformats.org/drawingml/2006/picture">
                      <pic:pic xmlns:pic="http://schemas.openxmlformats.org/drawingml/2006/picture">
                        <pic:nvPicPr>
                          <pic:cNvPr id="409" name="Host_Control__37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0" name="Host_Control__8_SpCnt_2"/>
                  <wp:cNvGraphicFramePr/>
                  <a:graphic xmlns:a="http://schemas.openxmlformats.org/drawingml/2006/main">
                    <a:graphicData uri="http://schemas.openxmlformats.org/drawingml/2006/picture">
                      <pic:pic xmlns:pic="http://schemas.openxmlformats.org/drawingml/2006/picture">
                        <pic:nvPicPr>
                          <pic:cNvPr id="410" name="Host_Control__8_SpCnt_2"/>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1" name="Host_Control__36_SpCnt_3"/>
                  <wp:cNvGraphicFramePr/>
                  <a:graphic xmlns:a="http://schemas.openxmlformats.org/drawingml/2006/main">
                    <a:graphicData uri="http://schemas.openxmlformats.org/drawingml/2006/picture">
                      <pic:pic xmlns:pic="http://schemas.openxmlformats.org/drawingml/2006/picture">
                        <pic:nvPicPr>
                          <pic:cNvPr id="411" name="Host_Control__36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2" name="Host_Control__35_SpCnt_3"/>
                  <wp:cNvGraphicFramePr/>
                  <a:graphic xmlns:a="http://schemas.openxmlformats.org/drawingml/2006/main">
                    <a:graphicData uri="http://schemas.openxmlformats.org/drawingml/2006/picture">
                      <pic:pic xmlns:pic="http://schemas.openxmlformats.org/drawingml/2006/picture">
                        <pic:nvPicPr>
                          <pic:cNvPr id="412" name="Host_Control__35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3" name="Host_Control__34_SpCnt_3"/>
                  <wp:cNvGraphicFramePr/>
                  <a:graphic xmlns:a="http://schemas.openxmlformats.org/drawingml/2006/main">
                    <a:graphicData uri="http://schemas.openxmlformats.org/drawingml/2006/picture">
                      <pic:pic xmlns:pic="http://schemas.openxmlformats.org/drawingml/2006/picture">
                        <pic:nvPicPr>
                          <pic:cNvPr id="413" name="Host_Control__34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4" name="Host_Control__33_SpCnt_3"/>
                  <wp:cNvGraphicFramePr/>
                  <a:graphic xmlns:a="http://schemas.openxmlformats.org/drawingml/2006/main">
                    <a:graphicData uri="http://schemas.openxmlformats.org/drawingml/2006/picture">
                      <pic:pic xmlns:pic="http://schemas.openxmlformats.org/drawingml/2006/picture">
                        <pic:nvPicPr>
                          <pic:cNvPr id="414" name="Host_Control__33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5" name="Host_Control__32_SpCnt_3"/>
                  <wp:cNvGraphicFramePr/>
                  <a:graphic xmlns:a="http://schemas.openxmlformats.org/drawingml/2006/main">
                    <a:graphicData uri="http://schemas.openxmlformats.org/drawingml/2006/picture">
                      <pic:pic xmlns:pic="http://schemas.openxmlformats.org/drawingml/2006/picture">
                        <pic:nvPicPr>
                          <pic:cNvPr id="415" name="Host_Control__32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6" name="Host_Control__31_SpCnt_3"/>
                  <wp:cNvGraphicFramePr/>
                  <a:graphic xmlns:a="http://schemas.openxmlformats.org/drawingml/2006/main">
                    <a:graphicData uri="http://schemas.openxmlformats.org/drawingml/2006/picture">
                      <pic:pic xmlns:pic="http://schemas.openxmlformats.org/drawingml/2006/picture">
                        <pic:nvPicPr>
                          <pic:cNvPr id="416" name="Host_Control__31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7" name="Host_Control__30_SpCnt_3"/>
                  <wp:cNvGraphicFramePr/>
                  <a:graphic xmlns:a="http://schemas.openxmlformats.org/drawingml/2006/main">
                    <a:graphicData uri="http://schemas.openxmlformats.org/drawingml/2006/picture">
                      <pic:pic xmlns:pic="http://schemas.openxmlformats.org/drawingml/2006/picture">
                        <pic:nvPicPr>
                          <pic:cNvPr id="417" name="Host_Control__30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8" name="Host_Control__29_SpCnt_3"/>
                  <wp:cNvGraphicFramePr/>
                  <a:graphic xmlns:a="http://schemas.openxmlformats.org/drawingml/2006/main">
                    <a:graphicData uri="http://schemas.openxmlformats.org/drawingml/2006/picture">
                      <pic:pic xmlns:pic="http://schemas.openxmlformats.org/drawingml/2006/picture">
                        <pic:nvPicPr>
                          <pic:cNvPr id="418" name="Host_Control__29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19" name="Host_Control__28_SpCnt_3"/>
                  <wp:cNvGraphicFramePr/>
                  <a:graphic xmlns:a="http://schemas.openxmlformats.org/drawingml/2006/main">
                    <a:graphicData uri="http://schemas.openxmlformats.org/drawingml/2006/picture">
                      <pic:pic xmlns:pic="http://schemas.openxmlformats.org/drawingml/2006/picture">
                        <pic:nvPicPr>
                          <pic:cNvPr id="419" name="Host_Control__28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0" name="Host_Control__27_SpCnt_3"/>
                  <wp:cNvGraphicFramePr/>
                  <a:graphic xmlns:a="http://schemas.openxmlformats.org/drawingml/2006/main">
                    <a:graphicData uri="http://schemas.openxmlformats.org/drawingml/2006/picture">
                      <pic:pic xmlns:pic="http://schemas.openxmlformats.org/drawingml/2006/picture">
                        <pic:nvPicPr>
                          <pic:cNvPr id="420" name="Host_Control__27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1" name="Host_Control__26_SpCnt_3"/>
                  <wp:cNvGraphicFramePr/>
                  <a:graphic xmlns:a="http://schemas.openxmlformats.org/drawingml/2006/main">
                    <a:graphicData uri="http://schemas.openxmlformats.org/drawingml/2006/picture">
                      <pic:pic xmlns:pic="http://schemas.openxmlformats.org/drawingml/2006/picture">
                        <pic:nvPicPr>
                          <pic:cNvPr id="421" name="Host_Control__26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2" name="Host_Control__25_SpCnt_3"/>
                  <wp:cNvGraphicFramePr/>
                  <a:graphic xmlns:a="http://schemas.openxmlformats.org/drawingml/2006/main">
                    <a:graphicData uri="http://schemas.openxmlformats.org/drawingml/2006/picture">
                      <pic:pic xmlns:pic="http://schemas.openxmlformats.org/drawingml/2006/picture">
                        <pic:nvPicPr>
                          <pic:cNvPr id="422" name="Host_Control__25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3" name="Host_Control__24_SpCnt_3"/>
                  <wp:cNvGraphicFramePr/>
                  <a:graphic xmlns:a="http://schemas.openxmlformats.org/drawingml/2006/main">
                    <a:graphicData uri="http://schemas.openxmlformats.org/drawingml/2006/picture">
                      <pic:pic xmlns:pic="http://schemas.openxmlformats.org/drawingml/2006/picture">
                        <pic:nvPicPr>
                          <pic:cNvPr id="423" name="Host_Control__24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4" name="Host_Control__23_SpCnt_3"/>
                  <wp:cNvGraphicFramePr/>
                  <a:graphic xmlns:a="http://schemas.openxmlformats.org/drawingml/2006/main">
                    <a:graphicData uri="http://schemas.openxmlformats.org/drawingml/2006/picture">
                      <pic:pic xmlns:pic="http://schemas.openxmlformats.org/drawingml/2006/picture">
                        <pic:nvPicPr>
                          <pic:cNvPr id="424" name="Host_Control__23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5" name="Host_Control__22_SpCnt_3"/>
                  <wp:cNvGraphicFramePr/>
                  <a:graphic xmlns:a="http://schemas.openxmlformats.org/drawingml/2006/main">
                    <a:graphicData uri="http://schemas.openxmlformats.org/drawingml/2006/picture">
                      <pic:pic xmlns:pic="http://schemas.openxmlformats.org/drawingml/2006/picture">
                        <pic:nvPicPr>
                          <pic:cNvPr id="425" name="Host_Control__22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6" name="Host_Control__21_SpCnt_4"/>
                  <wp:cNvGraphicFramePr/>
                  <a:graphic xmlns:a="http://schemas.openxmlformats.org/drawingml/2006/main">
                    <a:graphicData uri="http://schemas.openxmlformats.org/drawingml/2006/picture">
                      <pic:pic xmlns:pic="http://schemas.openxmlformats.org/drawingml/2006/picture">
                        <pic:nvPicPr>
                          <pic:cNvPr id="426" name="Host_Control__21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7" name="Host_Control__20_SpCnt_3"/>
                  <wp:cNvGraphicFramePr/>
                  <a:graphic xmlns:a="http://schemas.openxmlformats.org/drawingml/2006/main">
                    <a:graphicData uri="http://schemas.openxmlformats.org/drawingml/2006/picture">
                      <pic:pic xmlns:pic="http://schemas.openxmlformats.org/drawingml/2006/picture">
                        <pic:nvPicPr>
                          <pic:cNvPr id="427" name="Host_Control__20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8" name="Host_Control__19_SpCnt_3"/>
                  <wp:cNvGraphicFramePr/>
                  <a:graphic xmlns:a="http://schemas.openxmlformats.org/drawingml/2006/main">
                    <a:graphicData uri="http://schemas.openxmlformats.org/drawingml/2006/picture">
                      <pic:pic xmlns:pic="http://schemas.openxmlformats.org/drawingml/2006/picture">
                        <pic:nvPicPr>
                          <pic:cNvPr id="428" name="Host_Control__19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9" name="Host_Control__18_SpCnt_3"/>
                  <wp:cNvGraphicFramePr/>
                  <a:graphic xmlns:a="http://schemas.openxmlformats.org/drawingml/2006/main">
                    <a:graphicData uri="http://schemas.openxmlformats.org/drawingml/2006/picture">
                      <pic:pic xmlns:pic="http://schemas.openxmlformats.org/drawingml/2006/picture">
                        <pic:nvPicPr>
                          <pic:cNvPr id="429" name="Host_Control__18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0" name="Host_Control__17_SpCnt_3"/>
                  <wp:cNvGraphicFramePr/>
                  <a:graphic xmlns:a="http://schemas.openxmlformats.org/drawingml/2006/main">
                    <a:graphicData uri="http://schemas.openxmlformats.org/drawingml/2006/picture">
                      <pic:pic xmlns:pic="http://schemas.openxmlformats.org/drawingml/2006/picture">
                        <pic:nvPicPr>
                          <pic:cNvPr id="430" name="Host_Control__17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1" name="Host_Control__16_SpCnt_3"/>
                  <wp:cNvGraphicFramePr/>
                  <a:graphic xmlns:a="http://schemas.openxmlformats.org/drawingml/2006/main">
                    <a:graphicData uri="http://schemas.openxmlformats.org/drawingml/2006/picture">
                      <pic:pic xmlns:pic="http://schemas.openxmlformats.org/drawingml/2006/picture">
                        <pic:nvPicPr>
                          <pic:cNvPr id="431" name="Host_Control__16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2" name="Host_Control__15_SpCnt_3"/>
                  <wp:cNvGraphicFramePr/>
                  <a:graphic xmlns:a="http://schemas.openxmlformats.org/drawingml/2006/main">
                    <a:graphicData uri="http://schemas.openxmlformats.org/drawingml/2006/picture">
                      <pic:pic xmlns:pic="http://schemas.openxmlformats.org/drawingml/2006/picture">
                        <pic:nvPicPr>
                          <pic:cNvPr id="432" name="Host_Control__15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3" name="Host_Control__14_SpCnt_3"/>
                  <wp:cNvGraphicFramePr/>
                  <a:graphic xmlns:a="http://schemas.openxmlformats.org/drawingml/2006/main">
                    <a:graphicData uri="http://schemas.openxmlformats.org/drawingml/2006/picture">
                      <pic:pic xmlns:pic="http://schemas.openxmlformats.org/drawingml/2006/picture">
                        <pic:nvPicPr>
                          <pic:cNvPr id="433" name="Host_Control__14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4" name="Host_Control__13_SpCnt_4"/>
                  <wp:cNvGraphicFramePr/>
                  <a:graphic xmlns:a="http://schemas.openxmlformats.org/drawingml/2006/main">
                    <a:graphicData uri="http://schemas.openxmlformats.org/drawingml/2006/picture">
                      <pic:pic xmlns:pic="http://schemas.openxmlformats.org/drawingml/2006/picture">
                        <pic:nvPicPr>
                          <pic:cNvPr id="434" name="Host_Control__13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5" name="Host_Control__12_SpCnt_3"/>
                  <wp:cNvGraphicFramePr/>
                  <a:graphic xmlns:a="http://schemas.openxmlformats.org/drawingml/2006/main">
                    <a:graphicData uri="http://schemas.openxmlformats.org/drawingml/2006/picture">
                      <pic:pic xmlns:pic="http://schemas.openxmlformats.org/drawingml/2006/picture">
                        <pic:nvPicPr>
                          <pic:cNvPr id="435" name="Host_Control__12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6" name="Host_Control__11_SpCnt_3"/>
                  <wp:cNvGraphicFramePr/>
                  <a:graphic xmlns:a="http://schemas.openxmlformats.org/drawingml/2006/main">
                    <a:graphicData uri="http://schemas.openxmlformats.org/drawingml/2006/picture">
                      <pic:pic xmlns:pic="http://schemas.openxmlformats.org/drawingml/2006/picture">
                        <pic:nvPicPr>
                          <pic:cNvPr id="436" name="Host_Control__11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7" name="Host_Control__10_SpCnt_3"/>
                  <wp:cNvGraphicFramePr/>
                  <a:graphic xmlns:a="http://schemas.openxmlformats.org/drawingml/2006/main">
                    <a:graphicData uri="http://schemas.openxmlformats.org/drawingml/2006/picture">
                      <pic:pic xmlns:pic="http://schemas.openxmlformats.org/drawingml/2006/picture">
                        <pic:nvPicPr>
                          <pic:cNvPr id="437" name="Host_Control__10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8" name="Host_Control__9_SpCnt_4"/>
                  <wp:cNvGraphicFramePr/>
                  <a:graphic xmlns:a="http://schemas.openxmlformats.org/drawingml/2006/main">
                    <a:graphicData uri="http://schemas.openxmlformats.org/drawingml/2006/picture">
                      <pic:pic xmlns:pic="http://schemas.openxmlformats.org/drawingml/2006/picture">
                        <pic:nvPicPr>
                          <pic:cNvPr id="438" name="Host_Control__9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9" name="Host_Control__8_SpCnt_3"/>
                  <wp:cNvGraphicFramePr/>
                  <a:graphic xmlns:a="http://schemas.openxmlformats.org/drawingml/2006/main">
                    <a:graphicData uri="http://schemas.openxmlformats.org/drawingml/2006/picture">
                      <pic:pic xmlns:pic="http://schemas.openxmlformats.org/drawingml/2006/picture">
                        <pic:nvPicPr>
                          <pic:cNvPr id="439" name="Host_Control__8_SpCnt_3"/>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0" name="Host_Control__36_SpCnt_4"/>
                  <wp:cNvGraphicFramePr/>
                  <a:graphic xmlns:a="http://schemas.openxmlformats.org/drawingml/2006/main">
                    <a:graphicData uri="http://schemas.openxmlformats.org/drawingml/2006/picture">
                      <pic:pic xmlns:pic="http://schemas.openxmlformats.org/drawingml/2006/picture">
                        <pic:nvPicPr>
                          <pic:cNvPr id="440" name="Host_Control__36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1" name="Host_Control__7_SpCnt_4"/>
                  <wp:cNvGraphicFramePr/>
                  <a:graphic xmlns:a="http://schemas.openxmlformats.org/drawingml/2006/main">
                    <a:graphicData uri="http://schemas.openxmlformats.org/drawingml/2006/picture">
                      <pic:pic xmlns:pic="http://schemas.openxmlformats.org/drawingml/2006/picture">
                        <pic:nvPicPr>
                          <pic:cNvPr id="441" name="Host_Control__7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2" name="Host_Control__35_SpCnt_4"/>
                  <wp:cNvGraphicFramePr/>
                  <a:graphic xmlns:a="http://schemas.openxmlformats.org/drawingml/2006/main">
                    <a:graphicData uri="http://schemas.openxmlformats.org/drawingml/2006/picture">
                      <pic:pic xmlns:pic="http://schemas.openxmlformats.org/drawingml/2006/picture">
                        <pic:nvPicPr>
                          <pic:cNvPr id="442" name="Host_Control__35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3" name="Host_Control__34_SpCnt_4"/>
                  <wp:cNvGraphicFramePr/>
                  <a:graphic xmlns:a="http://schemas.openxmlformats.org/drawingml/2006/main">
                    <a:graphicData uri="http://schemas.openxmlformats.org/drawingml/2006/picture">
                      <pic:pic xmlns:pic="http://schemas.openxmlformats.org/drawingml/2006/picture">
                        <pic:nvPicPr>
                          <pic:cNvPr id="443" name="Host_Control__34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4" name="Host_Control__33_SpCnt_4"/>
                  <wp:cNvGraphicFramePr/>
                  <a:graphic xmlns:a="http://schemas.openxmlformats.org/drawingml/2006/main">
                    <a:graphicData uri="http://schemas.openxmlformats.org/drawingml/2006/picture">
                      <pic:pic xmlns:pic="http://schemas.openxmlformats.org/drawingml/2006/picture">
                        <pic:nvPicPr>
                          <pic:cNvPr id="444" name="Host_Control__33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5" name="Host_Control__32_SpCnt_4"/>
                  <wp:cNvGraphicFramePr/>
                  <a:graphic xmlns:a="http://schemas.openxmlformats.org/drawingml/2006/main">
                    <a:graphicData uri="http://schemas.openxmlformats.org/drawingml/2006/picture">
                      <pic:pic xmlns:pic="http://schemas.openxmlformats.org/drawingml/2006/picture">
                        <pic:nvPicPr>
                          <pic:cNvPr id="445" name="Host_Control__32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6" name="Host_Control__31_SpCnt_4"/>
                  <wp:cNvGraphicFramePr/>
                  <a:graphic xmlns:a="http://schemas.openxmlformats.org/drawingml/2006/main">
                    <a:graphicData uri="http://schemas.openxmlformats.org/drawingml/2006/picture">
                      <pic:pic xmlns:pic="http://schemas.openxmlformats.org/drawingml/2006/picture">
                        <pic:nvPicPr>
                          <pic:cNvPr id="446" name="Host_Control__31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7" name="Host_Control__30_SpCnt_4"/>
                  <wp:cNvGraphicFramePr/>
                  <a:graphic xmlns:a="http://schemas.openxmlformats.org/drawingml/2006/main">
                    <a:graphicData uri="http://schemas.openxmlformats.org/drawingml/2006/picture">
                      <pic:pic xmlns:pic="http://schemas.openxmlformats.org/drawingml/2006/picture">
                        <pic:nvPicPr>
                          <pic:cNvPr id="447" name="Host_Control__30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8" name="Host_Control__29_SpCnt_4"/>
                  <wp:cNvGraphicFramePr/>
                  <a:graphic xmlns:a="http://schemas.openxmlformats.org/drawingml/2006/main">
                    <a:graphicData uri="http://schemas.openxmlformats.org/drawingml/2006/picture">
                      <pic:pic xmlns:pic="http://schemas.openxmlformats.org/drawingml/2006/picture">
                        <pic:nvPicPr>
                          <pic:cNvPr id="448" name="Host_Control__29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9" name="Host_Control__28_SpCnt_4"/>
                  <wp:cNvGraphicFramePr/>
                  <a:graphic xmlns:a="http://schemas.openxmlformats.org/drawingml/2006/main">
                    <a:graphicData uri="http://schemas.openxmlformats.org/drawingml/2006/picture">
                      <pic:pic xmlns:pic="http://schemas.openxmlformats.org/drawingml/2006/picture">
                        <pic:nvPicPr>
                          <pic:cNvPr id="449" name="Host_Control__28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0" name="Host_Control__27_SpCnt_4"/>
                  <wp:cNvGraphicFramePr/>
                  <a:graphic xmlns:a="http://schemas.openxmlformats.org/drawingml/2006/main">
                    <a:graphicData uri="http://schemas.openxmlformats.org/drawingml/2006/picture">
                      <pic:pic xmlns:pic="http://schemas.openxmlformats.org/drawingml/2006/picture">
                        <pic:nvPicPr>
                          <pic:cNvPr id="450" name="Host_Control__27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1" name="Host_Control__26_SpCnt_4"/>
                  <wp:cNvGraphicFramePr/>
                  <a:graphic xmlns:a="http://schemas.openxmlformats.org/drawingml/2006/main">
                    <a:graphicData uri="http://schemas.openxmlformats.org/drawingml/2006/picture">
                      <pic:pic xmlns:pic="http://schemas.openxmlformats.org/drawingml/2006/picture">
                        <pic:nvPicPr>
                          <pic:cNvPr id="451" name="Host_Control__26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2" name="Host_Control__25_SpCnt_4"/>
                  <wp:cNvGraphicFramePr/>
                  <a:graphic xmlns:a="http://schemas.openxmlformats.org/drawingml/2006/main">
                    <a:graphicData uri="http://schemas.openxmlformats.org/drawingml/2006/picture">
                      <pic:pic xmlns:pic="http://schemas.openxmlformats.org/drawingml/2006/picture">
                        <pic:nvPicPr>
                          <pic:cNvPr id="452" name="Host_Control__25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3" name="Host_Control__24_SpCnt_4"/>
                  <wp:cNvGraphicFramePr/>
                  <a:graphic xmlns:a="http://schemas.openxmlformats.org/drawingml/2006/main">
                    <a:graphicData uri="http://schemas.openxmlformats.org/drawingml/2006/picture">
                      <pic:pic xmlns:pic="http://schemas.openxmlformats.org/drawingml/2006/picture">
                        <pic:nvPicPr>
                          <pic:cNvPr id="453" name="Host_Control__24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4" name="Host_Control__23_SpCnt_4"/>
                  <wp:cNvGraphicFramePr/>
                  <a:graphic xmlns:a="http://schemas.openxmlformats.org/drawingml/2006/main">
                    <a:graphicData uri="http://schemas.openxmlformats.org/drawingml/2006/picture">
                      <pic:pic xmlns:pic="http://schemas.openxmlformats.org/drawingml/2006/picture">
                        <pic:nvPicPr>
                          <pic:cNvPr id="454" name="Host_Control__23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5" name="Host_Control__20_SpCnt_4"/>
                  <wp:cNvGraphicFramePr/>
                  <a:graphic xmlns:a="http://schemas.openxmlformats.org/drawingml/2006/main">
                    <a:graphicData uri="http://schemas.openxmlformats.org/drawingml/2006/picture">
                      <pic:pic xmlns:pic="http://schemas.openxmlformats.org/drawingml/2006/picture">
                        <pic:nvPicPr>
                          <pic:cNvPr id="455" name="Host_Control__20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6" name="Host_Control__22_SpCnt_4"/>
                  <wp:cNvGraphicFramePr/>
                  <a:graphic xmlns:a="http://schemas.openxmlformats.org/drawingml/2006/main">
                    <a:graphicData uri="http://schemas.openxmlformats.org/drawingml/2006/picture">
                      <pic:pic xmlns:pic="http://schemas.openxmlformats.org/drawingml/2006/picture">
                        <pic:nvPicPr>
                          <pic:cNvPr id="456" name="Host_Control__22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7" name="Host_Control__19_SpCnt_4"/>
                  <wp:cNvGraphicFramePr/>
                  <a:graphic xmlns:a="http://schemas.openxmlformats.org/drawingml/2006/main">
                    <a:graphicData uri="http://schemas.openxmlformats.org/drawingml/2006/picture">
                      <pic:pic xmlns:pic="http://schemas.openxmlformats.org/drawingml/2006/picture">
                        <pic:nvPicPr>
                          <pic:cNvPr id="457" name="Host_Control__19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8" name="Host_Control__18_SpCnt_4"/>
                  <wp:cNvGraphicFramePr/>
                  <a:graphic xmlns:a="http://schemas.openxmlformats.org/drawingml/2006/main">
                    <a:graphicData uri="http://schemas.openxmlformats.org/drawingml/2006/picture">
                      <pic:pic xmlns:pic="http://schemas.openxmlformats.org/drawingml/2006/picture">
                        <pic:nvPicPr>
                          <pic:cNvPr id="458" name="Host_Control__18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9" name="Host_Control__17_SpCnt_4"/>
                  <wp:cNvGraphicFramePr/>
                  <a:graphic xmlns:a="http://schemas.openxmlformats.org/drawingml/2006/main">
                    <a:graphicData uri="http://schemas.openxmlformats.org/drawingml/2006/picture">
                      <pic:pic xmlns:pic="http://schemas.openxmlformats.org/drawingml/2006/picture">
                        <pic:nvPicPr>
                          <pic:cNvPr id="459" name="Host_Control__17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0" name="Host_Control__16_SpCnt_4"/>
                  <wp:cNvGraphicFramePr/>
                  <a:graphic xmlns:a="http://schemas.openxmlformats.org/drawingml/2006/main">
                    <a:graphicData uri="http://schemas.openxmlformats.org/drawingml/2006/picture">
                      <pic:pic xmlns:pic="http://schemas.openxmlformats.org/drawingml/2006/picture">
                        <pic:nvPicPr>
                          <pic:cNvPr id="460" name="Host_Control__16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1" name="Host_Control__15_SpCnt_4"/>
                  <wp:cNvGraphicFramePr/>
                  <a:graphic xmlns:a="http://schemas.openxmlformats.org/drawingml/2006/main">
                    <a:graphicData uri="http://schemas.openxmlformats.org/drawingml/2006/picture">
                      <pic:pic xmlns:pic="http://schemas.openxmlformats.org/drawingml/2006/picture">
                        <pic:nvPicPr>
                          <pic:cNvPr id="461" name="Host_Control__15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2" name="Host_Control__12_SpCnt_4"/>
                  <wp:cNvGraphicFramePr/>
                  <a:graphic xmlns:a="http://schemas.openxmlformats.org/drawingml/2006/main">
                    <a:graphicData uri="http://schemas.openxmlformats.org/drawingml/2006/picture">
                      <pic:pic xmlns:pic="http://schemas.openxmlformats.org/drawingml/2006/picture">
                        <pic:nvPicPr>
                          <pic:cNvPr id="462" name="Host_Control__12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3" name="Host_Control__14_SpCnt_4"/>
                  <wp:cNvGraphicFramePr/>
                  <a:graphic xmlns:a="http://schemas.openxmlformats.org/drawingml/2006/main">
                    <a:graphicData uri="http://schemas.openxmlformats.org/drawingml/2006/picture">
                      <pic:pic xmlns:pic="http://schemas.openxmlformats.org/drawingml/2006/picture">
                        <pic:nvPicPr>
                          <pic:cNvPr id="463" name="Host_Control__14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4" name="Host_Control__11_SpCnt_4"/>
                  <wp:cNvGraphicFramePr/>
                  <a:graphic xmlns:a="http://schemas.openxmlformats.org/drawingml/2006/main">
                    <a:graphicData uri="http://schemas.openxmlformats.org/drawingml/2006/picture">
                      <pic:pic xmlns:pic="http://schemas.openxmlformats.org/drawingml/2006/picture">
                        <pic:nvPicPr>
                          <pic:cNvPr id="464" name="Host_Control__11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5" name="Host_Control__8_SpCnt_4"/>
                  <wp:cNvGraphicFramePr/>
                  <a:graphic xmlns:a="http://schemas.openxmlformats.org/drawingml/2006/main">
                    <a:graphicData uri="http://schemas.openxmlformats.org/drawingml/2006/picture">
                      <pic:pic xmlns:pic="http://schemas.openxmlformats.org/drawingml/2006/picture">
                        <pic:nvPicPr>
                          <pic:cNvPr id="465" name="Host_Control__8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6" name="Host_Control__10_SpCnt_4"/>
                  <wp:cNvGraphicFramePr/>
                  <a:graphic xmlns:a="http://schemas.openxmlformats.org/drawingml/2006/main">
                    <a:graphicData uri="http://schemas.openxmlformats.org/drawingml/2006/picture">
                      <pic:pic xmlns:pic="http://schemas.openxmlformats.org/drawingml/2006/picture">
                        <pic:nvPicPr>
                          <pic:cNvPr id="466" name="Host_Control__10_SpCnt_4"/>
                          <pic:cNvPicPr/>
                        </pic:nvPicPr>
                        <pic:blipFill>
                          <a:blip r:embed="rId16"/>
                          <a:stretch>
                            <a:fillRect/>
                          </a:stretch>
                        </pic:blipFill>
                        <pic:spPr>
                          <a:xfrm>
                            <a:off x="0" y="0"/>
                            <a:ext cx="923925" cy="161925"/>
                          </a:xfrm>
                          <a:prstGeom prst="rect">
                            <a:avLst/>
                          </a:prstGeom>
                          <a:noFill/>
                          <a:ln>
                            <a:noFill/>
                          </a:ln>
                        </pic:spPr>
                      </pic:pic>
                    </a:graphicData>
                  </a:graphic>
                </wp:anchor>
              </w:drawing>
            </w:r>
            <w:r>
              <w:rPr>
                <w:rFonts w:hint="eastAsia" w:ascii="宋体" w:hAnsi="宋体" w:eastAsia="宋体" w:cs="宋体"/>
                <w:b/>
                <w:i w:val="0"/>
                <w:color w:val="000000"/>
                <w:kern w:val="0"/>
                <w:sz w:val="18"/>
                <w:szCs w:val="18"/>
                <w:u w:val="none"/>
                <w:lang w:val="en-US" w:eastAsia="zh-CN" w:bidi="ar"/>
              </w:rPr>
              <w:t>付款方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赵昌翠</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375,622.00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曾铁珍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299,980.00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陈铭洋</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光大预售</w:t>
            </w:r>
            <w:r>
              <w:rPr>
                <w:rFonts w:hint="default" w:ascii="Arial" w:hAnsi="Arial" w:eastAsia="宋体" w:cs="Arial"/>
                <w:i w:val="0"/>
                <w:color w:val="000000"/>
                <w:kern w:val="0"/>
                <w:sz w:val="18"/>
                <w:szCs w:val="18"/>
                <w:u w:val="none"/>
                <w:lang w:val="en-US" w:eastAsia="zh-CN" w:bidi="ar"/>
              </w:rPr>
              <w:t>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张旭东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光大预售</w:t>
            </w:r>
            <w:r>
              <w:rPr>
                <w:rFonts w:hint="default" w:ascii="Arial" w:hAnsi="Arial" w:eastAsia="宋体" w:cs="Arial"/>
                <w:i w:val="0"/>
                <w:color w:val="000000"/>
                <w:kern w:val="0"/>
                <w:sz w:val="18"/>
                <w:szCs w:val="18"/>
                <w:u w:val="none"/>
                <w:lang w:val="en-US" w:eastAsia="zh-CN" w:bidi="ar"/>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徐鑫</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光大预售</w:t>
            </w:r>
            <w:r>
              <w:rPr>
                <w:rFonts w:hint="default" w:ascii="Arial" w:hAnsi="Arial" w:eastAsia="宋体" w:cs="Arial"/>
                <w:i w:val="0"/>
                <w:color w:val="000000"/>
                <w:kern w:val="0"/>
                <w:sz w:val="18"/>
                <w:szCs w:val="18"/>
                <w:u w:val="none"/>
                <w:lang w:val="en-US" w:eastAsia="zh-CN" w:bidi="ar"/>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孙玉容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光大预售</w:t>
            </w:r>
            <w:r>
              <w:rPr>
                <w:rFonts w:hint="default" w:ascii="Arial" w:hAnsi="Arial" w:eastAsia="宋体" w:cs="Arial"/>
                <w:i w:val="0"/>
                <w:color w:val="000000"/>
                <w:kern w:val="0"/>
                <w:sz w:val="18"/>
                <w:szCs w:val="18"/>
                <w:u w:val="none"/>
                <w:lang w:val="en-US" w:eastAsia="zh-CN" w:bidi="ar"/>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292,230.00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董博文</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董旺</w:t>
            </w:r>
            <w:r>
              <w:rPr>
                <w:rFonts w:hint="default" w:ascii="Arial" w:hAnsi="Arial" w:eastAsia="宋体" w:cs="Arial"/>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李雁云</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光大预售</w:t>
            </w:r>
            <w:r>
              <w:rPr>
                <w:rFonts w:hint="default" w:ascii="Arial" w:hAnsi="Arial" w:eastAsia="宋体" w:cs="Arial"/>
                <w:i w:val="0"/>
                <w:color w:val="000000"/>
                <w:kern w:val="0"/>
                <w:sz w:val="18"/>
                <w:szCs w:val="18"/>
                <w:u w:val="none"/>
                <w:lang w:val="en-US" w:eastAsia="zh-CN" w:bidi="ar"/>
              </w:rPr>
              <w:t>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李志刚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1,343,660.00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奚茜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光大银行</w:t>
            </w:r>
            <w:r>
              <w:rPr>
                <w:rFonts w:hint="default" w:ascii="Arial" w:hAnsi="Arial" w:eastAsia="宋体" w:cs="Arial"/>
                <w:i w:val="0"/>
                <w:color w:val="000000"/>
                <w:kern w:val="0"/>
                <w:sz w:val="18"/>
                <w:szCs w:val="18"/>
                <w:u w:val="none"/>
                <w:lang w:val="en-US" w:eastAsia="zh-CN" w:bidi="ar"/>
              </w:rPr>
              <w:t>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徐亮</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蔡小红</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张远照</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熊雪芹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孙慧玲</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袁红俊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516,000.00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269,980.00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w:t>
            </w:r>
            <w:r>
              <w:rPr>
                <w:rFonts w:hint="eastAsia" w:ascii="宋体" w:hAnsi="宋体" w:eastAsia="宋体" w:cs="宋体"/>
                <w:i w:val="0"/>
                <w:color w:val="000000"/>
                <w:kern w:val="0"/>
                <w:sz w:val="18"/>
                <w:szCs w:val="18"/>
                <w:u w:val="none"/>
                <w:lang w:val="en-US" w:eastAsia="zh-CN" w:bidi="ar"/>
              </w:rPr>
              <w:t>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982,455.00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亢治虎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444,000.00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蒋莲</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张勇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孙晓丽</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黄琴</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倪东健</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365,525.00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658,481.00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田斌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530,206.00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陈先玉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190,424.00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宋德翔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145,525.00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宋德翔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宋德翔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娄勇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许聪</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王泳</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胡攀攀</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郭衡</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欧阳沛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徐浩</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汪祖闯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汪祖闯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168,185.00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赵永刚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尚黎黎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石科威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王丽</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吴慧琪</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孙金平</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赵永刚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361,436.00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1,285,509.00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450,533.00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何柯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544,595.00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跨行转账</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周烺</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焦振权</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焦振权</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蔡小红</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徐亮</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彭会元</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景天阔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121,140.00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汪祖闯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253,930.00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顾津</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黄啟华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其他应付款-个人贷款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奚茜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黄家裕</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孙晓丽</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黄琴</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480,043.00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145,438.00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谢志飞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孙金平</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959,940.00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闵何招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明芳望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晏凌云</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龚亚鑫</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411,140.00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丁国胜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李建</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730,871.00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王丰</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李福英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刘昕昊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熊仕华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荣峰华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姚学华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胡川</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陈雅庆</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秦超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薛莹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陈雅君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蒋广成</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彭德华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张梦珍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357,940.00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莫明</w:t>
            </w:r>
            <w:r>
              <w:rPr>
                <w:rFonts w:hint="default" w:ascii="Arial" w:hAnsi="Arial" w:eastAsia="宋体" w:cs="Arial"/>
                <w:i w:val="0"/>
                <w:color w:val="000000"/>
                <w:kern w:val="0"/>
                <w:sz w:val="18"/>
                <w:szCs w:val="18"/>
                <w:u w:val="none"/>
                <w:lang w:val="en-US" w:eastAsia="zh-CN" w:bidi="ar"/>
              </w:rPr>
              <w:t>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莫明</w:t>
            </w:r>
            <w:r>
              <w:rPr>
                <w:rFonts w:hint="default" w:ascii="Arial" w:hAnsi="Arial" w:eastAsia="宋体" w:cs="Arial"/>
                <w:i w:val="0"/>
                <w:color w:val="000000"/>
                <w:kern w:val="0"/>
                <w:sz w:val="18"/>
                <w:szCs w:val="18"/>
                <w:u w:val="none"/>
                <w:lang w:val="en-US" w:eastAsia="zh-CN" w:bidi="ar"/>
              </w:rPr>
              <w:t>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刘艳涛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566,362.00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刘兴炜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765,474.00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何柯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478,205.00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彭光清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韩娟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朱骏超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徐建文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31,118.00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欧阳小芳</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叶萍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涂晓雪</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鲁欢</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罗琴</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舒亚希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邹宝庆</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刘胜刚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戴立行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28,088.00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戴立行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朱少雄</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范师</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邹宝庆</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盛玲莉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杨玉义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姚翔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田源</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张雨飞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汪晓宇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王春梅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王春梅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石科威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谢晟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丁国胜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赵永刚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洪伟林</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胡佩</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王小姣</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钱芳</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周文东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吴慧琪</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唐健</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146,614.00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彭会元</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1,130,583.00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44,980.00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薛静</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刘崇俊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周宇翔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鲁欢</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刘保军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49,980.00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熊春花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闵何招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亢治虎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王小辉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杨旭</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高艳华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张晓昱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李玉红</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792,227.00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徐颖婷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夏红敏</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钱莉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周宇翔</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陈林云</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29,980.00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刘友亮</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龚国奇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吴彩燕</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赵蔚蔚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1,070,000.00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吴慧琪</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於</w:t>
            </w:r>
            <w:r>
              <w:rPr>
                <w:rFonts w:hint="default" w:ascii="Arial" w:hAnsi="Arial" w:eastAsia="宋体" w:cs="Arial"/>
                <w:i w:val="0"/>
                <w:color w:val="000000"/>
                <w:kern w:val="0"/>
                <w:sz w:val="18"/>
                <w:szCs w:val="18"/>
                <w:u w:val="none"/>
                <w:lang w:val="en-US" w:eastAsia="zh-CN" w:bidi="ar"/>
              </w:rPr>
              <w:t>燕</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周敏</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549,614.00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朱柄丞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朱柄丞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胡晟燕</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汪祖闯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715,370.00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李玉珠</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220,992.00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李玉珠</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刘春华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刘春华</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王瀛</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刘方凯</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黄家骐</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范霞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赵永刚</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348,150.00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钱莉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139,861.00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819,278.00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鲁倩均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韩娟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张树统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胡杰炜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裴霞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胡杰炜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刘崇俊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刘文魁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鲁芹</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1,390,000.00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冯康康</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王永模</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135,139.00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133,364.00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颜丙磊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132,477.00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刘莉莉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王梦</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1,280,000.00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刘崇俊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田晓阳</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刘崇俊</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刘文魁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400,676.00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134,231.00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张晓昱</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金铭</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王琴</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林炳泉</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986,757.00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59,979.00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周密</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75,229.00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刘文魁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162,284.00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鲁倩均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舟置业发展有限公司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301,786.00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舟置业发展有限公司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45,400.00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舟置业发展有限公司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63,800.00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舟置业发展有限公司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舟置业发展有限公司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45,800.00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1,202,977.00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9,490.00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9,426.00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19,720.00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19,720.00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裴霞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朱剑毅</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石科威</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裴霞</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81,648.00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杨勇</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81,648.00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张树统</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129,103.00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荣正泰置业有限公司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946,019.00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张再东</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49,980.00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樊玉萌</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陕西汇天建筑劳务有限公司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1,103,479.00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陕西汇天建筑劳务有限公司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1,083,253.00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938,841.00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荣正升置业有限公司</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1,246,632.00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夏红敏</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55,770.00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周春燕</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陈萍</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裴珮</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曹伦</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2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highlight w:val="none"/>
                <w:u w:val="none"/>
                <w:lang w:val="en-US" w:eastAsia="zh-CN" w:bidi="ar"/>
              </w:rPr>
              <w:t>正楚</w:t>
            </w:r>
          </w:p>
        </w:tc>
        <w:tc>
          <w:tcPr>
            <w:tcW w:w="205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279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2,388,503.00 </w:t>
            </w:r>
          </w:p>
        </w:tc>
        <w:tc>
          <w:tcPr>
            <w:tcW w:w="135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gridSpan w:val="4"/>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148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101,106,815.00 </w:t>
            </w:r>
          </w:p>
        </w:tc>
        <w:tc>
          <w:tcPr>
            <w:tcW w:w="0" w:type="auto"/>
            <w:shd w:val="clear" w:color="auto" w:fill="auto"/>
            <w:noWrap/>
            <w:tcMar>
              <w:top w:w="15" w:type="dxa"/>
              <w:left w:w="15" w:type="dxa"/>
              <w:right w:w="15" w:type="dxa"/>
            </w:tcMar>
            <w:vAlign w:val="center"/>
          </w:tcPr>
          <w:p>
            <w:pPr>
              <w:rPr>
                <w:rFonts w:hint="eastAsia" w:ascii="宋体" w:hAnsi="宋体" w:eastAsia="宋体" w:cs="宋体"/>
                <w:i w:val="0"/>
                <w:color w:val="000000"/>
                <w:sz w:val="18"/>
                <w:szCs w:val="18"/>
                <w:u w:val="none"/>
              </w:rPr>
            </w:pPr>
          </w:p>
        </w:tc>
      </w:tr>
    </w:tbl>
    <w:p>
      <w:pPr>
        <w:widowControl/>
        <w:jc w:val="center"/>
        <w:textAlignment w:val="center"/>
        <w:rPr>
          <w:rFonts w:hint="default" w:ascii="Arial" w:hAnsi="Arial" w:cs="Arial"/>
          <w:b/>
          <w:color w:val="000000"/>
          <w:sz w:val="24"/>
        </w:rPr>
      </w:pPr>
    </w:p>
    <w:p>
      <w:pPr>
        <w:widowControl/>
        <w:jc w:val="center"/>
        <w:textAlignment w:val="center"/>
        <w:rPr>
          <w:rFonts w:hint="default" w:ascii="Arial" w:hAnsi="Arial" w:cs="Arial"/>
          <w:b/>
          <w:color w:val="000000"/>
          <w:sz w:val="24"/>
        </w:rPr>
      </w:pPr>
    </w:p>
    <w:p>
      <w:pPr>
        <w:pStyle w:val="4"/>
        <w:rPr>
          <w:rFonts w:hint="default" w:ascii="Arial" w:hAnsi="Arial" w:eastAsia="宋体" w:cs="Arial"/>
          <w:sz w:val="24"/>
          <w:szCs w:val="24"/>
        </w:rPr>
      </w:pPr>
      <w:bookmarkStart w:id="92" w:name="_Toc3649"/>
      <w:bookmarkStart w:id="93" w:name="_Toc25831"/>
      <w:bookmarkStart w:id="94" w:name="_Toc18429"/>
      <w:bookmarkStart w:id="95" w:name="_Toc50218141"/>
      <w:r>
        <w:rPr>
          <w:rFonts w:hint="default" w:ascii="Arial" w:hAnsi="Arial" w:eastAsia="宋体" w:cs="Arial"/>
          <w:sz w:val="24"/>
          <w:szCs w:val="24"/>
        </w:rPr>
        <w:t>8.3.3销售回款明细</w:t>
      </w:r>
      <w:bookmarkEnd w:id="92"/>
      <w:bookmarkEnd w:id="93"/>
      <w:bookmarkEnd w:id="94"/>
    </w:p>
    <w:tbl>
      <w:tblPr>
        <w:tblStyle w:val="23"/>
        <w:tblW w:w="7830" w:type="dxa"/>
        <w:jc w:val="center"/>
        <w:shd w:val="clear" w:color="auto" w:fill="auto"/>
        <w:tblLayout w:type="autofit"/>
        <w:tblCellMar>
          <w:top w:w="0" w:type="dxa"/>
          <w:left w:w="0" w:type="dxa"/>
          <w:bottom w:w="0" w:type="dxa"/>
          <w:right w:w="0" w:type="dxa"/>
        </w:tblCellMar>
      </w:tblPr>
      <w:tblGrid>
        <w:gridCol w:w="1215"/>
        <w:gridCol w:w="1575"/>
        <w:gridCol w:w="1680"/>
        <w:gridCol w:w="1680"/>
        <w:gridCol w:w="1680"/>
      </w:tblGrid>
      <w:tr>
        <w:tblPrEx>
          <w:shd w:val="clear" w:color="auto" w:fill="auto"/>
          <w:tblCellMar>
            <w:top w:w="0" w:type="dxa"/>
            <w:left w:w="0" w:type="dxa"/>
            <w:bottom w:w="0" w:type="dxa"/>
            <w:right w:w="0" w:type="dxa"/>
          </w:tblCellMar>
        </w:tblPrEx>
        <w:trPr>
          <w:trHeight w:val="27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日期</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住宅定金（元）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住宅首付（元）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按揭放款（元）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合计（元）</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1,555,622.00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8,365,622.00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1,242,230.00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1,242,230.00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1,723,660.00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1,723,660.00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1,622,495.00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1,622,495.00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7,050,000.00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3,390,161.00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8,420,161.00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518,185.00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518,185.00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1,607,629.00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1,607,629.00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2,196,584.00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2,196,584.00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1,855,070.00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6,065,070.00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2,086,621.00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4,636,621.00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830,871.00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2,030,871.00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4,089,099.00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4,089,099.00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2,241,731.00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2,241,731.00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2,076,614.00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2,076,614.00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1,110,000.00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700,040.00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2,439,680.00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2,439,680.00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3,057,625.00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3,057,625.00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464,251.00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564,251.00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1,480,696.00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1,480,696.00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2,029,999.00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5,089,999.00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4,430,980.00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10,593,765.00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10,593,765.00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2020-12-31</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255,229.00 </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11,700,000.00 </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11,955,229.00 </w:t>
            </w:r>
          </w:p>
        </w:tc>
      </w:tr>
      <w:tr>
        <w:tblPrEx>
          <w:tblCellMar>
            <w:top w:w="0" w:type="dxa"/>
            <w:left w:w="0" w:type="dxa"/>
            <w:bottom w:w="0" w:type="dxa"/>
            <w:right w:w="0" w:type="dxa"/>
          </w:tblCellMar>
        </w:tblPrEx>
        <w:trPr>
          <w:trHeight w:val="285" w:hRule="atLeast"/>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98,098,837.00 </w:t>
            </w:r>
          </w:p>
        </w:tc>
      </w:tr>
    </w:tbl>
    <w:p>
      <w:pPr>
        <w:rPr>
          <w:rFonts w:hint="default"/>
        </w:rPr>
      </w:pPr>
    </w:p>
    <w:bookmarkEnd w:id="95"/>
    <w:p>
      <w:pPr>
        <w:ind w:right="525" w:rightChars="250" w:firstLine="1050" w:firstLineChars="700"/>
        <w:rPr>
          <w:rFonts w:hint="default" w:ascii="Arial" w:hAnsi="Arial" w:cs="Arial"/>
          <w:sz w:val="15"/>
          <w:szCs w:val="15"/>
        </w:rPr>
      </w:pPr>
      <w:bookmarkStart w:id="96" w:name="_Toc50218143"/>
      <w:r>
        <w:rPr>
          <w:rFonts w:hint="default" w:ascii="Arial" w:hAnsi="Arial" w:cs="Arial"/>
          <w:sz w:val="15"/>
          <w:szCs w:val="15"/>
        </w:rPr>
        <w:t>注：银联系统存在支付时间差异，销售回款中POS刷卡收入将于次一工作日进入项目公司相应账户。</w:t>
      </w:r>
    </w:p>
    <w:p>
      <w:pPr>
        <w:pStyle w:val="3"/>
        <w:keepNext w:val="0"/>
        <w:keepLines w:val="0"/>
        <w:spacing w:before="300" w:after="300" w:line="360" w:lineRule="exact"/>
        <w:jc w:val="left"/>
        <w:rPr>
          <w:rFonts w:hint="default" w:ascii="Arial" w:hAnsi="Arial" w:eastAsia="宋体" w:cs="Arial"/>
          <w:sz w:val="21"/>
          <w:szCs w:val="21"/>
        </w:rPr>
      </w:pPr>
      <w:bookmarkStart w:id="97" w:name="_Toc22110"/>
      <w:bookmarkStart w:id="98" w:name="_Toc14938"/>
      <w:bookmarkStart w:id="99" w:name="_Toc1813"/>
      <w:bookmarkStart w:id="117" w:name="_GoBack"/>
      <w:bookmarkEnd w:id="117"/>
      <w:r>
        <w:rPr>
          <w:rFonts w:hint="default" w:ascii="Arial" w:hAnsi="Arial" w:eastAsia="宋体" w:cs="Arial"/>
          <w:sz w:val="24"/>
          <w:szCs w:val="24"/>
        </w:rPr>
        <w:t>8.4</w:t>
      </w:r>
      <w:r>
        <w:rPr>
          <w:rFonts w:hint="default" w:ascii="Arial" w:hAnsi="Arial" w:eastAsia="宋体" w:cs="Arial"/>
          <w:sz w:val="21"/>
          <w:szCs w:val="21"/>
        </w:rPr>
        <w:t xml:space="preserve"> 各银行账户余额</w:t>
      </w:r>
      <w:bookmarkEnd w:id="96"/>
      <w:bookmarkEnd w:id="97"/>
      <w:bookmarkEnd w:id="98"/>
      <w:bookmarkEnd w:id="99"/>
    </w:p>
    <w:p>
      <w:pPr>
        <w:widowControl/>
        <w:spacing w:line="480" w:lineRule="auto"/>
        <w:ind w:firstLine="420" w:firstLineChars="200"/>
        <w:rPr>
          <w:rFonts w:hint="default" w:ascii="Arial" w:hAnsi="Arial" w:cs="Arial"/>
          <w:kern w:val="44"/>
          <w:sz w:val="21"/>
          <w:szCs w:val="21"/>
        </w:rPr>
      </w:pPr>
      <w:r>
        <w:rPr>
          <w:rFonts w:hint="default" w:ascii="Arial" w:hAnsi="Arial" w:cs="Arial"/>
          <w:kern w:val="44"/>
          <w:sz w:val="21"/>
          <w:szCs w:val="21"/>
        </w:rPr>
        <w:t>根据项目公司的银行对账单，截至2020年</w:t>
      </w:r>
      <w:r>
        <w:rPr>
          <w:rFonts w:hint="default" w:ascii="Arial" w:hAnsi="Arial" w:cs="Arial"/>
          <w:kern w:val="44"/>
          <w:sz w:val="21"/>
          <w:szCs w:val="21"/>
          <w:lang w:val="en-US" w:eastAsia="zh-CN"/>
        </w:rPr>
        <w:t>1</w:t>
      </w:r>
      <w:r>
        <w:rPr>
          <w:rFonts w:hint="eastAsia" w:ascii="Arial" w:hAnsi="Arial" w:cs="Arial"/>
          <w:kern w:val="44"/>
          <w:sz w:val="21"/>
          <w:szCs w:val="21"/>
          <w:lang w:val="en-US" w:eastAsia="zh-CN"/>
        </w:rPr>
        <w:t>2</w:t>
      </w:r>
      <w:r>
        <w:rPr>
          <w:rFonts w:hint="default" w:ascii="Arial" w:hAnsi="Arial" w:cs="Arial"/>
          <w:kern w:val="44"/>
          <w:sz w:val="21"/>
          <w:szCs w:val="21"/>
        </w:rPr>
        <w:t>月3</w:t>
      </w:r>
      <w:r>
        <w:rPr>
          <w:rFonts w:hint="eastAsia" w:ascii="Arial" w:hAnsi="Arial" w:cs="Arial"/>
          <w:kern w:val="44"/>
          <w:sz w:val="21"/>
          <w:szCs w:val="21"/>
          <w:lang w:val="en-US" w:eastAsia="zh-CN"/>
        </w:rPr>
        <w:t>1</w:t>
      </w:r>
      <w:r>
        <w:rPr>
          <w:rFonts w:hint="default" w:ascii="Arial" w:hAnsi="Arial" w:cs="Arial"/>
          <w:kern w:val="44"/>
          <w:sz w:val="21"/>
          <w:szCs w:val="21"/>
        </w:rPr>
        <w:t>日，项目公司各资金账户余额总计</w:t>
      </w:r>
      <w:r>
        <w:rPr>
          <w:rFonts w:hint="default" w:ascii="Arial" w:hAnsi="Arial" w:eastAsia="宋体" w:cs="Arial"/>
          <w:i w:val="0"/>
          <w:color w:val="000000"/>
          <w:kern w:val="0"/>
          <w:sz w:val="21"/>
          <w:szCs w:val="21"/>
          <w:u w:val="none"/>
          <w:lang w:val="en-US" w:eastAsia="zh-CN" w:bidi="ar"/>
        </w:rPr>
        <w:t>233,161,742.86</w:t>
      </w:r>
      <w:r>
        <w:rPr>
          <w:rFonts w:hint="default" w:ascii="Arial" w:hAnsi="Arial" w:cs="Arial"/>
          <w:kern w:val="44"/>
          <w:sz w:val="21"/>
          <w:szCs w:val="21"/>
        </w:rPr>
        <w:drawing>
          <wp:anchor distT="0" distB="0" distL="114300" distR="114300" simplePos="0" relativeHeight="25165516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7"/>
                    <a:stretch>
                      <a:fillRect/>
                    </a:stretch>
                  </pic:blipFill>
                  <pic:spPr>
                    <a:xfrm>
                      <a:off x="0" y="0"/>
                      <a:ext cx="914400" cy="228600"/>
                    </a:xfrm>
                    <a:prstGeom prst="rect">
                      <a:avLst/>
                    </a:prstGeom>
                  </pic:spPr>
                </pic:pic>
              </a:graphicData>
            </a:graphic>
          </wp:anchor>
        </w:drawing>
      </w:r>
      <w:r>
        <w:rPr>
          <w:rFonts w:hint="default" w:ascii="Arial" w:hAnsi="Arial" w:cs="Arial"/>
          <w:kern w:val="44"/>
          <w:sz w:val="21"/>
          <w:szCs w:val="21"/>
        </w:rPr>
        <w:t>元，各账户余额见下表。</w:t>
      </w:r>
    </w:p>
    <w:p>
      <w:pPr>
        <w:spacing w:before="120" w:beforeLines="50" w:after="120" w:afterLines="50"/>
        <w:jc w:val="center"/>
        <w:rPr>
          <w:rFonts w:hint="default" w:ascii="Arial" w:hAnsi="Arial" w:cs="Arial"/>
          <w:b/>
          <w:color w:val="000000"/>
          <w:sz w:val="24"/>
        </w:rPr>
      </w:pPr>
      <w:r>
        <w:rPr>
          <w:rFonts w:hint="default" w:ascii="Arial" w:hAnsi="Arial" w:cs="Arial"/>
          <w:b/>
          <w:color w:val="000000"/>
          <w:sz w:val="24"/>
        </w:rPr>
        <w:t>截止2020年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2</w:t>
      </w:r>
      <w:r>
        <w:rPr>
          <w:rFonts w:hint="default" w:ascii="Arial" w:hAnsi="Arial" w:cs="Arial"/>
          <w:b/>
          <w:color w:val="000000"/>
          <w:sz w:val="24"/>
        </w:rPr>
        <w:t>月3</w:t>
      </w:r>
      <w:r>
        <w:rPr>
          <w:rFonts w:hint="eastAsia" w:ascii="Arial" w:hAnsi="Arial" w:cs="Arial"/>
          <w:b/>
          <w:color w:val="000000"/>
          <w:sz w:val="24"/>
          <w:lang w:val="en-US" w:eastAsia="zh-CN"/>
        </w:rPr>
        <w:t>1</w:t>
      </w:r>
      <w:r>
        <w:rPr>
          <w:rFonts w:hint="default" w:ascii="Arial" w:hAnsi="Arial" w:cs="Arial"/>
          <w:b/>
          <w:color w:val="000000"/>
          <w:sz w:val="24"/>
        </w:rPr>
        <w:t>日各银行账户余额汇总</w:t>
      </w:r>
    </w:p>
    <w:tbl>
      <w:tblPr>
        <w:tblStyle w:val="23"/>
        <w:tblW w:w="10710" w:type="dxa"/>
        <w:jc w:val="center"/>
        <w:shd w:val="clear" w:color="auto" w:fill="auto"/>
        <w:tblLayout w:type="autofit"/>
        <w:tblCellMar>
          <w:top w:w="0" w:type="dxa"/>
          <w:left w:w="0" w:type="dxa"/>
          <w:bottom w:w="0" w:type="dxa"/>
          <w:right w:w="0" w:type="dxa"/>
        </w:tblCellMar>
      </w:tblPr>
      <w:tblGrid>
        <w:gridCol w:w="810"/>
        <w:gridCol w:w="2475"/>
        <w:gridCol w:w="2475"/>
        <w:gridCol w:w="2475"/>
        <w:gridCol w:w="2475"/>
      </w:tblGrid>
      <w:tr>
        <w:tblPrEx>
          <w:shd w:val="clear" w:color="auto" w:fill="auto"/>
          <w:tblCellMar>
            <w:top w:w="0" w:type="dxa"/>
            <w:left w:w="0" w:type="dxa"/>
            <w:bottom w:w="0" w:type="dxa"/>
            <w:right w:w="0" w:type="dxa"/>
          </w:tblCellMar>
        </w:tblPrEx>
        <w:trPr>
          <w:trHeight w:val="363" w:hRule="atLeast"/>
          <w:tblHeader/>
          <w:jc w:val="center"/>
        </w:trPr>
        <w:tc>
          <w:tcPr>
            <w:tcW w:w="81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公司</w:t>
            </w:r>
          </w:p>
        </w:tc>
        <w:tc>
          <w:tcPr>
            <w:tcW w:w="24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开户银行名称</w:t>
            </w:r>
          </w:p>
        </w:tc>
        <w:tc>
          <w:tcPr>
            <w:tcW w:w="24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账号</w:t>
            </w:r>
          </w:p>
        </w:tc>
        <w:tc>
          <w:tcPr>
            <w:tcW w:w="24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账户性质</w:t>
            </w:r>
          </w:p>
        </w:tc>
        <w:tc>
          <w:tcPr>
            <w:tcW w:w="24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账户余额</w:t>
            </w:r>
          </w:p>
        </w:tc>
      </w:tr>
      <w:tr>
        <w:tblPrEx>
          <w:tblCellMar>
            <w:top w:w="0" w:type="dxa"/>
            <w:left w:w="0" w:type="dxa"/>
            <w:bottom w:w="0" w:type="dxa"/>
            <w:right w:w="0" w:type="dxa"/>
          </w:tblCellMar>
        </w:tblPrEx>
        <w:trPr>
          <w:trHeight w:val="375" w:hRule="atLeast"/>
          <w:jc w:val="center"/>
        </w:trPr>
        <w:tc>
          <w:tcPr>
            <w:tcW w:w="810"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中国光大银行武汉金融港支行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775 5018 8000 2136 40</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29,550,631.52</w:t>
            </w:r>
          </w:p>
        </w:tc>
      </w:tr>
      <w:tr>
        <w:tblPrEx>
          <w:shd w:val="clear" w:color="auto" w:fill="auto"/>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中国建设银行武汉汉阳支行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4205 0121 8008 0000 0764</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65,200.59</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中国工商银行股份有限公司武汉汉阳支行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3202 0048 1920 1031 883</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104,534.82</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3831 0188 0075 2310</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放款户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28,318.55</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3831 0188 0007 52228</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4,767.89</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3831 0180 8072 8251 1</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3831 0180 8078 0911 2</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102,658,224.26</w:t>
            </w:r>
          </w:p>
        </w:tc>
      </w:tr>
      <w:tr>
        <w:tblPrEx>
          <w:shd w:val="clear" w:color="auto" w:fill="auto"/>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3831 0180 8001 2108 8</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24,224,556.20</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3831 0180 8062 1266 5</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63,436,491.20</w:t>
            </w:r>
          </w:p>
        </w:tc>
      </w:tr>
      <w:tr>
        <w:tblPrEx>
          <w:tblCellMar>
            <w:top w:w="0" w:type="dxa"/>
            <w:left w:w="0" w:type="dxa"/>
            <w:bottom w:w="0" w:type="dxa"/>
            <w:right w:w="0" w:type="dxa"/>
          </w:tblCellMar>
        </w:tblPrEx>
        <w:trPr>
          <w:trHeight w:val="360" w:hRule="atLeast"/>
          <w:jc w:val="center"/>
        </w:trPr>
        <w:tc>
          <w:tcPr>
            <w:tcW w:w="810"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3831 0188 0007 5950 0</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12,086,039.50</w:t>
            </w:r>
          </w:p>
        </w:tc>
      </w:tr>
      <w:tr>
        <w:tblPrEx>
          <w:tblCellMar>
            <w:top w:w="0" w:type="dxa"/>
            <w:left w:w="0" w:type="dxa"/>
            <w:bottom w:w="0" w:type="dxa"/>
            <w:right w:w="0" w:type="dxa"/>
          </w:tblCellMar>
        </w:tblPrEx>
        <w:trPr>
          <w:trHeight w:val="360" w:hRule="atLeast"/>
          <w:jc w:val="center"/>
        </w:trPr>
        <w:tc>
          <w:tcPr>
            <w:tcW w:w="81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中信银行梨园支行</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8111 5010 1200 0622 861</w:t>
            </w:r>
          </w:p>
        </w:tc>
        <w:tc>
          <w:tcPr>
            <w:tcW w:w="2475"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47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1,002,978.33</w:t>
            </w:r>
          </w:p>
        </w:tc>
      </w:tr>
      <w:tr>
        <w:tblPrEx>
          <w:tblCellMar>
            <w:top w:w="0" w:type="dxa"/>
            <w:left w:w="0" w:type="dxa"/>
            <w:bottom w:w="0" w:type="dxa"/>
            <w:right w:w="0" w:type="dxa"/>
          </w:tblCellMar>
        </w:tblPrEx>
        <w:trPr>
          <w:trHeight w:val="375" w:hRule="atLeast"/>
          <w:jc w:val="center"/>
        </w:trPr>
        <w:tc>
          <w:tcPr>
            <w:tcW w:w="0" w:type="auto"/>
            <w:gridSpan w:val="4"/>
            <w:tcBorders>
              <w:top w:val="nil"/>
              <w:left w:val="single" w:color="000000" w:sz="8" w:space="0"/>
              <w:bottom w:val="single" w:color="000000" w:sz="8"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233,161,742.86</w:t>
            </w:r>
          </w:p>
        </w:tc>
      </w:tr>
    </w:tbl>
    <w:p>
      <w:pPr>
        <w:spacing w:before="120" w:beforeLines="50" w:after="120" w:afterLines="50"/>
        <w:jc w:val="center"/>
        <w:rPr>
          <w:rFonts w:hint="default" w:ascii="Arial" w:hAnsi="Arial" w:cs="Arial"/>
          <w:b/>
          <w:color w:val="000000"/>
          <w:sz w:val="24"/>
        </w:rPr>
      </w:pPr>
    </w:p>
    <w:p>
      <w:pPr>
        <w:spacing w:before="120" w:beforeLines="50" w:after="120" w:afterLines="50"/>
        <w:jc w:val="center"/>
        <w:rPr>
          <w:rFonts w:hint="default" w:ascii="Arial" w:hAnsi="Arial" w:cs="Arial"/>
          <w:b/>
          <w:color w:val="000000"/>
          <w:sz w:val="24"/>
        </w:rPr>
      </w:pPr>
    </w:p>
    <w:p>
      <w:pPr>
        <w:rPr>
          <w:rFonts w:hint="default" w:ascii="Arial" w:hAnsi="Arial" w:cs="Arial"/>
          <w:color w:val="000000"/>
          <w:sz w:val="24"/>
        </w:rPr>
      </w:pPr>
      <w:bookmarkStart w:id="100" w:name="_Toc50218144"/>
      <w:bookmarkStart w:id="101" w:name="_Toc7236"/>
      <w:r>
        <w:rPr>
          <w:rFonts w:hint="default" w:ascii="Arial" w:hAnsi="Arial" w:cs="Arial"/>
          <w:color w:val="000000"/>
          <w:sz w:val="24"/>
        </w:rPr>
        <w:br w:type="page"/>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102" w:name="_Toc7039"/>
      <w:bookmarkStart w:id="103" w:name="_Toc27622"/>
      <w:r>
        <w:rPr>
          <w:rFonts w:hint="default" w:ascii="Arial" w:hAnsi="Arial" w:eastAsia="宋体" w:cs="Arial"/>
          <w:color w:val="000000"/>
          <w:sz w:val="24"/>
          <w:szCs w:val="24"/>
        </w:rPr>
        <w:t>附件</w:t>
      </w:r>
      <w:bookmarkEnd w:id="100"/>
      <w:bookmarkEnd w:id="101"/>
      <w:bookmarkEnd w:id="102"/>
      <w:bookmarkEnd w:id="103"/>
      <w:bookmarkStart w:id="104" w:name="_Toc514075669"/>
      <w:bookmarkStart w:id="105" w:name="_Toc535580103"/>
      <w:bookmarkStart w:id="106" w:name="_Toc535570762"/>
      <w:bookmarkStart w:id="107" w:name="_Toc535580035"/>
      <w:bookmarkStart w:id="108" w:name="_Toc535508648"/>
    </w:p>
    <w:p>
      <w:pPr>
        <w:pStyle w:val="3"/>
        <w:spacing w:before="300" w:after="300" w:line="360" w:lineRule="exact"/>
        <w:jc w:val="left"/>
        <w:rPr>
          <w:rFonts w:hint="default" w:ascii="Arial" w:hAnsi="Arial" w:cs="Arial"/>
        </w:rPr>
      </w:pPr>
      <w:bookmarkStart w:id="109" w:name="_Toc50218145"/>
      <w:bookmarkStart w:id="110" w:name="_Toc32353"/>
      <w:bookmarkStart w:id="111" w:name="_Toc25352"/>
      <w:bookmarkStart w:id="112" w:name="_Toc4353"/>
      <w:r>
        <w:rPr>
          <w:rFonts w:hint="default" w:ascii="Arial" w:hAnsi="Arial" w:eastAsia="宋体" w:cs="Arial"/>
          <w:color w:val="000000"/>
          <w:sz w:val="24"/>
          <w:szCs w:val="24"/>
        </w:rPr>
        <w:t>附件</w:t>
      </w:r>
      <w:bookmarkEnd w:id="104"/>
      <w:bookmarkEnd w:id="105"/>
      <w:bookmarkEnd w:id="106"/>
      <w:bookmarkEnd w:id="107"/>
      <w:bookmarkEnd w:id="108"/>
      <w:r>
        <w:rPr>
          <w:rFonts w:hint="default" w:ascii="Arial" w:hAnsi="Arial" w:eastAsia="宋体" w:cs="Arial"/>
          <w:color w:val="000000"/>
          <w:sz w:val="24"/>
          <w:szCs w:val="24"/>
        </w:rPr>
        <w:t xml:space="preserve">一  </w:t>
      </w:r>
      <w:bookmarkEnd w:id="109"/>
      <w:r>
        <w:rPr>
          <w:rFonts w:hint="default" w:ascii="Arial" w:hAnsi="Arial" w:eastAsia="宋体" w:cs="Arial"/>
          <w:color w:val="000000"/>
          <w:sz w:val="24"/>
          <w:szCs w:val="24"/>
        </w:rPr>
        <w:t>项目平面图</w:t>
      </w:r>
      <w:bookmarkEnd w:id="110"/>
      <w:bookmarkEnd w:id="111"/>
      <w:bookmarkEnd w:id="112"/>
    </w:p>
    <w:p>
      <w:pPr>
        <w:jc w:val="center"/>
        <w:rPr>
          <w:rFonts w:hint="default" w:ascii="Arial" w:hAnsi="Arial" w:cs="Arial"/>
          <w:b/>
          <w:bCs/>
        </w:rPr>
      </w:pPr>
      <w:r>
        <w:rPr>
          <w:rFonts w:hint="default" w:ascii="Arial" w:hAnsi="Arial" w:cs="Arial"/>
          <w:b/>
          <w:bCs/>
        </w:rPr>
        <w:drawing>
          <wp:inline distT="0" distB="0" distL="114300" distR="114300">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18"/>
                    <a:stretch>
                      <a:fillRect/>
                    </a:stretch>
                  </pic:blipFill>
                  <pic:spPr>
                    <a:xfrm>
                      <a:off x="0" y="0"/>
                      <a:ext cx="5903595" cy="3469005"/>
                    </a:xfrm>
                    <a:prstGeom prst="rect">
                      <a:avLst/>
                    </a:prstGeom>
                  </pic:spPr>
                </pic:pic>
              </a:graphicData>
            </a:graphic>
          </wp:inline>
        </w:drawing>
      </w:r>
    </w:p>
    <w:p>
      <w:pPr>
        <w:rPr>
          <w:rFonts w:hint="default" w:ascii="Arial" w:hAnsi="Arial" w:cs="Arial"/>
          <w:b/>
          <w:bCs/>
        </w:rPr>
      </w:pPr>
    </w:p>
    <w:p>
      <w:pPr>
        <w:rPr>
          <w:rFonts w:hint="default" w:ascii="Arial" w:hAnsi="Arial" w:cs="Arial"/>
          <w:b/>
          <w:bCs/>
        </w:rPr>
      </w:pPr>
      <w:r>
        <w:rPr>
          <w:rFonts w:hint="default" w:ascii="Arial" w:hAnsi="Arial" w:cs="Arial"/>
          <w:b/>
          <w:bCs/>
        </w:rPr>
        <w:drawing>
          <wp:inline distT="0" distB="0" distL="114300" distR="114300">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19"/>
                    <a:stretch>
                      <a:fillRect/>
                    </a:stretch>
                  </pic:blipFill>
                  <pic:spPr>
                    <a:xfrm>
                      <a:off x="0" y="0"/>
                      <a:ext cx="5698490" cy="4274185"/>
                    </a:xfrm>
                    <a:prstGeom prst="rect">
                      <a:avLst/>
                    </a:prstGeom>
                  </pic:spPr>
                </pic:pic>
              </a:graphicData>
            </a:graphic>
          </wp:inline>
        </w:drawing>
      </w:r>
    </w:p>
    <w:p>
      <w:pPr>
        <w:pStyle w:val="3"/>
        <w:spacing w:before="300" w:after="300" w:line="360" w:lineRule="exact"/>
        <w:jc w:val="left"/>
        <w:rPr>
          <w:rFonts w:hint="eastAsia" w:eastAsia="宋体" w:cs="Arial"/>
          <w:color w:val="000000"/>
          <w:sz w:val="24"/>
          <w:szCs w:val="24"/>
          <w:lang w:eastAsia="zh-CN"/>
        </w:rPr>
      </w:pPr>
      <w:bookmarkStart w:id="113" w:name="_Toc14252"/>
      <w:bookmarkStart w:id="114" w:name="_Toc23859"/>
      <w:bookmarkStart w:id="115" w:name="_Toc21211"/>
      <w:bookmarkStart w:id="116" w:name="_Toc50218146"/>
      <w:r>
        <w:rPr>
          <w:rFonts w:hint="default" w:ascii="Arial" w:hAnsi="Arial" w:eastAsia="宋体" w:cs="Arial"/>
          <w:color w:val="000000"/>
          <w:sz w:val="24"/>
          <w:szCs w:val="24"/>
        </w:rPr>
        <w:t xml:space="preserve">附件二 </w:t>
      </w:r>
      <w:bookmarkEnd w:id="113"/>
      <w:bookmarkEnd w:id="114"/>
      <w:bookmarkEnd w:id="115"/>
      <w:r>
        <w:rPr>
          <w:rFonts w:hint="eastAsia" w:eastAsia="宋体" w:cs="Arial"/>
          <w:color w:val="000000"/>
          <w:sz w:val="24"/>
          <w:szCs w:val="24"/>
          <w:lang w:eastAsia="zh-CN"/>
        </w:rPr>
        <w:t>印鉴卡</w:t>
      </w:r>
    </w:p>
    <w:p>
      <w:pPr>
        <w:jc w:val="center"/>
        <w:rPr>
          <w:rFonts w:hint="default"/>
          <w:sz w:val="36"/>
          <w:szCs w:val="36"/>
          <w:lang w:eastAsia="zh-CN"/>
        </w:rPr>
      </w:pPr>
      <w:r>
        <w:rPr>
          <w:rFonts w:hint="eastAsia" w:cs="Arial"/>
          <w:color w:val="000000"/>
          <w:sz w:val="36"/>
          <w:szCs w:val="36"/>
          <w:lang w:eastAsia="zh-CN"/>
        </w:rPr>
        <w:t>光大银行监管户印鉴卡</w:t>
      </w:r>
    </w:p>
    <w:p>
      <w:pPr>
        <w:jc w:val="center"/>
        <w:rPr>
          <w:rFonts w:hint="default" w:ascii="Arial" w:hAnsi="Arial" w:cs="Arial"/>
        </w:rPr>
      </w:pPr>
    </w:p>
    <w:p>
      <w:pPr>
        <w:jc w:val="left"/>
        <w:rPr>
          <w:rFonts w:hint="default" w:ascii="Arial" w:hAnsi="Arial" w:cs="Arial"/>
          <w:b/>
          <w:bCs/>
          <w:sz w:val="24"/>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r>
        <w:drawing>
          <wp:inline distT="0" distB="0" distL="114300" distR="114300">
            <wp:extent cx="5903595" cy="4048125"/>
            <wp:effectExtent l="0" t="0" r="1905" b="9525"/>
            <wp:docPr id="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
                    <pic:cNvPicPr>
                      <a:picLocks noChangeAspect="1"/>
                    </pic:cNvPicPr>
                  </pic:nvPicPr>
                  <pic:blipFill>
                    <a:blip r:embed="rId20"/>
                    <a:stretch>
                      <a:fillRect/>
                    </a:stretch>
                  </pic:blipFill>
                  <pic:spPr>
                    <a:xfrm>
                      <a:off x="0" y="0"/>
                      <a:ext cx="5903595" cy="4048125"/>
                    </a:xfrm>
                    <a:prstGeom prst="rect">
                      <a:avLst/>
                    </a:prstGeom>
                    <a:noFill/>
                    <a:ln>
                      <a:noFill/>
                    </a:ln>
                  </pic:spPr>
                </pic:pic>
              </a:graphicData>
            </a:graphic>
          </wp:inline>
        </w:drawing>
      </w:r>
    </w:p>
    <w:p>
      <w:pPr>
        <w:jc w:val="left"/>
        <w:rPr>
          <w:rFonts w:hint="default" w:ascii="Arial" w:hAnsi="Arial" w:cs="Arial"/>
        </w:rPr>
      </w:pPr>
    </w:p>
    <w:p>
      <w:pPr>
        <w:jc w:val="left"/>
        <w:rPr>
          <w:rFonts w:hint="eastAsia" w:ascii="Arial" w:hAnsi="Arial" w:eastAsia="宋体" w:cs="Arial"/>
          <w:lang w:eastAsia="zh-CN"/>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bookmarkEnd w:id="116"/>
    <w:p>
      <w:pPr>
        <w:jc w:val="left"/>
        <w:rPr>
          <w:rFonts w:hint="default" w:ascii="Arial" w:hAnsi="Arial" w:cs="Arial"/>
        </w:rPr>
      </w:pPr>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4008009F" w:csb1="DFD7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posOffset>2797810</wp:posOffset>
              </wp:positionH>
              <wp:positionV relativeFrom="paragraph">
                <wp:posOffset>-3175</wp:posOffset>
              </wp:positionV>
              <wp:extent cx="365760" cy="134620"/>
              <wp:effectExtent l="0" t="0" r="15240" b="177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65760" cy="134620"/>
                      </a:xfrm>
                      <a:prstGeom prst="rect">
                        <a:avLst/>
                      </a:prstGeom>
                      <a:noFill/>
                      <a:ln>
                        <a:noFill/>
                      </a:ln>
                    </wps:spPr>
                    <wps:txbx>
                      <w:txbxContent>
                        <w:p>
                          <w:pPr>
                            <w:pStyle w:val="13"/>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20.3pt;margin-top:-0.25pt;height:10.6pt;width:28.8pt;mso-position-horizontal-relative:margin;z-index:251658240;mso-width-relative:page;mso-height-relative:page;" filled="f" stroked="f" coordsize="21600,21600" o:gfxdata="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3r+2PYAAAACAEAAA8AAAAAAAAAAQAgAAAA&#10;IgAAAGRycy9kb3ducmV2LnhtbFBLAQIUABQAAAAIAIdO4kD9U9lwCwIAAAQEAAAOAAAAAAAAAAEA&#10;IAAAACcBAABkcnMvZTJvRG9jLnhtbFBLBQYAAAAABgAGAFkBAACkBQAAAAA=&#10;">
              <v:fill on="f" focussize="0,0"/>
              <v:stroke on="f"/>
              <v:imagedata o:title=""/>
              <o:lock v:ext="edit" aspectratio="f"/>
              <v:textbox inset="0mm,0mm,0mm,0mm">
                <w:txbxContent>
                  <w:p>
                    <w:pPr>
                      <w:pStyle w:val="13"/>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360" w:lineRule="auto"/>
      <w:rPr>
        <w:rFonts w:ascii="Arial" w:hAnsi="Arial" w:cs="Arial"/>
      </w:rPr>
    </w:pPr>
    <w:r>
      <w:rPr>
        <w:rFonts w:hint="default" w:ascii="Arial" w:hAnsi="Arial" w:cs="Arial"/>
      </w:rPr>
      <w:t>20</w:t>
    </w:r>
    <w:r>
      <w:rPr>
        <w:rFonts w:ascii="Arial" w:hAnsi="Arial" w:cs="Arial"/>
      </w:rPr>
      <w:t>20</w:t>
    </w:r>
    <w:r>
      <w:rPr>
        <w:rFonts w:hint="default" w:ascii="Arial" w:hAnsi="Arial" w:cs="Arial"/>
      </w:rPr>
      <w:t>年</w:t>
    </w:r>
    <w:r>
      <w:rPr>
        <w:rFonts w:hint="default" w:ascii="Arial" w:hAnsi="Arial" w:cs="Arial"/>
        <w:lang w:val="en-US" w:eastAsia="zh-CN"/>
      </w:rPr>
      <w:t>1</w:t>
    </w:r>
    <w:r>
      <w:rPr>
        <w:rFonts w:hint="eastAsia" w:ascii="Arial" w:hAnsi="Arial" w:cs="Arial"/>
        <w:lang w:val="en-US" w:eastAsia="zh-CN"/>
      </w:rPr>
      <w:t>2</w:t>
    </w:r>
    <w:r>
      <w:rPr>
        <w:rFonts w:hint="default"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A1902"/>
    <w:multiLevelType w:val="singleLevel"/>
    <w:tmpl w:val="14EA1902"/>
    <w:lvl w:ilvl="0" w:tentative="0">
      <w:start w:val="1"/>
      <w:numFmt w:val="decimal"/>
      <w:suff w:val="nothing"/>
      <w:lvlText w:val="（%1）"/>
      <w:lvlJc w:val="left"/>
    </w:lvl>
  </w:abstractNum>
  <w:abstractNum w:abstractNumId="1">
    <w:nsid w:val="15B5DC68"/>
    <w:multiLevelType w:val="singleLevel"/>
    <w:tmpl w:val="15B5DC68"/>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AA5734"/>
    <w:rsid w:val="04454EE4"/>
    <w:rsid w:val="04750510"/>
    <w:rsid w:val="04D5358E"/>
    <w:rsid w:val="058B20AB"/>
    <w:rsid w:val="05A655CF"/>
    <w:rsid w:val="05CE1342"/>
    <w:rsid w:val="05FE1AC1"/>
    <w:rsid w:val="06145EA5"/>
    <w:rsid w:val="06A30AF5"/>
    <w:rsid w:val="06A844B1"/>
    <w:rsid w:val="073A143F"/>
    <w:rsid w:val="07605C90"/>
    <w:rsid w:val="077156AF"/>
    <w:rsid w:val="08016A1E"/>
    <w:rsid w:val="083421B7"/>
    <w:rsid w:val="089374F7"/>
    <w:rsid w:val="08FE0F5A"/>
    <w:rsid w:val="090A6A03"/>
    <w:rsid w:val="0966028C"/>
    <w:rsid w:val="09746F62"/>
    <w:rsid w:val="09995EE7"/>
    <w:rsid w:val="09AC7942"/>
    <w:rsid w:val="09BF46FF"/>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53481D"/>
    <w:rsid w:val="1C980A78"/>
    <w:rsid w:val="1CAE21A8"/>
    <w:rsid w:val="1D154784"/>
    <w:rsid w:val="1DF36C13"/>
    <w:rsid w:val="1E19117D"/>
    <w:rsid w:val="1E75607D"/>
    <w:rsid w:val="1E800AA8"/>
    <w:rsid w:val="1F0E03BD"/>
    <w:rsid w:val="1F344930"/>
    <w:rsid w:val="1F7C640E"/>
    <w:rsid w:val="1FA85D73"/>
    <w:rsid w:val="1FD53430"/>
    <w:rsid w:val="1FE07798"/>
    <w:rsid w:val="20236A3E"/>
    <w:rsid w:val="2040017E"/>
    <w:rsid w:val="206D3B6C"/>
    <w:rsid w:val="20B76339"/>
    <w:rsid w:val="20CC4FEE"/>
    <w:rsid w:val="20DD5749"/>
    <w:rsid w:val="21297269"/>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8280DFB"/>
    <w:rsid w:val="286E32B4"/>
    <w:rsid w:val="288C3033"/>
    <w:rsid w:val="29B50D08"/>
    <w:rsid w:val="2A341FD2"/>
    <w:rsid w:val="2A5F13A7"/>
    <w:rsid w:val="2B3C54D1"/>
    <w:rsid w:val="2B7C0B1C"/>
    <w:rsid w:val="2B9272AF"/>
    <w:rsid w:val="2BA037BB"/>
    <w:rsid w:val="2C73562D"/>
    <w:rsid w:val="2CB852B6"/>
    <w:rsid w:val="2CF91C06"/>
    <w:rsid w:val="2D955AA8"/>
    <w:rsid w:val="2E325C0E"/>
    <w:rsid w:val="2E3C0F39"/>
    <w:rsid w:val="2E3C1926"/>
    <w:rsid w:val="2EB36317"/>
    <w:rsid w:val="2EBE13B9"/>
    <w:rsid w:val="2EF04512"/>
    <w:rsid w:val="2FB4496D"/>
    <w:rsid w:val="2FB8217C"/>
    <w:rsid w:val="302B4C7B"/>
    <w:rsid w:val="304630DD"/>
    <w:rsid w:val="30476383"/>
    <w:rsid w:val="30916070"/>
    <w:rsid w:val="30F03DFA"/>
    <w:rsid w:val="314B4163"/>
    <w:rsid w:val="31891D82"/>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D5088F"/>
    <w:rsid w:val="36F001C7"/>
    <w:rsid w:val="37871954"/>
    <w:rsid w:val="37CD6A15"/>
    <w:rsid w:val="37F80A98"/>
    <w:rsid w:val="38102C5D"/>
    <w:rsid w:val="388A5DE8"/>
    <w:rsid w:val="399B7E73"/>
    <w:rsid w:val="39A66DD8"/>
    <w:rsid w:val="3A0958C8"/>
    <w:rsid w:val="3A285E52"/>
    <w:rsid w:val="3A882C53"/>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4E0E1D"/>
    <w:rsid w:val="439749D1"/>
    <w:rsid w:val="43F04D33"/>
    <w:rsid w:val="447B7EB4"/>
    <w:rsid w:val="44A4755D"/>
    <w:rsid w:val="452D33EF"/>
    <w:rsid w:val="45805436"/>
    <w:rsid w:val="45C708C7"/>
    <w:rsid w:val="469B0AB7"/>
    <w:rsid w:val="46B14037"/>
    <w:rsid w:val="46F13A07"/>
    <w:rsid w:val="46FF5AFC"/>
    <w:rsid w:val="475556EB"/>
    <w:rsid w:val="478C415E"/>
    <w:rsid w:val="47E034BA"/>
    <w:rsid w:val="4879604A"/>
    <w:rsid w:val="48CA0BAD"/>
    <w:rsid w:val="48FE7302"/>
    <w:rsid w:val="49764BB8"/>
    <w:rsid w:val="49A75D4B"/>
    <w:rsid w:val="4ADE2E72"/>
    <w:rsid w:val="4BF76AED"/>
    <w:rsid w:val="4C9E3580"/>
    <w:rsid w:val="4DC310C6"/>
    <w:rsid w:val="4E10041E"/>
    <w:rsid w:val="4E443E3C"/>
    <w:rsid w:val="4EAF0C72"/>
    <w:rsid w:val="4EB561BF"/>
    <w:rsid w:val="4EE30A09"/>
    <w:rsid w:val="4F0936D1"/>
    <w:rsid w:val="4F3832E8"/>
    <w:rsid w:val="4FF95568"/>
    <w:rsid w:val="4FFA6E9D"/>
    <w:rsid w:val="50B8512D"/>
    <w:rsid w:val="50FD5220"/>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1A6B8C"/>
    <w:rsid w:val="551B359B"/>
    <w:rsid w:val="554C2E4C"/>
    <w:rsid w:val="55C95A39"/>
    <w:rsid w:val="56020A78"/>
    <w:rsid w:val="563812AD"/>
    <w:rsid w:val="5676155E"/>
    <w:rsid w:val="567A168B"/>
    <w:rsid w:val="56F13434"/>
    <w:rsid w:val="56F9126E"/>
    <w:rsid w:val="572523C4"/>
    <w:rsid w:val="572665D4"/>
    <w:rsid w:val="57367114"/>
    <w:rsid w:val="574B3F4B"/>
    <w:rsid w:val="583046A8"/>
    <w:rsid w:val="589536E7"/>
    <w:rsid w:val="599628E4"/>
    <w:rsid w:val="59B61FA6"/>
    <w:rsid w:val="59EC75E0"/>
    <w:rsid w:val="59FF267B"/>
    <w:rsid w:val="5A575839"/>
    <w:rsid w:val="5A750D60"/>
    <w:rsid w:val="5A7B38CF"/>
    <w:rsid w:val="5A835309"/>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3C57042"/>
    <w:rsid w:val="63EB59F8"/>
    <w:rsid w:val="64907EFF"/>
    <w:rsid w:val="64985FA5"/>
    <w:rsid w:val="655B7408"/>
    <w:rsid w:val="655C26AF"/>
    <w:rsid w:val="662A32DC"/>
    <w:rsid w:val="66C33BCC"/>
    <w:rsid w:val="66D80480"/>
    <w:rsid w:val="66FB00FF"/>
    <w:rsid w:val="67D7447E"/>
    <w:rsid w:val="68760CCD"/>
    <w:rsid w:val="68EB6128"/>
    <w:rsid w:val="68EE50E9"/>
    <w:rsid w:val="691B5623"/>
    <w:rsid w:val="693D7675"/>
    <w:rsid w:val="6A1E61DB"/>
    <w:rsid w:val="6AB024FF"/>
    <w:rsid w:val="6AB71A2A"/>
    <w:rsid w:val="6B903DF9"/>
    <w:rsid w:val="6CA91EB1"/>
    <w:rsid w:val="6CD63113"/>
    <w:rsid w:val="6D420E32"/>
    <w:rsid w:val="6D6161B8"/>
    <w:rsid w:val="6DC072BA"/>
    <w:rsid w:val="6DCC4FFD"/>
    <w:rsid w:val="6DF53370"/>
    <w:rsid w:val="6E276F54"/>
    <w:rsid w:val="6E8F05BC"/>
    <w:rsid w:val="6ECE25BF"/>
    <w:rsid w:val="6F0028F8"/>
    <w:rsid w:val="6F017FD9"/>
    <w:rsid w:val="6F3B201E"/>
    <w:rsid w:val="6F420503"/>
    <w:rsid w:val="6FE57474"/>
    <w:rsid w:val="6FFF61D3"/>
    <w:rsid w:val="70335415"/>
    <w:rsid w:val="70677029"/>
    <w:rsid w:val="708C7096"/>
    <w:rsid w:val="71AC2F36"/>
    <w:rsid w:val="72216CCE"/>
    <w:rsid w:val="72B45A01"/>
    <w:rsid w:val="73297F00"/>
    <w:rsid w:val="7332473A"/>
    <w:rsid w:val="735C0845"/>
    <w:rsid w:val="73AA67F9"/>
    <w:rsid w:val="74B24384"/>
    <w:rsid w:val="74C207EB"/>
    <w:rsid w:val="75942E43"/>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60700B"/>
    <w:rsid w:val="7BDC389F"/>
    <w:rsid w:val="7BDE070A"/>
    <w:rsid w:val="7CE63D88"/>
    <w:rsid w:val="7CE80C77"/>
    <w:rsid w:val="7D1B164E"/>
    <w:rsid w:val="7DDD4B37"/>
    <w:rsid w:val="7E187CAF"/>
    <w:rsid w:val="7E232986"/>
    <w:rsid w:val="7E342A39"/>
    <w:rsid w:val="7E720F52"/>
    <w:rsid w:val="7E752C6E"/>
    <w:rsid w:val="7EC85753"/>
    <w:rsid w:val="7F1000C5"/>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Normal Indent"/>
    <w:basedOn w:val="1"/>
    <w:qFormat/>
    <w:uiPriority w:val="0"/>
    <w:pPr>
      <w:adjustRightInd w:val="0"/>
      <w:snapToGrid w:val="0"/>
      <w:spacing w:line="360" w:lineRule="auto"/>
      <w:ind w:firstLine="200" w:firstLineChars="200"/>
    </w:pPr>
    <w:rPr>
      <w:rFonts w:ascii="Times New Roman" w:hAnsi="Times New Roman"/>
      <w:snapToGrid w:val="0"/>
      <w:sz w:val="28"/>
    </w:rPr>
  </w:style>
  <w:style w:type="paragraph" w:styleId="7">
    <w:name w:val="annotation text"/>
    <w:basedOn w:val="1"/>
    <w:link w:val="38"/>
    <w:qFormat/>
    <w:uiPriority w:val="0"/>
    <w:pPr>
      <w:jc w:val="left"/>
    </w:pPr>
  </w:style>
  <w:style w:type="paragraph" w:styleId="8">
    <w:name w:val="toc 5"/>
    <w:basedOn w:val="1"/>
    <w:next w:val="1"/>
    <w:unhideWhenUsed/>
    <w:qFormat/>
    <w:uiPriority w:val="39"/>
    <w:pPr>
      <w:ind w:left="1680" w:leftChars="800"/>
    </w:pPr>
    <w:rPr>
      <w:rFonts w:ascii="Calibri" w:hAnsi="Calibri"/>
      <w:szCs w:val="22"/>
    </w:rPr>
  </w:style>
  <w:style w:type="paragraph" w:styleId="9">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0">
    <w:name w:val="toc 8"/>
    <w:basedOn w:val="1"/>
    <w:next w:val="1"/>
    <w:unhideWhenUsed/>
    <w:qFormat/>
    <w:uiPriority w:val="39"/>
    <w:pPr>
      <w:ind w:left="2940" w:leftChars="1400"/>
    </w:pPr>
    <w:rPr>
      <w:rFonts w:ascii="Calibri" w:hAnsi="Calibri"/>
      <w:szCs w:val="22"/>
    </w:rPr>
  </w:style>
  <w:style w:type="paragraph" w:styleId="11">
    <w:name w:val="Date"/>
    <w:basedOn w:val="1"/>
    <w:next w:val="1"/>
    <w:link w:val="39"/>
    <w:qFormat/>
    <w:uiPriority w:val="0"/>
    <w:pPr>
      <w:ind w:left="100" w:leftChars="2500"/>
    </w:pPr>
  </w:style>
  <w:style w:type="paragraph" w:styleId="12">
    <w:name w:val="Balloon Text"/>
    <w:basedOn w:val="1"/>
    <w:link w:val="34"/>
    <w:qFormat/>
    <w:uiPriority w:val="0"/>
    <w:rPr>
      <w:sz w:val="18"/>
      <w:szCs w:val="18"/>
    </w:rPr>
  </w:style>
  <w:style w:type="paragraph" w:styleId="13">
    <w:name w:val="footer"/>
    <w:basedOn w:val="1"/>
    <w:link w:val="32"/>
    <w:qFormat/>
    <w:uiPriority w:val="99"/>
    <w:pPr>
      <w:tabs>
        <w:tab w:val="center" w:pos="4153"/>
        <w:tab w:val="right" w:pos="8306"/>
      </w:tabs>
      <w:snapToGrid w:val="0"/>
      <w:jc w:val="left"/>
    </w:pPr>
    <w:rPr>
      <w:sz w:val="18"/>
      <w:szCs w:val="18"/>
    </w:rPr>
  </w:style>
  <w:style w:type="paragraph" w:styleId="14">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6">
    <w:name w:val="toc 4"/>
    <w:basedOn w:val="1"/>
    <w:next w:val="1"/>
    <w:unhideWhenUsed/>
    <w:qFormat/>
    <w:uiPriority w:val="39"/>
    <w:pPr>
      <w:ind w:left="1260" w:leftChars="600"/>
    </w:pPr>
    <w:rPr>
      <w:rFonts w:ascii="Calibri" w:hAnsi="Calibri"/>
      <w:szCs w:val="22"/>
    </w:rPr>
  </w:style>
  <w:style w:type="paragraph" w:styleId="17">
    <w:name w:val="toc 6"/>
    <w:basedOn w:val="1"/>
    <w:next w:val="1"/>
    <w:unhideWhenUsed/>
    <w:qFormat/>
    <w:uiPriority w:val="39"/>
    <w:pPr>
      <w:ind w:left="2100" w:leftChars="1000"/>
    </w:pPr>
    <w:rPr>
      <w:rFonts w:ascii="Calibri" w:hAnsi="Calibri"/>
      <w:szCs w:val="22"/>
    </w:rPr>
  </w:style>
  <w:style w:type="paragraph" w:styleId="18">
    <w:name w:val="Body Text Indent 3"/>
    <w:basedOn w:val="1"/>
    <w:link w:val="35"/>
    <w:qFormat/>
    <w:uiPriority w:val="0"/>
    <w:pPr>
      <w:spacing w:line="180" w:lineRule="atLeast"/>
      <w:ind w:firstLine="560" w:firstLineChars="200"/>
    </w:pPr>
    <w:rPr>
      <w:kern w:val="11"/>
      <w:sz w:val="28"/>
    </w:rPr>
  </w:style>
  <w:style w:type="paragraph" w:styleId="19">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20">
    <w:name w:val="toc 9"/>
    <w:basedOn w:val="1"/>
    <w:next w:val="1"/>
    <w:unhideWhenUsed/>
    <w:qFormat/>
    <w:uiPriority w:val="39"/>
    <w:pPr>
      <w:ind w:left="3360" w:leftChars="1600"/>
    </w:pPr>
    <w:rPr>
      <w:rFonts w:ascii="Calibri" w:hAnsi="Calibri"/>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annotation subject"/>
    <w:basedOn w:val="7"/>
    <w:next w:val="7"/>
    <w:link w:val="37"/>
    <w:qFormat/>
    <w:uiPriority w:val="0"/>
    <w:rPr>
      <w:b/>
      <w:bCs/>
    </w:rPr>
  </w:style>
  <w:style w:type="table" w:styleId="24">
    <w:name w:val="Table Grid"/>
    <w:basedOn w:val="2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FollowedHyperlink"/>
    <w:unhideWhenUsed/>
    <w:qFormat/>
    <w:uiPriority w:val="99"/>
    <w:rPr>
      <w:color w:val="800080"/>
      <w:u w:val="single"/>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标题 1 字符"/>
    <w:link w:val="2"/>
    <w:qFormat/>
    <w:uiPriority w:val="0"/>
    <w:rPr>
      <w:b/>
      <w:bCs/>
      <w:kern w:val="44"/>
      <w:sz w:val="44"/>
      <w:szCs w:val="44"/>
    </w:rPr>
  </w:style>
  <w:style w:type="character" w:customStyle="1" w:styleId="31">
    <w:name w:val="标题 2 字符"/>
    <w:link w:val="3"/>
    <w:qFormat/>
    <w:uiPriority w:val="0"/>
    <w:rPr>
      <w:rFonts w:ascii="Arial" w:hAnsi="Arial" w:eastAsia="黑体"/>
      <w:b/>
      <w:bCs/>
      <w:kern w:val="2"/>
      <w:sz w:val="32"/>
      <w:szCs w:val="32"/>
    </w:rPr>
  </w:style>
  <w:style w:type="character" w:customStyle="1" w:styleId="32">
    <w:name w:val="页脚 字符"/>
    <w:link w:val="13"/>
    <w:qFormat/>
    <w:uiPriority w:val="99"/>
    <w:rPr>
      <w:kern w:val="2"/>
      <w:sz w:val="18"/>
      <w:szCs w:val="18"/>
    </w:rPr>
  </w:style>
  <w:style w:type="character" w:customStyle="1" w:styleId="33">
    <w:name w:val="font11"/>
    <w:qFormat/>
    <w:uiPriority w:val="0"/>
    <w:rPr>
      <w:rFonts w:hint="eastAsia" w:ascii="宋体" w:hAnsi="宋体" w:eastAsia="宋体" w:cs="宋体"/>
      <w:color w:val="000000"/>
      <w:sz w:val="20"/>
      <w:szCs w:val="20"/>
      <w:u w:val="none"/>
    </w:rPr>
  </w:style>
  <w:style w:type="character" w:customStyle="1" w:styleId="34">
    <w:name w:val="批注框文本 字符"/>
    <w:link w:val="12"/>
    <w:qFormat/>
    <w:uiPriority w:val="0"/>
    <w:rPr>
      <w:kern w:val="2"/>
      <w:sz w:val="18"/>
      <w:szCs w:val="18"/>
    </w:rPr>
  </w:style>
  <w:style w:type="character" w:customStyle="1" w:styleId="35">
    <w:name w:val="正文文本缩进 3 字符"/>
    <w:link w:val="18"/>
    <w:qFormat/>
    <w:uiPriority w:val="0"/>
    <w:rPr>
      <w:kern w:val="11"/>
      <w:sz w:val="28"/>
      <w:szCs w:val="24"/>
    </w:rPr>
  </w:style>
  <w:style w:type="character" w:customStyle="1" w:styleId="36">
    <w:name w:val="页眉 字符"/>
    <w:link w:val="14"/>
    <w:qFormat/>
    <w:uiPriority w:val="0"/>
    <w:rPr>
      <w:kern w:val="2"/>
      <w:sz w:val="18"/>
      <w:szCs w:val="18"/>
    </w:rPr>
  </w:style>
  <w:style w:type="character" w:customStyle="1" w:styleId="37">
    <w:name w:val="批注主题 字符"/>
    <w:link w:val="22"/>
    <w:qFormat/>
    <w:uiPriority w:val="0"/>
    <w:rPr>
      <w:b/>
      <w:bCs/>
      <w:kern w:val="2"/>
      <w:sz w:val="21"/>
      <w:szCs w:val="24"/>
    </w:rPr>
  </w:style>
  <w:style w:type="character" w:customStyle="1" w:styleId="38">
    <w:name w:val="批注文字 字符"/>
    <w:link w:val="7"/>
    <w:qFormat/>
    <w:uiPriority w:val="0"/>
    <w:rPr>
      <w:kern w:val="2"/>
      <w:sz w:val="21"/>
      <w:szCs w:val="24"/>
    </w:rPr>
  </w:style>
  <w:style w:type="character" w:customStyle="1" w:styleId="39">
    <w:name w:val="日期 字符"/>
    <w:link w:val="11"/>
    <w:qFormat/>
    <w:uiPriority w:val="0"/>
    <w:rPr>
      <w:kern w:val="2"/>
      <w:sz w:val="21"/>
      <w:szCs w:val="24"/>
    </w:rPr>
  </w:style>
  <w:style w:type="paragraph" w:styleId="40">
    <w:name w:val="List Paragraph"/>
    <w:basedOn w:val="1"/>
    <w:qFormat/>
    <w:uiPriority w:val="34"/>
    <w:pPr>
      <w:ind w:firstLine="420" w:firstLineChars="200"/>
    </w:pPr>
    <w:rPr>
      <w:rFonts w:ascii="Calibri" w:hAnsi="Calibri"/>
      <w:szCs w:val="22"/>
    </w:rPr>
  </w:style>
  <w:style w:type="paragraph" w:customStyle="1" w:styleId="41">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2">
    <w:name w:val="列表段落1"/>
    <w:basedOn w:val="1"/>
    <w:qFormat/>
    <w:uiPriority w:val="0"/>
    <w:pPr>
      <w:ind w:firstLine="420" w:firstLineChars="200"/>
    </w:pPr>
    <w:rPr>
      <w:rFonts w:ascii="Calibri" w:hAnsi="Calibri"/>
      <w:szCs w:val="22"/>
    </w:rPr>
  </w:style>
  <w:style w:type="paragraph" w:customStyle="1" w:styleId="43">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4">
    <w:name w:val="z-窗体顶端1"/>
    <w:basedOn w:val="1"/>
    <w:next w:val="1"/>
    <w:link w:val="45"/>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5">
    <w:name w:val="z-窗体顶端 字符"/>
    <w:link w:val="44"/>
    <w:semiHidden/>
    <w:qFormat/>
    <w:uiPriority w:val="99"/>
    <w:rPr>
      <w:rFonts w:ascii="Arial" w:hAnsi="Arial" w:cs="Arial"/>
      <w:vanish/>
      <w:sz w:val="16"/>
      <w:szCs w:val="16"/>
    </w:rPr>
  </w:style>
  <w:style w:type="paragraph" w:customStyle="1" w:styleId="46">
    <w:name w:val="z-窗体底端1"/>
    <w:basedOn w:val="1"/>
    <w:next w:val="1"/>
    <w:link w:val="47"/>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7">
    <w:name w:val="z-窗体底端 字符"/>
    <w:link w:val="46"/>
    <w:qFormat/>
    <w:uiPriority w:val="99"/>
    <w:rPr>
      <w:rFonts w:ascii="Arial" w:hAnsi="Arial" w:cs="Arial"/>
      <w:vanish/>
      <w:sz w:val="16"/>
      <w:szCs w:val="16"/>
    </w:rPr>
  </w:style>
  <w:style w:type="table" w:customStyle="1" w:styleId="48">
    <w:name w:val="网格型1"/>
    <w:basedOn w:val="23"/>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50">
    <w:name w:val="font41"/>
    <w:basedOn w:val="25"/>
    <w:qFormat/>
    <w:uiPriority w:val="0"/>
    <w:rPr>
      <w:rFonts w:ascii="Arial" w:hAnsi="Arial" w:cs="Arial"/>
      <w:color w:val="000000"/>
      <w:sz w:val="20"/>
      <w:szCs w:val="20"/>
      <w:u w:val="none"/>
    </w:rPr>
  </w:style>
  <w:style w:type="character" w:customStyle="1" w:styleId="51">
    <w:name w:val="font21"/>
    <w:basedOn w:val="25"/>
    <w:qFormat/>
    <w:uiPriority w:val="0"/>
    <w:rPr>
      <w:rFonts w:hint="eastAsia" w:ascii="宋体" w:hAnsi="宋体" w:eastAsia="宋体" w:cs="宋体"/>
      <w:color w:val="000000"/>
      <w:sz w:val="20"/>
      <w:szCs w:val="20"/>
      <w:u w:val="none"/>
    </w:rPr>
  </w:style>
  <w:style w:type="character" w:customStyle="1" w:styleId="52">
    <w:name w:val="font31"/>
    <w:basedOn w:val="25"/>
    <w:qFormat/>
    <w:uiPriority w:val="0"/>
    <w:rPr>
      <w:rFonts w:hint="default" w:ascii="Arial" w:hAnsi="Arial" w:cs="Arial"/>
      <w:color w:val="000000"/>
      <w:sz w:val="20"/>
      <w:szCs w:val="20"/>
      <w:u w:val="none"/>
    </w:rPr>
  </w:style>
  <w:style w:type="character" w:customStyle="1" w:styleId="53">
    <w:name w:val="font01"/>
    <w:basedOn w:val="25"/>
    <w:qFormat/>
    <w:uiPriority w:val="0"/>
    <w:rPr>
      <w:rFonts w:hint="default" w:ascii="Arial" w:hAnsi="Arial" w:cs="Arial"/>
      <w:color w:val="000000"/>
      <w:sz w:val="20"/>
      <w:szCs w:val="20"/>
      <w:u w:val="none"/>
    </w:rPr>
  </w:style>
  <w:style w:type="character" w:customStyle="1" w:styleId="54">
    <w:name w:val="font51"/>
    <w:basedOn w:val="25"/>
    <w:qFormat/>
    <w:uiPriority w:val="0"/>
    <w:rPr>
      <w:rFonts w:hint="eastAsia" w:ascii="Batang" w:hAnsi="Batang" w:eastAsia="Batang" w:cs="Batang"/>
      <w:b/>
      <w:color w:val="000000"/>
      <w:sz w:val="20"/>
      <w:szCs w:val="20"/>
      <w:u w:val="none"/>
    </w:rPr>
  </w:style>
  <w:style w:type="character" w:customStyle="1" w:styleId="55">
    <w:name w:val="font61"/>
    <w:basedOn w:val="25"/>
    <w:qFormat/>
    <w:uiPriority w:val="0"/>
    <w:rPr>
      <w:rFonts w:hint="eastAsia" w:ascii="宋体" w:hAnsi="宋体" w:eastAsia="宋体" w:cs="宋体"/>
      <w:b/>
      <w:color w:val="000000"/>
      <w:sz w:val="20"/>
      <w:szCs w:val="20"/>
      <w:u w:val="none"/>
    </w:rPr>
  </w:style>
  <w:style w:type="character" w:customStyle="1" w:styleId="56">
    <w:name w:val="font71"/>
    <w:basedOn w:val="25"/>
    <w:qFormat/>
    <w:uiPriority w:val="0"/>
    <w:rPr>
      <w:rFonts w:hint="default" w:ascii="Arial" w:hAnsi="Arial" w:cs="Arial"/>
      <w:color w:val="000000"/>
      <w:sz w:val="20"/>
      <w:szCs w:val="20"/>
      <w:u w:val="none"/>
    </w:rPr>
  </w:style>
  <w:style w:type="character" w:customStyle="1" w:styleId="57">
    <w:name w:val="font101"/>
    <w:basedOn w:val="25"/>
    <w:qFormat/>
    <w:uiPriority w:val="0"/>
    <w:rPr>
      <w:rFonts w:hint="eastAsia" w:ascii="宋体" w:hAnsi="宋体" w:eastAsia="宋体" w:cs="宋体"/>
      <w:color w:val="000000"/>
      <w:sz w:val="20"/>
      <w:szCs w:val="20"/>
      <w:u w:val="none"/>
    </w:rPr>
  </w:style>
  <w:style w:type="character" w:customStyle="1" w:styleId="58">
    <w:name w:val="font91"/>
    <w:basedOn w:val="25"/>
    <w:qFormat/>
    <w:uiPriority w:val="0"/>
    <w:rPr>
      <w:rFonts w:hint="default" w:ascii="Arial" w:hAnsi="Arial" w:cs="Arial"/>
      <w:color w:val="000000"/>
      <w:sz w:val="20"/>
      <w:szCs w:val="20"/>
      <w:u w:val="none"/>
    </w:rPr>
  </w:style>
  <w:style w:type="character" w:customStyle="1" w:styleId="59">
    <w:name w:val="font81"/>
    <w:basedOn w:val="25"/>
    <w:qFormat/>
    <w:uiPriority w:val="0"/>
    <w:rPr>
      <w:rFonts w:hint="eastAsia" w:ascii="宋体" w:hAnsi="宋体" w:eastAsia="宋体" w:cs="宋体"/>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5216</Words>
  <Characters>29732</Characters>
  <Lines>247</Lines>
  <Paragraphs>69</Paragraphs>
  <TotalTime>16</TotalTime>
  <ScaleCrop>false</ScaleCrop>
  <LinksUpToDate>false</LinksUpToDate>
  <CharactersWithSpaces>34879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卟说嗳</cp:lastModifiedBy>
  <cp:lastPrinted>2020-03-12T03:51:00Z</cp:lastPrinted>
  <dcterms:modified xsi:type="dcterms:W3CDTF">2021-01-15T03:29:30Z</dcterms:modified>
  <dc:title>信托计划监管报告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