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22</w:t>
      </w:r>
      <w:r>
        <w:rPr>
          <w:rFonts w:ascii="黑体" w:hAnsi="宋体" w:eastAsia="黑体" w:cs="黑体"/>
        </w:rPr>
        <w:t xml:space="preserve">]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hint="eastAsia" w:ascii="宋体" w:hAnsi="宋体" w:cs="宋体"/>
          <w:b/>
          <w:bCs/>
          <w:sz w:val="24"/>
          <w:szCs w:val="24"/>
          <w:u w:val="single"/>
        </w:rPr>
        <w:t>北京瑞通仓储有限公司</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北京市顺义区竺园二大街3号全部工业用房房地产</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sz w:val="24"/>
          <w:szCs w:val="24"/>
          <w:u w:val="single"/>
        </w:rPr>
        <w:t>为</w:t>
      </w:r>
      <w:r>
        <w:rPr>
          <w:rFonts w:hint="eastAsia" w:ascii="宋体" w:hAnsi="宋体" w:cs="宋体"/>
          <w:bCs/>
          <w:sz w:val="24"/>
          <w:szCs w:val="24"/>
          <w:u w:val="single"/>
        </w:rPr>
        <w:t>北京瑞通仓储有限公司了解北京市顺义区竺园二大街3号全部工业用房房地产市场价值</w:t>
      </w:r>
      <w:r>
        <w:rPr>
          <w:rFonts w:ascii="宋体" w:hAnsi="宋体" w:cs="宋体"/>
          <w:bCs/>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三、估价对象和估价范围（或见附件）：</w:t>
      </w:r>
      <w:r>
        <w:rPr>
          <w:rFonts w:hint="eastAsia"/>
          <w:b w:val="0"/>
          <w:bCs w:val="0"/>
          <w:u w:val="single"/>
        </w:rPr>
        <w:t xml:space="preserve">北京市顺义区竺园二大街3号全部工业用房房地产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22</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8</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lang w:val="en-US" w:eastAsia="zh-CN"/>
        </w:rPr>
        <w:t>1</w:t>
      </w:r>
      <w:bookmarkStart w:id="0" w:name="_GoBack"/>
      <w:bookmarkEnd w:id="0"/>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市场价值</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万元。差旅费用（包括乙方人员往来估价对象不动产所在地），由</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支付，乙方工作人员在估价对象不动产所在地食宿、交通、必要的办公场所通讯费用由</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支付。</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日内，甲方即支付给乙方</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万元作为定金；乙方提交正式《不动产估价报告书》三日内，甲方支付给乙方</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万元。乙方应在每次收款前提供等额的增值税专用发票。</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行号：交224</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地    址：北京市丰台区芳城园一区16号楼2层2门配套公建01</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壹</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 xml:space="preserve"> 壹</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1570D8"/>
    <w:rsid w:val="00031004"/>
    <w:rsid w:val="000366A2"/>
    <w:rsid w:val="0009219B"/>
    <w:rsid w:val="00095788"/>
    <w:rsid w:val="000A1092"/>
    <w:rsid w:val="001003DA"/>
    <w:rsid w:val="00116144"/>
    <w:rsid w:val="0013379B"/>
    <w:rsid w:val="001570D8"/>
    <w:rsid w:val="001E3BE6"/>
    <w:rsid w:val="001E3C50"/>
    <w:rsid w:val="001F06B8"/>
    <w:rsid w:val="00257131"/>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C2707"/>
    <w:rsid w:val="008D4FDE"/>
    <w:rsid w:val="008E11D1"/>
    <w:rsid w:val="009117F5"/>
    <w:rsid w:val="00A22AF2"/>
    <w:rsid w:val="00A500BC"/>
    <w:rsid w:val="00A70DF1"/>
    <w:rsid w:val="00A7312D"/>
    <w:rsid w:val="00B21F76"/>
    <w:rsid w:val="00B656EF"/>
    <w:rsid w:val="00B7192D"/>
    <w:rsid w:val="00C13A31"/>
    <w:rsid w:val="00C21946"/>
    <w:rsid w:val="00C30D76"/>
    <w:rsid w:val="00C84E2D"/>
    <w:rsid w:val="00CB09B2"/>
    <w:rsid w:val="00D818CD"/>
    <w:rsid w:val="00E3211C"/>
    <w:rsid w:val="00EB48DF"/>
    <w:rsid w:val="00EC0CFD"/>
    <w:rsid w:val="00F3596D"/>
    <w:rsid w:val="00FC4782"/>
    <w:rsid w:val="00FD0271"/>
    <w:rsid w:val="00FE49CB"/>
    <w:rsid w:val="00FF584C"/>
    <w:rsid w:val="2D027265"/>
    <w:rsid w:val="46126C20"/>
    <w:rsid w:val="4D782049"/>
    <w:rsid w:val="783358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qFormat/>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Char"/>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标题1"/>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qFormat/>
    <w:locked/>
    <w:uiPriority w:val="99"/>
    <w:rPr>
      <w:rFonts w:ascii="Times New Roman" w:hAnsi="Times New Roman" w:eastAsia="仿宋_GB2312" w:cs="Times New Roman"/>
      <w:sz w:val="20"/>
      <w:szCs w:val="20"/>
    </w:rPr>
  </w:style>
  <w:style w:type="character" w:customStyle="1" w:styleId="21">
    <w:name w:val="正文文本 Char"/>
    <w:link w:val="4"/>
    <w:qFormat/>
    <w:locked/>
    <w:uiPriority w:val="99"/>
    <w:rPr>
      <w:rFonts w:ascii="Times New Roman" w:hAnsi="Times New Roman" w:eastAsia="仿宋_GB2312" w:cs="Times New Roman"/>
      <w:sz w:val="20"/>
      <w:szCs w:val="20"/>
    </w:rPr>
  </w:style>
  <w:style w:type="character" w:customStyle="1" w:styleId="22">
    <w:name w:val="正文文本 2 Char"/>
    <w:link w:val="12"/>
    <w:qFormat/>
    <w:locked/>
    <w:uiPriority w:val="99"/>
    <w:rPr>
      <w:rFonts w:ascii="宋体" w:hAnsi="宋体" w:eastAsia="宋体" w:cs="宋体"/>
      <w:b/>
      <w:bCs/>
      <w:sz w:val="20"/>
      <w:szCs w:val="20"/>
    </w:rPr>
  </w:style>
  <w:style w:type="character" w:customStyle="1" w:styleId="23">
    <w:name w:val="批注文字 Char"/>
    <w:link w:val="3"/>
    <w:semiHidden/>
    <w:qFormat/>
    <w:locked/>
    <w:uiPriority w:val="99"/>
    <w:rPr>
      <w:rFonts w:ascii="Times New Roman" w:hAnsi="Times New Roman" w:eastAsia="仿宋_GB2312" w:cs="Times New Roman"/>
      <w:sz w:val="30"/>
      <w:szCs w:val="30"/>
    </w:rPr>
  </w:style>
  <w:style w:type="character" w:customStyle="1" w:styleId="24">
    <w:name w:val="页眉 Char"/>
    <w:link w:val="9"/>
    <w:semiHidden/>
    <w:qFormat/>
    <w:locked/>
    <w:uiPriority w:val="99"/>
    <w:rPr>
      <w:rFonts w:ascii="Times New Roman" w:hAnsi="Times New Roman" w:eastAsia="宋体" w:cs="Times New Roman"/>
      <w:sz w:val="18"/>
      <w:szCs w:val="18"/>
    </w:rPr>
  </w:style>
  <w:style w:type="character" w:customStyle="1" w:styleId="25">
    <w:name w:val="页脚 Char"/>
    <w:link w:val="8"/>
    <w:qFormat/>
    <w:locked/>
    <w:uiPriority w:val="99"/>
    <w:rPr>
      <w:rFonts w:ascii="Times New Roman" w:hAnsi="Times New Roman" w:eastAsia="宋体" w:cs="Times New Roman"/>
      <w:sz w:val="18"/>
      <w:szCs w:val="18"/>
    </w:rPr>
  </w:style>
  <w:style w:type="character" w:customStyle="1" w:styleId="26">
    <w:name w:val="批注主题 Char"/>
    <w:link w:val="13"/>
    <w:semiHidden/>
    <w:qFormat/>
    <w:uiPriority w:val="99"/>
    <w:rPr>
      <w:rFonts w:ascii="Times New Roman" w:hAnsi="Times New Roman" w:eastAsia="仿宋_GB2312" w:cs="Times New Roman"/>
      <w:b/>
      <w:bCs/>
      <w:kern w:val="2"/>
      <w:sz w:val="21"/>
      <w:szCs w:val="21"/>
    </w:rPr>
  </w:style>
  <w:style w:type="character" w:customStyle="1" w:styleId="27">
    <w:name w:val="批注框文本 Char"/>
    <w:link w:val="7"/>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455</Words>
  <Characters>2594</Characters>
  <Lines>21</Lines>
  <Paragraphs>6</Paragraphs>
  <TotalTime>6</TotalTime>
  <ScaleCrop>false</ScaleCrop>
  <LinksUpToDate>false</LinksUpToDate>
  <CharactersWithSpaces>3043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李斌</cp:lastModifiedBy>
  <cp:lastPrinted>2016-12-07T02:30:00Z</cp:lastPrinted>
  <dcterms:modified xsi:type="dcterms:W3CDTF">2022-08-09T08:13:17Z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4EE6C45274AA474C94314295C2C72213</vt:lpwstr>
  </property>
</Properties>
</file>