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57D4" w14:textId="77777777" w:rsidR="00DA64A2" w:rsidRDefault="00145317">
      <w:pPr>
        <w:jc w:val="center"/>
        <w:rPr>
          <w:rFonts w:ascii="宋体" w:hAnsi="宋体" w:cs="宋体"/>
          <w:b/>
          <w:bCs/>
          <w:sz w:val="36"/>
          <w:szCs w:val="36"/>
        </w:rPr>
      </w:pPr>
      <w:r>
        <w:rPr>
          <w:rFonts w:ascii="宋体" w:hAnsi="宋体" w:cs="宋体" w:hint="eastAsia"/>
          <w:b/>
          <w:bCs/>
          <w:sz w:val="36"/>
          <w:szCs w:val="36"/>
        </w:rPr>
        <w:t>关于福州正茂项目</w:t>
      </w:r>
      <w:r>
        <w:rPr>
          <w:rFonts w:asciiTheme="minorEastAsia" w:eastAsiaTheme="minorEastAsia" w:hAnsiTheme="minorEastAsia" w:cs="Arial" w:hint="eastAsia"/>
          <w:b/>
          <w:bCs/>
          <w:sz w:val="36"/>
          <w:szCs w:val="36"/>
        </w:rPr>
        <w:t>2022</w:t>
      </w:r>
      <w:r>
        <w:rPr>
          <w:rFonts w:asciiTheme="minorEastAsia" w:eastAsiaTheme="minorEastAsia" w:hAnsiTheme="minorEastAsia" w:cs="Arial" w:hint="eastAsia"/>
          <w:b/>
          <w:bCs/>
          <w:sz w:val="36"/>
          <w:szCs w:val="36"/>
        </w:rPr>
        <w:t>年</w:t>
      </w:r>
      <w:r>
        <w:rPr>
          <w:rFonts w:asciiTheme="minorEastAsia" w:eastAsiaTheme="minorEastAsia" w:hAnsiTheme="minorEastAsia" w:cs="Arial" w:hint="eastAsia"/>
          <w:b/>
          <w:bCs/>
          <w:sz w:val="36"/>
          <w:szCs w:val="36"/>
        </w:rPr>
        <w:t>6</w:t>
      </w:r>
      <w:r>
        <w:rPr>
          <w:rFonts w:asciiTheme="minorEastAsia" w:eastAsiaTheme="minorEastAsia" w:hAnsiTheme="minorEastAsia" w:cs="Arial" w:hint="eastAsia"/>
          <w:b/>
          <w:bCs/>
          <w:sz w:val="36"/>
          <w:szCs w:val="36"/>
        </w:rPr>
        <w:t>月</w:t>
      </w:r>
      <w:r>
        <w:rPr>
          <w:rFonts w:ascii="宋体" w:hAnsi="宋体" w:cs="宋体" w:hint="eastAsia"/>
          <w:b/>
          <w:bCs/>
          <w:sz w:val="36"/>
          <w:szCs w:val="36"/>
        </w:rPr>
        <w:t>资金计划</w:t>
      </w:r>
    </w:p>
    <w:p w14:paraId="7A482FA9" w14:textId="77777777" w:rsidR="00DA64A2" w:rsidRDefault="00145317">
      <w:pPr>
        <w:jc w:val="center"/>
        <w:rPr>
          <w:rFonts w:ascii="宋体" w:hAnsi="宋体" w:cs="宋体"/>
          <w:b/>
          <w:bCs/>
          <w:sz w:val="36"/>
          <w:szCs w:val="36"/>
        </w:rPr>
      </w:pPr>
      <w:r>
        <w:rPr>
          <w:rFonts w:ascii="宋体" w:hAnsi="宋体" w:cs="宋体" w:hint="eastAsia"/>
          <w:b/>
          <w:bCs/>
          <w:sz w:val="36"/>
          <w:szCs w:val="36"/>
        </w:rPr>
        <w:t>审核说明</w:t>
      </w:r>
    </w:p>
    <w:p w14:paraId="3E5969D2" w14:textId="77777777" w:rsidR="00DA64A2" w:rsidRDefault="00145317">
      <w:pPr>
        <w:spacing w:line="360" w:lineRule="auto"/>
        <w:rPr>
          <w:rFonts w:ascii="宋体" w:hAnsi="宋体"/>
          <w:b/>
          <w:bCs/>
          <w:sz w:val="28"/>
          <w:szCs w:val="28"/>
        </w:rPr>
      </w:pPr>
      <w:r>
        <w:rPr>
          <w:rFonts w:ascii="宋体" w:hAnsi="宋体" w:hint="eastAsia"/>
          <w:b/>
          <w:bCs/>
          <w:sz w:val="28"/>
          <w:szCs w:val="28"/>
        </w:rPr>
        <w:t>中航信托股份有限公司：</w:t>
      </w:r>
    </w:p>
    <w:p w14:paraId="073D67D9" w14:textId="77777777" w:rsidR="00DA64A2" w:rsidRDefault="00145317">
      <w:pPr>
        <w:spacing w:line="360" w:lineRule="auto"/>
        <w:ind w:firstLineChars="200" w:firstLine="480"/>
        <w:rPr>
          <w:rFonts w:ascii="宋体" w:hAnsi="宋体"/>
          <w:sz w:val="24"/>
        </w:rPr>
      </w:pPr>
      <w:r>
        <w:rPr>
          <w:rFonts w:ascii="宋体" w:hAnsi="宋体" w:hint="eastAsia"/>
          <w:sz w:val="24"/>
        </w:rPr>
        <w:t>正茂（福州）投资发展有限公司（以下简称“项目公司”）于</w:t>
      </w:r>
      <w:r>
        <w:rPr>
          <w:rFonts w:ascii="宋体" w:hAnsi="宋体" w:hint="eastAsia"/>
          <w:sz w:val="24"/>
        </w:rPr>
        <w:t>2022</w:t>
      </w:r>
      <w:r>
        <w:rPr>
          <w:rFonts w:ascii="宋体" w:hAnsi="宋体" w:hint="eastAsia"/>
          <w:sz w:val="24"/>
        </w:rPr>
        <w:t>年</w:t>
      </w:r>
      <w:r>
        <w:rPr>
          <w:rFonts w:ascii="宋体" w:hAnsi="宋体" w:hint="eastAsia"/>
          <w:sz w:val="24"/>
        </w:rPr>
        <w:t>6</w:t>
      </w:r>
      <w:r>
        <w:rPr>
          <w:rFonts w:ascii="宋体" w:hAnsi="宋体" w:hint="eastAsia"/>
          <w:sz w:val="24"/>
        </w:rPr>
        <w:t>月</w:t>
      </w:r>
      <w:r>
        <w:rPr>
          <w:rFonts w:ascii="宋体" w:hAnsi="宋体" w:hint="eastAsia"/>
          <w:sz w:val="24"/>
        </w:rPr>
        <w:t>6</w:t>
      </w:r>
      <w:r>
        <w:rPr>
          <w:rFonts w:ascii="宋体" w:hAnsi="宋体"/>
          <w:sz w:val="24"/>
        </w:rPr>
        <w:t>日</w:t>
      </w:r>
      <w:r>
        <w:rPr>
          <w:rFonts w:ascii="宋体" w:hAnsi="宋体" w:hint="eastAsia"/>
          <w:sz w:val="24"/>
        </w:rPr>
        <w:t>提交了</w:t>
      </w:r>
      <w:r>
        <w:rPr>
          <w:rFonts w:ascii="宋体" w:hAnsi="宋体" w:hint="eastAsia"/>
          <w:sz w:val="24"/>
        </w:rPr>
        <w:t>2022</w:t>
      </w:r>
      <w:r>
        <w:rPr>
          <w:rFonts w:ascii="宋体" w:hAnsi="宋体" w:hint="eastAsia"/>
          <w:sz w:val="24"/>
        </w:rPr>
        <w:t>年</w:t>
      </w:r>
      <w:r>
        <w:rPr>
          <w:rFonts w:ascii="宋体" w:hAnsi="宋体" w:hint="eastAsia"/>
          <w:sz w:val="24"/>
        </w:rPr>
        <w:t>6</w:t>
      </w:r>
      <w:r>
        <w:rPr>
          <w:rFonts w:ascii="宋体" w:hAnsi="宋体" w:hint="eastAsia"/>
          <w:sz w:val="24"/>
        </w:rPr>
        <w:t>月的资金计划，我司对项目公司申报的资金计划进行了审核，审核结果如下：</w:t>
      </w:r>
    </w:p>
    <w:p w14:paraId="59C5990B" w14:textId="77777777" w:rsidR="00DA64A2" w:rsidRDefault="00145317">
      <w:pPr>
        <w:numPr>
          <w:ilvl w:val="0"/>
          <w:numId w:val="1"/>
        </w:numPr>
        <w:spacing w:beforeLines="50" w:before="156" w:afterLines="50" w:after="156"/>
        <w:ind w:firstLineChars="50" w:firstLine="120"/>
        <w:rPr>
          <w:rFonts w:ascii="宋体" w:hAnsi="宋体"/>
          <w:b/>
          <w:sz w:val="24"/>
        </w:rPr>
      </w:pPr>
      <w:r>
        <w:rPr>
          <w:rFonts w:ascii="宋体" w:hAnsi="宋体"/>
          <w:b/>
          <w:sz w:val="24"/>
          <w:lang w:bidi="zh-CN"/>
        </w:rPr>
        <w:t>福州</w:t>
      </w:r>
      <w:r>
        <w:rPr>
          <w:rFonts w:ascii="宋体" w:hAnsi="宋体" w:hint="eastAsia"/>
          <w:b/>
          <w:sz w:val="24"/>
          <w:lang w:bidi="zh-CN"/>
        </w:rPr>
        <w:t>正茂</w:t>
      </w:r>
      <w:r>
        <w:rPr>
          <w:rFonts w:ascii="宋体" w:hAnsi="宋体" w:hint="eastAsia"/>
          <w:b/>
          <w:sz w:val="24"/>
        </w:rPr>
        <w:t>项目公司</w:t>
      </w:r>
      <w:r>
        <w:rPr>
          <w:rFonts w:ascii="宋体" w:hAnsi="宋体" w:hint="eastAsia"/>
          <w:b/>
          <w:sz w:val="24"/>
        </w:rPr>
        <w:t>2022</w:t>
      </w:r>
      <w:r>
        <w:rPr>
          <w:rFonts w:ascii="宋体" w:hAnsi="宋体" w:hint="eastAsia"/>
          <w:b/>
          <w:sz w:val="24"/>
        </w:rPr>
        <w:t>年</w:t>
      </w:r>
      <w:r>
        <w:rPr>
          <w:rFonts w:ascii="宋体" w:hAnsi="宋体" w:hint="eastAsia"/>
          <w:b/>
          <w:sz w:val="24"/>
        </w:rPr>
        <w:t>6</w:t>
      </w:r>
      <w:r>
        <w:rPr>
          <w:rFonts w:ascii="宋体" w:hAnsi="宋体" w:hint="eastAsia"/>
          <w:b/>
          <w:sz w:val="24"/>
        </w:rPr>
        <w:t>月份资金汇总</w:t>
      </w:r>
    </w:p>
    <w:p w14:paraId="0C8D1118" w14:textId="77777777" w:rsidR="00DA64A2" w:rsidRDefault="00145317">
      <w:pPr>
        <w:spacing w:beforeLines="50" w:before="156" w:afterLines="50" w:after="156" w:line="360" w:lineRule="auto"/>
        <w:ind w:firstLineChars="200" w:firstLine="480"/>
        <w:rPr>
          <w:rFonts w:ascii="宋体" w:hAnsi="宋体"/>
          <w:sz w:val="24"/>
        </w:rPr>
      </w:pPr>
      <w:r>
        <w:rPr>
          <w:rFonts w:ascii="宋体" w:hAnsi="宋体" w:hint="eastAsia"/>
          <w:sz w:val="24"/>
        </w:rPr>
        <w:t>项目公司于</w:t>
      </w:r>
      <w:r>
        <w:rPr>
          <w:rFonts w:ascii="宋体" w:hAnsi="宋体" w:hint="eastAsia"/>
          <w:sz w:val="24"/>
        </w:rPr>
        <w:t>2022</w:t>
      </w:r>
      <w:r>
        <w:rPr>
          <w:rFonts w:ascii="宋体" w:hAnsi="宋体" w:hint="eastAsia"/>
          <w:sz w:val="24"/>
        </w:rPr>
        <w:t>年</w:t>
      </w:r>
      <w:r>
        <w:rPr>
          <w:rFonts w:ascii="宋体" w:hAnsi="宋体" w:hint="eastAsia"/>
          <w:sz w:val="24"/>
        </w:rPr>
        <w:t>6</w:t>
      </w:r>
      <w:r>
        <w:rPr>
          <w:rFonts w:ascii="宋体" w:hAnsi="宋体" w:hint="eastAsia"/>
          <w:sz w:val="24"/>
        </w:rPr>
        <w:t>月</w:t>
      </w:r>
      <w:r>
        <w:rPr>
          <w:rFonts w:ascii="宋体" w:hAnsi="宋体" w:hint="eastAsia"/>
          <w:sz w:val="24"/>
        </w:rPr>
        <w:t>6</w:t>
      </w:r>
      <w:r>
        <w:rPr>
          <w:rFonts w:ascii="宋体" w:hAnsi="宋体"/>
          <w:sz w:val="24"/>
        </w:rPr>
        <w:t>日</w:t>
      </w:r>
      <w:r>
        <w:rPr>
          <w:rFonts w:ascii="宋体" w:hAnsi="宋体" w:hint="eastAsia"/>
          <w:sz w:val="24"/>
        </w:rPr>
        <w:t>提交的</w:t>
      </w:r>
      <w:r>
        <w:rPr>
          <w:rFonts w:ascii="宋体" w:hAnsi="宋体" w:hint="eastAsia"/>
          <w:sz w:val="24"/>
        </w:rPr>
        <w:t>2022</w:t>
      </w:r>
      <w:r>
        <w:rPr>
          <w:rFonts w:ascii="宋体" w:hAnsi="宋体" w:hint="eastAsia"/>
          <w:sz w:val="24"/>
        </w:rPr>
        <w:t>年</w:t>
      </w:r>
      <w:r>
        <w:rPr>
          <w:rFonts w:ascii="宋体" w:hAnsi="宋体" w:hint="eastAsia"/>
          <w:sz w:val="24"/>
        </w:rPr>
        <w:t>6</w:t>
      </w:r>
      <w:r>
        <w:rPr>
          <w:rFonts w:ascii="宋体" w:hAnsi="宋体" w:hint="eastAsia"/>
          <w:sz w:val="24"/>
        </w:rPr>
        <w:t>月的资金支出计划，</w:t>
      </w:r>
      <w:r>
        <w:rPr>
          <w:rFonts w:ascii="宋体" w:hAnsi="宋体"/>
          <w:sz w:val="24"/>
        </w:rPr>
        <w:t>计划</w:t>
      </w:r>
      <w:r>
        <w:rPr>
          <w:rFonts w:ascii="宋体" w:hAnsi="宋体" w:hint="eastAsia"/>
          <w:sz w:val="24"/>
        </w:rPr>
        <w:t>资金支出合计</w:t>
      </w:r>
      <w:r>
        <w:rPr>
          <w:rFonts w:ascii="宋体" w:hAnsi="宋体" w:hint="eastAsia"/>
          <w:sz w:val="24"/>
        </w:rPr>
        <w:t>7,925.60</w:t>
      </w:r>
      <w:r>
        <w:rPr>
          <w:rFonts w:ascii="宋体" w:hAnsi="宋体" w:hint="eastAsia"/>
          <w:sz w:val="24"/>
        </w:rPr>
        <w:t>万元。其中：工程款支出</w:t>
      </w:r>
      <w:r>
        <w:rPr>
          <w:rFonts w:ascii="宋体" w:hAnsi="宋体" w:hint="eastAsia"/>
          <w:sz w:val="24"/>
        </w:rPr>
        <w:t>4,421.38</w:t>
      </w:r>
      <w:r>
        <w:rPr>
          <w:rFonts w:ascii="宋体" w:hAnsi="宋体" w:hint="eastAsia"/>
          <w:sz w:val="24"/>
        </w:rPr>
        <w:t>万元，销售费用</w:t>
      </w:r>
      <w:r>
        <w:rPr>
          <w:rFonts w:ascii="宋体" w:hAnsi="宋体" w:hint="eastAsia"/>
          <w:sz w:val="24"/>
        </w:rPr>
        <w:t>724.22</w:t>
      </w:r>
      <w:r>
        <w:rPr>
          <w:rFonts w:ascii="宋体" w:hAnsi="宋体" w:hint="eastAsia"/>
          <w:sz w:val="24"/>
        </w:rPr>
        <w:t>万元，管理费用</w:t>
      </w:r>
      <w:r>
        <w:rPr>
          <w:rFonts w:ascii="宋体" w:hAnsi="宋体" w:hint="eastAsia"/>
          <w:sz w:val="24"/>
        </w:rPr>
        <w:t>200.00</w:t>
      </w:r>
      <w:r>
        <w:rPr>
          <w:rFonts w:ascii="宋体" w:hAnsi="宋体" w:hint="eastAsia"/>
          <w:sz w:val="24"/>
        </w:rPr>
        <w:t>万元，财务费用</w:t>
      </w:r>
      <w:r>
        <w:rPr>
          <w:rFonts w:ascii="宋体" w:hAnsi="宋体" w:cs="宋体" w:hint="eastAsia"/>
          <w:bCs/>
          <w:sz w:val="24"/>
        </w:rPr>
        <w:t>2,580.00</w:t>
      </w:r>
      <w:r>
        <w:rPr>
          <w:rFonts w:ascii="宋体" w:hAnsi="宋体" w:cs="宋体" w:hint="eastAsia"/>
          <w:bCs/>
          <w:sz w:val="24"/>
        </w:rPr>
        <w:t>万元（其中开发贷利息</w:t>
      </w:r>
      <w:r>
        <w:rPr>
          <w:rFonts w:ascii="宋体" w:hAnsi="宋体" w:cs="宋体" w:hint="eastAsia"/>
          <w:bCs/>
          <w:sz w:val="24"/>
        </w:rPr>
        <w:t>250.00</w:t>
      </w:r>
      <w:r>
        <w:rPr>
          <w:rFonts w:ascii="宋体" w:hAnsi="宋体" w:cs="宋体" w:hint="eastAsia"/>
          <w:bCs/>
          <w:sz w:val="24"/>
        </w:rPr>
        <w:t>万元，开发贷还本</w:t>
      </w:r>
      <w:r>
        <w:rPr>
          <w:rFonts w:ascii="宋体" w:hAnsi="宋体" w:cs="宋体" w:hint="eastAsia"/>
          <w:bCs/>
          <w:sz w:val="24"/>
        </w:rPr>
        <w:t>2,330.00</w:t>
      </w:r>
      <w:r>
        <w:rPr>
          <w:rFonts w:ascii="宋体" w:hAnsi="宋体" w:cs="宋体" w:hint="eastAsia"/>
          <w:bCs/>
          <w:sz w:val="24"/>
        </w:rPr>
        <w:t>万元）</w:t>
      </w:r>
      <w:r>
        <w:rPr>
          <w:rFonts w:ascii="宋体" w:hAnsi="宋体" w:hint="eastAsia"/>
          <w:sz w:val="24"/>
        </w:rPr>
        <w:t>。</w:t>
      </w:r>
    </w:p>
    <w:tbl>
      <w:tblPr>
        <w:tblW w:w="9728" w:type="dxa"/>
        <w:jc w:val="center"/>
        <w:tblLayout w:type="fixed"/>
        <w:tblCellMar>
          <w:left w:w="0" w:type="dxa"/>
          <w:right w:w="0" w:type="dxa"/>
        </w:tblCellMar>
        <w:tblLook w:val="04A0" w:firstRow="1" w:lastRow="0" w:firstColumn="1" w:lastColumn="0" w:noHBand="0" w:noVBand="1"/>
      </w:tblPr>
      <w:tblGrid>
        <w:gridCol w:w="93"/>
        <w:gridCol w:w="4689"/>
        <w:gridCol w:w="4782"/>
        <w:gridCol w:w="164"/>
      </w:tblGrid>
      <w:tr w:rsidR="00DA64A2" w14:paraId="08E5385E" w14:textId="77777777" w:rsidTr="00817F2D">
        <w:trPr>
          <w:gridBefore w:val="1"/>
          <w:wBefore w:w="93" w:type="dxa"/>
          <w:trHeight w:val="749"/>
          <w:jc w:val="center"/>
        </w:trPr>
        <w:tc>
          <w:tcPr>
            <w:tcW w:w="9635" w:type="dxa"/>
            <w:gridSpan w:val="3"/>
            <w:tcBorders>
              <w:top w:val="nil"/>
              <w:left w:val="nil"/>
              <w:bottom w:val="nil"/>
              <w:right w:val="nil"/>
            </w:tcBorders>
            <w:shd w:val="clear" w:color="auto" w:fill="auto"/>
            <w:tcMar>
              <w:top w:w="12" w:type="dxa"/>
              <w:left w:w="12" w:type="dxa"/>
              <w:right w:w="12" w:type="dxa"/>
            </w:tcMar>
          </w:tcPr>
          <w:p w14:paraId="1AD56DE2" w14:textId="77777777" w:rsidR="00DA64A2" w:rsidRDefault="00145317">
            <w:pPr>
              <w:widowControl/>
              <w:jc w:val="center"/>
              <w:textAlignment w:val="top"/>
              <w:rPr>
                <w:rFonts w:ascii="宋体" w:hAnsi="宋体" w:cs="宋体"/>
                <w:b/>
                <w:sz w:val="28"/>
                <w:szCs w:val="28"/>
              </w:rPr>
            </w:pPr>
            <w:r>
              <w:rPr>
                <w:rFonts w:ascii="宋体" w:hAnsi="宋体" w:cs="宋体" w:hint="eastAsia"/>
                <w:b/>
                <w:sz w:val="28"/>
                <w:szCs w:val="28"/>
              </w:rPr>
              <w:t>中航信托•天垣</w:t>
            </w:r>
            <w:r>
              <w:rPr>
                <w:rFonts w:ascii="宋体" w:hAnsi="宋体" w:cs="宋体" w:hint="eastAsia"/>
                <w:b/>
                <w:sz w:val="28"/>
                <w:szCs w:val="28"/>
              </w:rPr>
              <w:t>20A099</w:t>
            </w:r>
            <w:r>
              <w:rPr>
                <w:rFonts w:ascii="宋体" w:hAnsi="宋体" w:cs="宋体" w:hint="eastAsia"/>
                <w:b/>
                <w:sz w:val="28"/>
                <w:szCs w:val="28"/>
              </w:rPr>
              <w:t>号房地产开发股权投资集合资金信托计划</w:t>
            </w:r>
          </w:p>
        </w:tc>
      </w:tr>
      <w:tr w:rsidR="00DA64A2" w14:paraId="6D3A5AF5" w14:textId="77777777" w:rsidTr="00817F2D">
        <w:trPr>
          <w:gridBefore w:val="1"/>
          <w:wBefore w:w="93" w:type="dxa"/>
          <w:trHeight w:val="390"/>
          <w:jc w:val="center"/>
        </w:trPr>
        <w:tc>
          <w:tcPr>
            <w:tcW w:w="9635" w:type="dxa"/>
            <w:gridSpan w:val="3"/>
            <w:tcBorders>
              <w:top w:val="nil"/>
              <w:left w:val="nil"/>
              <w:bottom w:val="nil"/>
              <w:right w:val="nil"/>
            </w:tcBorders>
            <w:shd w:val="clear" w:color="auto" w:fill="auto"/>
            <w:tcMar>
              <w:top w:w="12" w:type="dxa"/>
              <w:left w:w="12" w:type="dxa"/>
              <w:right w:w="12" w:type="dxa"/>
            </w:tcMar>
            <w:vAlign w:val="center"/>
          </w:tcPr>
          <w:p w14:paraId="5CB029A4" w14:textId="77777777" w:rsidR="00DA64A2" w:rsidRDefault="00145317">
            <w:pPr>
              <w:widowControl/>
              <w:jc w:val="center"/>
              <w:textAlignment w:val="center"/>
              <w:rPr>
                <w:rFonts w:ascii="宋体" w:hAnsi="宋体" w:cs="宋体"/>
                <w:b/>
                <w:sz w:val="24"/>
              </w:rPr>
            </w:pPr>
            <w:r>
              <w:rPr>
                <w:rFonts w:ascii="宋体" w:hAnsi="宋体" w:cs="宋体" w:hint="eastAsia"/>
                <w:b/>
                <w:kern w:val="0"/>
                <w:sz w:val="24"/>
                <w:lang w:bidi="ar"/>
              </w:rPr>
              <w:t>正茂（福州）投资发展有限公司</w:t>
            </w:r>
            <w:r>
              <w:rPr>
                <w:rFonts w:ascii="宋体" w:hAnsi="宋体" w:cs="宋体" w:hint="eastAsia"/>
                <w:b/>
                <w:kern w:val="0"/>
                <w:sz w:val="24"/>
                <w:lang w:bidi="ar"/>
              </w:rPr>
              <w:t>2022</w:t>
            </w:r>
            <w:r>
              <w:rPr>
                <w:rFonts w:ascii="宋体" w:hAnsi="宋体" w:cs="宋体" w:hint="eastAsia"/>
                <w:b/>
                <w:kern w:val="0"/>
                <w:sz w:val="24"/>
                <w:lang w:bidi="ar"/>
              </w:rPr>
              <w:t>年</w:t>
            </w:r>
            <w:r>
              <w:rPr>
                <w:rFonts w:ascii="宋体" w:hAnsi="宋体" w:cs="宋体" w:hint="eastAsia"/>
                <w:b/>
                <w:kern w:val="0"/>
                <w:sz w:val="24"/>
                <w:lang w:bidi="ar"/>
              </w:rPr>
              <w:t>6</w:t>
            </w:r>
            <w:r>
              <w:rPr>
                <w:rFonts w:ascii="宋体" w:hAnsi="宋体" w:cs="宋体" w:hint="eastAsia"/>
                <w:b/>
                <w:kern w:val="0"/>
                <w:sz w:val="24"/>
                <w:lang w:bidi="ar"/>
              </w:rPr>
              <w:t>月资金计划</w:t>
            </w:r>
          </w:p>
        </w:tc>
      </w:tr>
      <w:tr w:rsidR="00DA64A2" w14:paraId="57A8696C" w14:textId="77777777" w:rsidTr="00817F2D">
        <w:trPr>
          <w:gridBefore w:val="1"/>
          <w:wBefore w:w="93" w:type="dxa"/>
          <w:trHeight w:val="471"/>
          <w:jc w:val="center"/>
        </w:trPr>
        <w:tc>
          <w:tcPr>
            <w:tcW w:w="9635" w:type="dxa"/>
            <w:gridSpan w:val="3"/>
            <w:tcBorders>
              <w:top w:val="nil"/>
              <w:left w:val="nil"/>
              <w:bottom w:val="nil"/>
              <w:right w:val="nil"/>
            </w:tcBorders>
            <w:shd w:val="clear" w:color="auto" w:fill="auto"/>
            <w:tcMar>
              <w:top w:w="12" w:type="dxa"/>
              <w:left w:w="12" w:type="dxa"/>
              <w:right w:w="12" w:type="dxa"/>
            </w:tcMar>
            <w:vAlign w:val="center"/>
          </w:tcPr>
          <w:p w14:paraId="72C055CC" w14:textId="339DF267" w:rsidR="00DA64A2" w:rsidRDefault="00145317">
            <w:pPr>
              <w:widowControl/>
              <w:textAlignment w:val="center"/>
              <w:rPr>
                <w:rFonts w:ascii="宋体" w:hAnsi="宋体" w:cs="宋体"/>
                <w:b/>
                <w:sz w:val="24"/>
              </w:rPr>
            </w:pPr>
            <w:r>
              <w:rPr>
                <w:rFonts w:ascii="宋体" w:hAnsi="宋体" w:cs="宋体" w:hint="eastAsia"/>
                <w:b/>
                <w:kern w:val="0"/>
                <w:sz w:val="24"/>
                <w:lang w:bidi="ar"/>
              </w:rPr>
              <w:t>编制单位：正茂（福州）投资发展有限公司</w:t>
            </w:r>
            <w:r>
              <w:rPr>
                <w:rFonts w:ascii="宋体" w:hAnsi="宋体" w:cs="宋体" w:hint="eastAsia"/>
                <w:b/>
                <w:kern w:val="0"/>
                <w:sz w:val="24"/>
                <w:lang w:bidi="ar"/>
              </w:rPr>
              <w:t xml:space="preserve">                             </w:t>
            </w:r>
            <w:r>
              <w:rPr>
                <w:rFonts w:ascii="宋体" w:hAnsi="宋体" w:cs="宋体" w:hint="eastAsia"/>
                <w:b/>
                <w:kern w:val="0"/>
                <w:sz w:val="24"/>
                <w:lang w:bidi="ar"/>
              </w:rPr>
              <w:t>单位：万元</w:t>
            </w:r>
          </w:p>
        </w:tc>
      </w:tr>
      <w:tr w:rsidR="00DA64A2" w14:paraId="2C6B0B71" w14:textId="77777777" w:rsidTr="00817F2D">
        <w:tblPrEx>
          <w:tblBorders>
            <w:top w:val="thinThickSmallGap" w:sz="12" w:space="0" w:color="auto"/>
            <w:bottom w:val="thickThinSmallGap" w:sz="12" w:space="0" w:color="auto"/>
            <w:insideH w:val="dotted" w:sz="4" w:space="0" w:color="auto"/>
            <w:insideV w:val="dotted" w:sz="4" w:space="0" w:color="auto"/>
          </w:tblBorders>
          <w:tblCellMar>
            <w:left w:w="108" w:type="dxa"/>
            <w:right w:w="108" w:type="dxa"/>
          </w:tblCellMar>
        </w:tblPrEx>
        <w:trPr>
          <w:gridAfter w:val="1"/>
          <w:wAfter w:w="164" w:type="dxa"/>
          <w:trHeight w:val="604"/>
          <w:tblHeader/>
          <w:jc w:val="center"/>
        </w:trPr>
        <w:tc>
          <w:tcPr>
            <w:tcW w:w="4782" w:type="dxa"/>
            <w:gridSpan w:val="2"/>
            <w:tcBorders>
              <w:tl2br w:val="nil"/>
              <w:tr2bl w:val="nil"/>
            </w:tcBorders>
            <w:shd w:val="clear" w:color="auto" w:fill="A68355"/>
            <w:vAlign w:val="center"/>
          </w:tcPr>
          <w:p w14:paraId="72E126E1" w14:textId="77777777" w:rsidR="00DA64A2" w:rsidRDefault="00145317">
            <w:pPr>
              <w:widowControl/>
              <w:jc w:val="center"/>
              <w:textAlignment w:val="center"/>
              <w:rPr>
                <w:rFonts w:ascii="宋体" w:hAnsi="宋体" w:cs="宋体"/>
                <w:b/>
                <w:bCs/>
                <w:color w:val="FFFFFF" w:themeColor="background1"/>
                <w:kern w:val="0"/>
                <w:sz w:val="24"/>
                <w:lang w:bidi="ar"/>
              </w:rPr>
            </w:pPr>
            <w:r>
              <w:rPr>
                <w:rFonts w:ascii="宋体" w:hAnsi="宋体" w:cs="宋体" w:hint="eastAsia"/>
                <w:b/>
                <w:bCs/>
                <w:color w:val="FFFFFF" w:themeColor="background1"/>
                <w:kern w:val="0"/>
                <w:sz w:val="24"/>
                <w:lang w:bidi="ar"/>
              </w:rPr>
              <w:t>项目</w:t>
            </w:r>
          </w:p>
        </w:tc>
        <w:tc>
          <w:tcPr>
            <w:tcW w:w="4782" w:type="dxa"/>
            <w:tcBorders>
              <w:tl2br w:val="nil"/>
              <w:tr2bl w:val="nil"/>
            </w:tcBorders>
            <w:shd w:val="clear" w:color="auto" w:fill="A68355"/>
            <w:vAlign w:val="center"/>
          </w:tcPr>
          <w:p w14:paraId="429D6CFD" w14:textId="77777777" w:rsidR="00DA64A2" w:rsidRDefault="00145317">
            <w:pPr>
              <w:widowControl/>
              <w:jc w:val="center"/>
              <w:textAlignment w:val="center"/>
              <w:rPr>
                <w:rFonts w:ascii="宋体" w:hAnsi="宋体" w:cs="宋体"/>
                <w:b/>
                <w:bCs/>
                <w:color w:val="FFFFFF" w:themeColor="background1"/>
                <w:kern w:val="0"/>
                <w:sz w:val="24"/>
                <w:lang w:bidi="ar"/>
              </w:rPr>
            </w:pPr>
            <w:r>
              <w:rPr>
                <w:rFonts w:ascii="宋体" w:hAnsi="宋体" w:cs="宋体" w:hint="eastAsia"/>
                <w:b/>
                <w:bCs/>
                <w:color w:val="FFFFFF" w:themeColor="background1"/>
                <w:kern w:val="0"/>
                <w:sz w:val="24"/>
                <w:lang w:bidi="ar"/>
              </w:rPr>
              <w:t>6</w:t>
            </w:r>
            <w:r>
              <w:rPr>
                <w:rFonts w:ascii="宋体" w:hAnsi="宋体" w:cs="宋体" w:hint="eastAsia"/>
                <w:b/>
                <w:bCs/>
                <w:color w:val="FFFFFF" w:themeColor="background1"/>
                <w:kern w:val="0"/>
                <w:sz w:val="24"/>
                <w:lang w:bidi="ar"/>
              </w:rPr>
              <w:t>月计划金额</w:t>
            </w:r>
          </w:p>
        </w:tc>
      </w:tr>
      <w:tr w:rsidR="00DA64A2" w14:paraId="19D319FC" w14:textId="77777777" w:rsidTr="00817F2D">
        <w:tblPrEx>
          <w:tblBorders>
            <w:top w:val="thinThickSmallGap" w:sz="12" w:space="0" w:color="auto"/>
            <w:bottom w:val="thickThinSmallGap" w:sz="12" w:space="0" w:color="auto"/>
            <w:insideH w:val="dotted" w:sz="4" w:space="0" w:color="auto"/>
            <w:insideV w:val="dotted" w:sz="4" w:space="0" w:color="auto"/>
          </w:tblBorders>
          <w:tblCellMar>
            <w:left w:w="108" w:type="dxa"/>
            <w:right w:w="108" w:type="dxa"/>
          </w:tblCellMar>
        </w:tblPrEx>
        <w:trPr>
          <w:gridAfter w:val="1"/>
          <w:wAfter w:w="164" w:type="dxa"/>
          <w:trHeight w:val="390"/>
          <w:jc w:val="center"/>
        </w:trPr>
        <w:tc>
          <w:tcPr>
            <w:tcW w:w="4782" w:type="dxa"/>
            <w:gridSpan w:val="2"/>
            <w:tcBorders>
              <w:tl2br w:val="nil"/>
              <w:tr2bl w:val="nil"/>
            </w:tcBorders>
            <w:vAlign w:val="center"/>
          </w:tcPr>
          <w:p w14:paraId="21A2A640" w14:textId="77777777" w:rsidR="00DA64A2" w:rsidRDefault="00145317">
            <w:pPr>
              <w:widowControl/>
              <w:jc w:val="center"/>
              <w:textAlignment w:val="center"/>
              <w:rPr>
                <w:rFonts w:ascii="宋体" w:hAnsi="宋体" w:cs="宋体"/>
                <w:sz w:val="24"/>
              </w:rPr>
            </w:pPr>
            <w:r>
              <w:rPr>
                <w:rFonts w:ascii="宋体" w:hAnsi="宋体" w:cs="宋体" w:hint="eastAsia"/>
                <w:kern w:val="0"/>
                <w:sz w:val="24"/>
                <w:lang w:bidi="ar"/>
              </w:rPr>
              <w:t xml:space="preserve"> </w:t>
            </w:r>
            <w:r>
              <w:rPr>
                <w:rFonts w:ascii="宋体" w:hAnsi="宋体" w:cs="宋体" w:hint="eastAsia"/>
                <w:kern w:val="0"/>
                <w:sz w:val="24"/>
                <w:lang w:bidi="ar"/>
              </w:rPr>
              <w:t>工程款支出</w:t>
            </w:r>
            <w:r>
              <w:rPr>
                <w:rFonts w:ascii="宋体" w:hAnsi="宋体" w:cs="宋体" w:hint="eastAsia"/>
                <w:kern w:val="0"/>
                <w:sz w:val="24"/>
                <w:lang w:bidi="ar"/>
              </w:rPr>
              <w:t xml:space="preserve"> </w:t>
            </w:r>
          </w:p>
        </w:tc>
        <w:tc>
          <w:tcPr>
            <w:tcW w:w="4782" w:type="dxa"/>
            <w:tcBorders>
              <w:tl2br w:val="nil"/>
              <w:tr2bl w:val="nil"/>
            </w:tcBorders>
            <w:vAlign w:val="center"/>
          </w:tcPr>
          <w:p w14:paraId="77D0A190" w14:textId="77777777" w:rsidR="00DA64A2" w:rsidRDefault="00145317">
            <w:pPr>
              <w:jc w:val="center"/>
              <w:rPr>
                <w:rFonts w:ascii="Arial" w:hAnsi="Arial" w:cs="Arial"/>
                <w:sz w:val="24"/>
              </w:rPr>
            </w:pPr>
            <w:r>
              <w:rPr>
                <w:rFonts w:ascii="宋体" w:hAnsi="宋体" w:hint="eastAsia"/>
                <w:sz w:val="24"/>
              </w:rPr>
              <w:t>4,421.38</w:t>
            </w:r>
          </w:p>
        </w:tc>
      </w:tr>
      <w:tr w:rsidR="00DA64A2" w14:paraId="51771A17" w14:textId="77777777" w:rsidTr="00817F2D">
        <w:tblPrEx>
          <w:tblBorders>
            <w:top w:val="thinThickSmallGap" w:sz="12" w:space="0" w:color="auto"/>
            <w:bottom w:val="thickThinSmallGap" w:sz="12" w:space="0" w:color="auto"/>
            <w:insideH w:val="dotted" w:sz="4" w:space="0" w:color="auto"/>
            <w:insideV w:val="dotted" w:sz="4" w:space="0" w:color="auto"/>
          </w:tblBorders>
          <w:tblCellMar>
            <w:left w:w="108" w:type="dxa"/>
            <w:right w:w="108" w:type="dxa"/>
          </w:tblCellMar>
        </w:tblPrEx>
        <w:trPr>
          <w:gridAfter w:val="1"/>
          <w:wAfter w:w="164" w:type="dxa"/>
          <w:trHeight w:val="390"/>
          <w:jc w:val="center"/>
        </w:trPr>
        <w:tc>
          <w:tcPr>
            <w:tcW w:w="4782" w:type="dxa"/>
            <w:gridSpan w:val="2"/>
            <w:tcBorders>
              <w:tl2br w:val="nil"/>
              <w:tr2bl w:val="nil"/>
            </w:tcBorders>
            <w:vAlign w:val="center"/>
          </w:tcPr>
          <w:p w14:paraId="52989803" w14:textId="77777777" w:rsidR="00DA64A2" w:rsidRDefault="00145317">
            <w:pPr>
              <w:widowControl/>
              <w:jc w:val="center"/>
              <w:textAlignment w:val="center"/>
              <w:rPr>
                <w:rFonts w:ascii="宋体" w:hAnsi="宋体" w:cs="宋体"/>
                <w:sz w:val="24"/>
              </w:rPr>
            </w:pPr>
            <w:r>
              <w:rPr>
                <w:rFonts w:ascii="宋体" w:hAnsi="宋体" w:cs="宋体" w:hint="eastAsia"/>
                <w:kern w:val="0"/>
                <w:sz w:val="24"/>
                <w:lang w:bidi="ar"/>
              </w:rPr>
              <w:t xml:space="preserve"> </w:t>
            </w:r>
            <w:r>
              <w:rPr>
                <w:rFonts w:ascii="宋体" w:hAnsi="宋体" w:cs="宋体" w:hint="eastAsia"/>
                <w:kern w:val="0"/>
                <w:sz w:val="24"/>
                <w:lang w:bidi="ar"/>
              </w:rPr>
              <w:t>销售费用</w:t>
            </w:r>
            <w:r>
              <w:rPr>
                <w:rFonts w:ascii="宋体" w:hAnsi="宋体" w:cs="宋体" w:hint="eastAsia"/>
                <w:kern w:val="0"/>
                <w:sz w:val="24"/>
                <w:lang w:bidi="ar"/>
              </w:rPr>
              <w:t xml:space="preserve"> </w:t>
            </w:r>
          </w:p>
        </w:tc>
        <w:tc>
          <w:tcPr>
            <w:tcW w:w="4782" w:type="dxa"/>
            <w:tcBorders>
              <w:tl2br w:val="nil"/>
              <w:tr2bl w:val="nil"/>
            </w:tcBorders>
            <w:vAlign w:val="center"/>
          </w:tcPr>
          <w:p w14:paraId="430C7F29" w14:textId="77777777" w:rsidR="00DA64A2" w:rsidRDefault="00145317">
            <w:pPr>
              <w:jc w:val="center"/>
              <w:rPr>
                <w:rFonts w:ascii="Arial" w:hAnsi="Arial" w:cs="Arial"/>
                <w:sz w:val="24"/>
              </w:rPr>
            </w:pPr>
            <w:r>
              <w:rPr>
                <w:rFonts w:ascii="宋体" w:hAnsi="宋体" w:hint="eastAsia"/>
                <w:sz w:val="24"/>
              </w:rPr>
              <w:t>724.22</w:t>
            </w:r>
          </w:p>
        </w:tc>
      </w:tr>
      <w:tr w:rsidR="00DA64A2" w14:paraId="4D67CF97" w14:textId="77777777" w:rsidTr="00817F2D">
        <w:tblPrEx>
          <w:tblBorders>
            <w:top w:val="thinThickSmallGap" w:sz="12" w:space="0" w:color="auto"/>
            <w:bottom w:val="thickThinSmallGap" w:sz="12" w:space="0" w:color="auto"/>
            <w:insideH w:val="dotted" w:sz="4" w:space="0" w:color="auto"/>
            <w:insideV w:val="dotted" w:sz="4" w:space="0" w:color="auto"/>
          </w:tblBorders>
          <w:tblCellMar>
            <w:left w:w="108" w:type="dxa"/>
            <w:right w:w="108" w:type="dxa"/>
          </w:tblCellMar>
        </w:tblPrEx>
        <w:trPr>
          <w:gridAfter w:val="1"/>
          <w:wAfter w:w="164" w:type="dxa"/>
          <w:trHeight w:val="390"/>
          <w:jc w:val="center"/>
        </w:trPr>
        <w:tc>
          <w:tcPr>
            <w:tcW w:w="4782" w:type="dxa"/>
            <w:gridSpan w:val="2"/>
            <w:tcBorders>
              <w:tl2br w:val="nil"/>
              <w:tr2bl w:val="nil"/>
            </w:tcBorders>
            <w:vAlign w:val="center"/>
          </w:tcPr>
          <w:p w14:paraId="6130C829" w14:textId="77777777" w:rsidR="00DA64A2" w:rsidRDefault="00145317">
            <w:pPr>
              <w:widowControl/>
              <w:jc w:val="center"/>
              <w:textAlignment w:val="center"/>
              <w:rPr>
                <w:rFonts w:ascii="宋体" w:hAnsi="宋体" w:cs="宋体"/>
                <w:sz w:val="24"/>
              </w:rPr>
            </w:pPr>
            <w:r>
              <w:rPr>
                <w:rFonts w:ascii="宋体" w:hAnsi="宋体" w:cs="宋体" w:hint="eastAsia"/>
                <w:kern w:val="0"/>
                <w:sz w:val="24"/>
                <w:lang w:bidi="ar"/>
              </w:rPr>
              <w:t xml:space="preserve"> </w:t>
            </w:r>
            <w:r>
              <w:rPr>
                <w:rFonts w:ascii="宋体" w:hAnsi="宋体" w:cs="宋体" w:hint="eastAsia"/>
                <w:kern w:val="0"/>
                <w:sz w:val="24"/>
                <w:lang w:bidi="ar"/>
              </w:rPr>
              <w:t>管理费用</w:t>
            </w:r>
            <w:r>
              <w:rPr>
                <w:rFonts w:ascii="宋体" w:hAnsi="宋体" w:cs="宋体" w:hint="eastAsia"/>
                <w:kern w:val="0"/>
                <w:sz w:val="24"/>
                <w:lang w:bidi="ar"/>
              </w:rPr>
              <w:t xml:space="preserve"> </w:t>
            </w:r>
          </w:p>
        </w:tc>
        <w:tc>
          <w:tcPr>
            <w:tcW w:w="4782" w:type="dxa"/>
            <w:tcBorders>
              <w:tl2br w:val="nil"/>
              <w:tr2bl w:val="nil"/>
            </w:tcBorders>
            <w:vAlign w:val="center"/>
          </w:tcPr>
          <w:p w14:paraId="277BA4A3" w14:textId="77777777" w:rsidR="00DA64A2" w:rsidRDefault="00145317">
            <w:pPr>
              <w:widowControl/>
              <w:jc w:val="center"/>
              <w:rPr>
                <w:rFonts w:ascii="Arial" w:hAnsi="Arial" w:cs="Arial"/>
                <w:sz w:val="24"/>
              </w:rPr>
            </w:pPr>
            <w:r>
              <w:rPr>
                <w:rFonts w:ascii="宋体" w:hAnsi="宋体" w:hint="eastAsia"/>
                <w:sz w:val="24"/>
              </w:rPr>
              <w:t>200.00</w:t>
            </w:r>
          </w:p>
        </w:tc>
      </w:tr>
      <w:tr w:rsidR="00DA64A2" w14:paraId="384583DA" w14:textId="77777777" w:rsidTr="00817F2D">
        <w:tblPrEx>
          <w:tblBorders>
            <w:top w:val="thinThickSmallGap" w:sz="12" w:space="0" w:color="auto"/>
            <w:bottom w:val="thickThinSmallGap" w:sz="12" w:space="0" w:color="auto"/>
            <w:insideH w:val="dotted" w:sz="4" w:space="0" w:color="auto"/>
            <w:insideV w:val="dotted" w:sz="4" w:space="0" w:color="auto"/>
          </w:tblBorders>
          <w:tblCellMar>
            <w:left w:w="108" w:type="dxa"/>
            <w:right w:w="108" w:type="dxa"/>
          </w:tblCellMar>
        </w:tblPrEx>
        <w:trPr>
          <w:gridAfter w:val="1"/>
          <w:wAfter w:w="164" w:type="dxa"/>
          <w:trHeight w:val="390"/>
          <w:jc w:val="center"/>
        </w:trPr>
        <w:tc>
          <w:tcPr>
            <w:tcW w:w="4782" w:type="dxa"/>
            <w:gridSpan w:val="2"/>
            <w:tcBorders>
              <w:tl2br w:val="nil"/>
              <w:tr2bl w:val="nil"/>
            </w:tcBorders>
            <w:vAlign w:val="center"/>
          </w:tcPr>
          <w:p w14:paraId="2293AD8C" w14:textId="77777777" w:rsidR="00DA64A2" w:rsidRDefault="00145317">
            <w:pPr>
              <w:widowControl/>
              <w:jc w:val="center"/>
              <w:textAlignment w:val="center"/>
              <w:rPr>
                <w:rFonts w:ascii="宋体" w:hAnsi="宋体" w:cs="宋体"/>
                <w:sz w:val="24"/>
              </w:rPr>
            </w:pPr>
            <w:r>
              <w:rPr>
                <w:rFonts w:ascii="宋体" w:hAnsi="宋体" w:cs="宋体" w:hint="eastAsia"/>
                <w:kern w:val="0"/>
                <w:sz w:val="24"/>
                <w:lang w:bidi="ar"/>
              </w:rPr>
              <w:t xml:space="preserve"> </w:t>
            </w:r>
            <w:r>
              <w:rPr>
                <w:rFonts w:ascii="宋体" w:hAnsi="宋体" w:cs="宋体" w:hint="eastAsia"/>
                <w:kern w:val="0"/>
                <w:sz w:val="24"/>
                <w:lang w:bidi="ar"/>
              </w:rPr>
              <w:t>财务费用</w:t>
            </w:r>
            <w:r>
              <w:rPr>
                <w:rFonts w:ascii="宋体" w:hAnsi="宋体" w:cs="宋体" w:hint="eastAsia"/>
                <w:kern w:val="0"/>
                <w:sz w:val="24"/>
                <w:lang w:bidi="ar"/>
              </w:rPr>
              <w:t xml:space="preserve"> </w:t>
            </w:r>
          </w:p>
        </w:tc>
        <w:tc>
          <w:tcPr>
            <w:tcW w:w="4782" w:type="dxa"/>
            <w:tcBorders>
              <w:tl2br w:val="nil"/>
              <w:tr2bl w:val="nil"/>
            </w:tcBorders>
            <w:vAlign w:val="center"/>
          </w:tcPr>
          <w:p w14:paraId="16759799" w14:textId="77777777" w:rsidR="00DA64A2" w:rsidRDefault="00145317">
            <w:pPr>
              <w:jc w:val="center"/>
              <w:rPr>
                <w:rFonts w:ascii="Arial" w:hAnsi="Arial" w:cs="Arial"/>
                <w:sz w:val="24"/>
              </w:rPr>
            </w:pPr>
            <w:r>
              <w:rPr>
                <w:rFonts w:ascii="宋体" w:hAnsi="宋体" w:cs="宋体" w:hint="eastAsia"/>
                <w:bCs/>
                <w:sz w:val="24"/>
              </w:rPr>
              <w:t>250.00</w:t>
            </w:r>
          </w:p>
        </w:tc>
      </w:tr>
      <w:tr w:rsidR="00DA64A2" w14:paraId="03D1F4FC" w14:textId="77777777" w:rsidTr="00817F2D">
        <w:tblPrEx>
          <w:tblBorders>
            <w:top w:val="thinThickSmallGap" w:sz="12" w:space="0" w:color="auto"/>
            <w:bottom w:val="thickThinSmallGap" w:sz="12" w:space="0" w:color="auto"/>
            <w:insideH w:val="dotted" w:sz="4" w:space="0" w:color="auto"/>
            <w:insideV w:val="dotted" w:sz="4" w:space="0" w:color="auto"/>
          </w:tblBorders>
          <w:tblCellMar>
            <w:left w:w="108" w:type="dxa"/>
            <w:right w:w="108" w:type="dxa"/>
          </w:tblCellMar>
        </w:tblPrEx>
        <w:trPr>
          <w:gridAfter w:val="1"/>
          <w:wAfter w:w="164" w:type="dxa"/>
          <w:trHeight w:val="390"/>
          <w:jc w:val="center"/>
        </w:trPr>
        <w:tc>
          <w:tcPr>
            <w:tcW w:w="4782" w:type="dxa"/>
            <w:gridSpan w:val="2"/>
            <w:tcBorders>
              <w:tl2br w:val="nil"/>
              <w:tr2bl w:val="nil"/>
            </w:tcBorders>
            <w:vAlign w:val="center"/>
          </w:tcPr>
          <w:p w14:paraId="5DE00FAB" w14:textId="77777777" w:rsidR="00DA64A2" w:rsidRDefault="00145317">
            <w:pPr>
              <w:widowControl/>
              <w:jc w:val="center"/>
              <w:textAlignment w:val="center"/>
              <w:rPr>
                <w:rFonts w:ascii="宋体" w:hAnsi="宋体" w:cs="宋体"/>
                <w:kern w:val="0"/>
                <w:sz w:val="24"/>
                <w:lang w:bidi="ar"/>
              </w:rPr>
            </w:pPr>
            <w:r>
              <w:rPr>
                <w:rFonts w:ascii="宋体" w:hAnsi="宋体" w:cs="宋体" w:hint="eastAsia"/>
                <w:kern w:val="0"/>
                <w:sz w:val="24"/>
                <w:lang w:bidi="ar"/>
              </w:rPr>
              <w:t>开发贷还本</w:t>
            </w:r>
          </w:p>
        </w:tc>
        <w:tc>
          <w:tcPr>
            <w:tcW w:w="4782" w:type="dxa"/>
            <w:tcBorders>
              <w:tl2br w:val="nil"/>
              <w:tr2bl w:val="nil"/>
            </w:tcBorders>
            <w:vAlign w:val="center"/>
          </w:tcPr>
          <w:p w14:paraId="77C60C47" w14:textId="77777777" w:rsidR="00DA64A2" w:rsidRDefault="00145317">
            <w:pPr>
              <w:jc w:val="center"/>
              <w:rPr>
                <w:rFonts w:ascii="宋体" w:hAnsi="宋体" w:cs="宋体"/>
                <w:bCs/>
                <w:sz w:val="24"/>
              </w:rPr>
            </w:pPr>
            <w:r>
              <w:rPr>
                <w:rFonts w:ascii="宋体" w:hAnsi="宋体" w:cs="宋体" w:hint="eastAsia"/>
                <w:bCs/>
                <w:sz w:val="24"/>
              </w:rPr>
              <w:t>2,330.00</w:t>
            </w:r>
          </w:p>
        </w:tc>
      </w:tr>
      <w:tr w:rsidR="00DA64A2" w14:paraId="07A165C7" w14:textId="77777777" w:rsidTr="00817F2D">
        <w:tblPrEx>
          <w:tblBorders>
            <w:top w:val="thinThickSmallGap" w:sz="12" w:space="0" w:color="auto"/>
            <w:bottom w:val="thickThinSmallGap" w:sz="12" w:space="0" w:color="auto"/>
            <w:insideH w:val="dotted" w:sz="4" w:space="0" w:color="auto"/>
            <w:insideV w:val="dotted" w:sz="4" w:space="0" w:color="auto"/>
          </w:tblBorders>
          <w:tblCellMar>
            <w:left w:w="108" w:type="dxa"/>
            <w:right w:w="108" w:type="dxa"/>
          </w:tblCellMar>
        </w:tblPrEx>
        <w:trPr>
          <w:gridAfter w:val="1"/>
          <w:wAfter w:w="164" w:type="dxa"/>
          <w:trHeight w:val="390"/>
          <w:jc w:val="center"/>
        </w:trPr>
        <w:tc>
          <w:tcPr>
            <w:tcW w:w="4782" w:type="dxa"/>
            <w:gridSpan w:val="2"/>
            <w:tcBorders>
              <w:tl2br w:val="nil"/>
              <w:tr2bl w:val="nil"/>
            </w:tcBorders>
            <w:vAlign w:val="center"/>
          </w:tcPr>
          <w:p w14:paraId="28B01E52" w14:textId="77777777" w:rsidR="00DA64A2" w:rsidRDefault="00145317">
            <w:pPr>
              <w:widowControl/>
              <w:jc w:val="center"/>
              <w:textAlignment w:val="center"/>
              <w:rPr>
                <w:rFonts w:ascii="宋体" w:hAnsi="宋体" w:cs="宋体"/>
                <w:b/>
                <w:sz w:val="24"/>
              </w:rPr>
            </w:pPr>
            <w:r>
              <w:rPr>
                <w:rFonts w:ascii="宋体" w:hAnsi="宋体" w:cs="宋体" w:hint="eastAsia"/>
                <w:b/>
                <w:kern w:val="0"/>
                <w:sz w:val="24"/>
                <w:lang w:bidi="ar"/>
              </w:rPr>
              <w:t xml:space="preserve"> </w:t>
            </w:r>
            <w:r>
              <w:rPr>
                <w:rFonts w:ascii="宋体" w:hAnsi="宋体" w:cs="宋体" w:hint="eastAsia"/>
                <w:b/>
                <w:kern w:val="0"/>
                <w:sz w:val="24"/>
                <w:lang w:bidi="ar"/>
              </w:rPr>
              <w:t>资金流出小计</w:t>
            </w:r>
            <w:r>
              <w:rPr>
                <w:rFonts w:ascii="宋体" w:hAnsi="宋体" w:cs="宋体" w:hint="eastAsia"/>
                <w:b/>
                <w:kern w:val="0"/>
                <w:sz w:val="24"/>
                <w:lang w:bidi="ar"/>
              </w:rPr>
              <w:t xml:space="preserve"> </w:t>
            </w:r>
          </w:p>
        </w:tc>
        <w:tc>
          <w:tcPr>
            <w:tcW w:w="4782" w:type="dxa"/>
            <w:tcBorders>
              <w:tl2br w:val="nil"/>
              <w:tr2bl w:val="nil"/>
            </w:tcBorders>
            <w:vAlign w:val="center"/>
          </w:tcPr>
          <w:p w14:paraId="0788012A" w14:textId="77777777" w:rsidR="00DA64A2" w:rsidRDefault="00145317">
            <w:pPr>
              <w:widowControl/>
              <w:jc w:val="center"/>
              <w:textAlignment w:val="center"/>
              <w:rPr>
                <w:rFonts w:ascii="Arial" w:hAnsi="Arial" w:cs="Arial"/>
                <w:b/>
                <w:sz w:val="24"/>
              </w:rPr>
            </w:pPr>
            <w:r>
              <w:rPr>
                <w:rFonts w:ascii="宋体" w:hAnsi="宋体" w:hint="eastAsia"/>
                <w:b/>
                <w:bCs/>
                <w:sz w:val="24"/>
              </w:rPr>
              <w:t>7,925.60</w:t>
            </w:r>
          </w:p>
        </w:tc>
      </w:tr>
    </w:tbl>
    <w:p w14:paraId="55CA3BA3" w14:textId="77777777" w:rsidR="00DA64A2" w:rsidRDefault="00DA64A2">
      <w:pPr>
        <w:pStyle w:val="a0"/>
        <w:ind w:firstLineChars="0" w:firstLine="0"/>
      </w:pPr>
    </w:p>
    <w:p w14:paraId="4A5ECCD5" w14:textId="77777777" w:rsidR="00DA64A2" w:rsidRDefault="00145317">
      <w:pPr>
        <w:numPr>
          <w:ilvl w:val="0"/>
          <w:numId w:val="1"/>
        </w:numPr>
        <w:spacing w:beforeLines="50" w:before="156" w:afterLines="50" w:after="156"/>
        <w:ind w:firstLineChars="50" w:firstLine="120"/>
        <w:rPr>
          <w:rFonts w:ascii="宋体" w:hAnsi="宋体"/>
          <w:b/>
          <w:sz w:val="24"/>
          <w:lang w:bidi="zh-CN"/>
        </w:rPr>
      </w:pPr>
      <w:r>
        <w:rPr>
          <w:rFonts w:ascii="宋体" w:hAnsi="宋体"/>
          <w:b/>
          <w:sz w:val="24"/>
          <w:lang w:bidi="zh-CN"/>
        </w:rPr>
        <w:t>福州</w:t>
      </w:r>
      <w:r>
        <w:rPr>
          <w:rFonts w:ascii="宋体" w:hAnsi="宋体" w:hint="eastAsia"/>
          <w:b/>
          <w:sz w:val="24"/>
          <w:lang w:bidi="zh-CN"/>
        </w:rPr>
        <w:t>正茂</w:t>
      </w:r>
      <w:r>
        <w:rPr>
          <w:rFonts w:ascii="宋体" w:hAnsi="宋体"/>
          <w:b/>
          <w:sz w:val="24"/>
          <w:lang w:bidi="zh-CN"/>
        </w:rPr>
        <w:t>项目公司</w:t>
      </w:r>
      <w:r>
        <w:rPr>
          <w:rFonts w:ascii="宋体" w:hAnsi="宋体"/>
          <w:b/>
          <w:sz w:val="24"/>
          <w:lang w:val="zh-CN" w:bidi="zh-CN"/>
        </w:rPr>
        <w:t>资金计划情况</w:t>
      </w:r>
      <w:r>
        <w:rPr>
          <w:rFonts w:ascii="宋体" w:hAnsi="宋体"/>
          <w:b/>
          <w:sz w:val="24"/>
          <w:lang w:bidi="zh-CN"/>
        </w:rPr>
        <w:t>审核说明</w:t>
      </w:r>
    </w:p>
    <w:p w14:paraId="31E4E172" w14:textId="77777777" w:rsidR="00DA64A2" w:rsidRDefault="00145317">
      <w:pPr>
        <w:spacing w:beforeLines="50" w:before="156" w:afterLines="50" w:after="156" w:line="360" w:lineRule="auto"/>
        <w:rPr>
          <w:rFonts w:ascii="宋体" w:hAnsi="宋体"/>
          <w:b/>
          <w:bCs/>
          <w:sz w:val="24"/>
          <w:lang w:bidi="zh-CN"/>
        </w:rPr>
      </w:pPr>
      <w:r>
        <w:rPr>
          <w:rFonts w:ascii="宋体" w:hAnsi="宋体" w:hint="eastAsia"/>
          <w:b/>
          <w:bCs/>
          <w:sz w:val="24"/>
          <w:lang w:bidi="zh-CN"/>
        </w:rPr>
        <w:t>（一）工程款资金支出计划说明</w:t>
      </w:r>
    </w:p>
    <w:p w14:paraId="34A992A1" w14:textId="77777777" w:rsidR="00DA64A2" w:rsidRDefault="00145317">
      <w:pPr>
        <w:spacing w:beforeLines="50" w:before="156" w:afterLines="50" w:after="156" w:line="360" w:lineRule="auto"/>
        <w:ind w:firstLineChars="200" w:firstLine="480"/>
        <w:rPr>
          <w:rFonts w:ascii="宋体" w:hAnsi="宋体"/>
          <w:bCs/>
          <w:sz w:val="24"/>
          <w:lang w:bidi="zh-CN"/>
        </w:rPr>
      </w:pPr>
      <w:r>
        <w:rPr>
          <w:rFonts w:ascii="宋体" w:hAnsi="宋体" w:hint="eastAsia"/>
          <w:bCs/>
          <w:sz w:val="24"/>
          <w:lang w:bidi="zh-CN"/>
        </w:rPr>
        <w:t>项目公司在</w:t>
      </w:r>
      <w:r>
        <w:rPr>
          <w:rFonts w:ascii="宋体" w:hAnsi="宋体" w:hint="eastAsia"/>
          <w:bCs/>
          <w:sz w:val="24"/>
          <w:lang w:bidi="zh-CN"/>
        </w:rPr>
        <w:t>2022</w:t>
      </w:r>
      <w:r>
        <w:rPr>
          <w:rFonts w:ascii="宋体" w:hAnsi="宋体" w:hint="eastAsia"/>
          <w:bCs/>
          <w:sz w:val="24"/>
          <w:lang w:bidi="zh-CN"/>
        </w:rPr>
        <w:t>年</w:t>
      </w:r>
      <w:r>
        <w:rPr>
          <w:rFonts w:ascii="宋体" w:hAnsi="宋体" w:hint="eastAsia"/>
          <w:bCs/>
          <w:sz w:val="24"/>
          <w:lang w:bidi="zh-CN"/>
        </w:rPr>
        <w:t>6</w:t>
      </w:r>
      <w:r>
        <w:rPr>
          <w:rFonts w:ascii="宋体" w:hAnsi="宋体" w:hint="eastAsia"/>
          <w:bCs/>
          <w:sz w:val="24"/>
          <w:lang w:bidi="zh-CN"/>
        </w:rPr>
        <w:t>月工程款计划支出金额共计</w:t>
      </w:r>
      <w:r>
        <w:rPr>
          <w:rFonts w:ascii="宋体" w:hAnsi="宋体" w:hint="eastAsia"/>
          <w:sz w:val="24"/>
        </w:rPr>
        <w:t>4,421.38</w:t>
      </w:r>
      <w:r>
        <w:rPr>
          <w:rFonts w:ascii="宋体" w:hAnsi="宋体" w:hint="eastAsia"/>
          <w:bCs/>
          <w:sz w:val="24"/>
          <w:lang w:bidi="zh-CN"/>
        </w:rPr>
        <w:t>万元，具体分析如下：</w:t>
      </w:r>
    </w:p>
    <w:p w14:paraId="686AF783" w14:textId="77777777"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t>根据项目公司签订的《正茂望山筑项目总承包工程》，项目公司委托中国核工业华兴建设有限公司承担本项目施工建设任务。合同总价款为</w:t>
      </w:r>
      <w:r>
        <w:rPr>
          <w:rFonts w:ascii="宋体" w:hAnsi="宋体" w:hint="eastAsia"/>
          <w:bCs/>
          <w:sz w:val="24"/>
          <w:lang w:bidi="zh-CN"/>
        </w:rPr>
        <w:t>28,485.59</w:t>
      </w:r>
      <w:r>
        <w:rPr>
          <w:rFonts w:ascii="宋体" w:hAnsi="宋体" w:hint="eastAsia"/>
          <w:bCs/>
          <w:sz w:val="24"/>
          <w:lang w:bidi="zh-CN"/>
        </w:rPr>
        <w:t>万元，付款节点</w:t>
      </w:r>
      <w:r>
        <w:rPr>
          <w:rFonts w:ascii="宋体" w:hAnsi="宋体" w:hint="eastAsia"/>
          <w:bCs/>
          <w:sz w:val="24"/>
          <w:lang w:bidi="zh-CN"/>
        </w:rPr>
        <w:t>:</w:t>
      </w:r>
      <w:r>
        <w:rPr>
          <w:rFonts w:ascii="宋体" w:hAnsi="宋体" w:hint="eastAsia"/>
          <w:bCs/>
          <w:sz w:val="24"/>
          <w:lang w:bidi="zh-CN"/>
        </w:rPr>
        <w:t>所有待支付工程款支付形式全部改为现金，取消非现约定；在监管账户资金释放许可的情况下，发</w:t>
      </w:r>
      <w:r>
        <w:rPr>
          <w:rFonts w:ascii="宋体" w:hAnsi="宋体" w:hint="eastAsia"/>
          <w:bCs/>
          <w:sz w:val="24"/>
          <w:lang w:bidi="zh-CN"/>
        </w:rPr>
        <w:lastRenderedPageBreak/>
        <w:t>包人应将本工程已确认产值向承包人支付至</w:t>
      </w:r>
      <w:r>
        <w:rPr>
          <w:rFonts w:ascii="宋体" w:hAnsi="宋体" w:hint="eastAsia"/>
          <w:bCs/>
          <w:sz w:val="24"/>
          <w:lang w:bidi="zh-CN"/>
        </w:rPr>
        <w:t>85%</w:t>
      </w:r>
      <w:r>
        <w:rPr>
          <w:rFonts w:ascii="宋体" w:hAnsi="宋体" w:hint="eastAsia"/>
          <w:bCs/>
          <w:sz w:val="24"/>
          <w:lang w:bidi="zh-CN"/>
        </w:rPr>
        <w:t>；后续完成产值发包人每月完成上月的工程量确认，并于次月支付上月已完产值</w:t>
      </w:r>
      <w:r>
        <w:rPr>
          <w:rFonts w:ascii="宋体" w:hAnsi="宋体" w:hint="eastAsia"/>
          <w:bCs/>
          <w:sz w:val="24"/>
          <w:lang w:bidi="zh-CN"/>
        </w:rPr>
        <w:t>85%</w:t>
      </w:r>
      <w:r>
        <w:rPr>
          <w:rFonts w:ascii="宋体" w:hAnsi="宋体" w:hint="eastAsia"/>
          <w:bCs/>
          <w:sz w:val="24"/>
          <w:lang w:bidi="zh-CN"/>
        </w:rPr>
        <w:t>的工程款；除</w:t>
      </w:r>
      <w:r>
        <w:rPr>
          <w:rFonts w:ascii="宋体" w:hAnsi="宋体" w:hint="eastAsia"/>
          <w:bCs/>
          <w:sz w:val="24"/>
          <w:lang w:bidi="zh-CN"/>
        </w:rPr>
        <w:t>2#</w:t>
      </w:r>
      <w:r>
        <w:rPr>
          <w:rFonts w:ascii="宋体" w:hAnsi="宋体" w:hint="eastAsia"/>
          <w:bCs/>
          <w:sz w:val="24"/>
          <w:lang w:bidi="zh-CN"/>
        </w:rPr>
        <w:t>楼外所有楼栋均已完工且具备竣工验收条件时，已完工楼栋付款比例均按</w:t>
      </w:r>
      <w:r>
        <w:rPr>
          <w:rFonts w:ascii="宋体" w:hAnsi="宋体" w:hint="eastAsia"/>
          <w:bCs/>
          <w:sz w:val="24"/>
          <w:lang w:bidi="zh-CN"/>
        </w:rPr>
        <w:t>85%</w:t>
      </w:r>
      <w:r>
        <w:rPr>
          <w:rFonts w:ascii="宋体" w:hAnsi="宋体" w:hint="eastAsia"/>
          <w:bCs/>
          <w:sz w:val="24"/>
          <w:lang w:bidi="zh-CN"/>
        </w:rPr>
        <w:t>支付；工程内外部竣工验收通过后</w:t>
      </w:r>
      <w:r>
        <w:rPr>
          <w:rFonts w:ascii="宋体" w:hAnsi="宋体" w:hint="eastAsia"/>
          <w:bCs/>
          <w:sz w:val="24"/>
          <w:lang w:bidi="zh-CN"/>
        </w:rPr>
        <w:t>30</w:t>
      </w:r>
      <w:r>
        <w:rPr>
          <w:rFonts w:ascii="宋体" w:hAnsi="宋体" w:hint="eastAsia"/>
          <w:bCs/>
          <w:sz w:val="24"/>
          <w:lang w:bidi="zh-CN"/>
        </w:rPr>
        <w:t>个工作日内，发包人向承包人支付</w:t>
      </w:r>
      <w:r>
        <w:rPr>
          <w:rFonts w:ascii="宋体" w:hAnsi="宋体" w:hint="eastAsia"/>
          <w:bCs/>
          <w:sz w:val="24"/>
          <w:lang w:bidi="zh-CN"/>
        </w:rPr>
        <w:t>至已完产值的</w:t>
      </w:r>
      <w:r>
        <w:rPr>
          <w:rFonts w:ascii="宋体" w:hAnsi="宋体" w:hint="eastAsia"/>
          <w:bCs/>
          <w:sz w:val="24"/>
          <w:lang w:bidi="zh-CN"/>
        </w:rPr>
        <w:t>90%</w:t>
      </w:r>
      <w:r>
        <w:rPr>
          <w:rFonts w:ascii="宋体" w:hAnsi="宋体" w:hint="eastAsia"/>
          <w:bCs/>
          <w:sz w:val="24"/>
          <w:lang w:bidi="zh-CN"/>
        </w:rPr>
        <w:t>；工程竣工备案</w:t>
      </w:r>
      <w:r>
        <w:rPr>
          <w:rFonts w:ascii="宋体" w:hAnsi="宋体" w:hint="eastAsia"/>
          <w:bCs/>
          <w:sz w:val="24"/>
          <w:lang w:bidi="zh-CN"/>
        </w:rPr>
        <w:t>30</w:t>
      </w:r>
      <w:r>
        <w:rPr>
          <w:rFonts w:ascii="宋体" w:hAnsi="宋体" w:hint="eastAsia"/>
          <w:bCs/>
          <w:sz w:val="24"/>
          <w:lang w:bidi="zh-CN"/>
        </w:rPr>
        <w:t>个工作日内，发包人向承包人支付至结算价款的</w:t>
      </w:r>
      <w:r>
        <w:rPr>
          <w:rFonts w:ascii="宋体" w:hAnsi="宋体" w:hint="eastAsia"/>
          <w:bCs/>
          <w:sz w:val="24"/>
          <w:lang w:bidi="zh-CN"/>
        </w:rPr>
        <w:t>100%</w:t>
      </w:r>
      <w:r>
        <w:rPr>
          <w:rFonts w:ascii="宋体" w:hAnsi="宋体" w:hint="eastAsia"/>
          <w:bCs/>
          <w:sz w:val="24"/>
          <w:lang w:bidi="zh-CN"/>
        </w:rPr>
        <w:t>，付款前承包人需提供结算价款</w:t>
      </w:r>
      <w:r>
        <w:rPr>
          <w:rFonts w:ascii="宋体" w:hAnsi="宋体" w:hint="eastAsia"/>
          <w:bCs/>
          <w:sz w:val="24"/>
          <w:lang w:bidi="zh-CN"/>
        </w:rPr>
        <w:t>3%</w:t>
      </w:r>
      <w:r>
        <w:rPr>
          <w:rFonts w:ascii="宋体" w:hAnsi="宋体" w:hint="eastAsia"/>
          <w:bCs/>
          <w:sz w:val="24"/>
          <w:lang w:bidi="zh-CN"/>
        </w:rPr>
        <w:t>的银行质量保函。累计核定产值</w:t>
      </w:r>
      <w:r>
        <w:rPr>
          <w:rFonts w:ascii="宋体" w:hAnsi="宋体" w:hint="eastAsia"/>
          <w:bCs/>
          <w:sz w:val="24"/>
          <w:lang w:bidi="zh-CN"/>
        </w:rPr>
        <w:t>24,253.77</w:t>
      </w:r>
      <w:r>
        <w:rPr>
          <w:rFonts w:ascii="宋体" w:hAnsi="宋体" w:hint="eastAsia"/>
          <w:bCs/>
          <w:sz w:val="24"/>
          <w:lang w:bidi="zh-CN"/>
        </w:rPr>
        <w:t>万元，累计应付</w:t>
      </w:r>
      <w:r>
        <w:rPr>
          <w:rFonts w:ascii="宋体" w:hAnsi="宋体" w:hint="eastAsia"/>
          <w:bCs/>
          <w:sz w:val="24"/>
          <w:lang w:bidi="zh-CN"/>
        </w:rPr>
        <w:t>20,615.70</w:t>
      </w:r>
      <w:r>
        <w:rPr>
          <w:rFonts w:ascii="宋体" w:hAnsi="宋体" w:hint="eastAsia"/>
          <w:bCs/>
          <w:sz w:val="24"/>
          <w:lang w:bidi="zh-CN"/>
        </w:rPr>
        <w:t>万元，目前已累计支付工程款共计</w:t>
      </w:r>
      <w:r>
        <w:rPr>
          <w:rFonts w:ascii="宋体" w:hAnsi="宋体" w:hint="eastAsia"/>
          <w:bCs/>
          <w:sz w:val="24"/>
          <w:lang w:bidi="zh-CN"/>
        </w:rPr>
        <w:t>17,823.27</w:t>
      </w:r>
      <w:r>
        <w:rPr>
          <w:rFonts w:ascii="宋体" w:hAnsi="宋体" w:hint="eastAsia"/>
          <w:bCs/>
          <w:sz w:val="24"/>
          <w:lang w:bidi="zh-CN"/>
        </w:rPr>
        <w:t>万元，项目公司计划在</w:t>
      </w:r>
      <w:r>
        <w:rPr>
          <w:rFonts w:ascii="宋体" w:hAnsi="宋体" w:hint="eastAsia"/>
          <w:bCs/>
          <w:sz w:val="24"/>
          <w:lang w:bidi="zh-CN"/>
        </w:rPr>
        <w:t>6</w:t>
      </w:r>
      <w:r>
        <w:rPr>
          <w:rFonts w:ascii="宋体" w:hAnsi="宋体" w:hint="eastAsia"/>
          <w:bCs/>
          <w:sz w:val="24"/>
          <w:lang w:bidi="zh-CN"/>
        </w:rPr>
        <w:t>月份使用银行存款支付该合同的工程款</w:t>
      </w:r>
      <w:r>
        <w:rPr>
          <w:rFonts w:ascii="宋体" w:hAnsi="宋体" w:hint="eastAsia"/>
          <w:bCs/>
          <w:sz w:val="24"/>
          <w:lang w:bidi="zh-CN"/>
        </w:rPr>
        <w:t>2,770.00</w:t>
      </w:r>
      <w:r>
        <w:rPr>
          <w:rFonts w:ascii="宋体" w:hAnsi="宋体" w:hint="eastAsia"/>
          <w:bCs/>
          <w:sz w:val="24"/>
          <w:lang w:bidi="zh-CN"/>
        </w:rPr>
        <w:t>万元，符合合同的规定，该笔计划支付款项合理；在支付时我司根据实际情况复核付款的合理性、合规性；</w:t>
      </w:r>
    </w:p>
    <w:p w14:paraId="6AA6524D" w14:textId="77777777"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t>根据</w:t>
      </w:r>
      <w:r>
        <w:rPr>
          <w:rFonts w:ascii="宋体" w:hAnsi="宋体" w:hint="eastAsia"/>
          <w:bCs/>
          <w:sz w:val="24"/>
          <w:lang w:bidi="zh-CN"/>
        </w:rPr>
        <w:t>2020</w:t>
      </w:r>
      <w:r>
        <w:rPr>
          <w:rFonts w:ascii="宋体" w:hAnsi="宋体" w:hint="eastAsia"/>
          <w:bCs/>
          <w:sz w:val="24"/>
          <w:lang w:bidi="zh-CN"/>
        </w:rPr>
        <w:t>年</w:t>
      </w:r>
      <w:r>
        <w:rPr>
          <w:rFonts w:ascii="宋体" w:hAnsi="宋体" w:hint="eastAsia"/>
          <w:bCs/>
          <w:sz w:val="24"/>
          <w:lang w:bidi="zh-CN"/>
        </w:rPr>
        <w:t>7</w:t>
      </w:r>
      <w:r>
        <w:rPr>
          <w:rFonts w:ascii="宋体" w:hAnsi="宋体" w:hint="eastAsia"/>
          <w:bCs/>
          <w:sz w:val="24"/>
          <w:lang w:bidi="zh-CN"/>
        </w:rPr>
        <w:t>月</w:t>
      </w:r>
      <w:r>
        <w:rPr>
          <w:rFonts w:ascii="宋体" w:hAnsi="宋体" w:hint="eastAsia"/>
          <w:bCs/>
          <w:sz w:val="24"/>
          <w:lang w:bidi="zh-CN"/>
        </w:rPr>
        <w:t>9</w:t>
      </w:r>
      <w:r>
        <w:rPr>
          <w:rFonts w:ascii="宋体" w:hAnsi="宋体" w:hint="eastAsia"/>
          <w:bCs/>
          <w:sz w:val="24"/>
          <w:lang w:bidi="zh-CN"/>
        </w:rPr>
        <w:t>日用印的《正茂望山筑项目监理工程合同》，合同约定由福建省京闽工程顾问有限公司为正</w:t>
      </w:r>
      <w:r>
        <w:rPr>
          <w:rFonts w:ascii="宋体" w:hAnsi="宋体" w:hint="eastAsia"/>
          <w:bCs/>
          <w:sz w:val="24"/>
          <w:lang w:bidi="zh-CN"/>
        </w:rPr>
        <w:t>茂望山筑项目提供工程监理服务</w:t>
      </w:r>
      <w:r>
        <w:rPr>
          <w:rFonts w:ascii="宋体" w:hAnsi="宋体" w:hint="eastAsia"/>
          <w:bCs/>
          <w:sz w:val="24"/>
          <w:lang w:bidi="zh-CN"/>
        </w:rPr>
        <w:t>,</w:t>
      </w:r>
      <w:r>
        <w:rPr>
          <w:rFonts w:ascii="宋体" w:hAnsi="宋体" w:hint="eastAsia"/>
          <w:bCs/>
          <w:sz w:val="24"/>
          <w:lang w:bidi="zh-CN"/>
        </w:rPr>
        <w:t>合同总价款为</w:t>
      </w:r>
      <w:r>
        <w:rPr>
          <w:rFonts w:ascii="宋体" w:hAnsi="宋体" w:hint="eastAsia"/>
          <w:bCs/>
          <w:sz w:val="24"/>
          <w:lang w:bidi="zh-CN"/>
        </w:rPr>
        <w:t>152.04</w:t>
      </w:r>
      <w:r>
        <w:rPr>
          <w:rFonts w:ascii="宋体" w:hAnsi="宋体" w:hint="eastAsia"/>
          <w:bCs/>
          <w:sz w:val="24"/>
          <w:lang w:bidi="zh-CN"/>
        </w:rPr>
        <w:t>万元。付款节点为：预付开办费用</w:t>
      </w:r>
      <w:r>
        <w:rPr>
          <w:rFonts w:ascii="宋体" w:hAnsi="宋体" w:hint="eastAsia"/>
          <w:bCs/>
          <w:sz w:val="24"/>
          <w:lang w:bidi="zh-CN"/>
        </w:rPr>
        <w:t>10%</w:t>
      </w:r>
      <w:r>
        <w:rPr>
          <w:rFonts w:ascii="宋体" w:hAnsi="宋体" w:hint="eastAsia"/>
          <w:bCs/>
          <w:sz w:val="24"/>
          <w:lang w:bidi="zh-CN"/>
        </w:rPr>
        <w:t>；月进度款分三部分，基本监理费（开工接受监理的相应各栋号建筑面积</w:t>
      </w:r>
      <w:r>
        <w:rPr>
          <w:rFonts w:ascii="宋体" w:hAnsi="宋体" w:hint="eastAsia"/>
          <w:bCs/>
          <w:sz w:val="24"/>
          <w:lang w:bidi="zh-CN"/>
        </w:rPr>
        <w:t>*</w:t>
      </w:r>
      <w:r>
        <w:rPr>
          <w:rFonts w:ascii="宋体" w:hAnsi="宋体" w:hint="eastAsia"/>
          <w:bCs/>
          <w:sz w:val="24"/>
          <w:lang w:bidi="zh-CN"/>
        </w:rPr>
        <w:t>监理费单方报价</w:t>
      </w:r>
      <w:r>
        <w:rPr>
          <w:rFonts w:ascii="宋体" w:hAnsi="宋体" w:hint="eastAsia"/>
          <w:bCs/>
          <w:sz w:val="24"/>
          <w:lang w:bidi="zh-CN"/>
        </w:rPr>
        <w:t>/</w:t>
      </w:r>
      <w:r>
        <w:rPr>
          <w:rFonts w:ascii="宋体" w:hAnsi="宋体" w:hint="eastAsia"/>
          <w:bCs/>
          <w:sz w:val="24"/>
          <w:lang w:bidi="zh-CN"/>
        </w:rPr>
        <w:t>（各栋号房建合同工期月份</w:t>
      </w:r>
      <w:r>
        <w:rPr>
          <w:rFonts w:ascii="宋体" w:hAnsi="宋体" w:hint="eastAsia"/>
          <w:bCs/>
          <w:sz w:val="24"/>
          <w:lang w:bidi="zh-CN"/>
        </w:rPr>
        <w:t>+2</w:t>
      </w:r>
      <w:r>
        <w:rPr>
          <w:rFonts w:ascii="宋体" w:hAnsi="宋体" w:hint="eastAsia"/>
          <w:bCs/>
          <w:sz w:val="24"/>
          <w:lang w:bidi="zh-CN"/>
        </w:rPr>
        <w:t>个月）</w:t>
      </w:r>
      <w:r>
        <w:rPr>
          <w:rFonts w:ascii="宋体" w:hAnsi="宋体" w:hint="eastAsia"/>
          <w:bCs/>
          <w:sz w:val="24"/>
          <w:lang w:bidi="zh-CN"/>
        </w:rPr>
        <w:t>*70%*</w:t>
      </w:r>
      <w:r>
        <w:rPr>
          <w:rFonts w:ascii="宋体" w:hAnsi="宋体" w:hint="eastAsia"/>
          <w:bCs/>
          <w:sz w:val="24"/>
          <w:lang w:bidi="zh-CN"/>
        </w:rPr>
        <w:t>（</w:t>
      </w:r>
      <w:r>
        <w:rPr>
          <w:rFonts w:ascii="宋体" w:hAnsi="宋体" w:hint="eastAsia"/>
          <w:bCs/>
          <w:sz w:val="24"/>
          <w:lang w:bidi="zh-CN"/>
        </w:rPr>
        <w:t>1-20%</w:t>
      </w:r>
      <w:r>
        <w:rPr>
          <w:rFonts w:ascii="宋体" w:hAnsi="宋体" w:hint="eastAsia"/>
          <w:bCs/>
          <w:sz w:val="24"/>
          <w:lang w:bidi="zh-CN"/>
        </w:rPr>
        <w:t>监理考核金））、监理考核金、监理人员个人监理考核金；竣工结算至总金额的</w:t>
      </w:r>
      <w:r>
        <w:rPr>
          <w:rFonts w:ascii="宋体" w:hAnsi="宋体" w:hint="eastAsia"/>
          <w:bCs/>
          <w:sz w:val="24"/>
          <w:lang w:bidi="zh-CN"/>
        </w:rPr>
        <w:t>97%</w:t>
      </w:r>
      <w:r>
        <w:rPr>
          <w:rFonts w:ascii="宋体" w:hAnsi="宋体" w:hint="eastAsia"/>
          <w:bCs/>
          <w:sz w:val="24"/>
          <w:lang w:bidi="zh-CN"/>
        </w:rPr>
        <w:t>；验收合格满一年后一个月内付清预留的</w:t>
      </w:r>
      <w:r>
        <w:rPr>
          <w:rFonts w:ascii="宋体" w:hAnsi="宋体" w:hint="eastAsia"/>
          <w:bCs/>
          <w:sz w:val="24"/>
          <w:lang w:bidi="zh-CN"/>
        </w:rPr>
        <w:t>3%</w:t>
      </w:r>
      <w:r>
        <w:rPr>
          <w:rFonts w:ascii="宋体" w:hAnsi="宋体" w:hint="eastAsia"/>
          <w:bCs/>
          <w:sz w:val="24"/>
          <w:lang w:bidi="zh-CN"/>
        </w:rPr>
        <w:t>。目前累计支付合同金额</w:t>
      </w:r>
      <w:r>
        <w:rPr>
          <w:rFonts w:ascii="宋体" w:hAnsi="宋体" w:hint="eastAsia"/>
          <w:bCs/>
          <w:sz w:val="24"/>
          <w:lang w:bidi="zh-CN"/>
        </w:rPr>
        <w:t>70.05</w:t>
      </w:r>
      <w:r>
        <w:rPr>
          <w:rFonts w:ascii="宋体" w:hAnsi="宋体" w:hint="eastAsia"/>
          <w:bCs/>
          <w:sz w:val="24"/>
          <w:lang w:bidi="zh-CN"/>
        </w:rPr>
        <w:t>万元，计划在</w:t>
      </w:r>
      <w:r>
        <w:rPr>
          <w:rFonts w:ascii="宋体" w:hAnsi="宋体" w:hint="eastAsia"/>
          <w:bCs/>
          <w:sz w:val="24"/>
          <w:lang w:bidi="zh-CN"/>
        </w:rPr>
        <w:t>6</w:t>
      </w:r>
      <w:r>
        <w:rPr>
          <w:rFonts w:ascii="宋体" w:hAnsi="宋体" w:hint="eastAsia"/>
          <w:bCs/>
          <w:sz w:val="24"/>
          <w:lang w:bidi="zh-CN"/>
        </w:rPr>
        <w:t>月份使用银行存款支付该合同的工程款</w:t>
      </w:r>
      <w:r>
        <w:rPr>
          <w:rFonts w:ascii="宋体" w:hAnsi="宋体" w:hint="eastAsia"/>
          <w:bCs/>
          <w:sz w:val="24"/>
          <w:lang w:bidi="zh-CN"/>
        </w:rPr>
        <w:t>15.20</w:t>
      </w:r>
      <w:r>
        <w:rPr>
          <w:rFonts w:ascii="宋体" w:hAnsi="宋体" w:hint="eastAsia"/>
          <w:bCs/>
          <w:sz w:val="24"/>
          <w:lang w:bidi="zh-CN"/>
        </w:rPr>
        <w:t>万元，因项目公司未能提供详细的付款进度说明，该笔款项在支付时我司根据实际情况复</w:t>
      </w:r>
      <w:r>
        <w:rPr>
          <w:rFonts w:ascii="宋体" w:hAnsi="宋体" w:hint="eastAsia"/>
          <w:bCs/>
          <w:sz w:val="24"/>
          <w:lang w:bidi="zh-CN"/>
        </w:rPr>
        <w:t>核付款的合理性、合规性；</w:t>
      </w:r>
    </w:p>
    <w:p w14:paraId="09B03B87" w14:textId="77777777"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t>根据项目公司</w:t>
      </w:r>
      <w:r>
        <w:rPr>
          <w:rFonts w:ascii="宋体" w:hAnsi="宋体" w:hint="eastAsia"/>
          <w:bCs/>
          <w:sz w:val="24"/>
          <w:lang w:bidi="zh-CN"/>
        </w:rPr>
        <w:t>2021</w:t>
      </w:r>
      <w:r>
        <w:rPr>
          <w:rFonts w:ascii="宋体" w:hAnsi="宋体" w:hint="eastAsia"/>
          <w:bCs/>
          <w:sz w:val="24"/>
          <w:lang w:bidi="zh-CN"/>
        </w:rPr>
        <w:t>年</w:t>
      </w:r>
      <w:r>
        <w:rPr>
          <w:rFonts w:ascii="宋体" w:hAnsi="宋体" w:hint="eastAsia"/>
          <w:bCs/>
          <w:sz w:val="24"/>
          <w:lang w:bidi="zh-CN"/>
        </w:rPr>
        <w:t>11</w:t>
      </w:r>
      <w:r>
        <w:rPr>
          <w:rFonts w:ascii="宋体" w:hAnsi="宋体" w:hint="eastAsia"/>
          <w:bCs/>
          <w:sz w:val="24"/>
          <w:lang w:bidi="zh-CN"/>
        </w:rPr>
        <w:t>月</w:t>
      </w:r>
      <w:r>
        <w:rPr>
          <w:rFonts w:ascii="宋体" w:hAnsi="宋体" w:hint="eastAsia"/>
          <w:bCs/>
          <w:sz w:val="24"/>
          <w:lang w:bidi="zh-CN"/>
        </w:rPr>
        <w:t>3</w:t>
      </w:r>
      <w:r>
        <w:rPr>
          <w:rFonts w:ascii="宋体" w:hAnsi="宋体" w:hint="eastAsia"/>
          <w:bCs/>
          <w:sz w:val="24"/>
          <w:lang w:bidi="zh-CN"/>
        </w:rPr>
        <w:t>日签订的《正茂望山筑项目铝合金门窗工程施工合同》，合同总金额为</w:t>
      </w:r>
      <w:r>
        <w:rPr>
          <w:rFonts w:ascii="宋体" w:hAnsi="宋体" w:hint="eastAsia"/>
          <w:bCs/>
          <w:sz w:val="24"/>
          <w:lang w:bidi="zh-CN"/>
        </w:rPr>
        <w:t>464.93</w:t>
      </w:r>
      <w:r>
        <w:rPr>
          <w:rFonts w:ascii="宋体" w:hAnsi="宋体" w:hint="eastAsia"/>
          <w:bCs/>
          <w:sz w:val="24"/>
          <w:lang w:bidi="zh-CN"/>
        </w:rPr>
        <w:t>万元，对方单位：福州百佳汇建筑装饰有限公司，付款方式为：进度款支付按不超过已完工程量</w:t>
      </w:r>
      <w:r>
        <w:rPr>
          <w:rFonts w:ascii="宋体" w:hAnsi="宋体" w:hint="eastAsia"/>
          <w:bCs/>
          <w:sz w:val="24"/>
          <w:lang w:bidi="zh-CN"/>
        </w:rPr>
        <w:t>70%</w:t>
      </w:r>
      <w:r>
        <w:rPr>
          <w:rFonts w:ascii="宋体" w:hAnsi="宋体" w:hint="eastAsia"/>
          <w:bCs/>
          <w:sz w:val="24"/>
          <w:lang w:bidi="zh-CN"/>
        </w:rPr>
        <w:t>核定；进度达到单体门窗外框安装完成时，甲方支付该单体合同价的</w:t>
      </w:r>
      <w:r>
        <w:rPr>
          <w:rFonts w:ascii="宋体" w:hAnsi="宋体" w:hint="eastAsia"/>
          <w:bCs/>
          <w:sz w:val="24"/>
          <w:lang w:bidi="zh-CN"/>
        </w:rPr>
        <w:t>30%(</w:t>
      </w:r>
      <w:r>
        <w:rPr>
          <w:rFonts w:ascii="宋体" w:hAnsi="宋体" w:hint="eastAsia"/>
          <w:bCs/>
          <w:sz w:val="24"/>
          <w:lang w:bidi="zh-CN"/>
        </w:rPr>
        <w:t>有节能副框或钢副框的项目，副框安装完成支付该单体合同价的</w:t>
      </w:r>
      <w:r>
        <w:rPr>
          <w:rFonts w:ascii="宋体" w:hAnsi="宋体" w:hint="eastAsia"/>
          <w:bCs/>
          <w:sz w:val="24"/>
          <w:lang w:bidi="zh-CN"/>
        </w:rPr>
        <w:t>10%</w:t>
      </w:r>
      <w:r>
        <w:rPr>
          <w:rFonts w:ascii="宋体" w:hAnsi="宋体" w:hint="eastAsia"/>
          <w:bCs/>
          <w:sz w:val="24"/>
          <w:lang w:bidi="zh-CN"/>
        </w:rPr>
        <w:t>，窗框安装完成时，甲方支付至该单体合同价的</w:t>
      </w:r>
      <w:r>
        <w:rPr>
          <w:rFonts w:ascii="宋体" w:hAnsi="宋体" w:hint="eastAsia"/>
          <w:bCs/>
          <w:sz w:val="24"/>
          <w:lang w:bidi="zh-CN"/>
        </w:rPr>
        <w:t>40%)</w:t>
      </w:r>
      <w:r>
        <w:rPr>
          <w:rFonts w:ascii="宋体" w:hAnsi="宋体" w:hint="eastAsia"/>
          <w:bCs/>
          <w:sz w:val="24"/>
          <w:lang w:bidi="zh-CN"/>
        </w:rPr>
        <w:t>；进度达到单体门窗扇安装完成时，发包人支付该单体合同价的</w:t>
      </w:r>
      <w:r>
        <w:rPr>
          <w:rFonts w:ascii="宋体" w:hAnsi="宋体" w:hint="eastAsia"/>
          <w:bCs/>
          <w:sz w:val="24"/>
          <w:lang w:bidi="zh-CN"/>
        </w:rPr>
        <w:t>40%(</w:t>
      </w:r>
      <w:r>
        <w:rPr>
          <w:rFonts w:ascii="宋体" w:hAnsi="宋体" w:hint="eastAsia"/>
          <w:bCs/>
          <w:sz w:val="24"/>
          <w:lang w:bidi="zh-CN"/>
        </w:rPr>
        <w:t>有节能副框或钢副框的项目，进度达到单体门窗扇安装</w:t>
      </w:r>
      <w:r>
        <w:rPr>
          <w:rFonts w:ascii="宋体" w:hAnsi="宋体" w:hint="eastAsia"/>
          <w:bCs/>
          <w:sz w:val="24"/>
          <w:lang w:bidi="zh-CN"/>
        </w:rPr>
        <w:t>完成时，发包人支付该单体合同价的</w:t>
      </w:r>
      <w:r>
        <w:rPr>
          <w:rFonts w:ascii="宋体" w:hAnsi="宋体" w:hint="eastAsia"/>
          <w:bCs/>
          <w:sz w:val="24"/>
          <w:lang w:bidi="zh-CN"/>
        </w:rPr>
        <w:t>30%</w:t>
      </w:r>
      <w:r>
        <w:rPr>
          <w:rFonts w:ascii="宋体" w:hAnsi="宋体" w:hint="eastAsia"/>
          <w:bCs/>
          <w:sz w:val="24"/>
          <w:lang w:bidi="zh-CN"/>
        </w:rPr>
        <w:t>；铝合金栏杆也以单体为单位，进度达到单体铝合金栏杆安装完成时发包人支付该单体铝合金栏杆部分合同金额的</w:t>
      </w:r>
      <w:r>
        <w:rPr>
          <w:rFonts w:ascii="宋体" w:hAnsi="宋体" w:hint="eastAsia"/>
          <w:bCs/>
          <w:sz w:val="24"/>
          <w:lang w:bidi="zh-CN"/>
        </w:rPr>
        <w:t>70%</w:t>
      </w:r>
      <w:r>
        <w:rPr>
          <w:rFonts w:ascii="宋体" w:hAnsi="宋体" w:hint="eastAsia"/>
          <w:bCs/>
          <w:sz w:val="24"/>
          <w:lang w:bidi="zh-CN"/>
        </w:rPr>
        <w:t>；采光顶及格栅按当月产值</w:t>
      </w:r>
      <w:r>
        <w:rPr>
          <w:rFonts w:ascii="宋体" w:hAnsi="宋体" w:hint="eastAsia"/>
          <w:bCs/>
          <w:sz w:val="24"/>
          <w:lang w:bidi="zh-CN"/>
        </w:rPr>
        <w:t>70%</w:t>
      </w:r>
      <w:r>
        <w:rPr>
          <w:rFonts w:ascii="宋体" w:hAnsi="宋体" w:hint="eastAsia"/>
          <w:bCs/>
          <w:sz w:val="24"/>
          <w:lang w:bidi="zh-CN"/>
        </w:rPr>
        <w:t>支付；工程全部完工，并通过发包人组织的竣工验收（若因发包人原因，工程不能及时进行竣工验收，但工程实际已交付或交付使用，则视同已实际竣工，唯承包人仍应积极主动并配合发包人进行工程竣工验收）并交付发包人后一个月内，付至签约合同价的</w:t>
      </w:r>
      <w:r>
        <w:rPr>
          <w:rFonts w:ascii="宋体" w:hAnsi="宋体" w:hint="eastAsia"/>
          <w:bCs/>
          <w:sz w:val="24"/>
          <w:lang w:bidi="zh-CN"/>
        </w:rPr>
        <w:t>[ 80 ]</w:t>
      </w:r>
      <w:r>
        <w:rPr>
          <w:rFonts w:ascii="宋体" w:hAnsi="宋体" w:hint="eastAsia"/>
          <w:bCs/>
          <w:sz w:val="24"/>
          <w:lang w:bidi="zh-CN"/>
        </w:rPr>
        <w:t>％（即竣工进度款）；工程结算完成之日</w:t>
      </w:r>
      <w:r>
        <w:rPr>
          <w:rFonts w:ascii="宋体" w:hAnsi="宋体" w:hint="eastAsia"/>
          <w:bCs/>
          <w:sz w:val="24"/>
          <w:lang w:bidi="zh-CN"/>
        </w:rPr>
        <w:t>[30]</w:t>
      </w:r>
      <w:r>
        <w:rPr>
          <w:rFonts w:ascii="宋体" w:hAnsi="宋体" w:hint="eastAsia"/>
          <w:bCs/>
          <w:sz w:val="24"/>
          <w:lang w:bidi="zh-CN"/>
        </w:rPr>
        <w:t>日内支付至结算价款的</w:t>
      </w:r>
      <w:r>
        <w:rPr>
          <w:rFonts w:ascii="宋体" w:hAnsi="宋体" w:hint="eastAsia"/>
          <w:bCs/>
          <w:sz w:val="24"/>
          <w:lang w:bidi="zh-CN"/>
        </w:rPr>
        <w:t>[97]</w:t>
      </w:r>
      <w:r>
        <w:rPr>
          <w:rFonts w:ascii="宋体" w:hAnsi="宋体" w:hint="eastAsia"/>
          <w:bCs/>
          <w:sz w:val="24"/>
          <w:lang w:bidi="zh-CN"/>
        </w:rPr>
        <w:t>％；工程结算价款的</w:t>
      </w:r>
      <w:r>
        <w:rPr>
          <w:rFonts w:ascii="宋体" w:hAnsi="宋体" w:hint="eastAsia"/>
          <w:bCs/>
          <w:sz w:val="24"/>
          <w:lang w:bidi="zh-CN"/>
        </w:rPr>
        <w:t>3%</w:t>
      </w:r>
      <w:r>
        <w:rPr>
          <w:rFonts w:ascii="宋体" w:hAnsi="宋体" w:hint="eastAsia"/>
          <w:bCs/>
          <w:sz w:val="24"/>
          <w:lang w:bidi="zh-CN"/>
        </w:rPr>
        <w:t>作为质</w:t>
      </w:r>
      <w:r>
        <w:rPr>
          <w:rFonts w:ascii="宋体" w:hAnsi="宋体" w:hint="eastAsia"/>
          <w:bCs/>
          <w:sz w:val="24"/>
          <w:lang w:bidi="zh-CN"/>
        </w:rPr>
        <w:t>保金。目前</w:t>
      </w:r>
      <w:r>
        <w:rPr>
          <w:rFonts w:ascii="宋体" w:hAnsi="宋体" w:hint="eastAsia"/>
          <w:bCs/>
          <w:sz w:val="24"/>
          <w:lang w:bidi="zh-CN"/>
        </w:rPr>
        <w:lastRenderedPageBreak/>
        <w:t>累计支付合同金额</w:t>
      </w:r>
      <w:r>
        <w:rPr>
          <w:rFonts w:ascii="宋体" w:hAnsi="宋体" w:hint="eastAsia"/>
          <w:bCs/>
          <w:sz w:val="24"/>
          <w:lang w:bidi="zh-CN"/>
        </w:rPr>
        <w:t>181.46</w:t>
      </w:r>
      <w:r>
        <w:rPr>
          <w:rFonts w:ascii="宋体" w:hAnsi="宋体" w:hint="eastAsia"/>
          <w:bCs/>
          <w:sz w:val="24"/>
          <w:lang w:bidi="zh-CN"/>
        </w:rPr>
        <w:t>万元，项目公司计划在</w:t>
      </w:r>
      <w:r>
        <w:rPr>
          <w:rFonts w:ascii="宋体" w:hAnsi="宋体" w:hint="eastAsia"/>
          <w:bCs/>
          <w:sz w:val="24"/>
          <w:lang w:bidi="zh-CN"/>
        </w:rPr>
        <w:t>6</w:t>
      </w:r>
      <w:r>
        <w:rPr>
          <w:rFonts w:ascii="宋体" w:hAnsi="宋体" w:hint="eastAsia"/>
          <w:bCs/>
          <w:sz w:val="24"/>
          <w:lang w:bidi="zh-CN"/>
        </w:rPr>
        <w:t>月份支付</w:t>
      </w:r>
      <w:r>
        <w:rPr>
          <w:rFonts w:ascii="宋体" w:hAnsi="宋体" w:hint="eastAsia"/>
          <w:bCs/>
          <w:sz w:val="24"/>
          <w:lang w:bidi="zh-CN"/>
        </w:rPr>
        <w:t>80.61</w:t>
      </w:r>
      <w:r>
        <w:rPr>
          <w:rFonts w:ascii="宋体" w:hAnsi="宋体" w:hint="eastAsia"/>
          <w:bCs/>
          <w:sz w:val="24"/>
          <w:lang w:bidi="zh-CN"/>
        </w:rPr>
        <w:t>万元</w:t>
      </w:r>
      <w:r>
        <w:rPr>
          <w:rFonts w:ascii="宋体" w:hAnsi="宋体"/>
          <w:bCs/>
          <w:sz w:val="24"/>
          <w:lang w:bidi="zh-CN"/>
        </w:rPr>
        <w:t>，</w:t>
      </w:r>
      <w:r>
        <w:rPr>
          <w:rFonts w:ascii="宋体" w:hAnsi="宋体" w:hint="eastAsia"/>
          <w:bCs/>
          <w:sz w:val="24"/>
          <w:lang w:bidi="zh-CN"/>
        </w:rPr>
        <w:t>因项目公司未能提供详细的付款进度说明，该笔款项在支付时我司根据实际情况复核付款的合理性、合规性；</w:t>
      </w:r>
    </w:p>
    <w:p w14:paraId="48E85E91" w14:textId="77777777"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t>根据项目公司</w:t>
      </w:r>
      <w:r>
        <w:rPr>
          <w:rFonts w:ascii="宋体" w:hAnsi="宋体" w:hint="eastAsia"/>
          <w:bCs/>
          <w:sz w:val="24"/>
          <w:lang w:bidi="zh-CN"/>
        </w:rPr>
        <w:t>2021</w:t>
      </w:r>
      <w:r>
        <w:rPr>
          <w:rFonts w:ascii="宋体" w:hAnsi="宋体" w:hint="eastAsia"/>
          <w:bCs/>
          <w:sz w:val="24"/>
          <w:lang w:bidi="zh-CN"/>
        </w:rPr>
        <w:t>年</w:t>
      </w:r>
      <w:r>
        <w:rPr>
          <w:rFonts w:ascii="宋体" w:hAnsi="宋体" w:hint="eastAsia"/>
          <w:bCs/>
          <w:sz w:val="24"/>
          <w:lang w:bidi="zh-CN"/>
        </w:rPr>
        <w:t>11</w:t>
      </w:r>
      <w:r>
        <w:rPr>
          <w:rFonts w:ascii="宋体" w:hAnsi="宋体" w:hint="eastAsia"/>
          <w:bCs/>
          <w:sz w:val="24"/>
          <w:lang w:bidi="zh-CN"/>
        </w:rPr>
        <w:t>月</w:t>
      </w:r>
      <w:r>
        <w:rPr>
          <w:rFonts w:ascii="宋体" w:hAnsi="宋体" w:hint="eastAsia"/>
          <w:bCs/>
          <w:sz w:val="24"/>
          <w:lang w:bidi="zh-CN"/>
        </w:rPr>
        <w:t>3</w:t>
      </w:r>
      <w:r>
        <w:rPr>
          <w:rFonts w:ascii="宋体" w:hAnsi="宋体" w:hint="eastAsia"/>
          <w:bCs/>
          <w:sz w:val="24"/>
          <w:lang w:bidi="zh-CN"/>
        </w:rPr>
        <w:t>日签订的《正茂望山筑项目铝合金门窗采购合同》，合同总金额为</w:t>
      </w:r>
      <w:r>
        <w:rPr>
          <w:rFonts w:ascii="宋体" w:hAnsi="宋体" w:hint="eastAsia"/>
          <w:bCs/>
          <w:sz w:val="24"/>
          <w:lang w:bidi="zh-CN"/>
        </w:rPr>
        <w:t>975.66</w:t>
      </w:r>
      <w:r>
        <w:rPr>
          <w:rFonts w:ascii="宋体" w:hAnsi="宋体" w:hint="eastAsia"/>
          <w:bCs/>
          <w:sz w:val="24"/>
          <w:lang w:bidi="zh-CN"/>
        </w:rPr>
        <w:t>万元，对方单位：福州百佳汇建筑装饰有限公司，付款方式为：进度款支付按不超过已完工程量</w:t>
      </w:r>
      <w:r>
        <w:rPr>
          <w:rFonts w:ascii="宋体" w:hAnsi="宋体" w:hint="eastAsia"/>
          <w:bCs/>
          <w:sz w:val="24"/>
          <w:lang w:bidi="zh-CN"/>
        </w:rPr>
        <w:t>70%</w:t>
      </w:r>
      <w:r>
        <w:rPr>
          <w:rFonts w:ascii="宋体" w:hAnsi="宋体" w:hint="eastAsia"/>
          <w:bCs/>
          <w:sz w:val="24"/>
          <w:lang w:bidi="zh-CN"/>
        </w:rPr>
        <w:t>核定【进度达到单体门窗外框安装完成时，甲方支付该单体合同价的</w:t>
      </w:r>
      <w:r>
        <w:rPr>
          <w:rFonts w:ascii="宋体" w:hAnsi="宋体" w:hint="eastAsia"/>
          <w:bCs/>
          <w:sz w:val="24"/>
          <w:lang w:bidi="zh-CN"/>
        </w:rPr>
        <w:t>30%(</w:t>
      </w:r>
      <w:r>
        <w:rPr>
          <w:rFonts w:ascii="宋体" w:hAnsi="宋体" w:hint="eastAsia"/>
          <w:bCs/>
          <w:sz w:val="24"/>
          <w:lang w:bidi="zh-CN"/>
        </w:rPr>
        <w:t>有节能副框或钢副框的项目，副框安装完成支付该单体合同价的</w:t>
      </w:r>
      <w:r>
        <w:rPr>
          <w:rFonts w:ascii="宋体" w:hAnsi="宋体" w:hint="eastAsia"/>
          <w:bCs/>
          <w:sz w:val="24"/>
          <w:lang w:bidi="zh-CN"/>
        </w:rPr>
        <w:t>10%</w:t>
      </w:r>
      <w:r>
        <w:rPr>
          <w:rFonts w:ascii="宋体" w:hAnsi="宋体" w:hint="eastAsia"/>
          <w:bCs/>
          <w:sz w:val="24"/>
          <w:lang w:bidi="zh-CN"/>
        </w:rPr>
        <w:t>，窗框安装</w:t>
      </w:r>
      <w:r>
        <w:rPr>
          <w:rFonts w:ascii="宋体" w:hAnsi="宋体" w:hint="eastAsia"/>
          <w:bCs/>
          <w:sz w:val="24"/>
          <w:lang w:bidi="zh-CN"/>
        </w:rPr>
        <w:t>完成时，甲方支付至该单体合同价的</w:t>
      </w:r>
      <w:r>
        <w:rPr>
          <w:rFonts w:ascii="宋体" w:hAnsi="宋体" w:hint="eastAsia"/>
          <w:bCs/>
          <w:sz w:val="24"/>
          <w:lang w:bidi="zh-CN"/>
        </w:rPr>
        <w:t>40%)</w:t>
      </w:r>
      <w:r>
        <w:rPr>
          <w:rFonts w:ascii="宋体" w:hAnsi="宋体" w:hint="eastAsia"/>
          <w:bCs/>
          <w:sz w:val="24"/>
          <w:lang w:bidi="zh-CN"/>
        </w:rPr>
        <w:t>；进度达到单体门窗扇安装完成时，甲方支付该单体合同价的</w:t>
      </w:r>
      <w:r>
        <w:rPr>
          <w:rFonts w:ascii="宋体" w:hAnsi="宋体" w:hint="eastAsia"/>
          <w:bCs/>
          <w:sz w:val="24"/>
          <w:lang w:bidi="zh-CN"/>
        </w:rPr>
        <w:t>40%(</w:t>
      </w:r>
      <w:r>
        <w:rPr>
          <w:rFonts w:ascii="宋体" w:hAnsi="宋体" w:hint="eastAsia"/>
          <w:bCs/>
          <w:sz w:val="24"/>
          <w:lang w:bidi="zh-CN"/>
        </w:rPr>
        <w:t>有节能副框或钢副框的项目，进度达到单体门窗扇安装完成时，甲方支付该单体合同价的</w:t>
      </w:r>
      <w:r>
        <w:rPr>
          <w:rFonts w:ascii="宋体" w:hAnsi="宋体" w:hint="eastAsia"/>
          <w:bCs/>
          <w:sz w:val="24"/>
          <w:lang w:bidi="zh-CN"/>
        </w:rPr>
        <w:t>30%)</w:t>
      </w:r>
      <w:r>
        <w:rPr>
          <w:rFonts w:ascii="宋体" w:hAnsi="宋体" w:hint="eastAsia"/>
          <w:bCs/>
          <w:sz w:val="24"/>
          <w:lang w:bidi="zh-CN"/>
        </w:rPr>
        <w:t>；铝合金栏杆也以单体为单位进度达到单体铝合金栏杆安装完成时甲方支付该单体铝合金栏杆部分合同金额的</w:t>
      </w:r>
      <w:r>
        <w:rPr>
          <w:rFonts w:ascii="宋体" w:hAnsi="宋体" w:hint="eastAsia"/>
          <w:bCs/>
          <w:sz w:val="24"/>
          <w:lang w:bidi="zh-CN"/>
        </w:rPr>
        <w:t>70%</w:t>
      </w:r>
      <w:r>
        <w:rPr>
          <w:rFonts w:ascii="宋体" w:hAnsi="宋体" w:hint="eastAsia"/>
          <w:bCs/>
          <w:sz w:val="24"/>
          <w:lang w:bidi="zh-CN"/>
        </w:rPr>
        <w:t>。】；施工完毕并经甲方验收通过，支付至合同总价的</w:t>
      </w:r>
      <w:r>
        <w:rPr>
          <w:rFonts w:ascii="宋体" w:hAnsi="宋体" w:hint="eastAsia"/>
          <w:bCs/>
          <w:sz w:val="24"/>
          <w:lang w:bidi="zh-CN"/>
        </w:rPr>
        <w:t>80%</w:t>
      </w:r>
      <w:r>
        <w:rPr>
          <w:rFonts w:ascii="宋体" w:hAnsi="宋体" w:hint="eastAsia"/>
          <w:bCs/>
          <w:sz w:val="24"/>
          <w:lang w:bidi="zh-CN"/>
        </w:rPr>
        <w:t>；工程结算完毕，支付至结算款的</w:t>
      </w:r>
      <w:r>
        <w:rPr>
          <w:rFonts w:ascii="宋体" w:hAnsi="宋体" w:hint="eastAsia"/>
          <w:bCs/>
          <w:sz w:val="24"/>
          <w:lang w:bidi="zh-CN"/>
        </w:rPr>
        <w:t>97%</w:t>
      </w:r>
      <w:r>
        <w:rPr>
          <w:rFonts w:ascii="宋体" w:hAnsi="宋体" w:hint="eastAsia"/>
          <w:bCs/>
          <w:sz w:val="24"/>
          <w:lang w:bidi="zh-CN"/>
        </w:rPr>
        <w:t>，乙方向甲方提供</w:t>
      </w:r>
      <w:r>
        <w:rPr>
          <w:rFonts w:ascii="宋体" w:hAnsi="宋体" w:hint="eastAsia"/>
          <w:bCs/>
          <w:sz w:val="24"/>
          <w:lang w:bidi="zh-CN"/>
        </w:rPr>
        <w:t>100%</w:t>
      </w:r>
      <w:r>
        <w:rPr>
          <w:rFonts w:ascii="宋体" w:hAnsi="宋体" w:hint="eastAsia"/>
          <w:bCs/>
          <w:sz w:val="24"/>
          <w:lang w:bidi="zh-CN"/>
        </w:rPr>
        <w:t>全额增值税专用发票；剩余结算总价的</w:t>
      </w:r>
      <w:r>
        <w:rPr>
          <w:rFonts w:ascii="宋体" w:hAnsi="宋体" w:hint="eastAsia"/>
          <w:bCs/>
          <w:sz w:val="24"/>
          <w:lang w:bidi="zh-CN"/>
        </w:rPr>
        <w:t>3%</w:t>
      </w:r>
      <w:r>
        <w:rPr>
          <w:rFonts w:ascii="宋体" w:hAnsi="宋体" w:hint="eastAsia"/>
          <w:bCs/>
          <w:sz w:val="24"/>
          <w:lang w:bidi="zh-CN"/>
        </w:rPr>
        <w:t>将作为工程质量保修金。目前累计支付合同金额</w:t>
      </w:r>
      <w:r>
        <w:rPr>
          <w:rFonts w:ascii="宋体" w:hAnsi="宋体" w:hint="eastAsia"/>
          <w:bCs/>
          <w:sz w:val="24"/>
          <w:lang w:bidi="zh-CN"/>
        </w:rPr>
        <w:t>378.47</w:t>
      </w:r>
      <w:r>
        <w:rPr>
          <w:rFonts w:ascii="宋体" w:hAnsi="宋体" w:hint="eastAsia"/>
          <w:bCs/>
          <w:sz w:val="24"/>
          <w:lang w:bidi="zh-CN"/>
        </w:rPr>
        <w:t>万元，项目公司计</w:t>
      </w:r>
      <w:r>
        <w:rPr>
          <w:rFonts w:ascii="宋体" w:hAnsi="宋体" w:hint="eastAsia"/>
          <w:bCs/>
          <w:sz w:val="24"/>
          <w:lang w:bidi="zh-CN"/>
        </w:rPr>
        <w:t>划在</w:t>
      </w:r>
      <w:r>
        <w:rPr>
          <w:rFonts w:ascii="宋体" w:hAnsi="宋体" w:hint="eastAsia"/>
          <w:bCs/>
          <w:sz w:val="24"/>
          <w:lang w:bidi="zh-CN"/>
        </w:rPr>
        <w:t>6</w:t>
      </w:r>
      <w:r>
        <w:rPr>
          <w:rFonts w:ascii="宋体" w:hAnsi="宋体" w:hint="eastAsia"/>
          <w:bCs/>
          <w:sz w:val="24"/>
          <w:lang w:bidi="zh-CN"/>
        </w:rPr>
        <w:t>月份支付</w:t>
      </w:r>
      <w:r>
        <w:rPr>
          <w:rFonts w:ascii="宋体" w:hAnsi="宋体" w:hint="eastAsia"/>
          <w:bCs/>
          <w:sz w:val="24"/>
          <w:lang w:bidi="zh-CN"/>
        </w:rPr>
        <w:t>274.03</w:t>
      </w:r>
      <w:r>
        <w:rPr>
          <w:rFonts w:ascii="宋体" w:hAnsi="宋体" w:hint="eastAsia"/>
          <w:bCs/>
          <w:sz w:val="24"/>
          <w:lang w:bidi="zh-CN"/>
        </w:rPr>
        <w:t>万元</w:t>
      </w:r>
      <w:r>
        <w:rPr>
          <w:rFonts w:ascii="宋体" w:hAnsi="宋体"/>
          <w:bCs/>
          <w:sz w:val="24"/>
          <w:lang w:bidi="zh-CN"/>
        </w:rPr>
        <w:t>，</w:t>
      </w:r>
      <w:r>
        <w:rPr>
          <w:rFonts w:ascii="宋体" w:hAnsi="宋体" w:hint="eastAsia"/>
          <w:bCs/>
          <w:sz w:val="24"/>
          <w:lang w:bidi="zh-CN"/>
        </w:rPr>
        <w:t>因项目公司未能提供详细的付款进度说明，该笔款项在支付时我司根据实际情况复核付款的合理性、合规性；</w:t>
      </w:r>
    </w:p>
    <w:p w14:paraId="1580C72E" w14:textId="4D692D69"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t>根据项目公司</w:t>
      </w:r>
      <w:r>
        <w:rPr>
          <w:rFonts w:ascii="宋体" w:hAnsi="宋体" w:hint="eastAsia"/>
          <w:bCs/>
          <w:sz w:val="24"/>
          <w:lang w:bidi="zh-CN"/>
        </w:rPr>
        <w:t>2021</w:t>
      </w:r>
      <w:r>
        <w:rPr>
          <w:rFonts w:ascii="宋体" w:hAnsi="宋体" w:hint="eastAsia"/>
          <w:bCs/>
          <w:sz w:val="24"/>
          <w:lang w:bidi="zh-CN"/>
        </w:rPr>
        <w:t>年</w:t>
      </w:r>
      <w:r>
        <w:rPr>
          <w:rFonts w:ascii="宋体" w:hAnsi="宋体" w:hint="eastAsia"/>
          <w:bCs/>
          <w:sz w:val="24"/>
          <w:lang w:bidi="zh-CN"/>
        </w:rPr>
        <w:t>9</w:t>
      </w:r>
      <w:r>
        <w:rPr>
          <w:rFonts w:ascii="宋体" w:hAnsi="宋体" w:hint="eastAsia"/>
          <w:bCs/>
          <w:sz w:val="24"/>
          <w:lang w:bidi="zh-CN"/>
        </w:rPr>
        <w:t>月</w:t>
      </w:r>
      <w:r>
        <w:rPr>
          <w:rFonts w:ascii="宋体" w:hAnsi="宋体" w:hint="eastAsia"/>
          <w:bCs/>
          <w:sz w:val="24"/>
          <w:lang w:bidi="zh-CN"/>
        </w:rPr>
        <w:t>27</w:t>
      </w:r>
      <w:r>
        <w:rPr>
          <w:rFonts w:ascii="宋体" w:hAnsi="宋体" w:hint="eastAsia"/>
          <w:bCs/>
          <w:sz w:val="24"/>
          <w:lang w:bidi="zh-CN"/>
        </w:rPr>
        <w:t>日签订的《正茂望山筑项目城市展厅精装修工程》，对方单位：福建嘉立信建设有限公司，合同总金额为</w:t>
      </w:r>
      <w:r>
        <w:rPr>
          <w:rFonts w:ascii="宋体" w:hAnsi="宋体" w:hint="eastAsia"/>
          <w:bCs/>
          <w:sz w:val="24"/>
          <w:lang w:bidi="zh-CN"/>
        </w:rPr>
        <w:t>99.99</w:t>
      </w:r>
      <w:r>
        <w:rPr>
          <w:rFonts w:ascii="宋体" w:hAnsi="宋体" w:hint="eastAsia"/>
          <w:bCs/>
          <w:sz w:val="24"/>
          <w:lang w:bidi="zh-CN"/>
        </w:rPr>
        <w:t>万元，付款节点为：承包人应于每月</w:t>
      </w:r>
      <w:r>
        <w:rPr>
          <w:rFonts w:ascii="宋体" w:hAnsi="宋体" w:hint="eastAsia"/>
          <w:bCs/>
          <w:sz w:val="24"/>
          <w:lang w:bidi="zh-CN"/>
        </w:rPr>
        <w:t>[ 25]</w:t>
      </w:r>
      <w:r>
        <w:rPr>
          <w:rFonts w:ascii="宋体" w:hAnsi="宋体" w:hint="eastAsia"/>
          <w:bCs/>
          <w:sz w:val="24"/>
          <w:lang w:bidi="zh-CN"/>
        </w:rPr>
        <w:t>日前向发包人报送工程款支付申请、经监理人确认的当月完成工程量。发包人应在收到上述资料后</w:t>
      </w:r>
      <w:r>
        <w:rPr>
          <w:rFonts w:ascii="宋体" w:hAnsi="宋体" w:hint="eastAsia"/>
          <w:bCs/>
          <w:sz w:val="24"/>
          <w:lang w:bidi="zh-CN"/>
        </w:rPr>
        <w:t>[15]</w:t>
      </w:r>
      <w:r>
        <w:rPr>
          <w:rFonts w:ascii="宋体" w:hAnsi="宋体" w:hint="eastAsia"/>
          <w:bCs/>
          <w:sz w:val="24"/>
          <w:lang w:bidi="zh-CN"/>
        </w:rPr>
        <w:t>个工作日内容完成审核确认，并且由承包人提供符合合同约定的发票后，发包人按审核确认的产值支付相应的进度款。工程进度款</w:t>
      </w:r>
      <w:r>
        <w:rPr>
          <w:rFonts w:ascii="宋体" w:hAnsi="宋体" w:hint="eastAsia"/>
          <w:bCs/>
          <w:sz w:val="24"/>
          <w:lang w:bidi="zh-CN"/>
        </w:rPr>
        <w:t>按以下计算公式计取并支付：每月进度款</w:t>
      </w:r>
      <w:r>
        <w:rPr>
          <w:rFonts w:ascii="宋体" w:hAnsi="宋体" w:hint="eastAsia"/>
          <w:bCs/>
          <w:sz w:val="24"/>
          <w:lang w:bidi="zh-CN"/>
        </w:rPr>
        <w:t>=[</w:t>
      </w:r>
      <w:r>
        <w:rPr>
          <w:rFonts w:ascii="宋体" w:hAnsi="宋体" w:hint="eastAsia"/>
          <w:bCs/>
          <w:sz w:val="24"/>
          <w:lang w:bidi="zh-CN"/>
        </w:rPr>
        <w:t>每月实际完成工程产值（按合同取费标准）</w:t>
      </w:r>
      <w:r>
        <w:rPr>
          <w:rFonts w:ascii="宋体" w:hAnsi="宋体" w:hint="eastAsia"/>
          <w:bCs/>
          <w:sz w:val="24"/>
          <w:lang w:bidi="zh-CN"/>
        </w:rPr>
        <w:t>]</w:t>
      </w:r>
      <w:r>
        <w:rPr>
          <w:rFonts w:ascii="宋体" w:hAnsi="宋体" w:hint="eastAsia"/>
          <w:bCs/>
          <w:sz w:val="24"/>
          <w:lang w:bidi="zh-CN"/>
        </w:rPr>
        <w:t>×</w:t>
      </w:r>
      <w:r>
        <w:rPr>
          <w:rFonts w:ascii="宋体" w:hAnsi="宋体" w:hint="eastAsia"/>
          <w:bCs/>
          <w:sz w:val="24"/>
          <w:lang w:bidi="zh-CN"/>
        </w:rPr>
        <w:t>[ 70 ]%</w:t>
      </w:r>
      <w:r>
        <w:rPr>
          <w:rFonts w:ascii="宋体" w:hAnsi="宋体" w:hint="eastAsia"/>
          <w:bCs/>
          <w:sz w:val="24"/>
          <w:lang w:bidi="zh-CN"/>
        </w:rPr>
        <w:t>—当期应扣费用月进度累计支付不超过合同金额的</w:t>
      </w:r>
      <w:r>
        <w:rPr>
          <w:rFonts w:ascii="宋体" w:hAnsi="宋体" w:hint="eastAsia"/>
          <w:bCs/>
          <w:sz w:val="24"/>
          <w:lang w:bidi="zh-CN"/>
        </w:rPr>
        <w:t>70%</w:t>
      </w:r>
      <w:r>
        <w:rPr>
          <w:rFonts w:ascii="宋体" w:hAnsi="宋体" w:hint="eastAsia"/>
          <w:bCs/>
          <w:sz w:val="24"/>
          <w:lang w:bidi="zh-CN"/>
        </w:rPr>
        <w:t>。工程全部完工，并通过发包人组织的竣工验收（若因发包人原因，工程不能及时进行竣工验收，但工程实际已交付或交付使用，则视同已实际竣工，唯承包人仍应积极主动并配合发包人进行工程竣工验收）并交付发包人后一个月内，付至签约合同价的</w:t>
      </w:r>
      <w:r>
        <w:rPr>
          <w:rFonts w:ascii="宋体" w:hAnsi="宋体" w:hint="eastAsia"/>
          <w:bCs/>
          <w:sz w:val="24"/>
          <w:lang w:bidi="zh-CN"/>
        </w:rPr>
        <w:t>[85]</w:t>
      </w:r>
      <w:r>
        <w:rPr>
          <w:rFonts w:ascii="宋体" w:hAnsi="宋体" w:hint="eastAsia"/>
          <w:bCs/>
          <w:sz w:val="24"/>
          <w:lang w:bidi="zh-CN"/>
        </w:rPr>
        <w:t>％（即竣工进度款）。工程结算完成之日</w:t>
      </w:r>
      <w:r>
        <w:rPr>
          <w:rFonts w:ascii="宋体" w:hAnsi="宋体" w:hint="eastAsia"/>
          <w:bCs/>
          <w:sz w:val="24"/>
          <w:lang w:bidi="zh-CN"/>
        </w:rPr>
        <w:t>[60]</w:t>
      </w:r>
      <w:r>
        <w:rPr>
          <w:rFonts w:ascii="宋体" w:hAnsi="宋体" w:hint="eastAsia"/>
          <w:bCs/>
          <w:sz w:val="24"/>
          <w:lang w:bidi="zh-CN"/>
        </w:rPr>
        <w:t>日内支付至结算价款的</w:t>
      </w:r>
      <w:r>
        <w:rPr>
          <w:rFonts w:ascii="宋体" w:hAnsi="宋体" w:hint="eastAsia"/>
          <w:bCs/>
          <w:sz w:val="24"/>
          <w:lang w:bidi="zh-CN"/>
        </w:rPr>
        <w:t>[97]</w:t>
      </w:r>
      <w:r>
        <w:rPr>
          <w:rFonts w:ascii="宋体" w:hAnsi="宋体" w:hint="eastAsia"/>
          <w:bCs/>
          <w:sz w:val="24"/>
          <w:lang w:bidi="zh-CN"/>
        </w:rPr>
        <w:t>％。工程结算价款的</w:t>
      </w:r>
      <w:r>
        <w:rPr>
          <w:rFonts w:ascii="宋体" w:hAnsi="宋体" w:hint="eastAsia"/>
          <w:bCs/>
          <w:sz w:val="24"/>
          <w:lang w:bidi="zh-CN"/>
        </w:rPr>
        <w:t>3%</w:t>
      </w:r>
      <w:r>
        <w:rPr>
          <w:rFonts w:ascii="宋体" w:hAnsi="宋体" w:hint="eastAsia"/>
          <w:bCs/>
          <w:sz w:val="24"/>
          <w:lang w:bidi="zh-CN"/>
        </w:rPr>
        <w:t>作为质保金。目前已累计支付工程款共计</w:t>
      </w:r>
      <w:r>
        <w:rPr>
          <w:rFonts w:ascii="宋体" w:hAnsi="宋体" w:hint="eastAsia"/>
          <w:bCs/>
          <w:sz w:val="24"/>
          <w:lang w:bidi="zh-CN"/>
        </w:rPr>
        <w:t>84.</w:t>
      </w:r>
      <w:r>
        <w:rPr>
          <w:rFonts w:ascii="宋体" w:hAnsi="宋体" w:hint="eastAsia"/>
          <w:bCs/>
          <w:sz w:val="24"/>
          <w:lang w:bidi="zh-CN"/>
        </w:rPr>
        <w:t>15</w:t>
      </w:r>
      <w:r>
        <w:rPr>
          <w:rFonts w:ascii="宋体" w:hAnsi="宋体" w:hint="eastAsia"/>
          <w:bCs/>
          <w:sz w:val="24"/>
          <w:lang w:bidi="zh-CN"/>
        </w:rPr>
        <w:t>万元</w:t>
      </w:r>
      <w:r>
        <w:rPr>
          <w:rFonts w:ascii="宋体" w:hAnsi="宋体" w:hint="eastAsia"/>
          <w:bCs/>
          <w:sz w:val="24"/>
          <w:lang w:bidi="zh-CN"/>
        </w:rPr>
        <w:t>,</w:t>
      </w:r>
      <w:r>
        <w:rPr>
          <w:rFonts w:ascii="宋体" w:hAnsi="宋体" w:hint="eastAsia"/>
          <w:bCs/>
          <w:sz w:val="24"/>
          <w:lang w:bidi="zh-CN"/>
        </w:rPr>
        <w:t>工程已全部完工，</w:t>
      </w:r>
      <w:r>
        <w:rPr>
          <w:rFonts w:ascii="宋体" w:hAnsi="宋体" w:hint="eastAsia"/>
          <w:bCs/>
          <w:sz w:val="24"/>
          <w:lang w:bidi="zh-CN"/>
        </w:rPr>
        <w:t>项目公司计划在</w:t>
      </w:r>
      <w:r>
        <w:rPr>
          <w:rFonts w:ascii="宋体" w:hAnsi="宋体" w:hint="eastAsia"/>
          <w:bCs/>
          <w:sz w:val="24"/>
          <w:lang w:bidi="zh-CN"/>
        </w:rPr>
        <w:t>6</w:t>
      </w:r>
      <w:r>
        <w:rPr>
          <w:rFonts w:ascii="宋体" w:hAnsi="宋体" w:hint="eastAsia"/>
          <w:bCs/>
          <w:sz w:val="24"/>
          <w:lang w:bidi="zh-CN"/>
        </w:rPr>
        <w:t>月份使用银行存款支付该合同的部分工程款</w:t>
      </w:r>
      <w:r>
        <w:rPr>
          <w:rFonts w:ascii="宋体" w:hAnsi="宋体" w:hint="eastAsia"/>
          <w:bCs/>
          <w:sz w:val="24"/>
          <w:lang w:bidi="zh-CN"/>
        </w:rPr>
        <w:t>12.84</w:t>
      </w:r>
      <w:r>
        <w:rPr>
          <w:rFonts w:ascii="宋体" w:hAnsi="宋体" w:hint="eastAsia"/>
          <w:bCs/>
          <w:sz w:val="24"/>
          <w:lang w:bidi="zh-CN"/>
        </w:rPr>
        <w:t>万元，符合合同的规定，该笔计划支付款项合理；在支付时我司根据实际情况复核付款的合理性、合规性；</w:t>
      </w:r>
    </w:p>
    <w:p w14:paraId="570006BC" w14:textId="77777777" w:rsidR="00817F2D" w:rsidRDefault="00817F2D" w:rsidP="00817F2D">
      <w:pPr>
        <w:pStyle w:val="af1"/>
        <w:spacing w:beforeLines="50" w:before="156" w:afterLines="50" w:after="156" w:line="360" w:lineRule="auto"/>
        <w:ind w:left="426" w:firstLineChars="0" w:firstLine="0"/>
        <w:rPr>
          <w:rFonts w:ascii="宋体" w:hAnsi="宋体" w:hint="eastAsia"/>
          <w:bCs/>
          <w:sz w:val="24"/>
          <w:lang w:bidi="zh-CN"/>
        </w:rPr>
      </w:pPr>
    </w:p>
    <w:p w14:paraId="0865F5C6" w14:textId="77777777"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lastRenderedPageBreak/>
        <w:t>根据项目公司</w:t>
      </w:r>
      <w:r>
        <w:rPr>
          <w:rFonts w:ascii="宋体" w:hAnsi="宋体" w:hint="eastAsia"/>
          <w:bCs/>
          <w:sz w:val="24"/>
          <w:lang w:bidi="zh-CN"/>
        </w:rPr>
        <w:t>2021</w:t>
      </w:r>
      <w:r>
        <w:rPr>
          <w:rFonts w:ascii="宋体" w:hAnsi="宋体" w:hint="eastAsia"/>
          <w:bCs/>
          <w:sz w:val="24"/>
          <w:lang w:bidi="zh-CN"/>
        </w:rPr>
        <w:t>年</w:t>
      </w:r>
      <w:r>
        <w:rPr>
          <w:rFonts w:ascii="宋体" w:hAnsi="宋体" w:hint="eastAsia"/>
          <w:bCs/>
          <w:sz w:val="24"/>
          <w:lang w:bidi="zh-CN"/>
        </w:rPr>
        <w:t>5</w:t>
      </w:r>
      <w:r>
        <w:rPr>
          <w:rFonts w:ascii="宋体" w:hAnsi="宋体" w:hint="eastAsia"/>
          <w:bCs/>
          <w:sz w:val="24"/>
          <w:lang w:bidi="zh-CN"/>
        </w:rPr>
        <w:t>月</w:t>
      </w:r>
      <w:r>
        <w:rPr>
          <w:rFonts w:ascii="宋体" w:hAnsi="宋体" w:hint="eastAsia"/>
          <w:bCs/>
          <w:sz w:val="24"/>
          <w:lang w:bidi="zh-CN"/>
        </w:rPr>
        <w:t>27</w:t>
      </w:r>
      <w:r>
        <w:rPr>
          <w:rFonts w:ascii="宋体" w:hAnsi="宋体" w:hint="eastAsia"/>
          <w:bCs/>
          <w:sz w:val="24"/>
          <w:lang w:bidi="zh-CN"/>
        </w:rPr>
        <w:t>日签订的《正茂望山筑项目防火门及防火窗供货及安装工程合同》，合同总金额为</w:t>
      </w:r>
      <w:r>
        <w:rPr>
          <w:rFonts w:ascii="宋体" w:hAnsi="宋体" w:hint="eastAsia"/>
          <w:bCs/>
          <w:sz w:val="24"/>
          <w:lang w:bidi="zh-CN"/>
        </w:rPr>
        <w:t>316.20</w:t>
      </w:r>
      <w:r>
        <w:rPr>
          <w:rFonts w:ascii="宋体" w:hAnsi="宋体" w:hint="eastAsia"/>
          <w:bCs/>
          <w:sz w:val="24"/>
          <w:lang w:bidi="zh-CN"/>
        </w:rPr>
        <w:t>万元，对方单位：福建省金盾消防科技有限公司，付款方式为：单体门框安装完成付款至该批次货款的</w:t>
      </w:r>
      <w:r>
        <w:rPr>
          <w:rFonts w:ascii="宋体" w:hAnsi="宋体" w:hint="eastAsia"/>
          <w:bCs/>
          <w:sz w:val="24"/>
          <w:lang w:bidi="zh-CN"/>
        </w:rPr>
        <w:t>30%</w:t>
      </w:r>
      <w:r>
        <w:rPr>
          <w:rFonts w:ascii="宋体" w:hAnsi="宋体" w:hint="eastAsia"/>
          <w:bCs/>
          <w:sz w:val="24"/>
          <w:lang w:bidi="zh-CN"/>
        </w:rPr>
        <w:t>；单体门扇安装完成付款至该批次货款的</w:t>
      </w:r>
      <w:r>
        <w:rPr>
          <w:rFonts w:ascii="宋体" w:hAnsi="宋体" w:hint="eastAsia"/>
          <w:bCs/>
          <w:sz w:val="24"/>
          <w:lang w:bidi="zh-CN"/>
        </w:rPr>
        <w:t>70%</w:t>
      </w:r>
      <w:r>
        <w:rPr>
          <w:rFonts w:ascii="宋体" w:hAnsi="宋体" w:hint="eastAsia"/>
          <w:bCs/>
          <w:sz w:val="24"/>
          <w:lang w:bidi="zh-CN"/>
        </w:rPr>
        <w:t>；本工程通过最终的竣工验收及消防验收，并且交付给发包人甲方后付款至合同总价</w:t>
      </w:r>
      <w:r>
        <w:rPr>
          <w:rFonts w:ascii="宋体" w:hAnsi="宋体" w:hint="eastAsia"/>
          <w:bCs/>
          <w:sz w:val="24"/>
          <w:lang w:bidi="zh-CN"/>
        </w:rPr>
        <w:t>的</w:t>
      </w:r>
      <w:r>
        <w:rPr>
          <w:rFonts w:ascii="宋体" w:hAnsi="宋体" w:hint="eastAsia"/>
          <w:bCs/>
          <w:sz w:val="24"/>
          <w:lang w:bidi="zh-CN"/>
        </w:rPr>
        <w:t>80%</w:t>
      </w:r>
      <w:r>
        <w:rPr>
          <w:rFonts w:ascii="宋体" w:hAnsi="宋体" w:hint="eastAsia"/>
          <w:bCs/>
          <w:sz w:val="24"/>
          <w:lang w:bidi="zh-CN"/>
        </w:rPr>
        <w:t>；发包人甲方、承包人乙方双方办理完结算手续后，发包人甲方在</w:t>
      </w:r>
      <w:r>
        <w:rPr>
          <w:rFonts w:ascii="宋体" w:hAnsi="宋体" w:hint="eastAsia"/>
          <w:bCs/>
          <w:sz w:val="24"/>
          <w:lang w:bidi="zh-CN"/>
        </w:rPr>
        <w:t>28</w:t>
      </w:r>
      <w:r>
        <w:rPr>
          <w:rFonts w:ascii="宋体" w:hAnsi="宋体" w:hint="eastAsia"/>
          <w:bCs/>
          <w:sz w:val="24"/>
          <w:lang w:bidi="zh-CN"/>
        </w:rPr>
        <w:t>个工作日内，向承包人乙方支付至结算款的</w:t>
      </w:r>
      <w:r>
        <w:rPr>
          <w:rFonts w:ascii="宋体" w:hAnsi="宋体" w:hint="eastAsia"/>
          <w:bCs/>
          <w:sz w:val="24"/>
          <w:lang w:bidi="zh-CN"/>
        </w:rPr>
        <w:t>97%</w:t>
      </w:r>
      <w:r>
        <w:rPr>
          <w:rFonts w:ascii="宋体" w:hAnsi="宋体" w:hint="eastAsia"/>
          <w:bCs/>
          <w:sz w:val="24"/>
          <w:lang w:bidi="zh-CN"/>
        </w:rPr>
        <w:t>；结算款的</w:t>
      </w:r>
      <w:r>
        <w:rPr>
          <w:rFonts w:ascii="宋体" w:hAnsi="宋体" w:hint="eastAsia"/>
          <w:bCs/>
          <w:sz w:val="24"/>
          <w:lang w:bidi="zh-CN"/>
        </w:rPr>
        <w:t>3%</w:t>
      </w:r>
      <w:r>
        <w:rPr>
          <w:rFonts w:ascii="宋体" w:hAnsi="宋体" w:hint="eastAsia"/>
          <w:bCs/>
          <w:sz w:val="24"/>
          <w:lang w:bidi="zh-CN"/>
        </w:rPr>
        <w:t>作为质量保修金，该质量保修金在该甲方项目防火门制作安装工程保修期</w:t>
      </w:r>
      <w:r>
        <w:rPr>
          <w:rFonts w:ascii="宋体" w:hAnsi="宋体" w:hint="eastAsia"/>
          <w:bCs/>
          <w:sz w:val="24"/>
          <w:lang w:bidi="zh-CN"/>
        </w:rPr>
        <w:t>(</w:t>
      </w:r>
      <w:r>
        <w:rPr>
          <w:rFonts w:ascii="宋体" w:hAnsi="宋体" w:hint="eastAsia"/>
          <w:bCs/>
          <w:sz w:val="24"/>
          <w:lang w:bidi="zh-CN"/>
        </w:rPr>
        <w:t>质量保修期至少为</w:t>
      </w:r>
      <w:r>
        <w:rPr>
          <w:rFonts w:ascii="宋体" w:hAnsi="宋体" w:hint="eastAsia"/>
          <w:bCs/>
          <w:sz w:val="24"/>
          <w:lang w:bidi="zh-CN"/>
        </w:rPr>
        <w:t>24</w:t>
      </w:r>
      <w:r>
        <w:rPr>
          <w:rFonts w:ascii="宋体" w:hAnsi="宋体" w:hint="eastAsia"/>
          <w:bCs/>
          <w:sz w:val="24"/>
          <w:lang w:bidi="zh-CN"/>
        </w:rPr>
        <w:t>个月，如乙方承诺的产品质量保修期超过前述期限的，则以乙方承诺的产品质量保修期限为准</w:t>
      </w:r>
      <w:r>
        <w:rPr>
          <w:rFonts w:ascii="宋体" w:hAnsi="宋体" w:hint="eastAsia"/>
          <w:bCs/>
          <w:sz w:val="24"/>
          <w:lang w:bidi="zh-CN"/>
        </w:rPr>
        <w:t>)</w:t>
      </w:r>
      <w:r>
        <w:rPr>
          <w:rFonts w:ascii="宋体" w:hAnsi="宋体" w:hint="eastAsia"/>
          <w:bCs/>
          <w:sz w:val="24"/>
          <w:lang w:bidi="zh-CN"/>
        </w:rPr>
        <w:t>满后</w:t>
      </w:r>
      <w:r>
        <w:rPr>
          <w:rFonts w:ascii="宋体" w:hAnsi="宋体" w:hint="eastAsia"/>
          <w:bCs/>
          <w:sz w:val="24"/>
          <w:lang w:bidi="zh-CN"/>
        </w:rPr>
        <w:t>30</w:t>
      </w:r>
      <w:r>
        <w:rPr>
          <w:rFonts w:ascii="宋体" w:hAnsi="宋体" w:hint="eastAsia"/>
          <w:bCs/>
          <w:sz w:val="24"/>
          <w:lang w:bidi="zh-CN"/>
        </w:rPr>
        <w:t>个日历天内，由需方扣除保修期间发生的有关维修费、管理费及赔偿金后，将剩余款项无息支付给乙方。项目公司目前累计支付合同金额</w:t>
      </w:r>
      <w:r>
        <w:rPr>
          <w:rFonts w:ascii="宋体" w:hAnsi="宋体" w:hint="eastAsia"/>
          <w:bCs/>
          <w:sz w:val="24"/>
          <w:lang w:bidi="zh-CN"/>
        </w:rPr>
        <w:t>65.89</w:t>
      </w:r>
      <w:r>
        <w:rPr>
          <w:rFonts w:ascii="宋体" w:hAnsi="宋体" w:hint="eastAsia"/>
          <w:bCs/>
          <w:sz w:val="24"/>
          <w:lang w:bidi="zh-CN"/>
        </w:rPr>
        <w:t>万元，计划在</w:t>
      </w:r>
      <w:r>
        <w:rPr>
          <w:rFonts w:ascii="宋体" w:hAnsi="宋体" w:hint="eastAsia"/>
          <w:bCs/>
          <w:sz w:val="24"/>
          <w:lang w:bidi="zh-CN"/>
        </w:rPr>
        <w:t>6</w:t>
      </w:r>
      <w:r>
        <w:rPr>
          <w:rFonts w:ascii="宋体" w:hAnsi="宋体" w:hint="eastAsia"/>
          <w:bCs/>
          <w:sz w:val="24"/>
          <w:lang w:bidi="zh-CN"/>
        </w:rPr>
        <w:t>月份使用银行存款支付该合同的工程款</w:t>
      </w:r>
      <w:r>
        <w:rPr>
          <w:rFonts w:ascii="宋体" w:hAnsi="宋体" w:hint="eastAsia"/>
          <w:bCs/>
          <w:sz w:val="24"/>
          <w:lang w:bidi="zh-CN"/>
        </w:rPr>
        <w:t>12.00</w:t>
      </w:r>
      <w:r>
        <w:rPr>
          <w:rFonts w:ascii="宋体" w:hAnsi="宋体" w:hint="eastAsia"/>
          <w:bCs/>
          <w:sz w:val="24"/>
          <w:lang w:bidi="zh-CN"/>
        </w:rPr>
        <w:t>万元，符合合同的规</w:t>
      </w:r>
      <w:r>
        <w:rPr>
          <w:rFonts w:ascii="宋体" w:hAnsi="宋体" w:hint="eastAsia"/>
          <w:bCs/>
          <w:sz w:val="24"/>
          <w:lang w:bidi="zh-CN"/>
        </w:rPr>
        <w:t>定，该笔计划支付款项合理，在支付时我司根据实际情况复核付款的合理性、合规性；</w:t>
      </w:r>
    </w:p>
    <w:p w14:paraId="4A925A09" w14:textId="77777777"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t>根据</w:t>
      </w:r>
      <w:r>
        <w:rPr>
          <w:rFonts w:ascii="宋体" w:hAnsi="宋体"/>
          <w:bCs/>
          <w:sz w:val="24"/>
          <w:lang w:bidi="zh-CN"/>
        </w:rPr>
        <w:t>项目公司</w:t>
      </w:r>
      <w:r>
        <w:rPr>
          <w:rFonts w:ascii="宋体" w:hAnsi="宋体" w:hint="eastAsia"/>
          <w:bCs/>
          <w:sz w:val="24"/>
          <w:lang w:bidi="zh-CN"/>
        </w:rPr>
        <w:t>在</w:t>
      </w:r>
      <w:r>
        <w:rPr>
          <w:rFonts w:ascii="宋体" w:hAnsi="宋体"/>
          <w:bCs/>
          <w:sz w:val="24"/>
          <w:lang w:bidi="zh-CN"/>
        </w:rPr>
        <w:t>202</w:t>
      </w:r>
      <w:r>
        <w:rPr>
          <w:rFonts w:ascii="宋体" w:hAnsi="宋体" w:hint="eastAsia"/>
          <w:bCs/>
          <w:sz w:val="24"/>
          <w:lang w:bidi="zh-CN"/>
        </w:rPr>
        <w:t>1</w:t>
      </w:r>
      <w:r>
        <w:rPr>
          <w:rFonts w:ascii="宋体" w:hAnsi="宋体"/>
          <w:bCs/>
          <w:sz w:val="24"/>
          <w:lang w:bidi="zh-CN"/>
        </w:rPr>
        <w:t>年</w:t>
      </w:r>
      <w:r>
        <w:rPr>
          <w:rFonts w:ascii="宋体" w:hAnsi="宋体" w:hint="eastAsia"/>
          <w:bCs/>
          <w:sz w:val="24"/>
          <w:lang w:bidi="zh-CN"/>
        </w:rPr>
        <w:t>8</w:t>
      </w:r>
      <w:r>
        <w:rPr>
          <w:rFonts w:ascii="宋体" w:hAnsi="宋体" w:hint="eastAsia"/>
          <w:bCs/>
          <w:sz w:val="24"/>
          <w:lang w:bidi="zh-CN"/>
        </w:rPr>
        <w:t>月</w:t>
      </w:r>
      <w:r>
        <w:rPr>
          <w:rFonts w:ascii="宋体" w:hAnsi="宋体" w:hint="eastAsia"/>
          <w:bCs/>
          <w:sz w:val="24"/>
          <w:lang w:bidi="zh-CN"/>
        </w:rPr>
        <w:t>11</w:t>
      </w:r>
      <w:r>
        <w:rPr>
          <w:rFonts w:ascii="宋体" w:hAnsi="宋体" w:hint="eastAsia"/>
          <w:bCs/>
          <w:sz w:val="24"/>
          <w:lang w:bidi="zh-CN"/>
        </w:rPr>
        <w:t>日</w:t>
      </w:r>
      <w:r>
        <w:rPr>
          <w:rFonts w:ascii="宋体" w:hAnsi="宋体"/>
          <w:bCs/>
          <w:sz w:val="24"/>
          <w:lang w:bidi="zh-CN"/>
        </w:rPr>
        <w:t>签</w:t>
      </w:r>
      <w:r>
        <w:rPr>
          <w:rFonts w:ascii="宋体" w:hAnsi="宋体" w:hint="eastAsia"/>
          <w:bCs/>
          <w:sz w:val="24"/>
          <w:lang w:bidi="zh-CN"/>
        </w:rPr>
        <w:t>约</w:t>
      </w:r>
      <w:r>
        <w:rPr>
          <w:rFonts w:ascii="宋体" w:hAnsi="宋体"/>
          <w:bCs/>
          <w:sz w:val="24"/>
          <w:lang w:bidi="zh-CN"/>
        </w:rPr>
        <w:t>《</w:t>
      </w:r>
      <w:r>
        <w:rPr>
          <w:rFonts w:ascii="宋体" w:hAnsi="宋体" w:hint="eastAsia"/>
          <w:bCs/>
          <w:sz w:val="24"/>
          <w:lang w:bidi="zh-CN"/>
        </w:rPr>
        <w:t>正茂望山筑项目栏杆施工及供货合同</w:t>
      </w:r>
      <w:r>
        <w:rPr>
          <w:rFonts w:ascii="宋体" w:hAnsi="宋体"/>
          <w:bCs/>
          <w:sz w:val="24"/>
          <w:lang w:bidi="zh-CN"/>
        </w:rPr>
        <w:t>》，</w:t>
      </w:r>
      <w:r>
        <w:rPr>
          <w:rFonts w:ascii="宋体" w:hAnsi="宋体" w:hint="eastAsia"/>
          <w:bCs/>
          <w:sz w:val="24"/>
          <w:lang w:bidi="zh-CN"/>
        </w:rPr>
        <w:t>对方单位：杭州浩瀚机电设备有限公司</w:t>
      </w:r>
      <w:r>
        <w:rPr>
          <w:rFonts w:ascii="宋体" w:hAnsi="宋体"/>
          <w:bCs/>
          <w:sz w:val="24"/>
          <w:lang w:bidi="zh-CN"/>
        </w:rPr>
        <w:t>，</w:t>
      </w:r>
      <w:r>
        <w:rPr>
          <w:rFonts w:ascii="宋体" w:hAnsi="宋体" w:hint="eastAsia"/>
          <w:bCs/>
          <w:sz w:val="24"/>
          <w:lang w:bidi="zh-CN"/>
        </w:rPr>
        <w:t>合同总价款</w:t>
      </w:r>
      <w:r>
        <w:rPr>
          <w:rFonts w:ascii="宋体" w:hAnsi="宋体" w:hint="eastAsia"/>
          <w:bCs/>
          <w:sz w:val="24"/>
          <w:lang w:bidi="zh-CN"/>
        </w:rPr>
        <w:t>413.21</w:t>
      </w:r>
      <w:r>
        <w:rPr>
          <w:rFonts w:ascii="宋体" w:hAnsi="宋体" w:hint="eastAsia"/>
          <w:bCs/>
          <w:sz w:val="24"/>
          <w:lang w:bidi="zh-CN"/>
        </w:rPr>
        <w:t>万元，</w:t>
      </w:r>
      <w:r>
        <w:rPr>
          <w:rFonts w:ascii="宋体" w:hAnsi="宋体"/>
          <w:bCs/>
          <w:sz w:val="24"/>
          <w:lang w:bidi="zh-CN"/>
        </w:rPr>
        <w:t>付款节点：</w:t>
      </w:r>
      <w:r>
        <w:rPr>
          <w:rFonts w:ascii="宋体" w:hAnsi="宋体" w:hint="eastAsia"/>
          <w:bCs/>
          <w:sz w:val="24"/>
          <w:lang w:bidi="zh-CN"/>
        </w:rPr>
        <w:t>非玻璃栏杆单栋栏杆成品进场安装完成后，经检验符合要求，支付至该栋号栏杆工程施工和供货合同价款的</w:t>
      </w:r>
      <w:r>
        <w:rPr>
          <w:rFonts w:ascii="宋体" w:hAnsi="宋体" w:hint="eastAsia"/>
          <w:bCs/>
          <w:sz w:val="24"/>
          <w:lang w:bidi="zh-CN"/>
        </w:rPr>
        <w:t>70%</w:t>
      </w:r>
      <w:r>
        <w:rPr>
          <w:rFonts w:ascii="宋体" w:hAnsi="宋体" w:hint="eastAsia"/>
          <w:bCs/>
          <w:sz w:val="24"/>
          <w:lang w:bidi="zh-CN"/>
        </w:rPr>
        <w:t>；玻璃栏杆单栋栏杆外框安装完成后，经检验符合要求，支付至该幢号栏杆工程施工和供货合同价款的</w:t>
      </w:r>
      <w:r>
        <w:rPr>
          <w:rFonts w:ascii="宋体" w:hAnsi="宋体" w:hint="eastAsia"/>
          <w:bCs/>
          <w:sz w:val="24"/>
          <w:lang w:bidi="zh-CN"/>
        </w:rPr>
        <w:t>30%</w:t>
      </w:r>
      <w:r>
        <w:rPr>
          <w:rFonts w:ascii="宋体" w:hAnsi="宋体" w:hint="eastAsia"/>
          <w:bCs/>
          <w:sz w:val="24"/>
          <w:lang w:bidi="zh-CN"/>
        </w:rPr>
        <w:t>；单栋栏杆玻璃安装完成后，经检验符合要求，支付至该幢号栏杆工程施工和供货合同价款的</w:t>
      </w:r>
      <w:r>
        <w:rPr>
          <w:rFonts w:ascii="宋体" w:hAnsi="宋体" w:hint="eastAsia"/>
          <w:bCs/>
          <w:sz w:val="24"/>
          <w:lang w:bidi="zh-CN"/>
        </w:rPr>
        <w:t>70%</w:t>
      </w:r>
      <w:r>
        <w:rPr>
          <w:rFonts w:ascii="宋体" w:hAnsi="宋体" w:hint="eastAsia"/>
          <w:bCs/>
          <w:sz w:val="24"/>
          <w:lang w:bidi="zh-CN"/>
        </w:rPr>
        <w:t>；工程全部完工，并通过发包人组织的竣工验收并交付发包人后一个月内，付至签约合同价的</w:t>
      </w:r>
      <w:r>
        <w:rPr>
          <w:rFonts w:ascii="宋体" w:hAnsi="宋体" w:hint="eastAsia"/>
          <w:bCs/>
          <w:sz w:val="24"/>
          <w:lang w:bidi="zh-CN"/>
        </w:rPr>
        <w:t>85</w:t>
      </w:r>
      <w:r>
        <w:rPr>
          <w:rFonts w:ascii="宋体" w:hAnsi="宋体" w:hint="eastAsia"/>
          <w:bCs/>
          <w:sz w:val="24"/>
          <w:lang w:bidi="zh-CN"/>
        </w:rPr>
        <w:t>％（即竣工进度款）；本工程所依附房建总承包工程竣工验收合格，承包人完成工程内业竣工资料，经发包人办理完成工程结算手续之日起</w:t>
      </w:r>
      <w:r>
        <w:rPr>
          <w:rFonts w:ascii="宋体" w:hAnsi="宋体" w:hint="eastAsia"/>
          <w:bCs/>
          <w:sz w:val="24"/>
          <w:lang w:bidi="zh-CN"/>
        </w:rPr>
        <w:t>30</w:t>
      </w:r>
      <w:r>
        <w:rPr>
          <w:rFonts w:ascii="宋体" w:hAnsi="宋体" w:hint="eastAsia"/>
          <w:bCs/>
          <w:sz w:val="24"/>
          <w:lang w:bidi="zh-CN"/>
        </w:rPr>
        <w:t>日内支付至结算价款的</w:t>
      </w:r>
      <w:r>
        <w:rPr>
          <w:rFonts w:ascii="宋体" w:hAnsi="宋体" w:hint="eastAsia"/>
          <w:bCs/>
          <w:sz w:val="24"/>
          <w:lang w:bidi="zh-CN"/>
        </w:rPr>
        <w:t>97</w:t>
      </w:r>
      <w:r>
        <w:rPr>
          <w:rFonts w:ascii="宋体" w:hAnsi="宋体" w:hint="eastAsia"/>
          <w:bCs/>
          <w:sz w:val="24"/>
          <w:lang w:bidi="zh-CN"/>
        </w:rPr>
        <w:t>％</w:t>
      </w:r>
      <w:r>
        <w:rPr>
          <w:rFonts w:ascii="宋体" w:hAnsi="宋体"/>
          <w:bCs/>
          <w:sz w:val="24"/>
          <w:lang w:bidi="zh-CN"/>
        </w:rPr>
        <w:t>；</w:t>
      </w:r>
      <w:r>
        <w:rPr>
          <w:rFonts w:ascii="宋体" w:hAnsi="宋体" w:hint="eastAsia"/>
          <w:bCs/>
          <w:sz w:val="24"/>
          <w:lang w:bidi="zh-CN"/>
        </w:rPr>
        <w:t>工程结算价款的</w:t>
      </w:r>
      <w:r>
        <w:rPr>
          <w:rFonts w:ascii="宋体" w:hAnsi="宋体" w:hint="eastAsia"/>
          <w:bCs/>
          <w:sz w:val="24"/>
          <w:lang w:bidi="zh-CN"/>
        </w:rPr>
        <w:t>3</w:t>
      </w:r>
      <w:r>
        <w:rPr>
          <w:rFonts w:ascii="宋体" w:hAnsi="宋体" w:hint="eastAsia"/>
          <w:bCs/>
          <w:sz w:val="24"/>
          <w:lang w:bidi="zh-CN"/>
        </w:rPr>
        <w:t>％作为质保金</w:t>
      </w:r>
      <w:r>
        <w:rPr>
          <w:rFonts w:ascii="宋体" w:hAnsi="宋体"/>
          <w:bCs/>
          <w:sz w:val="24"/>
          <w:lang w:bidi="zh-CN"/>
        </w:rPr>
        <w:t>。</w:t>
      </w:r>
      <w:r>
        <w:rPr>
          <w:rFonts w:ascii="宋体" w:hAnsi="宋体" w:hint="eastAsia"/>
          <w:bCs/>
          <w:sz w:val="24"/>
          <w:lang w:bidi="zh-CN"/>
        </w:rPr>
        <w:t>目前累计支付合同金额</w:t>
      </w:r>
      <w:r>
        <w:rPr>
          <w:rFonts w:ascii="宋体" w:hAnsi="宋体" w:hint="eastAsia"/>
          <w:bCs/>
          <w:sz w:val="24"/>
          <w:lang w:bidi="zh-CN"/>
        </w:rPr>
        <w:t>195.52</w:t>
      </w:r>
      <w:r>
        <w:rPr>
          <w:rFonts w:ascii="宋体" w:hAnsi="宋体" w:hint="eastAsia"/>
          <w:bCs/>
          <w:sz w:val="24"/>
          <w:lang w:bidi="zh-CN"/>
        </w:rPr>
        <w:t>万元，计划在</w:t>
      </w:r>
      <w:r>
        <w:rPr>
          <w:rFonts w:ascii="宋体" w:hAnsi="宋体" w:hint="eastAsia"/>
          <w:bCs/>
          <w:sz w:val="24"/>
          <w:lang w:bidi="zh-CN"/>
        </w:rPr>
        <w:t>6</w:t>
      </w:r>
      <w:r>
        <w:rPr>
          <w:rFonts w:ascii="宋体" w:hAnsi="宋体" w:hint="eastAsia"/>
          <w:bCs/>
          <w:sz w:val="24"/>
          <w:lang w:bidi="zh-CN"/>
        </w:rPr>
        <w:t>月份使用银行存款支付该合同的工程款</w:t>
      </w:r>
      <w:r>
        <w:rPr>
          <w:rFonts w:ascii="宋体" w:hAnsi="宋体" w:hint="eastAsia"/>
          <w:bCs/>
          <w:sz w:val="24"/>
          <w:lang w:bidi="zh-CN"/>
        </w:rPr>
        <w:t>50.00</w:t>
      </w:r>
      <w:r>
        <w:rPr>
          <w:rFonts w:ascii="宋体" w:hAnsi="宋体" w:hint="eastAsia"/>
          <w:bCs/>
          <w:sz w:val="24"/>
          <w:lang w:bidi="zh-CN"/>
        </w:rPr>
        <w:t>万元，因项目公司未能提供详细的付款进度说明，该笔款项在支付时我司根据实际情况复核付款的合理性、合规性；</w:t>
      </w:r>
    </w:p>
    <w:p w14:paraId="6B94F272" w14:textId="77777777"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t>根据项目公司</w:t>
      </w:r>
      <w:r>
        <w:rPr>
          <w:rFonts w:ascii="宋体" w:hAnsi="宋体" w:hint="eastAsia"/>
          <w:bCs/>
          <w:sz w:val="24"/>
          <w:lang w:bidi="zh-CN"/>
        </w:rPr>
        <w:t>2021</w:t>
      </w:r>
      <w:r>
        <w:rPr>
          <w:rFonts w:ascii="宋体" w:hAnsi="宋体" w:hint="eastAsia"/>
          <w:bCs/>
          <w:sz w:val="24"/>
          <w:lang w:bidi="zh-CN"/>
        </w:rPr>
        <w:t>年</w:t>
      </w:r>
      <w:r>
        <w:rPr>
          <w:rFonts w:ascii="宋体" w:hAnsi="宋体" w:hint="eastAsia"/>
          <w:bCs/>
          <w:sz w:val="24"/>
          <w:lang w:bidi="zh-CN"/>
        </w:rPr>
        <w:t>6</w:t>
      </w:r>
      <w:r>
        <w:rPr>
          <w:rFonts w:ascii="宋体" w:hAnsi="宋体" w:hint="eastAsia"/>
          <w:bCs/>
          <w:sz w:val="24"/>
          <w:lang w:bidi="zh-CN"/>
        </w:rPr>
        <w:t>月</w:t>
      </w:r>
      <w:r>
        <w:rPr>
          <w:rFonts w:ascii="宋体" w:hAnsi="宋体" w:hint="eastAsia"/>
          <w:bCs/>
          <w:sz w:val="24"/>
          <w:lang w:bidi="zh-CN"/>
        </w:rPr>
        <w:t>15</w:t>
      </w:r>
      <w:r>
        <w:rPr>
          <w:rFonts w:ascii="宋体" w:hAnsi="宋体" w:hint="eastAsia"/>
          <w:bCs/>
          <w:sz w:val="24"/>
          <w:lang w:bidi="zh-CN"/>
        </w:rPr>
        <w:t>日签订的《正茂望山</w:t>
      </w:r>
      <w:r>
        <w:rPr>
          <w:rFonts w:ascii="宋体" w:hAnsi="宋体" w:hint="eastAsia"/>
          <w:bCs/>
          <w:sz w:val="24"/>
          <w:lang w:bidi="zh-CN"/>
        </w:rPr>
        <w:t>筑项目大区幕墙工程》，对方单位：中建远泰幕墙装饰工程有限公司，合同总金额为</w:t>
      </w:r>
      <w:r>
        <w:rPr>
          <w:rFonts w:ascii="宋体" w:hAnsi="宋体" w:hint="eastAsia"/>
          <w:bCs/>
          <w:sz w:val="24"/>
          <w:lang w:bidi="zh-CN"/>
        </w:rPr>
        <w:t>588.62</w:t>
      </w:r>
      <w:r>
        <w:rPr>
          <w:rFonts w:ascii="宋体" w:hAnsi="宋体" w:hint="eastAsia"/>
          <w:bCs/>
          <w:sz w:val="24"/>
          <w:lang w:bidi="zh-CN"/>
        </w:rPr>
        <w:t>万元，付款节点为：每月进度款</w:t>
      </w:r>
      <w:r>
        <w:rPr>
          <w:rFonts w:ascii="宋体" w:hAnsi="宋体" w:hint="eastAsia"/>
          <w:bCs/>
          <w:sz w:val="24"/>
          <w:lang w:bidi="zh-CN"/>
        </w:rPr>
        <w:t>=[</w:t>
      </w:r>
      <w:r>
        <w:rPr>
          <w:rFonts w:ascii="宋体" w:hAnsi="宋体" w:hint="eastAsia"/>
          <w:bCs/>
          <w:sz w:val="24"/>
          <w:lang w:bidi="zh-CN"/>
        </w:rPr>
        <w:t>每月实际完成工程产量</w:t>
      </w:r>
      <w:r>
        <w:rPr>
          <w:rFonts w:ascii="宋体" w:hAnsi="宋体" w:hint="eastAsia"/>
          <w:bCs/>
          <w:sz w:val="24"/>
          <w:lang w:bidi="zh-CN"/>
        </w:rPr>
        <w:t>-</w:t>
      </w:r>
      <w:r>
        <w:rPr>
          <w:rFonts w:ascii="宋体" w:hAnsi="宋体" w:hint="eastAsia"/>
          <w:bCs/>
          <w:sz w:val="24"/>
          <w:lang w:bidi="zh-CN"/>
        </w:rPr>
        <w:t>甲供材料</w:t>
      </w:r>
      <w:r>
        <w:rPr>
          <w:rFonts w:ascii="宋体" w:hAnsi="宋体" w:hint="eastAsia"/>
          <w:bCs/>
          <w:sz w:val="24"/>
          <w:lang w:bidi="zh-CN"/>
        </w:rPr>
        <w:t>]*70%-</w:t>
      </w:r>
      <w:r>
        <w:rPr>
          <w:rFonts w:ascii="宋体" w:hAnsi="宋体" w:hint="eastAsia"/>
          <w:bCs/>
          <w:sz w:val="24"/>
          <w:lang w:bidi="zh-CN"/>
        </w:rPr>
        <w:t>当前应扣费用；工程全部完工，付至签约合同价的</w:t>
      </w:r>
      <w:r>
        <w:rPr>
          <w:rFonts w:ascii="宋体" w:hAnsi="宋体" w:hint="eastAsia"/>
          <w:bCs/>
          <w:sz w:val="24"/>
          <w:lang w:bidi="zh-CN"/>
        </w:rPr>
        <w:t>85%</w:t>
      </w:r>
      <w:r>
        <w:rPr>
          <w:rFonts w:ascii="宋体" w:hAnsi="宋体" w:hint="eastAsia"/>
          <w:bCs/>
          <w:sz w:val="24"/>
          <w:lang w:bidi="zh-CN"/>
        </w:rPr>
        <w:t>；工程结算完成之日</w:t>
      </w:r>
      <w:r>
        <w:rPr>
          <w:rFonts w:ascii="宋体" w:hAnsi="宋体" w:hint="eastAsia"/>
          <w:bCs/>
          <w:sz w:val="24"/>
          <w:lang w:bidi="zh-CN"/>
        </w:rPr>
        <w:t>60</w:t>
      </w:r>
      <w:r>
        <w:rPr>
          <w:rFonts w:ascii="宋体" w:hAnsi="宋体" w:hint="eastAsia"/>
          <w:bCs/>
          <w:sz w:val="24"/>
          <w:lang w:bidi="zh-CN"/>
        </w:rPr>
        <w:t>日内支付至结算价款的</w:t>
      </w:r>
      <w:r>
        <w:rPr>
          <w:rFonts w:ascii="宋体" w:hAnsi="宋体" w:hint="eastAsia"/>
          <w:bCs/>
          <w:sz w:val="24"/>
          <w:lang w:bidi="zh-CN"/>
        </w:rPr>
        <w:t>97%</w:t>
      </w:r>
      <w:r>
        <w:rPr>
          <w:rFonts w:ascii="宋体" w:hAnsi="宋体" w:hint="eastAsia"/>
          <w:bCs/>
          <w:sz w:val="24"/>
          <w:lang w:bidi="zh-CN"/>
        </w:rPr>
        <w:t>；工程结算款的</w:t>
      </w:r>
      <w:r>
        <w:rPr>
          <w:rFonts w:ascii="宋体" w:hAnsi="宋体" w:hint="eastAsia"/>
          <w:bCs/>
          <w:sz w:val="24"/>
          <w:lang w:bidi="zh-CN"/>
        </w:rPr>
        <w:t>3%</w:t>
      </w:r>
      <w:r>
        <w:rPr>
          <w:rFonts w:ascii="宋体" w:hAnsi="宋体" w:hint="eastAsia"/>
          <w:bCs/>
          <w:sz w:val="24"/>
          <w:lang w:bidi="zh-CN"/>
        </w:rPr>
        <w:t>作为质保金。目前累计支付合同金额</w:t>
      </w:r>
      <w:r>
        <w:rPr>
          <w:rFonts w:ascii="宋体" w:hAnsi="宋体" w:hint="eastAsia"/>
          <w:bCs/>
          <w:sz w:val="24"/>
          <w:lang w:bidi="zh-CN"/>
        </w:rPr>
        <w:t>167.58</w:t>
      </w:r>
      <w:r>
        <w:rPr>
          <w:rFonts w:ascii="宋体" w:hAnsi="宋体" w:hint="eastAsia"/>
          <w:bCs/>
          <w:sz w:val="24"/>
          <w:lang w:bidi="zh-CN"/>
        </w:rPr>
        <w:t>万元，计划在</w:t>
      </w:r>
      <w:r>
        <w:rPr>
          <w:rFonts w:ascii="宋体" w:hAnsi="宋体" w:hint="eastAsia"/>
          <w:bCs/>
          <w:sz w:val="24"/>
          <w:lang w:bidi="zh-CN"/>
        </w:rPr>
        <w:t>6</w:t>
      </w:r>
      <w:r>
        <w:rPr>
          <w:rFonts w:ascii="宋体" w:hAnsi="宋体" w:hint="eastAsia"/>
          <w:bCs/>
          <w:sz w:val="24"/>
          <w:lang w:bidi="zh-CN"/>
        </w:rPr>
        <w:t>月份使用银行存款支付该合同的工程款</w:t>
      </w:r>
      <w:r>
        <w:rPr>
          <w:rFonts w:ascii="宋体" w:hAnsi="宋体" w:hint="eastAsia"/>
          <w:bCs/>
          <w:sz w:val="24"/>
          <w:lang w:bidi="zh-CN"/>
        </w:rPr>
        <w:t>35.90</w:t>
      </w:r>
      <w:r>
        <w:rPr>
          <w:rFonts w:ascii="宋体" w:hAnsi="宋体" w:hint="eastAsia"/>
          <w:bCs/>
          <w:sz w:val="24"/>
          <w:lang w:bidi="zh-CN"/>
        </w:rPr>
        <w:t>万元，</w:t>
      </w:r>
      <w:r>
        <w:rPr>
          <w:rFonts w:ascii="宋体" w:hAnsi="宋体" w:hint="eastAsia"/>
          <w:bCs/>
          <w:sz w:val="24"/>
          <w:lang w:bidi="zh-CN"/>
        </w:rPr>
        <w:lastRenderedPageBreak/>
        <w:t>因项目公司未能提供详细的付款进度说明，该笔款项在支付时我司根据实际情况复核付款的合理性、合规性；</w:t>
      </w:r>
    </w:p>
    <w:p w14:paraId="4C25DDD3" w14:textId="77777777"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t>根据项目公司</w:t>
      </w:r>
      <w:r>
        <w:rPr>
          <w:rFonts w:ascii="宋体" w:hAnsi="宋体" w:hint="eastAsia"/>
          <w:bCs/>
          <w:sz w:val="24"/>
          <w:lang w:bidi="zh-CN"/>
        </w:rPr>
        <w:t>2021</w:t>
      </w:r>
      <w:r>
        <w:rPr>
          <w:rFonts w:ascii="宋体" w:hAnsi="宋体" w:hint="eastAsia"/>
          <w:bCs/>
          <w:sz w:val="24"/>
          <w:lang w:bidi="zh-CN"/>
        </w:rPr>
        <w:t>年</w:t>
      </w:r>
      <w:r>
        <w:rPr>
          <w:rFonts w:ascii="宋体" w:hAnsi="宋体" w:hint="eastAsia"/>
          <w:bCs/>
          <w:sz w:val="24"/>
          <w:lang w:bidi="zh-CN"/>
        </w:rPr>
        <w:t>8</w:t>
      </w:r>
      <w:r>
        <w:rPr>
          <w:rFonts w:ascii="宋体" w:hAnsi="宋体" w:hint="eastAsia"/>
          <w:bCs/>
          <w:sz w:val="24"/>
          <w:lang w:bidi="zh-CN"/>
        </w:rPr>
        <w:t>月</w:t>
      </w:r>
      <w:r>
        <w:rPr>
          <w:rFonts w:ascii="宋体" w:hAnsi="宋体" w:hint="eastAsia"/>
          <w:bCs/>
          <w:sz w:val="24"/>
          <w:lang w:bidi="zh-CN"/>
        </w:rPr>
        <w:t>11</w:t>
      </w:r>
      <w:r>
        <w:rPr>
          <w:rFonts w:ascii="宋体" w:hAnsi="宋体" w:hint="eastAsia"/>
          <w:bCs/>
          <w:sz w:val="24"/>
          <w:lang w:bidi="zh-CN"/>
        </w:rPr>
        <w:t>日签订的《正式供电工程施工合同》，合同总金额为</w:t>
      </w:r>
      <w:r>
        <w:rPr>
          <w:rFonts w:ascii="宋体" w:hAnsi="宋体" w:hint="eastAsia"/>
          <w:bCs/>
          <w:sz w:val="24"/>
          <w:lang w:bidi="zh-CN"/>
        </w:rPr>
        <w:t>2,027.00</w:t>
      </w:r>
      <w:r>
        <w:rPr>
          <w:rFonts w:ascii="宋体" w:hAnsi="宋体" w:hint="eastAsia"/>
          <w:bCs/>
          <w:sz w:val="24"/>
          <w:lang w:bidi="zh-CN"/>
        </w:rPr>
        <w:t>万元，对方单位：福建宏盛电力建设有限公司，付款方式为：</w:t>
      </w:r>
      <w:r>
        <w:rPr>
          <w:rFonts w:ascii="宋体" w:hAnsi="宋体" w:hint="eastAsia"/>
          <w:bCs/>
          <w:sz w:val="24"/>
          <w:lang w:bidi="zh-CN"/>
        </w:rPr>
        <w:t>1</w:t>
      </w:r>
      <w:r>
        <w:rPr>
          <w:rFonts w:ascii="宋体" w:hAnsi="宋体" w:hint="eastAsia"/>
          <w:bCs/>
          <w:sz w:val="24"/>
          <w:lang w:bidi="zh-CN"/>
        </w:rPr>
        <w:t>、高低压柜、变压器设备全部进场验收合格后</w:t>
      </w:r>
      <w:r>
        <w:rPr>
          <w:rFonts w:ascii="宋体" w:hAnsi="宋体" w:hint="eastAsia"/>
          <w:bCs/>
          <w:sz w:val="24"/>
          <w:lang w:bidi="zh-CN"/>
        </w:rPr>
        <w:t>10</w:t>
      </w:r>
      <w:r>
        <w:rPr>
          <w:rFonts w:ascii="宋体" w:hAnsi="宋体" w:hint="eastAsia"/>
          <w:bCs/>
          <w:sz w:val="24"/>
          <w:lang w:bidi="zh-CN"/>
        </w:rPr>
        <w:t>个工作日内支付合同固定包干总价的</w:t>
      </w:r>
      <w:r>
        <w:rPr>
          <w:rFonts w:ascii="宋体" w:hAnsi="宋体" w:hint="eastAsia"/>
          <w:bCs/>
          <w:sz w:val="24"/>
          <w:lang w:bidi="zh-CN"/>
        </w:rPr>
        <w:t>25%</w:t>
      </w:r>
      <w:r>
        <w:rPr>
          <w:rFonts w:ascii="宋体" w:hAnsi="宋体" w:hint="eastAsia"/>
          <w:bCs/>
          <w:sz w:val="24"/>
          <w:lang w:bidi="zh-CN"/>
        </w:rPr>
        <w:t>（若分批验收送电，本条付款按分批建筑面积占总建筑比例支付）；</w:t>
      </w:r>
      <w:r>
        <w:rPr>
          <w:rFonts w:ascii="宋体" w:hAnsi="宋体" w:hint="eastAsia"/>
          <w:bCs/>
          <w:sz w:val="24"/>
          <w:lang w:bidi="zh-CN"/>
        </w:rPr>
        <w:t>2</w:t>
      </w:r>
      <w:r>
        <w:rPr>
          <w:rFonts w:ascii="宋体" w:hAnsi="宋体" w:hint="eastAsia"/>
          <w:bCs/>
          <w:sz w:val="24"/>
          <w:lang w:bidi="zh-CN"/>
        </w:rPr>
        <w:t>、电线电缆、桥架全部进场验收合格后</w:t>
      </w:r>
      <w:r>
        <w:rPr>
          <w:rFonts w:ascii="宋体" w:hAnsi="宋体" w:hint="eastAsia"/>
          <w:bCs/>
          <w:sz w:val="24"/>
          <w:lang w:bidi="zh-CN"/>
        </w:rPr>
        <w:t>10</w:t>
      </w:r>
      <w:r>
        <w:rPr>
          <w:rFonts w:ascii="宋体" w:hAnsi="宋体" w:hint="eastAsia"/>
          <w:bCs/>
          <w:sz w:val="24"/>
          <w:lang w:bidi="zh-CN"/>
        </w:rPr>
        <w:t>个工作日内支付合同固定包干总价</w:t>
      </w:r>
      <w:r>
        <w:rPr>
          <w:rFonts w:ascii="宋体" w:hAnsi="宋体" w:hint="eastAsia"/>
          <w:bCs/>
          <w:sz w:val="24"/>
          <w:lang w:bidi="zh-CN"/>
        </w:rPr>
        <w:t>25%</w:t>
      </w:r>
      <w:r>
        <w:rPr>
          <w:rFonts w:ascii="宋体" w:hAnsi="宋体" w:hint="eastAsia"/>
          <w:bCs/>
          <w:sz w:val="24"/>
          <w:lang w:bidi="zh-CN"/>
        </w:rPr>
        <w:t>（若分批验收送电，本条付款按分批建筑面积占总建筑比例支付）；</w:t>
      </w:r>
      <w:r>
        <w:rPr>
          <w:rFonts w:ascii="宋体" w:hAnsi="宋体" w:hint="eastAsia"/>
          <w:bCs/>
          <w:sz w:val="24"/>
          <w:lang w:bidi="zh-CN"/>
        </w:rPr>
        <w:t>3</w:t>
      </w:r>
      <w:r>
        <w:rPr>
          <w:rFonts w:ascii="宋体" w:hAnsi="宋体" w:hint="eastAsia"/>
          <w:bCs/>
          <w:sz w:val="24"/>
          <w:lang w:bidi="zh-CN"/>
        </w:rPr>
        <w:t>、工程完工竣工验收合格并完成送电后支付合同固定包干总价的</w:t>
      </w:r>
      <w:r>
        <w:rPr>
          <w:rFonts w:ascii="宋体" w:hAnsi="宋体" w:hint="eastAsia"/>
          <w:bCs/>
          <w:sz w:val="24"/>
          <w:lang w:bidi="zh-CN"/>
        </w:rPr>
        <w:t>30%</w:t>
      </w:r>
      <w:r>
        <w:rPr>
          <w:rFonts w:ascii="宋体" w:hAnsi="宋体" w:hint="eastAsia"/>
          <w:bCs/>
          <w:sz w:val="24"/>
          <w:lang w:bidi="zh-CN"/>
        </w:rPr>
        <w:t>；</w:t>
      </w:r>
      <w:r>
        <w:rPr>
          <w:rFonts w:ascii="宋体" w:hAnsi="宋体" w:hint="eastAsia"/>
          <w:bCs/>
          <w:sz w:val="24"/>
          <w:lang w:bidi="zh-CN"/>
        </w:rPr>
        <w:t>4</w:t>
      </w:r>
      <w:r>
        <w:rPr>
          <w:rFonts w:ascii="宋体" w:hAnsi="宋体" w:hint="eastAsia"/>
          <w:bCs/>
          <w:sz w:val="24"/>
          <w:lang w:bidi="zh-CN"/>
        </w:rPr>
        <w:t>、承包人移交所有相关资料并且发包人、承包人双方办</w:t>
      </w:r>
      <w:r>
        <w:rPr>
          <w:rFonts w:ascii="宋体" w:hAnsi="宋体" w:hint="eastAsia"/>
          <w:bCs/>
          <w:sz w:val="24"/>
          <w:lang w:bidi="zh-CN"/>
        </w:rPr>
        <w:t>理完结算手续（结算结果经发包人、承包人双方确认）</w:t>
      </w:r>
      <w:r>
        <w:rPr>
          <w:rFonts w:ascii="宋体" w:hAnsi="宋体" w:hint="eastAsia"/>
          <w:bCs/>
          <w:sz w:val="24"/>
          <w:lang w:bidi="zh-CN"/>
        </w:rPr>
        <w:t>10</w:t>
      </w:r>
      <w:r>
        <w:rPr>
          <w:rFonts w:ascii="宋体" w:hAnsi="宋体" w:hint="eastAsia"/>
          <w:bCs/>
          <w:sz w:val="24"/>
          <w:lang w:bidi="zh-CN"/>
        </w:rPr>
        <w:t>个工作日内，除预留</w:t>
      </w:r>
      <w:r>
        <w:rPr>
          <w:rFonts w:ascii="宋体" w:hAnsi="宋体" w:hint="eastAsia"/>
          <w:bCs/>
          <w:sz w:val="24"/>
          <w:lang w:bidi="zh-CN"/>
        </w:rPr>
        <w:t>200000</w:t>
      </w:r>
      <w:r>
        <w:rPr>
          <w:rFonts w:ascii="宋体" w:hAnsi="宋体" w:hint="eastAsia"/>
          <w:bCs/>
          <w:sz w:val="24"/>
          <w:lang w:bidi="zh-CN"/>
        </w:rPr>
        <w:t>元作为工程质保金（不计利息）外，其他款项全部付清；</w:t>
      </w:r>
      <w:r>
        <w:rPr>
          <w:rFonts w:ascii="宋体" w:hAnsi="宋体" w:hint="eastAsia"/>
          <w:bCs/>
          <w:sz w:val="24"/>
          <w:lang w:bidi="zh-CN"/>
        </w:rPr>
        <w:t>5</w:t>
      </w:r>
      <w:r>
        <w:rPr>
          <w:rFonts w:ascii="宋体" w:hAnsi="宋体" w:hint="eastAsia"/>
          <w:bCs/>
          <w:sz w:val="24"/>
          <w:lang w:bidi="zh-CN"/>
        </w:rPr>
        <w:t>、二年保修期满后无息退还质保金。目前累计支付合同金额</w:t>
      </w:r>
      <w:r>
        <w:rPr>
          <w:rFonts w:ascii="宋体" w:hAnsi="宋体" w:hint="eastAsia"/>
          <w:bCs/>
          <w:sz w:val="24"/>
          <w:lang w:bidi="zh-CN"/>
        </w:rPr>
        <w:t>0.00</w:t>
      </w:r>
      <w:r>
        <w:rPr>
          <w:rFonts w:ascii="宋体" w:hAnsi="宋体" w:hint="eastAsia"/>
          <w:bCs/>
          <w:sz w:val="24"/>
          <w:lang w:bidi="zh-CN"/>
        </w:rPr>
        <w:t>万元，计划在</w:t>
      </w:r>
      <w:r>
        <w:rPr>
          <w:rFonts w:ascii="宋体" w:hAnsi="宋体" w:hint="eastAsia"/>
          <w:bCs/>
          <w:sz w:val="24"/>
          <w:lang w:bidi="zh-CN"/>
        </w:rPr>
        <w:t>6</w:t>
      </w:r>
      <w:r>
        <w:rPr>
          <w:rFonts w:ascii="宋体" w:hAnsi="宋体" w:hint="eastAsia"/>
          <w:bCs/>
          <w:sz w:val="24"/>
          <w:lang w:bidi="zh-CN"/>
        </w:rPr>
        <w:t>月份使用银行存款支付该合同的工程款</w:t>
      </w:r>
      <w:r>
        <w:rPr>
          <w:rFonts w:ascii="宋体" w:hAnsi="宋体" w:hint="eastAsia"/>
          <w:bCs/>
          <w:sz w:val="24"/>
          <w:lang w:bidi="zh-CN"/>
        </w:rPr>
        <w:t>300.00</w:t>
      </w:r>
      <w:r>
        <w:rPr>
          <w:rFonts w:ascii="宋体" w:hAnsi="宋体" w:hint="eastAsia"/>
          <w:bCs/>
          <w:sz w:val="24"/>
          <w:lang w:bidi="zh-CN"/>
        </w:rPr>
        <w:t>万元，因项目公司未能提供详细的付款进度说明，该笔款项在支付时我司根据实际情况复核付款的合理性、合规性；</w:t>
      </w:r>
    </w:p>
    <w:p w14:paraId="63BBBC65" w14:textId="77777777"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t>根据</w:t>
      </w:r>
      <w:r>
        <w:rPr>
          <w:rFonts w:ascii="宋体" w:hAnsi="宋体"/>
          <w:bCs/>
          <w:sz w:val="24"/>
          <w:lang w:bidi="zh-CN"/>
        </w:rPr>
        <w:t>项目公司</w:t>
      </w:r>
      <w:r>
        <w:rPr>
          <w:rFonts w:ascii="宋体" w:hAnsi="宋体" w:hint="eastAsia"/>
          <w:bCs/>
          <w:sz w:val="24"/>
          <w:lang w:bidi="zh-CN"/>
        </w:rPr>
        <w:t>在</w:t>
      </w:r>
      <w:r>
        <w:rPr>
          <w:rFonts w:ascii="宋体" w:hAnsi="宋体"/>
          <w:bCs/>
          <w:sz w:val="24"/>
          <w:lang w:bidi="zh-CN"/>
        </w:rPr>
        <w:t>202</w:t>
      </w:r>
      <w:r>
        <w:rPr>
          <w:rFonts w:ascii="宋体" w:hAnsi="宋体" w:hint="eastAsia"/>
          <w:bCs/>
          <w:sz w:val="24"/>
          <w:lang w:bidi="zh-CN"/>
        </w:rPr>
        <w:t>1</w:t>
      </w:r>
      <w:r>
        <w:rPr>
          <w:rFonts w:ascii="宋体" w:hAnsi="宋体"/>
          <w:bCs/>
          <w:sz w:val="24"/>
          <w:lang w:bidi="zh-CN"/>
        </w:rPr>
        <w:t>年</w:t>
      </w:r>
      <w:r>
        <w:rPr>
          <w:rFonts w:ascii="宋体" w:hAnsi="宋体" w:hint="eastAsia"/>
          <w:bCs/>
          <w:sz w:val="24"/>
          <w:lang w:bidi="zh-CN"/>
        </w:rPr>
        <w:t>6</w:t>
      </w:r>
      <w:r>
        <w:rPr>
          <w:rFonts w:ascii="宋体" w:hAnsi="宋体" w:hint="eastAsia"/>
          <w:bCs/>
          <w:sz w:val="24"/>
          <w:lang w:bidi="zh-CN"/>
        </w:rPr>
        <w:t>月</w:t>
      </w:r>
      <w:r>
        <w:rPr>
          <w:rFonts w:ascii="宋体" w:hAnsi="宋体" w:hint="eastAsia"/>
          <w:bCs/>
          <w:sz w:val="24"/>
          <w:lang w:bidi="zh-CN"/>
        </w:rPr>
        <w:t>16</w:t>
      </w:r>
      <w:r>
        <w:rPr>
          <w:rFonts w:ascii="宋体" w:hAnsi="宋体" w:hint="eastAsia"/>
          <w:bCs/>
          <w:sz w:val="24"/>
          <w:lang w:bidi="zh-CN"/>
        </w:rPr>
        <w:t>日</w:t>
      </w:r>
      <w:r>
        <w:rPr>
          <w:rFonts w:ascii="宋体" w:hAnsi="宋体"/>
          <w:bCs/>
          <w:sz w:val="24"/>
          <w:lang w:bidi="zh-CN"/>
        </w:rPr>
        <w:t>签</w:t>
      </w:r>
      <w:r>
        <w:rPr>
          <w:rFonts w:ascii="宋体" w:hAnsi="宋体" w:hint="eastAsia"/>
          <w:bCs/>
          <w:sz w:val="24"/>
          <w:lang w:bidi="zh-CN"/>
        </w:rPr>
        <w:t>约《福州正茂望山筑项目电线电缆采购工程供货合同》</w:t>
      </w:r>
      <w:r>
        <w:rPr>
          <w:rFonts w:ascii="宋体" w:hAnsi="宋体"/>
          <w:bCs/>
          <w:sz w:val="24"/>
          <w:lang w:bidi="zh-CN"/>
        </w:rPr>
        <w:t>，</w:t>
      </w:r>
      <w:r>
        <w:rPr>
          <w:rFonts w:ascii="宋体" w:hAnsi="宋体" w:hint="eastAsia"/>
          <w:bCs/>
          <w:sz w:val="24"/>
          <w:lang w:bidi="zh-CN"/>
        </w:rPr>
        <w:t>对方单位：东莞市民兴电缆有限公司</w:t>
      </w:r>
      <w:r>
        <w:rPr>
          <w:rFonts w:ascii="宋体" w:hAnsi="宋体"/>
          <w:bCs/>
          <w:sz w:val="24"/>
          <w:lang w:bidi="zh-CN"/>
        </w:rPr>
        <w:t>，</w:t>
      </w:r>
      <w:r>
        <w:rPr>
          <w:rFonts w:ascii="宋体" w:hAnsi="宋体" w:hint="eastAsia"/>
          <w:bCs/>
          <w:sz w:val="24"/>
          <w:lang w:bidi="zh-CN"/>
        </w:rPr>
        <w:t>合同总价款</w:t>
      </w:r>
      <w:r>
        <w:rPr>
          <w:rFonts w:ascii="宋体" w:hAnsi="宋体" w:hint="eastAsia"/>
          <w:bCs/>
          <w:sz w:val="24"/>
          <w:lang w:bidi="zh-CN"/>
        </w:rPr>
        <w:t>766.80</w:t>
      </w:r>
      <w:r>
        <w:rPr>
          <w:rFonts w:ascii="宋体" w:hAnsi="宋体" w:hint="eastAsia"/>
          <w:bCs/>
          <w:sz w:val="24"/>
          <w:lang w:bidi="zh-CN"/>
        </w:rPr>
        <w:t>万元，</w:t>
      </w:r>
      <w:r>
        <w:rPr>
          <w:rFonts w:ascii="宋体" w:hAnsi="宋体"/>
          <w:bCs/>
          <w:sz w:val="24"/>
          <w:lang w:bidi="zh-CN"/>
        </w:rPr>
        <w:t>付款节</w:t>
      </w:r>
      <w:r>
        <w:rPr>
          <w:rFonts w:ascii="宋体" w:hAnsi="宋体"/>
          <w:bCs/>
          <w:sz w:val="24"/>
          <w:lang w:bidi="zh-CN"/>
        </w:rPr>
        <w:t>点：</w:t>
      </w:r>
      <w:r>
        <w:rPr>
          <w:rFonts w:ascii="宋体" w:hAnsi="宋体" w:hint="eastAsia"/>
          <w:bCs/>
          <w:sz w:val="24"/>
          <w:lang w:bidi="zh-CN"/>
        </w:rPr>
        <w:t>货到甲方指定地点后由甲方组织入库，甲乙双方办理完到货确认手续后</w:t>
      </w:r>
      <w:r>
        <w:rPr>
          <w:rFonts w:ascii="宋体" w:hAnsi="宋体" w:hint="eastAsia"/>
          <w:bCs/>
          <w:sz w:val="24"/>
          <w:lang w:bidi="zh-CN"/>
        </w:rPr>
        <w:t>30</w:t>
      </w:r>
      <w:r>
        <w:rPr>
          <w:rFonts w:ascii="宋体" w:hAnsi="宋体" w:hint="eastAsia"/>
          <w:bCs/>
          <w:sz w:val="24"/>
          <w:lang w:bidi="zh-CN"/>
        </w:rPr>
        <w:t>日历天内甲方支付到货货物总价的</w:t>
      </w:r>
      <w:r>
        <w:rPr>
          <w:rFonts w:ascii="宋体" w:hAnsi="宋体" w:hint="eastAsia"/>
          <w:bCs/>
          <w:sz w:val="24"/>
          <w:lang w:bidi="zh-CN"/>
        </w:rPr>
        <w:t xml:space="preserve">100% </w:t>
      </w:r>
      <w:r>
        <w:rPr>
          <w:rFonts w:ascii="宋体" w:hAnsi="宋体" w:hint="eastAsia"/>
          <w:bCs/>
          <w:sz w:val="24"/>
          <w:lang w:bidi="zh-CN"/>
        </w:rPr>
        <w:t>；货到工地</w:t>
      </w:r>
      <w:r>
        <w:rPr>
          <w:rFonts w:ascii="宋体" w:hAnsi="宋体" w:hint="eastAsia"/>
          <w:bCs/>
          <w:sz w:val="24"/>
          <w:lang w:bidi="zh-CN"/>
        </w:rPr>
        <w:t>3</w:t>
      </w:r>
      <w:r>
        <w:rPr>
          <w:rFonts w:ascii="宋体" w:hAnsi="宋体" w:hint="eastAsia"/>
          <w:bCs/>
          <w:sz w:val="24"/>
          <w:lang w:bidi="zh-CN"/>
        </w:rPr>
        <w:t>个月内付清货款。项目公司目前累计支付合同金额</w:t>
      </w:r>
      <w:r>
        <w:rPr>
          <w:rFonts w:ascii="宋体" w:hAnsi="宋体" w:hint="eastAsia"/>
          <w:bCs/>
          <w:sz w:val="24"/>
          <w:lang w:bidi="zh-CN"/>
        </w:rPr>
        <w:t>261.01</w:t>
      </w:r>
      <w:r>
        <w:rPr>
          <w:rFonts w:ascii="宋体" w:hAnsi="宋体" w:hint="eastAsia"/>
          <w:bCs/>
          <w:sz w:val="24"/>
          <w:lang w:bidi="zh-CN"/>
        </w:rPr>
        <w:t>万元，计划在</w:t>
      </w:r>
      <w:r>
        <w:rPr>
          <w:rFonts w:ascii="宋体" w:hAnsi="宋体" w:hint="eastAsia"/>
          <w:bCs/>
          <w:sz w:val="24"/>
          <w:lang w:bidi="zh-CN"/>
        </w:rPr>
        <w:t>6</w:t>
      </w:r>
      <w:r>
        <w:rPr>
          <w:rFonts w:ascii="宋体" w:hAnsi="宋体" w:hint="eastAsia"/>
          <w:bCs/>
          <w:sz w:val="24"/>
          <w:lang w:bidi="zh-CN"/>
        </w:rPr>
        <w:t>月份使用银行存款支付该合同的工程款</w:t>
      </w:r>
      <w:r>
        <w:rPr>
          <w:rFonts w:ascii="宋体" w:hAnsi="宋体" w:hint="eastAsia"/>
          <w:bCs/>
          <w:sz w:val="24"/>
          <w:lang w:bidi="zh-CN"/>
        </w:rPr>
        <w:t>403.00</w:t>
      </w:r>
      <w:r>
        <w:rPr>
          <w:rFonts w:ascii="宋体" w:hAnsi="宋体" w:hint="eastAsia"/>
          <w:bCs/>
          <w:sz w:val="24"/>
          <w:lang w:bidi="zh-CN"/>
        </w:rPr>
        <w:t>万元，符合合同的规定，该笔计划支付款项合理，在支付时我司根据实际情况复核付款的合理性、合规性；</w:t>
      </w:r>
    </w:p>
    <w:p w14:paraId="3437593E" w14:textId="77777777"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t>根据项目公司</w:t>
      </w:r>
      <w:r>
        <w:rPr>
          <w:rFonts w:ascii="宋体" w:hAnsi="宋体" w:hint="eastAsia"/>
          <w:bCs/>
          <w:sz w:val="24"/>
          <w:lang w:bidi="zh-CN"/>
        </w:rPr>
        <w:t>2021</w:t>
      </w:r>
      <w:r>
        <w:rPr>
          <w:rFonts w:ascii="宋体" w:hAnsi="宋体" w:hint="eastAsia"/>
          <w:bCs/>
          <w:sz w:val="24"/>
          <w:lang w:bidi="zh-CN"/>
        </w:rPr>
        <w:t>年</w:t>
      </w:r>
      <w:r>
        <w:rPr>
          <w:rFonts w:ascii="宋体" w:hAnsi="宋体" w:hint="eastAsia"/>
          <w:bCs/>
          <w:sz w:val="24"/>
          <w:lang w:bidi="zh-CN"/>
        </w:rPr>
        <w:t>9</w:t>
      </w:r>
      <w:r>
        <w:rPr>
          <w:rFonts w:ascii="宋体" w:hAnsi="宋体" w:hint="eastAsia"/>
          <w:bCs/>
          <w:sz w:val="24"/>
          <w:lang w:bidi="zh-CN"/>
        </w:rPr>
        <w:t>月签订的《正茂望山筑项目市政供水及一户一表工程施工合同》，合同总金额为</w:t>
      </w:r>
      <w:r>
        <w:rPr>
          <w:rFonts w:ascii="宋体" w:hAnsi="宋体" w:hint="eastAsia"/>
          <w:bCs/>
          <w:sz w:val="24"/>
          <w:lang w:bidi="zh-CN"/>
        </w:rPr>
        <w:t>729.08</w:t>
      </w:r>
      <w:r>
        <w:rPr>
          <w:rFonts w:ascii="宋体" w:hAnsi="宋体" w:hint="eastAsia"/>
          <w:bCs/>
          <w:sz w:val="24"/>
          <w:lang w:bidi="zh-CN"/>
        </w:rPr>
        <w:t>万元，对方单位：福建宏盛建设集团有限公司，付款方式为：合同签订后</w:t>
      </w:r>
      <w:r>
        <w:rPr>
          <w:rFonts w:ascii="宋体" w:hAnsi="宋体" w:hint="eastAsia"/>
          <w:bCs/>
          <w:sz w:val="24"/>
          <w:lang w:bidi="zh-CN"/>
        </w:rPr>
        <w:t>30</w:t>
      </w:r>
      <w:r>
        <w:rPr>
          <w:rFonts w:ascii="宋体" w:hAnsi="宋体" w:hint="eastAsia"/>
          <w:bCs/>
          <w:sz w:val="24"/>
          <w:lang w:bidi="zh-CN"/>
        </w:rPr>
        <w:t>个工</w:t>
      </w:r>
      <w:r>
        <w:rPr>
          <w:rFonts w:ascii="宋体" w:hAnsi="宋体" w:hint="eastAsia"/>
          <w:bCs/>
          <w:sz w:val="24"/>
          <w:lang w:bidi="zh-CN"/>
        </w:rPr>
        <w:t>作日内支付合同价款的</w:t>
      </w:r>
      <w:r>
        <w:rPr>
          <w:rFonts w:ascii="宋体" w:hAnsi="宋体" w:hint="eastAsia"/>
          <w:bCs/>
          <w:sz w:val="24"/>
          <w:lang w:bidi="zh-CN"/>
        </w:rPr>
        <w:t>80%(</w:t>
      </w:r>
      <w:r>
        <w:rPr>
          <w:rFonts w:ascii="宋体" w:hAnsi="宋体" w:hint="eastAsia"/>
          <w:bCs/>
          <w:sz w:val="24"/>
          <w:lang w:bidi="zh-CN"/>
        </w:rPr>
        <w:t>其中发包人收到自来水公司缴款通知后，</w:t>
      </w:r>
      <w:r>
        <w:rPr>
          <w:rFonts w:ascii="宋体" w:hAnsi="宋体" w:hint="eastAsia"/>
          <w:bCs/>
          <w:sz w:val="24"/>
          <w:lang w:bidi="zh-CN"/>
        </w:rPr>
        <w:t>2</w:t>
      </w:r>
      <w:r>
        <w:rPr>
          <w:rFonts w:ascii="宋体" w:hAnsi="宋体" w:hint="eastAsia"/>
          <w:bCs/>
          <w:sz w:val="24"/>
          <w:lang w:bidi="zh-CN"/>
        </w:rPr>
        <w:t>个工作日内将应交于自来水公司的款项另行直接汇入相关账户该部分款项也包含在本合同总价中，发包人向自来水公司支付的款项即视为发包人向承包人支付了工程款，在包干总价中予以扣除</w:t>
      </w:r>
      <w:r>
        <w:rPr>
          <w:rFonts w:ascii="宋体" w:hAnsi="宋体" w:hint="eastAsia"/>
          <w:bCs/>
          <w:sz w:val="24"/>
          <w:lang w:bidi="zh-CN"/>
        </w:rPr>
        <w:t>;</w:t>
      </w:r>
      <w:r>
        <w:rPr>
          <w:rFonts w:ascii="宋体" w:hAnsi="宋体" w:hint="eastAsia"/>
          <w:bCs/>
          <w:sz w:val="24"/>
          <w:lang w:bidi="zh-CN"/>
        </w:rPr>
        <w:t>合同价款的</w:t>
      </w:r>
      <w:r>
        <w:rPr>
          <w:rFonts w:ascii="宋体" w:hAnsi="宋体" w:hint="eastAsia"/>
          <w:bCs/>
          <w:sz w:val="24"/>
          <w:lang w:bidi="zh-CN"/>
        </w:rPr>
        <w:t>80%</w:t>
      </w:r>
      <w:r>
        <w:rPr>
          <w:rFonts w:ascii="宋体" w:hAnsi="宋体" w:hint="eastAsia"/>
          <w:bCs/>
          <w:sz w:val="24"/>
          <w:lang w:bidi="zh-CN"/>
        </w:rPr>
        <w:t>的剩余款项发包人应汇入承包人指定账户</w:t>
      </w:r>
      <w:r>
        <w:rPr>
          <w:rFonts w:ascii="宋体" w:hAnsi="宋体" w:hint="eastAsia"/>
          <w:bCs/>
          <w:sz w:val="24"/>
          <w:lang w:bidi="zh-CN"/>
        </w:rPr>
        <w:t>);</w:t>
      </w:r>
      <w:r>
        <w:rPr>
          <w:rFonts w:ascii="宋体" w:hAnsi="宋体" w:hint="eastAsia"/>
          <w:bCs/>
          <w:sz w:val="24"/>
          <w:lang w:bidi="zh-CN"/>
        </w:rPr>
        <w:t>完全通水、经相关部门验收合格并办理好一户一表转交自来水公司的手续且结算办理完毕后一个月内支付至结算总价的</w:t>
      </w:r>
      <w:r>
        <w:rPr>
          <w:rFonts w:ascii="宋体" w:hAnsi="宋体" w:hint="eastAsia"/>
          <w:bCs/>
          <w:sz w:val="24"/>
          <w:lang w:bidi="zh-CN"/>
        </w:rPr>
        <w:t>100%</w:t>
      </w:r>
      <w:r>
        <w:rPr>
          <w:rFonts w:ascii="宋体" w:hAnsi="宋体" w:hint="eastAsia"/>
          <w:bCs/>
          <w:sz w:val="24"/>
          <w:lang w:bidi="zh-CN"/>
        </w:rPr>
        <w:t>。目前累计支付合同金额</w:t>
      </w:r>
      <w:r>
        <w:rPr>
          <w:rFonts w:ascii="宋体" w:hAnsi="宋体" w:hint="eastAsia"/>
          <w:bCs/>
          <w:sz w:val="24"/>
          <w:lang w:bidi="zh-CN"/>
        </w:rPr>
        <w:t>285.27</w:t>
      </w:r>
      <w:r>
        <w:rPr>
          <w:rFonts w:ascii="宋体" w:hAnsi="宋体" w:hint="eastAsia"/>
          <w:bCs/>
          <w:sz w:val="24"/>
          <w:lang w:bidi="zh-CN"/>
        </w:rPr>
        <w:t>万元，项目公司计划在</w:t>
      </w:r>
      <w:r>
        <w:rPr>
          <w:rFonts w:ascii="宋体" w:hAnsi="宋体" w:hint="eastAsia"/>
          <w:bCs/>
          <w:sz w:val="24"/>
          <w:lang w:bidi="zh-CN"/>
        </w:rPr>
        <w:t>6</w:t>
      </w:r>
      <w:r>
        <w:rPr>
          <w:rFonts w:ascii="宋体" w:hAnsi="宋体" w:hint="eastAsia"/>
          <w:bCs/>
          <w:sz w:val="24"/>
          <w:lang w:bidi="zh-CN"/>
        </w:rPr>
        <w:t>月份使用银行存款支付该合同的工程款</w:t>
      </w:r>
      <w:r>
        <w:rPr>
          <w:rFonts w:ascii="宋体" w:hAnsi="宋体" w:hint="eastAsia"/>
          <w:bCs/>
          <w:sz w:val="24"/>
          <w:lang w:bidi="zh-CN"/>
        </w:rPr>
        <w:t>298.00</w:t>
      </w:r>
      <w:r>
        <w:rPr>
          <w:rFonts w:ascii="宋体" w:hAnsi="宋体" w:hint="eastAsia"/>
          <w:bCs/>
          <w:sz w:val="24"/>
          <w:lang w:bidi="zh-CN"/>
        </w:rPr>
        <w:t>万元，</w:t>
      </w:r>
      <w:r>
        <w:rPr>
          <w:rFonts w:ascii="宋体" w:hAnsi="宋体" w:hint="eastAsia"/>
          <w:bCs/>
          <w:sz w:val="24"/>
          <w:lang w:bidi="zh-CN"/>
        </w:rPr>
        <w:t>符合合同的规定，该笔计划支付款项合理，在支付时我司根据实</w:t>
      </w:r>
      <w:r>
        <w:rPr>
          <w:rFonts w:ascii="宋体" w:hAnsi="宋体" w:hint="eastAsia"/>
          <w:bCs/>
          <w:sz w:val="24"/>
          <w:lang w:bidi="zh-CN"/>
        </w:rPr>
        <w:lastRenderedPageBreak/>
        <w:t>际情况复核付款的合理性、合规性；</w:t>
      </w:r>
    </w:p>
    <w:p w14:paraId="4A675E3D" w14:textId="77777777"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t>根据项目公司</w:t>
      </w:r>
      <w:r>
        <w:rPr>
          <w:rFonts w:ascii="宋体" w:hAnsi="宋体" w:hint="eastAsia"/>
          <w:bCs/>
          <w:sz w:val="24"/>
          <w:lang w:bidi="zh-CN"/>
        </w:rPr>
        <w:t>2021</w:t>
      </w:r>
      <w:r>
        <w:rPr>
          <w:rFonts w:ascii="宋体" w:hAnsi="宋体" w:hint="eastAsia"/>
          <w:bCs/>
          <w:sz w:val="24"/>
          <w:lang w:bidi="zh-CN"/>
        </w:rPr>
        <w:t>年</w:t>
      </w:r>
      <w:r>
        <w:rPr>
          <w:rFonts w:ascii="宋体" w:hAnsi="宋体" w:hint="eastAsia"/>
          <w:bCs/>
          <w:sz w:val="24"/>
          <w:lang w:bidi="zh-CN"/>
        </w:rPr>
        <w:t>6</w:t>
      </w:r>
      <w:r>
        <w:rPr>
          <w:rFonts w:ascii="宋体" w:hAnsi="宋体" w:hint="eastAsia"/>
          <w:bCs/>
          <w:sz w:val="24"/>
          <w:lang w:bidi="zh-CN"/>
        </w:rPr>
        <w:t>月</w:t>
      </w:r>
      <w:r>
        <w:rPr>
          <w:rFonts w:ascii="宋体" w:hAnsi="宋体" w:hint="eastAsia"/>
          <w:bCs/>
          <w:sz w:val="24"/>
          <w:lang w:bidi="zh-CN"/>
        </w:rPr>
        <w:t>23</w:t>
      </w:r>
      <w:r>
        <w:rPr>
          <w:rFonts w:ascii="宋体" w:hAnsi="宋体" w:hint="eastAsia"/>
          <w:bCs/>
          <w:sz w:val="24"/>
          <w:lang w:bidi="zh-CN"/>
        </w:rPr>
        <w:t>日签订的《正茂望山筑项目边坡、基坑支护建设工程勘察设计合同》，合同总金额为</w:t>
      </w:r>
      <w:r>
        <w:rPr>
          <w:rFonts w:ascii="宋体" w:hAnsi="宋体" w:hint="eastAsia"/>
          <w:bCs/>
          <w:sz w:val="24"/>
          <w:lang w:bidi="zh-CN"/>
        </w:rPr>
        <w:t>19.80</w:t>
      </w:r>
      <w:r>
        <w:rPr>
          <w:rFonts w:ascii="宋体" w:hAnsi="宋体" w:hint="eastAsia"/>
          <w:bCs/>
          <w:sz w:val="24"/>
          <w:lang w:bidi="zh-CN"/>
        </w:rPr>
        <w:t>万元，对方单位：福建省建筑轻纺设计院，目前累计支付合同金额</w:t>
      </w:r>
      <w:r>
        <w:rPr>
          <w:rFonts w:ascii="宋体" w:hAnsi="宋体" w:hint="eastAsia"/>
          <w:bCs/>
          <w:sz w:val="24"/>
          <w:lang w:bidi="zh-CN"/>
        </w:rPr>
        <w:t>0.00</w:t>
      </w:r>
      <w:r>
        <w:rPr>
          <w:rFonts w:ascii="宋体" w:hAnsi="宋体" w:hint="eastAsia"/>
          <w:bCs/>
          <w:sz w:val="24"/>
          <w:lang w:bidi="zh-CN"/>
        </w:rPr>
        <w:t>万元，计划在</w:t>
      </w:r>
      <w:r>
        <w:rPr>
          <w:rFonts w:ascii="宋体" w:hAnsi="宋体" w:hint="eastAsia"/>
          <w:bCs/>
          <w:sz w:val="24"/>
          <w:lang w:bidi="zh-CN"/>
        </w:rPr>
        <w:t>6</w:t>
      </w:r>
      <w:r>
        <w:rPr>
          <w:rFonts w:ascii="宋体" w:hAnsi="宋体" w:hint="eastAsia"/>
          <w:bCs/>
          <w:sz w:val="24"/>
          <w:lang w:bidi="zh-CN"/>
        </w:rPr>
        <w:t>月份使用银行存款支付该合同的工程款</w:t>
      </w:r>
      <w:r>
        <w:rPr>
          <w:rFonts w:ascii="宋体" w:hAnsi="宋体" w:hint="eastAsia"/>
          <w:bCs/>
          <w:sz w:val="24"/>
          <w:lang w:bidi="zh-CN"/>
        </w:rPr>
        <w:t>19.80</w:t>
      </w:r>
      <w:r>
        <w:rPr>
          <w:rFonts w:ascii="宋体" w:hAnsi="宋体" w:hint="eastAsia"/>
          <w:bCs/>
          <w:sz w:val="24"/>
          <w:lang w:bidi="zh-CN"/>
        </w:rPr>
        <w:t>万元，因项目公司未能提供详细的合同及付款进度说明，该笔款项在支付时我司根据实际情况复核付款的合理性、合规性；</w:t>
      </w:r>
    </w:p>
    <w:p w14:paraId="7A972545" w14:textId="77777777" w:rsidR="00DA64A2" w:rsidRDefault="00145317">
      <w:pPr>
        <w:pStyle w:val="af1"/>
        <w:numPr>
          <w:ilvl w:val="0"/>
          <w:numId w:val="2"/>
        </w:numPr>
        <w:spacing w:beforeLines="50" w:before="156" w:afterLines="50" w:after="156" w:line="360" w:lineRule="auto"/>
        <w:ind w:left="0" w:firstLineChars="0" w:firstLine="426"/>
        <w:rPr>
          <w:rFonts w:ascii="宋体" w:hAnsi="宋体"/>
          <w:bCs/>
          <w:sz w:val="24"/>
          <w:lang w:bidi="zh-CN"/>
        </w:rPr>
      </w:pPr>
      <w:r>
        <w:rPr>
          <w:rFonts w:ascii="宋体" w:hAnsi="宋体" w:hint="eastAsia"/>
          <w:bCs/>
          <w:sz w:val="24"/>
          <w:lang w:bidi="zh-CN"/>
        </w:rPr>
        <w:t>根据项目公司</w:t>
      </w:r>
      <w:r>
        <w:rPr>
          <w:rFonts w:ascii="宋体" w:hAnsi="宋体" w:hint="eastAsia"/>
          <w:bCs/>
          <w:sz w:val="24"/>
          <w:lang w:bidi="zh-CN"/>
        </w:rPr>
        <w:t>2021</w:t>
      </w:r>
      <w:r>
        <w:rPr>
          <w:rFonts w:ascii="宋体" w:hAnsi="宋体" w:hint="eastAsia"/>
          <w:bCs/>
          <w:sz w:val="24"/>
          <w:lang w:bidi="zh-CN"/>
        </w:rPr>
        <w:t>年</w:t>
      </w:r>
      <w:r>
        <w:rPr>
          <w:rFonts w:ascii="宋体" w:hAnsi="宋体" w:hint="eastAsia"/>
          <w:bCs/>
          <w:sz w:val="24"/>
          <w:lang w:bidi="zh-CN"/>
        </w:rPr>
        <w:t>8</w:t>
      </w:r>
      <w:r>
        <w:rPr>
          <w:rFonts w:ascii="宋体" w:hAnsi="宋体" w:hint="eastAsia"/>
          <w:bCs/>
          <w:sz w:val="24"/>
          <w:lang w:bidi="zh-CN"/>
        </w:rPr>
        <w:t>月</w:t>
      </w:r>
      <w:r>
        <w:rPr>
          <w:rFonts w:ascii="宋体" w:hAnsi="宋体" w:hint="eastAsia"/>
          <w:bCs/>
          <w:sz w:val="24"/>
          <w:lang w:bidi="zh-CN"/>
        </w:rPr>
        <w:t>23</w:t>
      </w:r>
      <w:r>
        <w:rPr>
          <w:rFonts w:ascii="宋体" w:hAnsi="宋体" w:hint="eastAsia"/>
          <w:bCs/>
          <w:sz w:val="24"/>
          <w:lang w:bidi="zh-CN"/>
        </w:rPr>
        <w:t>日签订的《低压元器件及配电箱供货合同》，合同</w:t>
      </w:r>
      <w:r>
        <w:rPr>
          <w:rFonts w:ascii="宋体" w:hAnsi="宋体" w:hint="eastAsia"/>
          <w:bCs/>
          <w:sz w:val="24"/>
          <w:lang w:bidi="zh-CN"/>
        </w:rPr>
        <w:t>总金额为</w:t>
      </w:r>
      <w:r>
        <w:rPr>
          <w:rFonts w:ascii="宋体" w:hAnsi="宋体" w:hint="eastAsia"/>
          <w:bCs/>
          <w:sz w:val="24"/>
          <w:lang w:bidi="zh-CN"/>
        </w:rPr>
        <w:t>252.78</w:t>
      </w:r>
      <w:r>
        <w:rPr>
          <w:rFonts w:ascii="宋体" w:hAnsi="宋体" w:hint="eastAsia"/>
          <w:bCs/>
          <w:sz w:val="24"/>
          <w:lang w:bidi="zh-CN"/>
        </w:rPr>
        <w:t>万元，对方单位：镇江隽昱电气有限公司，付款方式为：需方在产品交货验收并收到齐全的付款资料之后</w:t>
      </w:r>
      <w:r>
        <w:rPr>
          <w:rFonts w:ascii="宋体" w:hAnsi="宋体" w:hint="eastAsia"/>
          <w:bCs/>
          <w:sz w:val="24"/>
          <w:lang w:bidi="zh-CN"/>
        </w:rPr>
        <w:t>45</w:t>
      </w:r>
      <w:r>
        <w:rPr>
          <w:rFonts w:ascii="宋体" w:hAnsi="宋体" w:hint="eastAsia"/>
          <w:bCs/>
          <w:sz w:val="24"/>
          <w:lang w:bidi="zh-CN"/>
        </w:rPr>
        <w:t>个日历天内支付供方到货总价</w:t>
      </w:r>
      <w:r>
        <w:rPr>
          <w:rFonts w:ascii="宋体" w:hAnsi="宋体" w:hint="eastAsia"/>
          <w:bCs/>
          <w:sz w:val="24"/>
          <w:lang w:bidi="zh-CN"/>
        </w:rPr>
        <w:t>80%</w:t>
      </w:r>
      <w:r>
        <w:rPr>
          <w:rFonts w:ascii="宋体" w:hAnsi="宋体" w:hint="eastAsia"/>
          <w:bCs/>
          <w:sz w:val="24"/>
          <w:lang w:bidi="zh-CN"/>
        </w:rPr>
        <w:t>的到货款；产品通过工程竣工验收并办理完结算手续后，需方于收到齐全的付款资料之后</w:t>
      </w:r>
      <w:r>
        <w:rPr>
          <w:rFonts w:ascii="宋体" w:hAnsi="宋体" w:hint="eastAsia"/>
          <w:bCs/>
          <w:sz w:val="24"/>
          <w:lang w:bidi="zh-CN"/>
        </w:rPr>
        <w:t>45</w:t>
      </w:r>
      <w:r>
        <w:rPr>
          <w:rFonts w:ascii="宋体" w:hAnsi="宋体" w:hint="eastAsia"/>
          <w:bCs/>
          <w:sz w:val="24"/>
          <w:lang w:bidi="zh-CN"/>
        </w:rPr>
        <w:t>个日历天内支付至到货材料总价</w:t>
      </w:r>
      <w:r>
        <w:rPr>
          <w:rFonts w:ascii="宋体" w:hAnsi="宋体" w:hint="eastAsia"/>
          <w:bCs/>
          <w:sz w:val="24"/>
          <w:lang w:bidi="zh-CN"/>
        </w:rPr>
        <w:t>95</w:t>
      </w:r>
      <w:r>
        <w:rPr>
          <w:rFonts w:ascii="宋体" w:hAnsi="宋体" w:hint="eastAsia"/>
          <w:bCs/>
          <w:sz w:val="24"/>
          <w:lang w:bidi="zh-CN"/>
        </w:rPr>
        <w:t>％的到货款给供方；剩余结算总价的</w:t>
      </w:r>
      <w:r>
        <w:rPr>
          <w:rFonts w:ascii="宋体" w:hAnsi="宋体" w:hint="eastAsia"/>
          <w:bCs/>
          <w:sz w:val="24"/>
          <w:lang w:bidi="zh-CN"/>
        </w:rPr>
        <w:t>5%</w:t>
      </w:r>
      <w:r>
        <w:rPr>
          <w:rFonts w:ascii="宋体" w:hAnsi="宋体" w:hint="eastAsia"/>
          <w:bCs/>
          <w:sz w:val="24"/>
          <w:lang w:bidi="zh-CN"/>
        </w:rPr>
        <w:t>将作为工程质量保修金。目前累计支付合同金额</w:t>
      </w:r>
      <w:r>
        <w:rPr>
          <w:rFonts w:ascii="宋体" w:hAnsi="宋体" w:hint="eastAsia"/>
          <w:bCs/>
          <w:sz w:val="24"/>
          <w:lang w:bidi="zh-CN"/>
        </w:rPr>
        <w:t>37.46</w:t>
      </w:r>
      <w:r>
        <w:rPr>
          <w:rFonts w:ascii="宋体" w:hAnsi="宋体" w:hint="eastAsia"/>
          <w:bCs/>
          <w:sz w:val="24"/>
          <w:lang w:bidi="zh-CN"/>
        </w:rPr>
        <w:t>万元，项目公司计划在</w:t>
      </w:r>
      <w:r>
        <w:rPr>
          <w:rFonts w:ascii="宋体" w:hAnsi="宋体" w:hint="eastAsia"/>
          <w:bCs/>
          <w:sz w:val="24"/>
          <w:lang w:bidi="zh-CN"/>
        </w:rPr>
        <w:t>6</w:t>
      </w:r>
      <w:r>
        <w:rPr>
          <w:rFonts w:ascii="宋体" w:hAnsi="宋体" w:hint="eastAsia"/>
          <w:bCs/>
          <w:sz w:val="24"/>
          <w:lang w:bidi="zh-CN"/>
        </w:rPr>
        <w:t>月份使用银行存款支付该合同的工程款</w:t>
      </w:r>
      <w:r>
        <w:rPr>
          <w:rFonts w:ascii="宋体" w:hAnsi="宋体" w:hint="eastAsia"/>
          <w:bCs/>
          <w:sz w:val="24"/>
          <w:lang w:bidi="zh-CN"/>
        </w:rPr>
        <w:t>150.00</w:t>
      </w:r>
      <w:r>
        <w:rPr>
          <w:rFonts w:ascii="宋体" w:hAnsi="宋体" w:hint="eastAsia"/>
          <w:bCs/>
          <w:sz w:val="24"/>
          <w:lang w:bidi="zh-CN"/>
        </w:rPr>
        <w:t>万元，因项目公司未能提供详细的付款进度说明，该笔款项在支付时我司根据实际情况复核付款的合理性、</w:t>
      </w:r>
      <w:r>
        <w:rPr>
          <w:rFonts w:ascii="宋体" w:hAnsi="宋体" w:hint="eastAsia"/>
          <w:bCs/>
          <w:sz w:val="24"/>
          <w:lang w:bidi="zh-CN"/>
        </w:rPr>
        <w:t>合规性；</w:t>
      </w:r>
    </w:p>
    <w:p w14:paraId="137DC37A" w14:textId="77777777" w:rsidR="00DA64A2" w:rsidRDefault="00145317">
      <w:pPr>
        <w:spacing w:beforeLines="50" w:before="156" w:afterLines="50" w:after="156" w:line="360" w:lineRule="auto"/>
        <w:ind w:firstLineChars="300" w:firstLine="720"/>
        <w:rPr>
          <w:rFonts w:ascii="宋体" w:hAnsi="宋体"/>
          <w:sz w:val="24"/>
          <w:lang w:bidi="zh-CN"/>
        </w:rPr>
      </w:pPr>
      <w:r>
        <w:rPr>
          <w:rFonts w:ascii="宋体" w:hAnsi="宋体" w:hint="eastAsia"/>
          <w:sz w:val="24"/>
          <w:lang w:bidi="zh-CN"/>
        </w:rPr>
        <w:t>经审核，</w:t>
      </w:r>
      <w:r>
        <w:rPr>
          <w:rFonts w:ascii="宋体" w:hAnsi="宋体" w:hint="eastAsia"/>
          <w:sz w:val="24"/>
        </w:rPr>
        <w:t>根据项目公司提供的资金计划表，上述计划支付内容与计划开发进度基本相符，</w:t>
      </w:r>
      <w:r>
        <w:rPr>
          <w:rFonts w:ascii="宋体" w:hAnsi="宋体" w:hint="eastAsia"/>
          <w:sz w:val="24"/>
          <w:lang w:bidi="zh-CN"/>
        </w:rPr>
        <w:t>我司认为</w:t>
      </w:r>
      <w:r>
        <w:rPr>
          <w:rFonts w:ascii="宋体" w:hAnsi="宋体" w:hint="eastAsia"/>
          <w:sz w:val="24"/>
          <w:lang w:bidi="zh-CN"/>
        </w:rPr>
        <w:t>6</w:t>
      </w:r>
      <w:r>
        <w:rPr>
          <w:rFonts w:ascii="宋体" w:hAnsi="宋体" w:hint="eastAsia"/>
          <w:sz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14:paraId="5AC0D917" w14:textId="77777777" w:rsidR="00DA64A2" w:rsidRDefault="00145317">
      <w:pPr>
        <w:spacing w:beforeLines="50" w:before="156" w:afterLines="50" w:after="156" w:line="360" w:lineRule="auto"/>
        <w:rPr>
          <w:rFonts w:ascii="宋体" w:hAnsi="宋体"/>
          <w:b/>
          <w:bCs/>
          <w:sz w:val="24"/>
          <w:lang w:bidi="zh-CN"/>
        </w:rPr>
      </w:pPr>
      <w:r>
        <w:rPr>
          <w:rFonts w:ascii="宋体" w:hAnsi="宋体" w:hint="eastAsia"/>
          <w:b/>
          <w:bCs/>
          <w:sz w:val="24"/>
          <w:lang w:bidi="zh-CN"/>
        </w:rPr>
        <w:t>（二）销售费用资金支出计划说明</w:t>
      </w:r>
    </w:p>
    <w:p w14:paraId="335522EB" w14:textId="77777777" w:rsidR="00DA64A2" w:rsidRDefault="00145317">
      <w:pPr>
        <w:spacing w:beforeLines="50" w:before="156" w:afterLines="50" w:after="156" w:line="360" w:lineRule="auto"/>
        <w:ind w:firstLineChars="200" w:firstLine="480"/>
        <w:rPr>
          <w:rFonts w:ascii="宋体" w:hAnsi="宋体"/>
          <w:sz w:val="24"/>
        </w:rPr>
      </w:pPr>
      <w:r>
        <w:rPr>
          <w:rFonts w:ascii="宋体" w:hAnsi="宋体" w:hint="eastAsia"/>
          <w:sz w:val="24"/>
        </w:rPr>
        <w:t>项目公司计划</w:t>
      </w:r>
      <w:r>
        <w:rPr>
          <w:rFonts w:ascii="宋体" w:hAnsi="宋体" w:hint="eastAsia"/>
          <w:sz w:val="24"/>
        </w:rPr>
        <w:t>2022</w:t>
      </w:r>
      <w:r>
        <w:rPr>
          <w:rFonts w:ascii="宋体" w:hAnsi="宋体" w:hint="eastAsia"/>
          <w:sz w:val="24"/>
        </w:rPr>
        <w:t>年</w:t>
      </w:r>
      <w:r>
        <w:rPr>
          <w:rFonts w:ascii="宋体" w:hAnsi="宋体" w:hint="eastAsia"/>
          <w:sz w:val="24"/>
        </w:rPr>
        <w:t>6</w:t>
      </w:r>
      <w:r>
        <w:rPr>
          <w:rFonts w:ascii="宋体" w:hAnsi="宋体" w:hint="eastAsia"/>
          <w:sz w:val="24"/>
        </w:rPr>
        <w:t>月的销售费用支出金额共计</w:t>
      </w:r>
      <w:r>
        <w:rPr>
          <w:rFonts w:ascii="宋体" w:hAnsi="宋体" w:hint="eastAsia"/>
          <w:sz w:val="24"/>
        </w:rPr>
        <w:t>724.22</w:t>
      </w:r>
      <w:r>
        <w:rPr>
          <w:rFonts w:ascii="宋体" w:hAnsi="宋体" w:hint="eastAsia"/>
          <w:sz w:val="24"/>
        </w:rPr>
        <w:t>万元，具体分析如下：</w:t>
      </w:r>
    </w:p>
    <w:p w14:paraId="642969DC" w14:textId="77777777" w:rsidR="00DA64A2" w:rsidRDefault="00145317">
      <w:pPr>
        <w:pStyle w:val="af1"/>
        <w:numPr>
          <w:ilvl w:val="0"/>
          <w:numId w:val="3"/>
        </w:numPr>
        <w:spacing w:beforeLines="50" w:before="156" w:afterLines="50" w:after="156" w:line="360" w:lineRule="auto"/>
        <w:ind w:firstLineChars="177" w:firstLine="425"/>
        <w:rPr>
          <w:rFonts w:ascii="宋体" w:hAnsi="宋体"/>
          <w:bCs/>
          <w:sz w:val="24"/>
          <w:lang w:bidi="zh-CN"/>
        </w:rPr>
      </w:pPr>
      <w:r>
        <w:rPr>
          <w:rFonts w:ascii="宋体" w:hAnsi="宋体" w:hint="eastAsia"/>
          <w:bCs/>
          <w:sz w:val="24"/>
          <w:lang w:bidi="zh-CN"/>
        </w:rPr>
        <w:t>根据</w:t>
      </w:r>
      <w:r>
        <w:rPr>
          <w:rFonts w:ascii="宋体" w:hAnsi="宋体" w:hint="eastAsia"/>
          <w:bCs/>
          <w:sz w:val="24"/>
          <w:lang w:bidi="zh-CN"/>
        </w:rPr>
        <w:t>项目公司</w:t>
      </w:r>
      <w:r>
        <w:rPr>
          <w:rFonts w:ascii="宋体" w:hAnsi="宋体" w:hint="eastAsia"/>
          <w:bCs/>
          <w:sz w:val="24"/>
          <w:lang w:bidi="zh-CN"/>
        </w:rPr>
        <w:t>202</w:t>
      </w:r>
      <w:r>
        <w:rPr>
          <w:rFonts w:ascii="宋体" w:hAnsi="宋体" w:hint="eastAsia"/>
          <w:bCs/>
          <w:sz w:val="24"/>
          <w:lang w:bidi="zh-CN"/>
        </w:rPr>
        <w:t>0</w:t>
      </w:r>
      <w:r>
        <w:rPr>
          <w:rFonts w:ascii="宋体" w:hAnsi="宋体" w:hint="eastAsia"/>
          <w:bCs/>
          <w:sz w:val="24"/>
          <w:lang w:bidi="zh-CN"/>
        </w:rPr>
        <w:t>年</w:t>
      </w:r>
      <w:r>
        <w:rPr>
          <w:rFonts w:ascii="宋体" w:hAnsi="宋体" w:hint="eastAsia"/>
          <w:bCs/>
          <w:sz w:val="24"/>
          <w:lang w:bidi="zh-CN"/>
        </w:rPr>
        <w:t>9</w:t>
      </w:r>
      <w:r>
        <w:rPr>
          <w:rFonts w:ascii="宋体" w:hAnsi="宋体" w:hint="eastAsia"/>
          <w:bCs/>
          <w:sz w:val="24"/>
          <w:lang w:bidi="zh-CN"/>
        </w:rPr>
        <w:t>月</w:t>
      </w:r>
      <w:r>
        <w:rPr>
          <w:rFonts w:ascii="宋体" w:hAnsi="宋体" w:hint="eastAsia"/>
          <w:bCs/>
          <w:sz w:val="24"/>
          <w:lang w:bidi="zh-CN"/>
        </w:rPr>
        <w:t>1</w:t>
      </w:r>
      <w:r>
        <w:rPr>
          <w:rFonts w:ascii="宋体" w:hAnsi="宋体" w:hint="eastAsia"/>
          <w:bCs/>
          <w:sz w:val="24"/>
          <w:lang w:bidi="zh-CN"/>
        </w:rPr>
        <w:t>日签订的</w:t>
      </w:r>
      <w:r>
        <w:rPr>
          <w:rFonts w:ascii="宋体" w:hAnsi="宋体" w:hint="eastAsia"/>
          <w:bCs/>
          <w:sz w:val="24"/>
          <w:lang w:bidi="zh-CN"/>
        </w:rPr>
        <w:t>《正茂望山筑营销中心服务委托协》，协议暂定总额</w:t>
      </w:r>
      <w:r>
        <w:rPr>
          <w:rFonts w:ascii="宋体" w:hAnsi="宋体" w:hint="eastAsia"/>
          <w:bCs/>
          <w:sz w:val="24"/>
          <w:lang w:bidi="zh-CN"/>
        </w:rPr>
        <w:t>165.58</w:t>
      </w:r>
      <w:r>
        <w:rPr>
          <w:rFonts w:ascii="宋体" w:hAnsi="宋体" w:hint="eastAsia"/>
          <w:bCs/>
          <w:sz w:val="24"/>
          <w:lang w:bidi="zh-CN"/>
        </w:rPr>
        <w:t>万元（案场物业服务费为</w:t>
      </w:r>
      <w:r>
        <w:rPr>
          <w:rFonts w:ascii="宋体" w:hAnsi="宋体" w:hint="eastAsia"/>
          <w:bCs/>
          <w:sz w:val="24"/>
          <w:lang w:bidi="zh-CN"/>
        </w:rPr>
        <w:t>11.19</w:t>
      </w:r>
      <w:r>
        <w:rPr>
          <w:rFonts w:ascii="宋体" w:hAnsi="宋体" w:hint="eastAsia"/>
          <w:bCs/>
          <w:sz w:val="24"/>
          <w:lang w:bidi="zh-CN"/>
        </w:rPr>
        <w:t>万元</w:t>
      </w:r>
      <w:r>
        <w:rPr>
          <w:rFonts w:ascii="宋体" w:hAnsi="宋体" w:hint="eastAsia"/>
          <w:bCs/>
          <w:sz w:val="24"/>
          <w:lang w:bidi="zh-CN"/>
        </w:rPr>
        <w:t>/</w:t>
      </w:r>
      <w:r>
        <w:rPr>
          <w:rFonts w:ascii="宋体" w:hAnsi="宋体" w:hint="eastAsia"/>
          <w:bCs/>
          <w:sz w:val="24"/>
          <w:lang w:bidi="zh-CN"/>
        </w:rPr>
        <w:t>月，</w:t>
      </w:r>
      <w:r>
        <w:rPr>
          <w:rFonts w:ascii="宋体" w:hAnsi="宋体" w:hint="eastAsia"/>
          <w:bCs/>
          <w:sz w:val="24"/>
          <w:lang w:bidi="zh-CN"/>
        </w:rPr>
        <w:t>12</w:t>
      </w:r>
      <w:r>
        <w:rPr>
          <w:rFonts w:ascii="宋体" w:hAnsi="宋体" w:hint="eastAsia"/>
          <w:bCs/>
          <w:sz w:val="24"/>
          <w:lang w:bidi="zh-CN"/>
        </w:rPr>
        <w:t>个月，小计</w:t>
      </w:r>
      <w:r>
        <w:rPr>
          <w:rFonts w:ascii="宋体" w:hAnsi="宋体" w:hint="eastAsia"/>
          <w:bCs/>
          <w:sz w:val="24"/>
          <w:lang w:bidi="zh-CN"/>
        </w:rPr>
        <w:t>134.33</w:t>
      </w:r>
      <w:r>
        <w:rPr>
          <w:rFonts w:ascii="宋体" w:hAnsi="宋体" w:hint="eastAsia"/>
          <w:bCs/>
          <w:sz w:val="24"/>
          <w:lang w:bidi="zh-CN"/>
        </w:rPr>
        <w:t>万元；月需易耗费用</w:t>
      </w:r>
      <w:r>
        <w:rPr>
          <w:rFonts w:ascii="宋体" w:hAnsi="宋体" w:hint="eastAsia"/>
          <w:bCs/>
          <w:sz w:val="24"/>
          <w:lang w:bidi="zh-CN"/>
        </w:rPr>
        <w:t>0.65</w:t>
      </w:r>
      <w:r>
        <w:rPr>
          <w:rFonts w:ascii="宋体" w:hAnsi="宋体" w:hint="eastAsia"/>
          <w:bCs/>
          <w:sz w:val="24"/>
          <w:lang w:bidi="zh-CN"/>
        </w:rPr>
        <w:t>万元</w:t>
      </w:r>
      <w:r>
        <w:rPr>
          <w:rFonts w:ascii="宋体" w:hAnsi="宋体" w:hint="eastAsia"/>
          <w:bCs/>
          <w:sz w:val="24"/>
          <w:lang w:bidi="zh-CN"/>
        </w:rPr>
        <w:t>/</w:t>
      </w:r>
      <w:r>
        <w:rPr>
          <w:rFonts w:ascii="宋体" w:hAnsi="宋体" w:hint="eastAsia"/>
          <w:bCs/>
          <w:sz w:val="24"/>
          <w:lang w:bidi="zh-CN"/>
        </w:rPr>
        <w:t>月，</w:t>
      </w:r>
      <w:r>
        <w:rPr>
          <w:rFonts w:ascii="宋体" w:hAnsi="宋体" w:hint="eastAsia"/>
          <w:bCs/>
          <w:sz w:val="24"/>
          <w:lang w:bidi="zh-CN"/>
        </w:rPr>
        <w:t>12</w:t>
      </w:r>
      <w:r>
        <w:rPr>
          <w:rFonts w:ascii="宋体" w:hAnsi="宋体" w:hint="eastAsia"/>
          <w:bCs/>
          <w:sz w:val="24"/>
          <w:lang w:bidi="zh-CN"/>
        </w:rPr>
        <w:t>个月，小计</w:t>
      </w:r>
      <w:r>
        <w:rPr>
          <w:rFonts w:ascii="宋体" w:hAnsi="宋体" w:hint="eastAsia"/>
          <w:bCs/>
          <w:sz w:val="24"/>
          <w:lang w:bidi="zh-CN"/>
        </w:rPr>
        <w:t>7.80</w:t>
      </w:r>
      <w:r>
        <w:rPr>
          <w:rFonts w:ascii="宋体" w:hAnsi="宋体" w:hint="eastAsia"/>
          <w:bCs/>
          <w:sz w:val="24"/>
          <w:lang w:bidi="zh-CN"/>
        </w:rPr>
        <w:t>万元；委托代采费用</w:t>
      </w:r>
      <w:r>
        <w:rPr>
          <w:rFonts w:ascii="宋体" w:hAnsi="宋体" w:hint="eastAsia"/>
          <w:bCs/>
          <w:sz w:val="24"/>
          <w:lang w:bidi="zh-CN"/>
        </w:rPr>
        <w:t>11.61</w:t>
      </w:r>
      <w:r>
        <w:rPr>
          <w:rFonts w:ascii="宋体" w:hAnsi="宋体" w:hint="eastAsia"/>
          <w:bCs/>
          <w:sz w:val="24"/>
          <w:lang w:bidi="zh-CN"/>
        </w:rPr>
        <w:t>万元；案场开办费用</w:t>
      </w:r>
      <w:r>
        <w:rPr>
          <w:rFonts w:ascii="宋体" w:hAnsi="宋体" w:hint="eastAsia"/>
          <w:bCs/>
          <w:sz w:val="24"/>
          <w:lang w:bidi="zh-CN"/>
        </w:rPr>
        <w:t>11.84</w:t>
      </w:r>
      <w:r>
        <w:rPr>
          <w:rFonts w:ascii="宋体" w:hAnsi="宋体" w:hint="eastAsia"/>
          <w:bCs/>
          <w:sz w:val="24"/>
          <w:lang w:bidi="zh-CN"/>
        </w:rPr>
        <w:t>万元），目前累计支付</w:t>
      </w:r>
      <w:r>
        <w:rPr>
          <w:rFonts w:ascii="宋体" w:hAnsi="宋体" w:hint="eastAsia"/>
          <w:bCs/>
          <w:sz w:val="24"/>
          <w:lang w:bidi="zh-CN"/>
        </w:rPr>
        <w:t>43.28</w:t>
      </w:r>
      <w:r>
        <w:rPr>
          <w:rFonts w:ascii="宋体" w:hAnsi="宋体" w:hint="eastAsia"/>
          <w:bCs/>
          <w:sz w:val="24"/>
          <w:lang w:bidi="zh-CN"/>
        </w:rPr>
        <w:t>万元，</w:t>
      </w:r>
      <w:r>
        <w:rPr>
          <w:rFonts w:ascii="宋体" w:hAnsi="宋体" w:hint="eastAsia"/>
          <w:bCs/>
          <w:sz w:val="24"/>
          <w:lang w:bidi="zh-CN"/>
        </w:rPr>
        <w:t>项目公司计划在</w:t>
      </w:r>
      <w:r>
        <w:rPr>
          <w:rFonts w:ascii="宋体" w:hAnsi="宋体" w:hint="eastAsia"/>
          <w:bCs/>
          <w:sz w:val="24"/>
          <w:lang w:bidi="zh-CN"/>
        </w:rPr>
        <w:t>6</w:t>
      </w:r>
      <w:r>
        <w:rPr>
          <w:rFonts w:ascii="宋体" w:hAnsi="宋体" w:hint="eastAsia"/>
          <w:bCs/>
          <w:sz w:val="24"/>
          <w:lang w:bidi="zh-CN"/>
        </w:rPr>
        <w:t>月份使用银行存款支付</w:t>
      </w:r>
      <w:r>
        <w:rPr>
          <w:rFonts w:ascii="宋体" w:hAnsi="宋体" w:hint="eastAsia"/>
          <w:bCs/>
          <w:sz w:val="24"/>
          <w:lang w:bidi="zh-CN"/>
        </w:rPr>
        <w:t>2020</w:t>
      </w:r>
      <w:r>
        <w:rPr>
          <w:rFonts w:ascii="宋体" w:hAnsi="宋体" w:hint="eastAsia"/>
          <w:bCs/>
          <w:sz w:val="24"/>
          <w:lang w:bidi="zh-CN"/>
        </w:rPr>
        <w:t>年</w:t>
      </w:r>
      <w:r>
        <w:rPr>
          <w:rFonts w:ascii="宋体" w:hAnsi="宋体" w:hint="eastAsia"/>
          <w:bCs/>
          <w:sz w:val="24"/>
          <w:lang w:bidi="zh-CN"/>
        </w:rPr>
        <w:t>12</w:t>
      </w:r>
      <w:r>
        <w:rPr>
          <w:rFonts w:ascii="宋体" w:hAnsi="宋体" w:hint="eastAsia"/>
          <w:bCs/>
          <w:sz w:val="24"/>
          <w:lang w:bidi="zh-CN"/>
        </w:rPr>
        <w:t>月</w:t>
      </w:r>
      <w:r>
        <w:rPr>
          <w:rFonts w:ascii="宋体" w:hAnsi="宋体" w:hint="eastAsia"/>
          <w:bCs/>
          <w:sz w:val="24"/>
          <w:lang w:bidi="zh-CN"/>
        </w:rPr>
        <w:t>-2021</w:t>
      </w:r>
      <w:r>
        <w:rPr>
          <w:rFonts w:ascii="宋体" w:hAnsi="宋体" w:hint="eastAsia"/>
          <w:bCs/>
          <w:sz w:val="24"/>
          <w:lang w:bidi="zh-CN"/>
        </w:rPr>
        <w:t>年</w:t>
      </w:r>
      <w:r>
        <w:rPr>
          <w:rFonts w:ascii="宋体" w:hAnsi="宋体" w:hint="eastAsia"/>
          <w:bCs/>
          <w:sz w:val="24"/>
          <w:lang w:bidi="zh-CN"/>
        </w:rPr>
        <w:t>9</w:t>
      </w:r>
      <w:r>
        <w:rPr>
          <w:rFonts w:ascii="宋体" w:hAnsi="宋体" w:hint="eastAsia"/>
          <w:bCs/>
          <w:sz w:val="24"/>
          <w:lang w:bidi="zh-CN"/>
        </w:rPr>
        <w:t>月</w:t>
      </w:r>
      <w:r>
        <w:rPr>
          <w:rFonts w:ascii="宋体" w:hAnsi="宋体" w:hint="eastAsia"/>
          <w:bCs/>
          <w:sz w:val="24"/>
          <w:lang w:bidi="zh-CN"/>
        </w:rPr>
        <w:t>案场物业</w:t>
      </w:r>
      <w:r>
        <w:rPr>
          <w:rFonts w:ascii="宋体" w:hAnsi="宋体" w:hint="eastAsia"/>
          <w:bCs/>
          <w:sz w:val="24"/>
          <w:lang w:bidi="zh-CN"/>
        </w:rPr>
        <w:t>服务费</w:t>
      </w:r>
      <w:r>
        <w:rPr>
          <w:rFonts w:ascii="宋体" w:hAnsi="宋体" w:hint="eastAsia"/>
          <w:bCs/>
          <w:sz w:val="24"/>
          <w:lang w:bidi="zh-CN"/>
        </w:rPr>
        <w:t>114.00</w:t>
      </w:r>
      <w:r>
        <w:rPr>
          <w:rFonts w:ascii="宋体" w:hAnsi="宋体" w:hint="eastAsia"/>
          <w:bCs/>
          <w:sz w:val="24"/>
          <w:lang w:bidi="zh-CN"/>
        </w:rPr>
        <w:t>万元，实际支付时我司根据实际情况复核付款的合理性、合规性；</w:t>
      </w:r>
    </w:p>
    <w:p w14:paraId="23CF0A9E" w14:textId="77777777" w:rsidR="00DA64A2" w:rsidRDefault="00145317">
      <w:pPr>
        <w:pStyle w:val="af1"/>
        <w:numPr>
          <w:ilvl w:val="0"/>
          <w:numId w:val="3"/>
        </w:numPr>
        <w:spacing w:beforeLines="50" w:before="156" w:afterLines="50" w:after="156" w:line="360" w:lineRule="auto"/>
        <w:ind w:firstLineChars="177" w:firstLine="425"/>
        <w:rPr>
          <w:rFonts w:ascii="宋体" w:hAnsi="宋体"/>
          <w:bCs/>
          <w:sz w:val="24"/>
          <w:lang w:bidi="zh-CN"/>
        </w:rPr>
      </w:pPr>
      <w:r>
        <w:rPr>
          <w:rFonts w:ascii="宋体" w:hAnsi="宋体" w:hint="eastAsia"/>
          <w:bCs/>
          <w:sz w:val="24"/>
          <w:lang w:bidi="zh-CN"/>
        </w:rPr>
        <w:lastRenderedPageBreak/>
        <w:t>项目公司计划在</w:t>
      </w:r>
      <w:r>
        <w:rPr>
          <w:rFonts w:ascii="宋体" w:hAnsi="宋体" w:hint="eastAsia"/>
          <w:bCs/>
          <w:sz w:val="24"/>
          <w:lang w:bidi="zh-CN"/>
        </w:rPr>
        <w:t>6</w:t>
      </w:r>
      <w:r>
        <w:rPr>
          <w:rFonts w:ascii="宋体" w:hAnsi="宋体" w:hint="eastAsia"/>
          <w:bCs/>
          <w:sz w:val="24"/>
          <w:lang w:bidi="zh-CN"/>
        </w:rPr>
        <w:t>月份</w:t>
      </w:r>
      <w:r>
        <w:rPr>
          <w:rFonts w:ascii="宋体" w:hAnsi="宋体" w:hint="eastAsia"/>
          <w:bCs/>
          <w:sz w:val="24"/>
          <w:lang w:bidi="zh-CN"/>
        </w:rPr>
        <w:t>使用银行存款支付案场开办费</w:t>
      </w:r>
      <w:r>
        <w:rPr>
          <w:rFonts w:ascii="宋体" w:hAnsi="宋体" w:hint="eastAsia"/>
          <w:bCs/>
          <w:sz w:val="24"/>
          <w:lang w:bidi="zh-CN"/>
        </w:rPr>
        <w:t>10.22</w:t>
      </w:r>
      <w:r>
        <w:rPr>
          <w:rFonts w:ascii="宋体" w:hAnsi="宋体" w:hint="eastAsia"/>
          <w:bCs/>
          <w:sz w:val="24"/>
          <w:lang w:bidi="zh-CN"/>
        </w:rPr>
        <w:t>万元，因项目公司提交资金计</w:t>
      </w:r>
      <w:r>
        <w:rPr>
          <w:rFonts w:ascii="宋体" w:hAnsi="宋体" w:hint="eastAsia"/>
          <w:bCs/>
          <w:sz w:val="24"/>
          <w:lang w:bidi="zh-CN"/>
        </w:rPr>
        <w:t>划时资料不全，实际支付时我司根据实际情况复核付款的合理性、合规性；</w:t>
      </w:r>
    </w:p>
    <w:p w14:paraId="58D7263D" w14:textId="77777777" w:rsidR="00DA64A2" w:rsidRDefault="00145317">
      <w:pPr>
        <w:pStyle w:val="af1"/>
        <w:numPr>
          <w:ilvl w:val="0"/>
          <w:numId w:val="3"/>
        </w:numPr>
        <w:spacing w:beforeLines="50" w:before="156" w:afterLines="50" w:after="156" w:line="360" w:lineRule="auto"/>
        <w:ind w:firstLineChars="177" w:firstLine="425"/>
        <w:rPr>
          <w:rFonts w:ascii="宋体" w:hAnsi="宋体"/>
          <w:bCs/>
          <w:sz w:val="24"/>
          <w:lang w:bidi="zh-CN"/>
        </w:rPr>
      </w:pPr>
      <w:r>
        <w:rPr>
          <w:rFonts w:ascii="宋体" w:hAnsi="宋体" w:hint="eastAsia"/>
          <w:bCs/>
          <w:sz w:val="24"/>
          <w:lang w:bidi="zh-CN"/>
        </w:rPr>
        <w:t>由于</w:t>
      </w:r>
      <w:r>
        <w:rPr>
          <w:rFonts w:ascii="宋体" w:hAnsi="宋体" w:hint="eastAsia"/>
          <w:bCs/>
          <w:sz w:val="24"/>
          <w:lang w:bidi="zh-CN"/>
        </w:rPr>
        <w:t>3</w:t>
      </w:r>
      <w:r>
        <w:rPr>
          <w:rFonts w:ascii="宋体" w:hAnsi="宋体" w:hint="eastAsia"/>
          <w:bCs/>
          <w:sz w:val="24"/>
          <w:lang w:bidi="zh-CN"/>
        </w:rPr>
        <w:t>、</w:t>
      </w:r>
      <w:r>
        <w:rPr>
          <w:rFonts w:ascii="宋体" w:hAnsi="宋体" w:hint="eastAsia"/>
          <w:bCs/>
          <w:sz w:val="24"/>
          <w:lang w:bidi="zh-CN"/>
        </w:rPr>
        <w:t>4</w:t>
      </w:r>
      <w:r>
        <w:rPr>
          <w:rFonts w:ascii="宋体" w:hAnsi="宋体" w:hint="eastAsia"/>
          <w:bCs/>
          <w:sz w:val="24"/>
          <w:lang w:bidi="zh-CN"/>
        </w:rPr>
        <w:t>、</w:t>
      </w:r>
      <w:r>
        <w:rPr>
          <w:rFonts w:ascii="宋体" w:hAnsi="宋体" w:hint="eastAsia"/>
          <w:bCs/>
          <w:sz w:val="24"/>
          <w:lang w:bidi="zh-CN"/>
        </w:rPr>
        <w:t>5</w:t>
      </w:r>
      <w:r>
        <w:rPr>
          <w:rFonts w:ascii="宋体" w:hAnsi="宋体" w:hint="eastAsia"/>
          <w:bCs/>
          <w:sz w:val="24"/>
          <w:lang w:bidi="zh-CN"/>
        </w:rPr>
        <w:t>月费用未完全支付，预计本期支付工资社保费用、职工福利费、企划费用、佣金共</w:t>
      </w:r>
      <w:r>
        <w:rPr>
          <w:rFonts w:ascii="宋体" w:hAnsi="宋体" w:hint="eastAsia"/>
          <w:bCs/>
          <w:sz w:val="24"/>
          <w:lang w:bidi="zh-CN"/>
        </w:rPr>
        <w:t>600.00</w:t>
      </w:r>
      <w:r>
        <w:rPr>
          <w:rFonts w:ascii="宋体" w:hAnsi="宋体" w:hint="eastAsia"/>
          <w:bCs/>
          <w:sz w:val="24"/>
          <w:lang w:bidi="zh-CN"/>
        </w:rPr>
        <w:t>万元。</w:t>
      </w:r>
    </w:p>
    <w:p w14:paraId="50E2E001" w14:textId="77777777" w:rsidR="00DA64A2" w:rsidRDefault="00145317">
      <w:pPr>
        <w:spacing w:beforeLines="50" w:before="156" w:afterLines="50" w:after="156" w:line="360" w:lineRule="auto"/>
        <w:ind w:firstLineChars="200" w:firstLine="480"/>
        <w:rPr>
          <w:rFonts w:ascii="宋体" w:hAnsi="宋体"/>
          <w:sz w:val="24"/>
        </w:rPr>
      </w:pPr>
      <w:r>
        <w:rPr>
          <w:rFonts w:ascii="宋体" w:hAnsi="宋体" w:hint="eastAsia"/>
          <w:bCs/>
          <w:sz w:val="24"/>
          <w:lang w:bidi="zh-CN"/>
        </w:rPr>
        <w:t>项目公司营销计划及人员工作计划尚未排定，届时将根据实际人员安排进行支付</w:t>
      </w:r>
      <w:r>
        <w:rPr>
          <w:rFonts w:ascii="宋体" w:hAnsi="宋体" w:hint="eastAsia"/>
          <w:sz w:val="24"/>
          <w:lang w:bidi="zh-CN"/>
        </w:rPr>
        <w:t>相应费用</w:t>
      </w:r>
      <w:r>
        <w:rPr>
          <w:rFonts w:ascii="宋体" w:hAnsi="宋体"/>
          <w:sz w:val="24"/>
          <w:lang w:bidi="zh-CN"/>
        </w:rPr>
        <w:t>，</w:t>
      </w:r>
      <w:r>
        <w:rPr>
          <w:rFonts w:ascii="宋体" w:hAnsi="宋体" w:hint="eastAsia"/>
          <w:sz w:val="24"/>
        </w:rPr>
        <w:t>后期申请</w:t>
      </w:r>
      <w:r>
        <w:rPr>
          <w:rFonts w:ascii="宋体" w:hAnsi="宋体"/>
          <w:sz w:val="24"/>
        </w:rPr>
        <w:t>相关款项</w:t>
      </w:r>
      <w:r>
        <w:rPr>
          <w:rFonts w:ascii="宋体" w:hAnsi="宋体"/>
          <w:sz w:val="24"/>
          <w:lang w:bidi="zh-CN"/>
        </w:rPr>
        <w:t>支付时，我司会对付款申请、发票、流程、合同等依据进行审核，严格把控，确保资金支付合理、合规。</w:t>
      </w:r>
    </w:p>
    <w:p w14:paraId="2AB86B25" w14:textId="77777777" w:rsidR="00DA64A2" w:rsidRDefault="00145317">
      <w:pPr>
        <w:spacing w:beforeLines="50" w:before="156" w:afterLines="50" w:after="156" w:line="360" w:lineRule="auto"/>
        <w:rPr>
          <w:rFonts w:ascii="宋体" w:hAnsi="宋体"/>
          <w:b/>
          <w:bCs/>
          <w:sz w:val="24"/>
          <w:lang w:bidi="zh-CN"/>
        </w:rPr>
      </w:pPr>
      <w:r>
        <w:rPr>
          <w:rFonts w:ascii="宋体" w:hAnsi="宋体" w:hint="eastAsia"/>
          <w:b/>
          <w:bCs/>
          <w:sz w:val="24"/>
          <w:lang w:bidi="zh-CN"/>
        </w:rPr>
        <w:t>（三）管理费用资金支出计划说明</w:t>
      </w:r>
    </w:p>
    <w:p w14:paraId="7FF329AD" w14:textId="77777777" w:rsidR="00DA64A2" w:rsidRDefault="00145317">
      <w:pPr>
        <w:spacing w:beforeLines="50" w:before="156" w:afterLines="50" w:after="156" w:line="360" w:lineRule="auto"/>
        <w:ind w:firstLineChars="200" w:firstLine="480"/>
        <w:rPr>
          <w:rFonts w:ascii="宋体" w:hAnsi="宋体"/>
          <w:sz w:val="24"/>
        </w:rPr>
      </w:pPr>
      <w:r>
        <w:rPr>
          <w:rFonts w:ascii="宋体" w:hAnsi="宋体" w:hint="eastAsia"/>
          <w:sz w:val="24"/>
        </w:rPr>
        <w:t>项目公司计划在</w:t>
      </w:r>
      <w:r>
        <w:rPr>
          <w:rFonts w:ascii="宋体" w:hAnsi="宋体" w:hint="eastAsia"/>
          <w:sz w:val="24"/>
        </w:rPr>
        <w:t>2022</w:t>
      </w:r>
      <w:r>
        <w:rPr>
          <w:rFonts w:ascii="宋体" w:hAnsi="宋体" w:hint="eastAsia"/>
          <w:sz w:val="24"/>
        </w:rPr>
        <w:t>年</w:t>
      </w:r>
      <w:r>
        <w:rPr>
          <w:rFonts w:ascii="宋体" w:hAnsi="宋体" w:hint="eastAsia"/>
          <w:sz w:val="24"/>
        </w:rPr>
        <w:t>6</w:t>
      </w:r>
      <w:r>
        <w:rPr>
          <w:rFonts w:ascii="宋体" w:hAnsi="宋体" w:hint="eastAsia"/>
          <w:sz w:val="24"/>
        </w:rPr>
        <w:t>月的管理费用支出金额共计</w:t>
      </w:r>
      <w:r>
        <w:rPr>
          <w:rFonts w:ascii="宋体" w:hAnsi="宋体" w:hint="eastAsia"/>
          <w:sz w:val="24"/>
        </w:rPr>
        <w:t>200.00</w:t>
      </w:r>
      <w:r>
        <w:rPr>
          <w:rFonts w:ascii="宋体" w:hAnsi="宋体" w:hint="eastAsia"/>
          <w:sz w:val="24"/>
        </w:rPr>
        <w:t>万元，具体分析如下：</w:t>
      </w:r>
    </w:p>
    <w:p w14:paraId="2E92DDBD" w14:textId="77777777" w:rsidR="00DA64A2" w:rsidRDefault="00145317">
      <w:pPr>
        <w:numPr>
          <w:ilvl w:val="0"/>
          <w:numId w:val="4"/>
        </w:numPr>
        <w:spacing w:beforeLines="50" w:before="156" w:afterLines="50" w:after="156" w:line="360" w:lineRule="auto"/>
        <w:ind w:firstLineChars="200" w:firstLine="480"/>
        <w:rPr>
          <w:rFonts w:ascii="宋体" w:hAnsi="宋体"/>
          <w:sz w:val="24"/>
        </w:rPr>
      </w:pPr>
      <w:r>
        <w:rPr>
          <w:rFonts w:ascii="宋体" w:hAnsi="宋体" w:hint="eastAsia"/>
          <w:sz w:val="24"/>
        </w:rPr>
        <w:t>预计本期支付工资社保费用</w:t>
      </w:r>
      <w:r>
        <w:rPr>
          <w:rFonts w:ascii="宋体" w:hAnsi="宋体" w:hint="eastAsia"/>
          <w:sz w:val="24"/>
        </w:rPr>
        <w:t>120.</w:t>
      </w:r>
      <w:r>
        <w:rPr>
          <w:rFonts w:ascii="宋体" w:hAnsi="宋体" w:hint="eastAsia"/>
          <w:sz w:val="24"/>
        </w:rPr>
        <w:t>00</w:t>
      </w:r>
      <w:r>
        <w:rPr>
          <w:rFonts w:ascii="宋体" w:hAnsi="宋体" w:hint="eastAsia"/>
          <w:sz w:val="24"/>
        </w:rPr>
        <w:t>万元，水电费</w:t>
      </w:r>
      <w:r>
        <w:rPr>
          <w:rFonts w:ascii="宋体" w:hAnsi="宋体" w:hint="eastAsia"/>
          <w:sz w:val="24"/>
        </w:rPr>
        <w:t>10.00</w:t>
      </w:r>
      <w:r>
        <w:rPr>
          <w:rFonts w:ascii="宋体" w:hAnsi="宋体" w:hint="eastAsia"/>
          <w:sz w:val="24"/>
        </w:rPr>
        <w:t>万元，招待费用及其他</w:t>
      </w:r>
      <w:r>
        <w:rPr>
          <w:rFonts w:ascii="宋体" w:hAnsi="宋体" w:hint="eastAsia"/>
          <w:sz w:val="24"/>
        </w:rPr>
        <w:t>70.00</w:t>
      </w:r>
      <w:r>
        <w:rPr>
          <w:rFonts w:ascii="宋体" w:hAnsi="宋体" w:hint="eastAsia"/>
          <w:sz w:val="24"/>
        </w:rPr>
        <w:t>万元。</w:t>
      </w:r>
    </w:p>
    <w:p w14:paraId="53517A4B" w14:textId="77777777" w:rsidR="00DA64A2" w:rsidRDefault="00145317">
      <w:pPr>
        <w:spacing w:beforeLines="50" w:before="156" w:afterLines="50" w:after="156" w:line="360" w:lineRule="auto"/>
        <w:ind w:firstLineChars="200" w:firstLine="480"/>
        <w:rPr>
          <w:rFonts w:ascii="宋体" w:hAnsi="宋体"/>
          <w:sz w:val="24"/>
          <w:lang w:bidi="zh-CN"/>
        </w:rPr>
      </w:pPr>
      <w:r>
        <w:rPr>
          <w:rFonts w:ascii="宋体" w:hAnsi="宋体" w:hint="eastAsia"/>
          <w:sz w:val="24"/>
          <w:lang w:bidi="zh-CN"/>
        </w:rPr>
        <w:t>经审核，我司认为</w:t>
      </w:r>
      <w:r>
        <w:rPr>
          <w:rFonts w:ascii="宋体" w:hAnsi="宋体" w:hint="eastAsia"/>
          <w:sz w:val="24"/>
          <w:lang w:bidi="zh-CN"/>
        </w:rPr>
        <w:t>6</w:t>
      </w:r>
      <w:r>
        <w:rPr>
          <w:rFonts w:ascii="宋体" w:hAnsi="宋体" w:hint="eastAsia"/>
          <w:sz w:val="24"/>
          <w:lang w:bidi="zh-CN"/>
        </w:rPr>
        <w:t>月管理费用资金支出</w:t>
      </w:r>
      <w:r>
        <w:rPr>
          <w:rFonts w:ascii="宋体" w:hAnsi="宋体"/>
          <w:sz w:val="24"/>
          <w:lang w:bidi="zh-CN"/>
        </w:rPr>
        <w:t>计划编制合理</w:t>
      </w:r>
      <w:r>
        <w:rPr>
          <w:rFonts w:ascii="宋体" w:hAnsi="宋体" w:hint="eastAsia"/>
          <w:sz w:val="24"/>
          <w:lang w:bidi="zh-CN"/>
        </w:rPr>
        <w:t>，实际支付时，我司会对付款申请、发票、流程、协议等依据进行审核，</w:t>
      </w:r>
      <w:r>
        <w:rPr>
          <w:rFonts w:ascii="宋体" w:hAnsi="宋体"/>
          <w:sz w:val="24"/>
          <w:lang w:bidi="zh-CN"/>
        </w:rPr>
        <w:t>严格把控，</w:t>
      </w:r>
      <w:r>
        <w:rPr>
          <w:rFonts w:ascii="宋体" w:hAnsi="宋体" w:hint="eastAsia"/>
          <w:sz w:val="24"/>
          <w:lang w:bidi="zh-CN"/>
        </w:rPr>
        <w:t>确保资金支付合理、合规。</w:t>
      </w:r>
    </w:p>
    <w:p w14:paraId="77CD78E4" w14:textId="77777777" w:rsidR="00DA64A2" w:rsidRDefault="00145317">
      <w:pPr>
        <w:numPr>
          <w:ilvl w:val="0"/>
          <w:numId w:val="5"/>
        </w:numPr>
        <w:spacing w:beforeLines="50" w:before="156" w:afterLines="50" w:after="156" w:line="360" w:lineRule="auto"/>
        <w:rPr>
          <w:rFonts w:ascii="宋体" w:hAnsi="宋体"/>
          <w:b/>
          <w:bCs/>
          <w:sz w:val="24"/>
          <w:lang w:bidi="zh-CN"/>
        </w:rPr>
      </w:pPr>
      <w:r>
        <w:rPr>
          <w:rFonts w:ascii="宋体" w:hAnsi="宋体" w:hint="eastAsia"/>
          <w:b/>
          <w:bCs/>
          <w:sz w:val="24"/>
          <w:lang w:bidi="zh-CN"/>
        </w:rPr>
        <w:t>财务费用资金支出计划说明</w:t>
      </w:r>
    </w:p>
    <w:p w14:paraId="20A3C761" w14:textId="77777777" w:rsidR="00DA64A2" w:rsidRDefault="00145317">
      <w:pPr>
        <w:numPr>
          <w:ilvl w:val="255"/>
          <w:numId w:val="0"/>
        </w:numPr>
        <w:spacing w:beforeLines="50" w:before="156" w:afterLines="50" w:after="156" w:line="360" w:lineRule="auto"/>
        <w:ind w:firstLineChars="200" w:firstLine="480"/>
        <w:rPr>
          <w:rFonts w:ascii="宋体" w:hAnsi="宋体"/>
          <w:sz w:val="24"/>
        </w:rPr>
      </w:pPr>
      <w:r>
        <w:rPr>
          <w:rFonts w:ascii="宋体" w:hAnsi="宋体" w:hint="eastAsia"/>
          <w:sz w:val="24"/>
        </w:rPr>
        <w:t>项目公司计划在</w:t>
      </w:r>
      <w:r>
        <w:rPr>
          <w:rFonts w:ascii="宋体" w:hAnsi="宋体" w:hint="eastAsia"/>
          <w:sz w:val="24"/>
        </w:rPr>
        <w:t>2022</w:t>
      </w:r>
      <w:r>
        <w:rPr>
          <w:rFonts w:ascii="宋体" w:hAnsi="宋体" w:hint="eastAsia"/>
          <w:sz w:val="24"/>
        </w:rPr>
        <w:t>年</w:t>
      </w:r>
      <w:r>
        <w:rPr>
          <w:rFonts w:ascii="宋体" w:hAnsi="宋体" w:hint="eastAsia"/>
          <w:sz w:val="24"/>
        </w:rPr>
        <w:t>6</w:t>
      </w:r>
      <w:r>
        <w:rPr>
          <w:rFonts w:ascii="宋体" w:hAnsi="宋体" w:hint="eastAsia"/>
          <w:sz w:val="24"/>
        </w:rPr>
        <w:t>月的财务费用支出为应付开发贷利息，金额</w:t>
      </w:r>
      <w:r>
        <w:rPr>
          <w:rFonts w:ascii="宋体" w:hAnsi="宋体" w:hint="eastAsia"/>
          <w:sz w:val="24"/>
        </w:rPr>
        <w:t>250.00</w:t>
      </w:r>
      <w:r>
        <w:rPr>
          <w:rFonts w:ascii="宋体" w:hAnsi="宋体" w:hint="eastAsia"/>
          <w:sz w:val="24"/>
        </w:rPr>
        <w:t>万元，具体分析如下：</w:t>
      </w:r>
    </w:p>
    <w:p w14:paraId="46249427" w14:textId="77777777" w:rsidR="00DA64A2" w:rsidRDefault="00145317">
      <w:pPr>
        <w:numPr>
          <w:ilvl w:val="255"/>
          <w:numId w:val="0"/>
        </w:numPr>
        <w:spacing w:beforeLines="50" w:before="156" w:afterLines="50" w:after="156" w:line="360" w:lineRule="auto"/>
        <w:ind w:firstLineChars="200" w:firstLine="480"/>
        <w:rPr>
          <w:rFonts w:ascii="宋体" w:hAnsi="宋体"/>
          <w:sz w:val="24"/>
        </w:rPr>
      </w:pPr>
      <w:r>
        <w:rPr>
          <w:rFonts w:ascii="宋体" w:hAnsi="宋体" w:hint="eastAsia"/>
          <w:sz w:val="24"/>
        </w:rPr>
        <w:t>截至</w:t>
      </w:r>
      <w:r>
        <w:rPr>
          <w:rFonts w:ascii="宋体" w:hAnsi="宋体" w:hint="eastAsia"/>
          <w:sz w:val="24"/>
        </w:rPr>
        <w:t>2022</w:t>
      </w:r>
      <w:r>
        <w:rPr>
          <w:rFonts w:ascii="宋体" w:hAnsi="宋体" w:hint="eastAsia"/>
          <w:sz w:val="24"/>
        </w:rPr>
        <w:t>年</w:t>
      </w:r>
      <w:r>
        <w:rPr>
          <w:rFonts w:ascii="宋体" w:hAnsi="宋体" w:hint="eastAsia"/>
          <w:sz w:val="24"/>
        </w:rPr>
        <w:t>5</w:t>
      </w:r>
      <w:r>
        <w:rPr>
          <w:rFonts w:ascii="宋体" w:hAnsi="宋体" w:hint="eastAsia"/>
          <w:sz w:val="24"/>
        </w:rPr>
        <w:t>月</w:t>
      </w:r>
      <w:r>
        <w:rPr>
          <w:rFonts w:ascii="宋体" w:hAnsi="宋体" w:hint="eastAsia"/>
          <w:sz w:val="24"/>
        </w:rPr>
        <w:t>31</w:t>
      </w:r>
      <w:r>
        <w:rPr>
          <w:rFonts w:ascii="宋体" w:hAnsi="宋体" w:hint="eastAsia"/>
          <w:sz w:val="24"/>
        </w:rPr>
        <w:t>日，项目公司未归还的开发贷款金额为</w:t>
      </w:r>
      <w:r>
        <w:rPr>
          <w:rFonts w:ascii="宋体" w:hAnsi="宋体" w:hint="eastAsia"/>
          <w:sz w:val="24"/>
        </w:rPr>
        <w:t>62,690.00</w:t>
      </w:r>
      <w:r>
        <w:rPr>
          <w:rFonts w:ascii="宋体" w:hAnsi="宋体" w:hint="eastAsia"/>
          <w:sz w:val="24"/>
        </w:rPr>
        <w:t>万元，利率</w:t>
      </w:r>
      <w:r>
        <w:rPr>
          <w:rFonts w:ascii="宋体" w:hAnsi="宋体" w:hint="eastAsia"/>
          <w:sz w:val="24"/>
        </w:rPr>
        <w:t>4.75%</w:t>
      </w:r>
      <w:r>
        <w:rPr>
          <w:rFonts w:ascii="宋体" w:hAnsi="宋体" w:hint="eastAsia"/>
          <w:sz w:val="24"/>
        </w:rPr>
        <w:t>，开发贷利息按月支付。</w:t>
      </w:r>
    </w:p>
    <w:p w14:paraId="045473B0" w14:textId="77777777" w:rsidR="00DA64A2" w:rsidRDefault="00145317">
      <w:pPr>
        <w:spacing w:beforeLines="50" w:before="156" w:afterLines="50" w:after="156" w:line="360" w:lineRule="auto"/>
        <w:ind w:firstLineChars="200" w:firstLine="480"/>
        <w:rPr>
          <w:rFonts w:ascii="宋体" w:hAnsi="宋体"/>
          <w:sz w:val="24"/>
          <w:lang w:bidi="zh-CN"/>
        </w:rPr>
      </w:pPr>
      <w:r>
        <w:rPr>
          <w:rFonts w:ascii="宋体" w:hAnsi="宋体" w:hint="eastAsia"/>
          <w:sz w:val="24"/>
          <w:lang w:bidi="zh-CN"/>
        </w:rPr>
        <w:t>经审核，我司认为</w:t>
      </w:r>
      <w:r>
        <w:rPr>
          <w:rFonts w:ascii="宋体" w:hAnsi="宋体" w:hint="eastAsia"/>
          <w:sz w:val="24"/>
          <w:lang w:bidi="zh-CN"/>
        </w:rPr>
        <w:t>6</w:t>
      </w:r>
      <w:r>
        <w:rPr>
          <w:rFonts w:ascii="宋体" w:hAnsi="宋体" w:hint="eastAsia"/>
          <w:sz w:val="24"/>
          <w:lang w:bidi="zh-CN"/>
        </w:rPr>
        <w:t>月财务费用资金支出</w:t>
      </w:r>
      <w:r>
        <w:rPr>
          <w:rFonts w:ascii="宋体" w:hAnsi="宋体"/>
          <w:sz w:val="24"/>
          <w:lang w:bidi="zh-CN"/>
        </w:rPr>
        <w:t>计划编制合理</w:t>
      </w:r>
      <w:r>
        <w:rPr>
          <w:rFonts w:ascii="宋体" w:hAnsi="宋体" w:hint="eastAsia"/>
          <w:sz w:val="24"/>
          <w:lang w:bidi="zh-CN"/>
        </w:rPr>
        <w:t>，实际支付时，我司会对付款申请、流程、协议等依据进行审核，</w:t>
      </w:r>
      <w:r>
        <w:rPr>
          <w:rFonts w:ascii="宋体" w:hAnsi="宋体"/>
          <w:sz w:val="24"/>
          <w:lang w:bidi="zh-CN"/>
        </w:rPr>
        <w:t>严格把控，</w:t>
      </w:r>
      <w:r>
        <w:rPr>
          <w:rFonts w:ascii="宋体" w:hAnsi="宋体" w:hint="eastAsia"/>
          <w:sz w:val="24"/>
          <w:lang w:bidi="zh-CN"/>
        </w:rPr>
        <w:t>确保资金支付合理、合规。</w:t>
      </w:r>
    </w:p>
    <w:p w14:paraId="36E6E069" w14:textId="77777777" w:rsidR="00DA64A2" w:rsidRDefault="00145317">
      <w:pPr>
        <w:numPr>
          <w:ilvl w:val="0"/>
          <w:numId w:val="5"/>
        </w:numPr>
        <w:spacing w:beforeLines="50" w:before="156" w:afterLines="50" w:after="156" w:line="360" w:lineRule="auto"/>
        <w:rPr>
          <w:rFonts w:ascii="宋体" w:hAnsi="宋体"/>
          <w:b/>
          <w:bCs/>
          <w:sz w:val="24"/>
          <w:lang w:bidi="zh-CN"/>
        </w:rPr>
      </w:pPr>
      <w:r>
        <w:rPr>
          <w:rFonts w:ascii="宋体" w:hAnsi="宋体" w:hint="eastAsia"/>
          <w:b/>
          <w:bCs/>
          <w:sz w:val="24"/>
          <w:lang w:bidi="zh-CN"/>
        </w:rPr>
        <w:t>开发贷还本资金支出计划说明</w:t>
      </w:r>
    </w:p>
    <w:p w14:paraId="523BDBD5" w14:textId="77777777" w:rsidR="00DA64A2" w:rsidRDefault="00145317">
      <w:pPr>
        <w:numPr>
          <w:ilvl w:val="255"/>
          <w:numId w:val="0"/>
        </w:numPr>
        <w:spacing w:beforeLines="50" w:before="156" w:afterLines="50" w:after="156" w:line="360" w:lineRule="auto"/>
        <w:ind w:firstLineChars="200" w:firstLine="480"/>
        <w:rPr>
          <w:rFonts w:ascii="宋体" w:hAnsi="宋体"/>
          <w:sz w:val="24"/>
        </w:rPr>
      </w:pPr>
      <w:r>
        <w:rPr>
          <w:rFonts w:ascii="宋体" w:hAnsi="宋体" w:hint="eastAsia"/>
          <w:sz w:val="24"/>
        </w:rPr>
        <w:t>项目公司计划在</w:t>
      </w:r>
      <w:r>
        <w:rPr>
          <w:rFonts w:ascii="宋体" w:hAnsi="宋体" w:hint="eastAsia"/>
          <w:sz w:val="24"/>
        </w:rPr>
        <w:t>2022</w:t>
      </w:r>
      <w:r>
        <w:rPr>
          <w:rFonts w:ascii="宋体" w:hAnsi="宋体" w:hint="eastAsia"/>
          <w:sz w:val="24"/>
        </w:rPr>
        <w:t>年</w:t>
      </w:r>
      <w:r>
        <w:rPr>
          <w:rFonts w:ascii="宋体" w:hAnsi="宋体" w:hint="eastAsia"/>
          <w:sz w:val="24"/>
        </w:rPr>
        <w:t>6</w:t>
      </w:r>
      <w:r>
        <w:rPr>
          <w:rFonts w:ascii="宋体" w:hAnsi="宋体" w:hint="eastAsia"/>
          <w:sz w:val="24"/>
        </w:rPr>
        <w:t>月还本开发贷</w:t>
      </w:r>
      <w:r>
        <w:rPr>
          <w:rFonts w:ascii="宋体" w:hAnsi="宋体" w:hint="eastAsia"/>
          <w:sz w:val="24"/>
        </w:rPr>
        <w:t>2,330.00</w:t>
      </w:r>
      <w:r>
        <w:rPr>
          <w:rFonts w:ascii="宋体" w:hAnsi="宋体" w:hint="eastAsia"/>
          <w:sz w:val="24"/>
        </w:rPr>
        <w:t>万元，具体分析如下：</w:t>
      </w:r>
    </w:p>
    <w:p w14:paraId="5D6D635A" w14:textId="77777777" w:rsidR="00DA64A2" w:rsidRDefault="00145317">
      <w:pPr>
        <w:numPr>
          <w:ilvl w:val="255"/>
          <w:numId w:val="0"/>
        </w:numPr>
        <w:spacing w:beforeLines="50" w:before="156" w:afterLines="50" w:after="156" w:line="360" w:lineRule="auto"/>
        <w:ind w:firstLineChars="200" w:firstLine="480"/>
        <w:rPr>
          <w:rFonts w:ascii="宋体" w:hAnsi="宋体"/>
          <w:sz w:val="24"/>
        </w:rPr>
      </w:pPr>
      <w:r>
        <w:rPr>
          <w:rFonts w:ascii="宋体" w:hAnsi="宋体" w:hint="eastAsia"/>
          <w:sz w:val="24"/>
        </w:rPr>
        <w:t>截至</w:t>
      </w:r>
      <w:r>
        <w:rPr>
          <w:rFonts w:ascii="宋体" w:hAnsi="宋体" w:hint="eastAsia"/>
          <w:sz w:val="24"/>
        </w:rPr>
        <w:t>2022</w:t>
      </w:r>
      <w:r>
        <w:rPr>
          <w:rFonts w:ascii="宋体" w:hAnsi="宋体" w:hint="eastAsia"/>
          <w:sz w:val="24"/>
        </w:rPr>
        <w:t>年</w:t>
      </w:r>
      <w:r>
        <w:rPr>
          <w:rFonts w:ascii="宋体" w:hAnsi="宋体" w:hint="eastAsia"/>
          <w:sz w:val="24"/>
        </w:rPr>
        <w:t>5</w:t>
      </w:r>
      <w:r>
        <w:rPr>
          <w:rFonts w:ascii="宋体" w:hAnsi="宋体" w:hint="eastAsia"/>
          <w:sz w:val="24"/>
        </w:rPr>
        <w:t>月</w:t>
      </w:r>
      <w:r>
        <w:rPr>
          <w:rFonts w:ascii="宋体" w:hAnsi="宋体" w:hint="eastAsia"/>
          <w:sz w:val="24"/>
        </w:rPr>
        <w:t>31</w:t>
      </w:r>
      <w:r>
        <w:rPr>
          <w:rFonts w:ascii="宋体" w:hAnsi="宋体" w:hint="eastAsia"/>
          <w:sz w:val="24"/>
        </w:rPr>
        <w:t>日，未归还的开发贷款金额为</w:t>
      </w:r>
      <w:r>
        <w:rPr>
          <w:rFonts w:ascii="宋体" w:hAnsi="宋体" w:hint="eastAsia"/>
          <w:sz w:val="24"/>
        </w:rPr>
        <w:t>62,690.00</w:t>
      </w:r>
      <w:r>
        <w:rPr>
          <w:rFonts w:ascii="宋体" w:hAnsi="宋体" w:hint="eastAsia"/>
          <w:sz w:val="24"/>
        </w:rPr>
        <w:t>万元。开发贷收支明细如下表：</w:t>
      </w:r>
    </w:p>
    <w:tbl>
      <w:tblPr>
        <w:tblStyle w:val="ae"/>
        <w:tblW w:w="0" w:type="auto"/>
        <w:jc w:val="center"/>
        <w:tblLook w:val="04A0" w:firstRow="1" w:lastRow="0" w:firstColumn="1" w:lastColumn="0" w:noHBand="0" w:noVBand="1"/>
      </w:tblPr>
      <w:tblGrid>
        <w:gridCol w:w="3336"/>
        <w:gridCol w:w="3333"/>
      </w:tblGrid>
      <w:tr w:rsidR="00DA64A2" w14:paraId="377AE9A7" w14:textId="77777777" w:rsidTr="00145317">
        <w:trPr>
          <w:trHeight w:val="452"/>
          <w:jc w:val="center"/>
        </w:trPr>
        <w:tc>
          <w:tcPr>
            <w:tcW w:w="3336" w:type="dxa"/>
            <w:vAlign w:val="center"/>
          </w:tcPr>
          <w:p w14:paraId="48895FE4" w14:textId="77777777" w:rsidR="00DA64A2" w:rsidRDefault="00145317">
            <w:pPr>
              <w:pStyle w:val="a0"/>
              <w:ind w:firstLineChars="199"/>
              <w:rPr>
                <w:rFonts w:ascii="宋体" w:hAnsi="宋体" w:cs="宋体"/>
                <w:b/>
                <w:bCs/>
              </w:rPr>
            </w:pPr>
            <w:r>
              <w:rPr>
                <w:rFonts w:ascii="宋体" w:hAnsi="宋体" w:cs="宋体" w:hint="eastAsia"/>
                <w:b/>
                <w:bCs/>
              </w:rPr>
              <w:lastRenderedPageBreak/>
              <w:t>日期</w:t>
            </w:r>
          </w:p>
        </w:tc>
        <w:tc>
          <w:tcPr>
            <w:tcW w:w="3333" w:type="dxa"/>
            <w:vAlign w:val="center"/>
          </w:tcPr>
          <w:p w14:paraId="593092C1" w14:textId="77777777" w:rsidR="00DA64A2" w:rsidRDefault="00145317">
            <w:pPr>
              <w:pStyle w:val="a0"/>
              <w:ind w:firstLine="422"/>
              <w:jc w:val="center"/>
              <w:rPr>
                <w:rFonts w:ascii="宋体" w:hAnsi="宋体" w:cs="宋体"/>
                <w:b/>
                <w:bCs/>
              </w:rPr>
            </w:pPr>
            <w:r>
              <w:rPr>
                <w:rFonts w:ascii="宋体" w:hAnsi="宋体" w:cs="宋体" w:hint="eastAsia"/>
                <w:b/>
                <w:bCs/>
              </w:rPr>
              <w:t>收款金额（万元）</w:t>
            </w:r>
          </w:p>
        </w:tc>
      </w:tr>
      <w:tr w:rsidR="00DA64A2" w14:paraId="1F6560EB" w14:textId="77777777" w:rsidTr="00145317">
        <w:trPr>
          <w:trHeight w:val="452"/>
          <w:jc w:val="center"/>
        </w:trPr>
        <w:tc>
          <w:tcPr>
            <w:tcW w:w="3336" w:type="dxa"/>
            <w:vAlign w:val="center"/>
          </w:tcPr>
          <w:p w14:paraId="016288F5" w14:textId="77777777" w:rsidR="00DA64A2" w:rsidRDefault="00145317">
            <w:pPr>
              <w:pStyle w:val="a0"/>
              <w:rPr>
                <w:rFonts w:ascii="宋体" w:hAnsi="宋体" w:cs="宋体"/>
              </w:rPr>
            </w:pPr>
            <w:r>
              <w:rPr>
                <w:rFonts w:ascii="宋体" w:hAnsi="宋体" w:cs="宋体" w:hint="eastAsia"/>
              </w:rPr>
              <w:t>2021-3-1</w:t>
            </w:r>
          </w:p>
        </w:tc>
        <w:tc>
          <w:tcPr>
            <w:tcW w:w="3333" w:type="dxa"/>
            <w:vAlign w:val="center"/>
          </w:tcPr>
          <w:p w14:paraId="3C2CD7F3" w14:textId="77777777" w:rsidR="00DA64A2" w:rsidRDefault="00145317">
            <w:pPr>
              <w:pStyle w:val="a0"/>
              <w:jc w:val="right"/>
              <w:rPr>
                <w:rFonts w:ascii="宋体" w:hAnsi="宋体" w:cs="宋体"/>
              </w:rPr>
            </w:pPr>
            <w:r>
              <w:rPr>
                <w:rFonts w:ascii="宋体" w:hAnsi="宋体" w:cs="宋体" w:hint="eastAsia"/>
              </w:rPr>
              <w:t>54,500.00</w:t>
            </w:r>
          </w:p>
        </w:tc>
      </w:tr>
      <w:tr w:rsidR="00DA64A2" w14:paraId="2A6E5553" w14:textId="77777777" w:rsidTr="00145317">
        <w:trPr>
          <w:trHeight w:val="452"/>
          <w:jc w:val="center"/>
        </w:trPr>
        <w:tc>
          <w:tcPr>
            <w:tcW w:w="3336" w:type="dxa"/>
            <w:vAlign w:val="center"/>
          </w:tcPr>
          <w:p w14:paraId="0F43DBEF" w14:textId="77777777" w:rsidR="00DA64A2" w:rsidRDefault="00145317">
            <w:pPr>
              <w:pStyle w:val="a0"/>
              <w:rPr>
                <w:rFonts w:ascii="宋体" w:hAnsi="宋体" w:cs="宋体"/>
              </w:rPr>
            </w:pPr>
            <w:r>
              <w:rPr>
                <w:rFonts w:ascii="宋体" w:hAnsi="宋体" w:cs="宋体" w:hint="eastAsia"/>
              </w:rPr>
              <w:t>2021-6-22</w:t>
            </w:r>
          </w:p>
        </w:tc>
        <w:tc>
          <w:tcPr>
            <w:tcW w:w="3333" w:type="dxa"/>
            <w:vAlign w:val="center"/>
          </w:tcPr>
          <w:p w14:paraId="39591B05" w14:textId="77777777" w:rsidR="00DA64A2" w:rsidRDefault="00145317">
            <w:pPr>
              <w:pStyle w:val="a0"/>
              <w:jc w:val="right"/>
              <w:rPr>
                <w:rFonts w:ascii="宋体" w:hAnsi="宋体" w:cs="宋体"/>
              </w:rPr>
            </w:pPr>
            <w:r>
              <w:rPr>
                <w:rFonts w:ascii="宋体" w:hAnsi="宋体" w:cs="宋体" w:hint="eastAsia"/>
              </w:rPr>
              <w:t>-110.00</w:t>
            </w:r>
          </w:p>
        </w:tc>
      </w:tr>
      <w:tr w:rsidR="00DA64A2" w14:paraId="3BA7B291" w14:textId="77777777" w:rsidTr="00145317">
        <w:trPr>
          <w:trHeight w:val="471"/>
          <w:jc w:val="center"/>
        </w:trPr>
        <w:tc>
          <w:tcPr>
            <w:tcW w:w="3336" w:type="dxa"/>
            <w:vAlign w:val="center"/>
          </w:tcPr>
          <w:p w14:paraId="65CC2811" w14:textId="77777777" w:rsidR="00DA64A2" w:rsidRDefault="00145317">
            <w:pPr>
              <w:pStyle w:val="a0"/>
              <w:rPr>
                <w:rFonts w:ascii="宋体" w:hAnsi="宋体" w:cs="宋体"/>
              </w:rPr>
            </w:pPr>
            <w:r>
              <w:rPr>
                <w:rFonts w:ascii="宋体" w:hAnsi="宋体" w:cs="宋体" w:hint="eastAsia"/>
              </w:rPr>
              <w:t>2021-6-29</w:t>
            </w:r>
          </w:p>
        </w:tc>
        <w:tc>
          <w:tcPr>
            <w:tcW w:w="3333" w:type="dxa"/>
            <w:vAlign w:val="center"/>
          </w:tcPr>
          <w:p w14:paraId="642A08FD" w14:textId="77777777" w:rsidR="00DA64A2" w:rsidRDefault="00145317">
            <w:pPr>
              <w:pStyle w:val="a0"/>
              <w:jc w:val="right"/>
              <w:rPr>
                <w:rFonts w:ascii="宋体" w:hAnsi="宋体" w:cs="宋体"/>
              </w:rPr>
            </w:pPr>
            <w:r>
              <w:rPr>
                <w:rFonts w:ascii="宋体" w:hAnsi="宋体" w:cs="宋体" w:hint="eastAsia"/>
              </w:rPr>
              <w:t>12,300.00</w:t>
            </w:r>
          </w:p>
        </w:tc>
      </w:tr>
      <w:tr w:rsidR="00DA64A2" w14:paraId="3A0218CD" w14:textId="77777777" w:rsidTr="00145317">
        <w:trPr>
          <w:trHeight w:val="452"/>
          <w:jc w:val="center"/>
        </w:trPr>
        <w:tc>
          <w:tcPr>
            <w:tcW w:w="3336" w:type="dxa"/>
            <w:vAlign w:val="center"/>
          </w:tcPr>
          <w:p w14:paraId="2B7A4AA8" w14:textId="77777777" w:rsidR="00DA64A2" w:rsidRDefault="00145317">
            <w:pPr>
              <w:pStyle w:val="a0"/>
              <w:rPr>
                <w:rFonts w:ascii="宋体" w:hAnsi="宋体" w:cs="宋体"/>
              </w:rPr>
            </w:pPr>
            <w:r>
              <w:rPr>
                <w:rFonts w:ascii="宋体" w:hAnsi="宋体" w:cs="宋体" w:hint="eastAsia"/>
              </w:rPr>
              <w:t>2021-8-23</w:t>
            </w:r>
          </w:p>
        </w:tc>
        <w:tc>
          <w:tcPr>
            <w:tcW w:w="3333" w:type="dxa"/>
            <w:vAlign w:val="center"/>
          </w:tcPr>
          <w:p w14:paraId="0D8ECAAD" w14:textId="77777777" w:rsidR="00DA64A2" w:rsidRDefault="00145317">
            <w:pPr>
              <w:pStyle w:val="a0"/>
              <w:jc w:val="right"/>
              <w:rPr>
                <w:rFonts w:ascii="宋体" w:hAnsi="宋体" w:cs="宋体"/>
              </w:rPr>
            </w:pPr>
            <w:r>
              <w:rPr>
                <w:rFonts w:ascii="宋体" w:hAnsi="宋体" w:cs="宋体" w:hint="eastAsia"/>
              </w:rPr>
              <w:t>-1,000.00</w:t>
            </w:r>
          </w:p>
        </w:tc>
      </w:tr>
      <w:tr w:rsidR="00DA64A2" w14:paraId="35DF1C21" w14:textId="77777777" w:rsidTr="00145317">
        <w:trPr>
          <w:trHeight w:val="452"/>
          <w:jc w:val="center"/>
        </w:trPr>
        <w:tc>
          <w:tcPr>
            <w:tcW w:w="3336" w:type="dxa"/>
            <w:vAlign w:val="center"/>
          </w:tcPr>
          <w:p w14:paraId="7D7E5506" w14:textId="77777777" w:rsidR="00DA64A2" w:rsidRDefault="00145317">
            <w:pPr>
              <w:pStyle w:val="a0"/>
              <w:rPr>
                <w:rFonts w:ascii="宋体" w:hAnsi="宋体" w:cs="宋体"/>
              </w:rPr>
            </w:pPr>
            <w:r>
              <w:rPr>
                <w:rFonts w:ascii="宋体" w:hAnsi="宋体" w:cs="宋体" w:hint="eastAsia"/>
              </w:rPr>
              <w:t>2021-10-28</w:t>
            </w:r>
          </w:p>
        </w:tc>
        <w:tc>
          <w:tcPr>
            <w:tcW w:w="3333" w:type="dxa"/>
            <w:vAlign w:val="center"/>
          </w:tcPr>
          <w:p w14:paraId="7290BE3D" w14:textId="77777777" w:rsidR="00DA64A2" w:rsidRDefault="00145317">
            <w:pPr>
              <w:pStyle w:val="a0"/>
              <w:jc w:val="right"/>
              <w:rPr>
                <w:rFonts w:ascii="宋体" w:hAnsi="宋体" w:cs="宋体"/>
              </w:rPr>
            </w:pPr>
            <w:r>
              <w:rPr>
                <w:rFonts w:ascii="宋体" w:hAnsi="宋体" w:cs="宋体" w:hint="eastAsia"/>
              </w:rPr>
              <w:t>-2,000.00</w:t>
            </w:r>
          </w:p>
        </w:tc>
      </w:tr>
      <w:tr w:rsidR="00DA64A2" w14:paraId="7EEB9AC7" w14:textId="77777777" w:rsidTr="00145317">
        <w:trPr>
          <w:trHeight w:val="452"/>
          <w:jc w:val="center"/>
        </w:trPr>
        <w:tc>
          <w:tcPr>
            <w:tcW w:w="3336" w:type="dxa"/>
            <w:vAlign w:val="center"/>
          </w:tcPr>
          <w:p w14:paraId="4B46DC1A" w14:textId="77777777" w:rsidR="00DA64A2" w:rsidRDefault="00145317">
            <w:pPr>
              <w:pStyle w:val="a0"/>
              <w:rPr>
                <w:rFonts w:ascii="宋体" w:hAnsi="宋体" w:cs="宋体"/>
              </w:rPr>
            </w:pPr>
            <w:r>
              <w:rPr>
                <w:rFonts w:ascii="宋体" w:hAnsi="宋体" w:cs="宋体" w:hint="eastAsia"/>
              </w:rPr>
              <w:t>2021-11-22</w:t>
            </w:r>
          </w:p>
        </w:tc>
        <w:tc>
          <w:tcPr>
            <w:tcW w:w="3333" w:type="dxa"/>
            <w:vAlign w:val="center"/>
          </w:tcPr>
          <w:p w14:paraId="7876C189" w14:textId="77777777" w:rsidR="00DA64A2" w:rsidRDefault="00145317">
            <w:pPr>
              <w:pStyle w:val="a0"/>
              <w:jc w:val="right"/>
              <w:rPr>
                <w:rFonts w:ascii="宋体" w:hAnsi="宋体" w:cs="宋体"/>
              </w:rPr>
            </w:pPr>
            <w:r>
              <w:rPr>
                <w:rFonts w:ascii="宋体" w:hAnsi="宋体" w:cs="宋体" w:hint="eastAsia"/>
              </w:rPr>
              <w:t>-1,000.00</w:t>
            </w:r>
          </w:p>
        </w:tc>
      </w:tr>
      <w:tr w:rsidR="00DA64A2" w14:paraId="3CA3AAA6" w14:textId="77777777" w:rsidTr="00145317">
        <w:trPr>
          <w:trHeight w:val="452"/>
          <w:jc w:val="center"/>
        </w:trPr>
        <w:tc>
          <w:tcPr>
            <w:tcW w:w="3336" w:type="dxa"/>
            <w:vAlign w:val="center"/>
          </w:tcPr>
          <w:p w14:paraId="2F9DC7CB" w14:textId="77777777" w:rsidR="00DA64A2" w:rsidRDefault="00145317">
            <w:pPr>
              <w:pStyle w:val="a0"/>
              <w:rPr>
                <w:rFonts w:ascii="宋体" w:hAnsi="宋体" w:cs="宋体"/>
              </w:rPr>
            </w:pPr>
            <w:r>
              <w:rPr>
                <w:rFonts w:ascii="宋体" w:hAnsi="宋体" w:cs="宋体" w:hint="eastAsia"/>
              </w:rPr>
              <w:t>2021-12-4</w:t>
            </w:r>
          </w:p>
        </w:tc>
        <w:tc>
          <w:tcPr>
            <w:tcW w:w="3333" w:type="dxa"/>
            <w:vAlign w:val="center"/>
          </w:tcPr>
          <w:p w14:paraId="53068831" w14:textId="77777777" w:rsidR="00DA64A2" w:rsidRDefault="00145317">
            <w:pPr>
              <w:pStyle w:val="a0"/>
              <w:jc w:val="right"/>
              <w:rPr>
                <w:rFonts w:ascii="宋体" w:hAnsi="宋体" w:cs="宋体"/>
              </w:rPr>
            </w:pPr>
            <w:r>
              <w:rPr>
                <w:rFonts w:ascii="宋体" w:hAnsi="宋体" w:cs="宋体" w:hint="eastAsia"/>
              </w:rPr>
              <w:t>4,000.00</w:t>
            </w:r>
          </w:p>
        </w:tc>
      </w:tr>
      <w:tr w:rsidR="00DA64A2" w14:paraId="143E79D6" w14:textId="77777777" w:rsidTr="00145317">
        <w:trPr>
          <w:trHeight w:val="452"/>
          <w:jc w:val="center"/>
        </w:trPr>
        <w:tc>
          <w:tcPr>
            <w:tcW w:w="3336" w:type="dxa"/>
            <w:vAlign w:val="center"/>
          </w:tcPr>
          <w:p w14:paraId="6DD67CE4" w14:textId="77777777" w:rsidR="00DA64A2" w:rsidRDefault="00145317">
            <w:pPr>
              <w:pStyle w:val="a0"/>
              <w:rPr>
                <w:rFonts w:ascii="宋体" w:hAnsi="宋体" w:cs="宋体"/>
              </w:rPr>
            </w:pPr>
            <w:r>
              <w:rPr>
                <w:rFonts w:ascii="宋体" w:hAnsi="宋体" w:cs="宋体" w:hint="eastAsia"/>
              </w:rPr>
              <w:t>2021-12-22</w:t>
            </w:r>
          </w:p>
        </w:tc>
        <w:tc>
          <w:tcPr>
            <w:tcW w:w="3333" w:type="dxa"/>
            <w:vAlign w:val="center"/>
          </w:tcPr>
          <w:p w14:paraId="588227D2" w14:textId="77777777" w:rsidR="00DA64A2" w:rsidRDefault="00145317">
            <w:pPr>
              <w:pStyle w:val="a0"/>
              <w:jc w:val="right"/>
              <w:rPr>
                <w:rFonts w:ascii="宋体" w:hAnsi="宋体" w:cs="宋体"/>
              </w:rPr>
            </w:pPr>
            <w:r>
              <w:rPr>
                <w:rFonts w:ascii="宋体" w:hAnsi="宋体" w:cs="宋体" w:hint="eastAsia"/>
              </w:rPr>
              <w:t>-330.00</w:t>
            </w:r>
          </w:p>
        </w:tc>
      </w:tr>
      <w:tr w:rsidR="00DA64A2" w14:paraId="2A3CAC53" w14:textId="77777777" w:rsidTr="00145317">
        <w:trPr>
          <w:trHeight w:val="452"/>
          <w:jc w:val="center"/>
        </w:trPr>
        <w:tc>
          <w:tcPr>
            <w:tcW w:w="3336" w:type="dxa"/>
            <w:vAlign w:val="center"/>
          </w:tcPr>
          <w:p w14:paraId="3BD4B25A" w14:textId="77777777" w:rsidR="00DA64A2" w:rsidRDefault="00145317">
            <w:pPr>
              <w:pStyle w:val="a0"/>
              <w:rPr>
                <w:rFonts w:ascii="宋体" w:hAnsi="宋体" w:cs="宋体"/>
              </w:rPr>
            </w:pPr>
            <w:r>
              <w:rPr>
                <w:rFonts w:ascii="宋体" w:hAnsi="宋体" w:cs="宋体" w:hint="eastAsia"/>
              </w:rPr>
              <w:t>2022-1-21</w:t>
            </w:r>
          </w:p>
        </w:tc>
        <w:tc>
          <w:tcPr>
            <w:tcW w:w="3333" w:type="dxa"/>
            <w:vAlign w:val="center"/>
          </w:tcPr>
          <w:p w14:paraId="69CAF598" w14:textId="77777777" w:rsidR="00DA64A2" w:rsidRDefault="00145317">
            <w:pPr>
              <w:pStyle w:val="a0"/>
              <w:jc w:val="right"/>
              <w:rPr>
                <w:rFonts w:ascii="宋体" w:hAnsi="宋体" w:cs="宋体"/>
              </w:rPr>
            </w:pPr>
            <w:r>
              <w:rPr>
                <w:rFonts w:ascii="宋体" w:hAnsi="宋体" w:cs="宋体" w:hint="eastAsia"/>
              </w:rPr>
              <w:t>-3,670.00</w:t>
            </w:r>
          </w:p>
        </w:tc>
      </w:tr>
      <w:tr w:rsidR="00DA64A2" w14:paraId="122C09D3" w14:textId="77777777" w:rsidTr="00145317">
        <w:trPr>
          <w:trHeight w:val="452"/>
          <w:jc w:val="center"/>
        </w:trPr>
        <w:tc>
          <w:tcPr>
            <w:tcW w:w="3336" w:type="dxa"/>
            <w:vAlign w:val="center"/>
          </w:tcPr>
          <w:p w14:paraId="74ABB967" w14:textId="77777777" w:rsidR="00DA64A2" w:rsidRDefault="00145317">
            <w:pPr>
              <w:pStyle w:val="a0"/>
              <w:rPr>
                <w:rFonts w:ascii="宋体" w:hAnsi="宋体" w:cs="宋体"/>
              </w:rPr>
            </w:pPr>
            <w:r>
              <w:rPr>
                <w:rFonts w:ascii="宋体" w:hAnsi="宋体" w:cs="宋体" w:hint="eastAsia"/>
              </w:rPr>
              <w:t>合计：</w:t>
            </w:r>
          </w:p>
        </w:tc>
        <w:tc>
          <w:tcPr>
            <w:tcW w:w="3333" w:type="dxa"/>
            <w:vAlign w:val="center"/>
          </w:tcPr>
          <w:p w14:paraId="7AF488AB" w14:textId="77777777" w:rsidR="00DA64A2" w:rsidRDefault="00145317">
            <w:pPr>
              <w:pStyle w:val="a0"/>
              <w:jc w:val="right"/>
              <w:rPr>
                <w:rFonts w:ascii="宋体" w:hAnsi="宋体" w:cs="宋体"/>
              </w:rPr>
            </w:pPr>
            <w:r>
              <w:rPr>
                <w:rFonts w:ascii="宋体" w:hAnsi="宋体" w:cs="宋体" w:hint="eastAsia"/>
              </w:rPr>
              <w:t>62,690.00</w:t>
            </w:r>
          </w:p>
        </w:tc>
      </w:tr>
    </w:tbl>
    <w:p w14:paraId="3E81A750" w14:textId="77777777" w:rsidR="00DA64A2" w:rsidRDefault="00145317">
      <w:pPr>
        <w:spacing w:beforeLines="50" w:before="156" w:afterLines="50" w:after="156" w:line="360" w:lineRule="auto"/>
        <w:ind w:firstLineChars="200" w:firstLine="480"/>
        <w:rPr>
          <w:rFonts w:ascii="宋体" w:hAnsi="宋体"/>
          <w:sz w:val="24"/>
          <w:lang w:bidi="zh-CN"/>
        </w:rPr>
      </w:pPr>
      <w:r>
        <w:rPr>
          <w:rFonts w:ascii="宋体" w:hAnsi="宋体" w:hint="eastAsia"/>
          <w:sz w:val="24"/>
        </w:rPr>
        <w:t>截至</w:t>
      </w:r>
      <w:r>
        <w:rPr>
          <w:rFonts w:ascii="宋体" w:hAnsi="宋体" w:hint="eastAsia"/>
          <w:sz w:val="24"/>
        </w:rPr>
        <w:t>2022</w:t>
      </w:r>
      <w:r>
        <w:rPr>
          <w:rFonts w:ascii="宋体" w:hAnsi="宋体" w:hint="eastAsia"/>
          <w:sz w:val="24"/>
        </w:rPr>
        <w:t>年</w:t>
      </w:r>
      <w:r>
        <w:rPr>
          <w:rFonts w:ascii="宋体" w:hAnsi="宋体" w:hint="eastAsia"/>
          <w:sz w:val="24"/>
        </w:rPr>
        <w:t>5</w:t>
      </w:r>
      <w:r>
        <w:rPr>
          <w:rFonts w:ascii="宋体" w:hAnsi="宋体" w:hint="eastAsia"/>
          <w:sz w:val="24"/>
        </w:rPr>
        <w:t>月</w:t>
      </w:r>
      <w:r>
        <w:rPr>
          <w:rFonts w:ascii="宋体" w:hAnsi="宋体" w:hint="eastAsia"/>
          <w:sz w:val="24"/>
        </w:rPr>
        <w:t>31</w:t>
      </w:r>
      <w:r>
        <w:rPr>
          <w:rFonts w:ascii="宋体" w:hAnsi="宋体" w:hint="eastAsia"/>
          <w:sz w:val="24"/>
        </w:rPr>
        <w:t>日，中航信托本金还款比例</w:t>
      </w:r>
      <w:r>
        <w:rPr>
          <w:rFonts w:ascii="宋体" w:hAnsi="宋体" w:hint="eastAsia"/>
          <w:sz w:val="24"/>
        </w:rPr>
        <w:t>45.36%</w:t>
      </w:r>
      <w:r>
        <w:rPr>
          <w:rFonts w:ascii="宋体" w:hAnsi="宋体" w:hint="eastAsia"/>
          <w:sz w:val="24"/>
        </w:rPr>
        <w:t>，开发贷累计还款比例</w:t>
      </w:r>
      <w:r>
        <w:rPr>
          <w:rFonts w:ascii="宋体" w:hAnsi="宋体" w:hint="eastAsia"/>
          <w:sz w:val="24"/>
        </w:rPr>
        <w:t>11.45%</w:t>
      </w:r>
      <w:r>
        <w:rPr>
          <w:rFonts w:ascii="宋体" w:hAnsi="宋体" w:hint="eastAsia"/>
          <w:sz w:val="24"/>
        </w:rPr>
        <w:t>（累计提款</w:t>
      </w:r>
      <w:r>
        <w:rPr>
          <w:rFonts w:ascii="宋体" w:hAnsi="宋体" w:hint="eastAsia"/>
          <w:sz w:val="24"/>
        </w:rPr>
        <w:t>70,800.00</w:t>
      </w:r>
      <w:r>
        <w:rPr>
          <w:rFonts w:ascii="宋体" w:hAnsi="宋体" w:hint="eastAsia"/>
          <w:sz w:val="24"/>
        </w:rPr>
        <w:t>万元，累计还款</w:t>
      </w:r>
      <w:r>
        <w:rPr>
          <w:rFonts w:ascii="宋体" w:hAnsi="宋体" w:hint="eastAsia"/>
          <w:sz w:val="24"/>
        </w:rPr>
        <w:t>8,110.00</w:t>
      </w:r>
      <w:r>
        <w:rPr>
          <w:rFonts w:ascii="宋体" w:hAnsi="宋体" w:hint="eastAsia"/>
          <w:sz w:val="24"/>
        </w:rPr>
        <w:t>万元）。</w:t>
      </w:r>
    </w:p>
    <w:p w14:paraId="0EFC82BB" w14:textId="77777777" w:rsidR="00DA64A2" w:rsidRDefault="00145317">
      <w:pPr>
        <w:spacing w:beforeLines="50" w:before="156" w:afterLines="50" w:after="156" w:line="360" w:lineRule="auto"/>
        <w:ind w:firstLineChars="200" w:firstLine="480"/>
        <w:rPr>
          <w:rFonts w:ascii="宋体" w:hAnsi="宋体"/>
          <w:sz w:val="24"/>
          <w:lang w:bidi="zh-CN"/>
        </w:rPr>
      </w:pPr>
      <w:r>
        <w:rPr>
          <w:rFonts w:ascii="宋体" w:hAnsi="宋体" w:hint="eastAsia"/>
          <w:sz w:val="24"/>
          <w:lang w:bidi="zh-CN"/>
        </w:rPr>
        <w:t>经审核，我司认为</w:t>
      </w:r>
      <w:r>
        <w:rPr>
          <w:rFonts w:ascii="宋体" w:hAnsi="宋体" w:hint="eastAsia"/>
          <w:sz w:val="24"/>
          <w:lang w:bidi="zh-CN"/>
        </w:rPr>
        <w:t>6</w:t>
      </w:r>
      <w:r>
        <w:rPr>
          <w:rFonts w:ascii="宋体" w:hAnsi="宋体" w:hint="eastAsia"/>
          <w:sz w:val="24"/>
          <w:lang w:bidi="zh-CN"/>
        </w:rPr>
        <w:t>月份开发贷还本资金支出</w:t>
      </w:r>
      <w:r>
        <w:rPr>
          <w:rFonts w:ascii="宋体" w:hAnsi="宋体"/>
          <w:sz w:val="24"/>
          <w:lang w:bidi="zh-CN"/>
        </w:rPr>
        <w:t>计划编制合理</w:t>
      </w:r>
      <w:r>
        <w:rPr>
          <w:rFonts w:ascii="宋体" w:hAnsi="宋体" w:hint="eastAsia"/>
          <w:sz w:val="24"/>
          <w:lang w:bidi="zh-CN"/>
        </w:rPr>
        <w:t>，实际支付时，我司会对付款申请、流程、协议等依据进行审核，</w:t>
      </w:r>
      <w:r>
        <w:rPr>
          <w:rFonts w:ascii="宋体" w:hAnsi="宋体"/>
          <w:sz w:val="24"/>
          <w:lang w:bidi="zh-CN"/>
        </w:rPr>
        <w:t>严格把控，</w:t>
      </w:r>
      <w:r>
        <w:rPr>
          <w:rFonts w:ascii="宋体" w:hAnsi="宋体" w:hint="eastAsia"/>
          <w:sz w:val="24"/>
          <w:lang w:bidi="zh-CN"/>
        </w:rPr>
        <w:t>确保资金支付合理、合规。</w:t>
      </w:r>
    </w:p>
    <w:p w14:paraId="082FEB2C" w14:textId="77777777" w:rsidR="00DA64A2" w:rsidRDefault="00DA64A2">
      <w:pPr>
        <w:pStyle w:val="a0"/>
      </w:pPr>
    </w:p>
    <w:p w14:paraId="315DA30B" w14:textId="77777777" w:rsidR="00DA64A2" w:rsidRDefault="00145317">
      <w:pPr>
        <w:numPr>
          <w:ilvl w:val="0"/>
          <w:numId w:val="1"/>
        </w:numPr>
        <w:spacing w:beforeLines="50" w:before="156" w:afterLines="50" w:after="156"/>
        <w:ind w:firstLineChars="50" w:firstLine="120"/>
        <w:rPr>
          <w:rFonts w:ascii="宋体" w:hAnsi="宋体"/>
          <w:b/>
          <w:sz w:val="24"/>
          <w:lang w:bidi="zh-CN"/>
        </w:rPr>
      </w:pPr>
      <w:r>
        <w:rPr>
          <w:rFonts w:ascii="宋体" w:hAnsi="宋体"/>
          <w:b/>
          <w:sz w:val="24"/>
          <w:lang w:bidi="zh-CN"/>
        </w:rPr>
        <w:t>结论：</w:t>
      </w:r>
    </w:p>
    <w:p w14:paraId="7044AF57" w14:textId="77777777" w:rsidR="00DA64A2" w:rsidRDefault="00145317">
      <w:pPr>
        <w:pStyle w:val="af1"/>
        <w:spacing w:beforeLines="50" w:before="156" w:afterLines="50" w:after="156" w:line="360" w:lineRule="auto"/>
        <w:ind w:firstLine="480"/>
        <w:rPr>
          <w:rFonts w:ascii="宋体" w:hAnsi="宋体"/>
          <w:sz w:val="24"/>
          <w:lang w:bidi="zh-CN"/>
        </w:rPr>
      </w:pPr>
      <w:r>
        <w:rPr>
          <w:rFonts w:ascii="宋体" w:hAnsi="宋体" w:hint="eastAsia"/>
          <w:sz w:val="24"/>
        </w:rPr>
        <w:t>项目公司本次提交的</w:t>
      </w:r>
      <w:r>
        <w:rPr>
          <w:rFonts w:ascii="宋体" w:hAnsi="宋体" w:hint="eastAsia"/>
          <w:sz w:val="24"/>
        </w:rPr>
        <w:t>2022</w:t>
      </w:r>
      <w:r>
        <w:rPr>
          <w:rFonts w:ascii="宋体" w:hAnsi="宋体" w:hint="eastAsia"/>
          <w:sz w:val="24"/>
        </w:rPr>
        <w:t>年</w:t>
      </w:r>
      <w:r>
        <w:rPr>
          <w:rFonts w:ascii="宋体" w:hAnsi="宋体" w:hint="eastAsia"/>
          <w:sz w:val="24"/>
        </w:rPr>
        <w:t>6</w:t>
      </w:r>
      <w:r>
        <w:rPr>
          <w:rFonts w:ascii="宋体" w:hAnsi="宋体" w:hint="eastAsia"/>
          <w:sz w:val="24"/>
        </w:rPr>
        <w:t>月资金计划按款项类别分类，</w:t>
      </w:r>
      <w:r>
        <w:rPr>
          <w:rFonts w:ascii="宋体" w:hAnsi="宋体"/>
          <w:bCs/>
          <w:sz w:val="24"/>
          <w:lang w:bidi="zh-CN"/>
        </w:rPr>
        <w:t>分类信息明确，直观，费用明细与现场实际情况基本吻合</w:t>
      </w:r>
      <w:r>
        <w:rPr>
          <w:rFonts w:ascii="宋体" w:hAnsi="宋体" w:hint="eastAsia"/>
          <w:bCs/>
          <w:sz w:val="24"/>
          <w:lang w:bidi="zh-CN"/>
        </w:rPr>
        <w:t>。涉及的合同及付款与开发节奏匹配，部分付款时间较之现金流预测表略有调整。</w:t>
      </w:r>
      <w:r>
        <w:rPr>
          <w:rFonts w:ascii="宋体" w:hAnsi="宋体" w:hint="eastAsia"/>
          <w:sz w:val="24"/>
          <w:lang w:bidi="zh-CN"/>
        </w:rPr>
        <w:t>实际支付时，我司会对</w:t>
      </w:r>
      <w:r>
        <w:rPr>
          <w:rFonts w:ascii="宋体" w:hAnsi="宋体" w:hint="eastAsia"/>
          <w:sz w:val="24"/>
          <w:lang w:bidi="zh-CN"/>
        </w:rPr>
        <w:t>付款申请、发票、流程、合同、现场签证等依据进行审核、计算，根据实际申请情况审核付款的合理性、合规性。</w:t>
      </w:r>
    </w:p>
    <w:p w14:paraId="16078E59" w14:textId="77777777" w:rsidR="00DA64A2" w:rsidRDefault="00145317">
      <w:pPr>
        <w:spacing w:beforeLines="50" w:before="156" w:afterLines="50" w:after="156" w:line="360" w:lineRule="auto"/>
        <w:ind w:firstLineChars="200" w:firstLine="480"/>
        <w:rPr>
          <w:rFonts w:ascii="宋体" w:hAnsi="宋体"/>
          <w:sz w:val="24"/>
          <w:lang w:bidi="zh-CN"/>
        </w:rPr>
      </w:pPr>
      <w:r>
        <w:rPr>
          <w:rFonts w:ascii="宋体" w:hAnsi="宋体" w:hint="eastAsia"/>
          <w:bCs/>
          <w:sz w:val="24"/>
          <w:lang w:bidi="zh-CN"/>
        </w:rPr>
        <w:t>我司拟同意项目公司</w:t>
      </w:r>
      <w:r>
        <w:rPr>
          <w:rFonts w:ascii="宋体" w:hAnsi="宋体" w:hint="eastAsia"/>
          <w:bCs/>
          <w:sz w:val="24"/>
          <w:lang w:bidi="zh-CN"/>
        </w:rPr>
        <w:t>2022</w:t>
      </w:r>
      <w:r>
        <w:rPr>
          <w:rFonts w:ascii="宋体" w:hAnsi="宋体" w:hint="eastAsia"/>
          <w:bCs/>
          <w:sz w:val="24"/>
          <w:lang w:bidi="zh-CN"/>
        </w:rPr>
        <w:t>年</w:t>
      </w:r>
      <w:r>
        <w:rPr>
          <w:rFonts w:ascii="宋体" w:hAnsi="宋体" w:hint="eastAsia"/>
          <w:bCs/>
          <w:sz w:val="24"/>
          <w:lang w:bidi="zh-CN"/>
        </w:rPr>
        <w:t>6</w:t>
      </w:r>
      <w:r>
        <w:rPr>
          <w:rFonts w:ascii="宋体" w:hAnsi="宋体" w:hint="eastAsia"/>
          <w:bCs/>
          <w:sz w:val="24"/>
          <w:lang w:bidi="zh-CN"/>
        </w:rPr>
        <w:t>月份的资金计划，并以此作为付款的依据。待实际支付时，我司人员将对相关付款资料的合理、合规性一一核实，据实支付，请审批。</w:t>
      </w:r>
    </w:p>
    <w:p w14:paraId="3AECBBFB" w14:textId="77777777" w:rsidR="00DA64A2" w:rsidRDefault="00DA64A2">
      <w:pPr>
        <w:spacing w:beforeLines="50" w:before="156" w:afterLines="50" w:after="156" w:line="360" w:lineRule="auto"/>
        <w:ind w:firstLineChars="200" w:firstLine="480"/>
        <w:rPr>
          <w:rFonts w:ascii="宋体" w:hAnsi="宋体"/>
          <w:sz w:val="24"/>
        </w:rPr>
      </w:pPr>
    </w:p>
    <w:p w14:paraId="26F4693F" w14:textId="77777777" w:rsidR="00DA64A2" w:rsidRDefault="00145317">
      <w:pPr>
        <w:spacing w:line="360" w:lineRule="auto"/>
        <w:jc w:val="right"/>
        <w:rPr>
          <w:rFonts w:ascii="宋体" w:hAnsi="宋体"/>
          <w:b/>
          <w:sz w:val="24"/>
          <w:lang w:bidi="zh-CN"/>
        </w:rPr>
      </w:pPr>
      <w:r>
        <w:rPr>
          <w:rFonts w:ascii="宋体" w:hAnsi="宋体" w:hint="eastAsia"/>
          <w:b/>
          <w:sz w:val="24"/>
          <w:lang w:bidi="zh-CN"/>
        </w:rPr>
        <w:t>北京康信君安资产管理有限公司</w:t>
      </w:r>
    </w:p>
    <w:p w14:paraId="0976604B" w14:textId="77777777" w:rsidR="00DA64A2" w:rsidRDefault="00145317">
      <w:pPr>
        <w:spacing w:beforeLines="50" w:before="156" w:line="360" w:lineRule="auto"/>
        <w:ind w:leftChars="200" w:left="420" w:firstLineChars="200" w:firstLine="482"/>
        <w:jc w:val="right"/>
        <w:rPr>
          <w:rFonts w:ascii="宋体" w:hAnsi="宋体"/>
          <w:b/>
          <w:sz w:val="24"/>
          <w:lang w:bidi="zh-CN"/>
        </w:rPr>
      </w:pPr>
      <w:r>
        <w:rPr>
          <w:rFonts w:ascii="宋体" w:hAnsi="宋体" w:hint="eastAsia"/>
          <w:b/>
          <w:sz w:val="24"/>
          <w:lang w:bidi="zh-CN"/>
        </w:rPr>
        <w:t xml:space="preserve">                                             </w:t>
      </w:r>
      <w:r>
        <w:rPr>
          <w:rFonts w:ascii="宋体" w:hAnsi="宋体" w:hint="eastAsia"/>
          <w:b/>
          <w:bCs/>
          <w:sz w:val="24"/>
          <w:lang w:bidi="zh-CN"/>
        </w:rPr>
        <w:t>2022</w:t>
      </w:r>
      <w:r>
        <w:rPr>
          <w:rFonts w:ascii="宋体" w:hAnsi="宋体" w:hint="eastAsia"/>
          <w:b/>
          <w:bCs/>
          <w:sz w:val="24"/>
          <w:lang w:bidi="zh-CN"/>
        </w:rPr>
        <w:t>年</w:t>
      </w:r>
      <w:r>
        <w:rPr>
          <w:rFonts w:ascii="宋体" w:hAnsi="宋体" w:hint="eastAsia"/>
          <w:b/>
          <w:bCs/>
          <w:sz w:val="24"/>
          <w:lang w:bidi="zh-CN"/>
        </w:rPr>
        <w:t>6</w:t>
      </w:r>
      <w:r>
        <w:rPr>
          <w:rFonts w:ascii="宋体" w:hAnsi="宋体" w:hint="eastAsia"/>
          <w:b/>
          <w:bCs/>
          <w:sz w:val="24"/>
          <w:lang w:bidi="zh-CN"/>
        </w:rPr>
        <w:t>月</w:t>
      </w:r>
      <w:r>
        <w:rPr>
          <w:rFonts w:ascii="宋体" w:hAnsi="宋体" w:hint="eastAsia"/>
          <w:b/>
          <w:bCs/>
          <w:sz w:val="24"/>
          <w:lang w:bidi="zh-CN"/>
        </w:rPr>
        <w:t>7</w:t>
      </w:r>
      <w:r>
        <w:rPr>
          <w:rFonts w:ascii="宋体" w:hAnsi="宋体"/>
          <w:b/>
          <w:bCs/>
          <w:sz w:val="24"/>
          <w:lang w:bidi="zh-CN"/>
        </w:rPr>
        <w:t>日</w:t>
      </w:r>
    </w:p>
    <w:p w14:paraId="1D58DEE3" w14:textId="77777777" w:rsidR="00DA64A2" w:rsidRDefault="00DA64A2"/>
    <w:sectPr w:rsidR="00DA64A2">
      <w:headerReference w:type="default" r:id="rId7"/>
      <w:footerReference w:type="default" r:id="rId8"/>
      <w:pgSz w:w="11906" w:h="16838"/>
      <w:pgMar w:top="1843" w:right="1134" w:bottom="1134" w:left="113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4585" w14:textId="77777777" w:rsidR="00000000" w:rsidRDefault="00145317">
      <w:r>
        <w:separator/>
      </w:r>
    </w:p>
  </w:endnote>
  <w:endnote w:type="continuationSeparator" w:id="0">
    <w:p w14:paraId="7C83A791" w14:textId="77777777" w:rsidR="00000000" w:rsidRDefault="0014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781782"/>
    </w:sdtPr>
    <w:sdtEndPr/>
    <w:sdtContent>
      <w:p w14:paraId="1441680D" w14:textId="77777777" w:rsidR="00DA64A2" w:rsidRDefault="00145317">
        <w:pPr>
          <w:pStyle w:val="a7"/>
          <w:jc w:val="center"/>
        </w:pPr>
        <w:r>
          <w:fldChar w:fldCharType="begin"/>
        </w:r>
        <w:r>
          <w:instrText>PAGE   \* MERGEFORMAT</w:instrText>
        </w:r>
        <w:r>
          <w:fldChar w:fldCharType="separate"/>
        </w:r>
        <w:r>
          <w:rPr>
            <w:lang w:val="zh-CN"/>
          </w:rPr>
          <w:t>-</w:t>
        </w:r>
        <w:r>
          <w:t xml:space="preserve"> 25 -</w:t>
        </w:r>
        <w:r>
          <w:fldChar w:fldCharType="end"/>
        </w:r>
      </w:p>
    </w:sdtContent>
  </w:sdt>
  <w:p w14:paraId="2C417A7D" w14:textId="77777777" w:rsidR="00DA64A2" w:rsidRDefault="00DA64A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626F" w14:textId="77777777" w:rsidR="00000000" w:rsidRDefault="00145317">
      <w:r>
        <w:separator/>
      </w:r>
    </w:p>
  </w:footnote>
  <w:footnote w:type="continuationSeparator" w:id="0">
    <w:p w14:paraId="6FCC0DAF" w14:textId="77777777" w:rsidR="00000000" w:rsidRDefault="00145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86B" w14:textId="77777777" w:rsidR="00DA64A2" w:rsidRDefault="00145317">
    <w:pPr>
      <w:pStyle w:val="a8"/>
      <w:pBdr>
        <w:top w:val="none" w:sz="0" w:space="0" w:color="auto"/>
        <w:left w:val="none" w:sz="0" w:space="0" w:color="auto"/>
        <w:bottom w:val="single" w:sz="4" w:space="1" w:color="auto"/>
        <w:right w:val="none" w:sz="0" w:space="0" w:color="auto"/>
      </w:pBdr>
      <w:ind w:firstLine="300"/>
      <w:jc w:val="right"/>
      <w:rPr>
        <w:rFonts w:ascii="黑体" w:eastAsia="黑体" w:hAnsi="黑体"/>
        <w:b/>
        <w:bCs/>
        <w:color w:val="A78458"/>
      </w:rPr>
    </w:pPr>
    <w:r>
      <w:rPr>
        <w:rFonts w:ascii="黑体" w:eastAsia="黑体" w:hAnsi="黑体"/>
        <w:noProof/>
        <w:color w:val="A78458"/>
        <w:sz w:val="15"/>
        <w:szCs w:val="15"/>
      </w:rPr>
      <w:drawing>
        <wp:anchor distT="0" distB="0" distL="114300" distR="114300" simplePos="0" relativeHeight="251659264" behindDoc="0" locked="0" layoutInCell="1" allowOverlap="1" wp14:anchorId="26789BDA" wp14:editId="7BFFC3D9">
          <wp:simplePos x="0" y="0"/>
          <wp:positionH relativeFrom="column">
            <wp:posOffset>6350</wp:posOffset>
          </wp:positionH>
          <wp:positionV relativeFrom="paragraph">
            <wp:posOffset>-67945</wp:posOffset>
          </wp:positionV>
          <wp:extent cx="1330325" cy="433705"/>
          <wp:effectExtent l="0" t="0" r="3810" b="444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0037" cy="433951"/>
                  </a:xfrm>
                  <a:prstGeom prst="rect">
                    <a:avLst/>
                  </a:prstGeom>
                </pic:spPr>
              </pic:pic>
            </a:graphicData>
          </a:graphic>
        </wp:anchor>
      </w:drawing>
    </w:r>
    <w:r>
      <w:rPr>
        <w:rFonts w:ascii="黑体" w:eastAsia="黑体" w:hAnsi="黑体" w:hint="eastAsia"/>
        <w:b/>
        <w:bCs/>
        <w:color w:val="A78458"/>
      </w:rPr>
      <w:t>北京康信君安资产管理有限公司</w:t>
    </w:r>
  </w:p>
  <w:p w14:paraId="6D6425A7" w14:textId="77777777" w:rsidR="00DA64A2" w:rsidRDefault="00145317">
    <w:pPr>
      <w:pStyle w:val="a8"/>
      <w:pBdr>
        <w:top w:val="none" w:sz="0" w:space="0" w:color="auto"/>
        <w:left w:val="none" w:sz="0" w:space="0" w:color="auto"/>
        <w:bottom w:val="single" w:sz="4" w:space="1" w:color="auto"/>
        <w:right w:val="none" w:sz="0" w:space="0" w:color="auto"/>
      </w:pBdr>
      <w:ind w:firstLine="300"/>
      <w:jc w:val="right"/>
      <w:rPr>
        <w:rFonts w:ascii="黑体" w:eastAsia="黑体" w:hAnsi="黑体"/>
        <w:color w:val="767171" w:themeColor="background2" w:themeShade="80"/>
        <w:sz w:val="15"/>
        <w:szCs w:val="15"/>
      </w:rPr>
    </w:pPr>
    <w:r>
      <w:rPr>
        <w:rFonts w:ascii="黑体" w:eastAsia="黑体" w:hAnsi="黑体" w:hint="eastAsia"/>
        <w:color w:val="767171" w:themeColor="background2" w:themeShade="80"/>
        <w:sz w:val="15"/>
        <w:szCs w:val="15"/>
      </w:rPr>
      <w:t>地址</w:t>
    </w:r>
    <w:r>
      <w:rPr>
        <w:rFonts w:ascii="黑体" w:eastAsia="黑体" w:hAnsi="黑体" w:hint="eastAsia"/>
        <w:color w:val="767171" w:themeColor="background2" w:themeShade="80"/>
        <w:sz w:val="15"/>
        <w:szCs w:val="15"/>
      </w:rPr>
      <w:t>:</w:t>
    </w:r>
    <w:r>
      <w:rPr>
        <w:rFonts w:ascii="黑体" w:eastAsia="黑体" w:hAnsi="黑体" w:hint="eastAsia"/>
        <w:color w:val="767171" w:themeColor="background2" w:themeShade="80"/>
        <w:sz w:val="15"/>
        <w:szCs w:val="15"/>
      </w:rPr>
      <w:t>北京市朝阳区裕民路</w:t>
    </w:r>
    <w:r>
      <w:rPr>
        <w:rFonts w:ascii="黑体" w:eastAsia="黑体" w:hAnsi="黑体"/>
        <w:color w:val="767171" w:themeColor="background2" w:themeShade="80"/>
        <w:sz w:val="15"/>
        <w:szCs w:val="15"/>
      </w:rPr>
      <w:t>12</w:t>
    </w:r>
    <w:r>
      <w:rPr>
        <w:rFonts w:ascii="黑体" w:eastAsia="黑体" w:hAnsi="黑体"/>
        <w:color w:val="767171" w:themeColor="background2" w:themeShade="80"/>
        <w:sz w:val="15"/>
        <w:szCs w:val="15"/>
      </w:rPr>
      <w:t>号中国国际科技会展中心</w:t>
    </w:r>
    <w:r>
      <w:rPr>
        <w:rFonts w:ascii="黑体" w:eastAsia="黑体" w:hAnsi="黑体"/>
        <w:color w:val="767171" w:themeColor="background2" w:themeShade="80"/>
        <w:sz w:val="15"/>
        <w:szCs w:val="15"/>
      </w:rPr>
      <w:t>A</w:t>
    </w:r>
    <w:r>
      <w:rPr>
        <w:rFonts w:ascii="黑体" w:eastAsia="黑体" w:hAnsi="黑体"/>
        <w:color w:val="767171" w:themeColor="background2" w:themeShade="80"/>
        <w:sz w:val="15"/>
        <w:szCs w:val="15"/>
      </w:rPr>
      <w:t>座</w:t>
    </w:r>
    <w:r>
      <w:rPr>
        <w:rFonts w:ascii="黑体" w:eastAsia="黑体" w:hAnsi="黑体"/>
        <w:color w:val="767171" w:themeColor="background2" w:themeShade="80"/>
        <w:sz w:val="15"/>
        <w:szCs w:val="15"/>
      </w:rPr>
      <w:t>1601</w:t>
    </w:r>
  </w:p>
  <w:p w14:paraId="36056E21" w14:textId="77777777" w:rsidR="00DA64A2" w:rsidRDefault="00145317">
    <w:pPr>
      <w:pStyle w:val="a8"/>
      <w:pBdr>
        <w:top w:val="none" w:sz="0" w:space="0" w:color="auto"/>
        <w:left w:val="none" w:sz="0" w:space="0" w:color="auto"/>
        <w:bottom w:val="single" w:sz="4" w:space="1" w:color="auto"/>
        <w:right w:val="none" w:sz="0" w:space="0" w:color="auto"/>
      </w:pBdr>
      <w:ind w:firstLine="300"/>
      <w:jc w:val="right"/>
      <w:rPr>
        <w:rFonts w:ascii="黑体" w:eastAsia="黑体" w:hAnsi="黑体"/>
        <w:color w:val="595959" w:themeColor="text1" w:themeTint="A6"/>
        <w:sz w:val="15"/>
        <w:szCs w:val="15"/>
      </w:rPr>
    </w:pPr>
    <w:r>
      <w:rPr>
        <w:rFonts w:ascii="黑体" w:eastAsia="黑体" w:hAnsi="黑体" w:hint="eastAsia"/>
        <w:color w:val="767171" w:themeColor="background2" w:themeShade="80"/>
        <w:sz w:val="15"/>
        <w:szCs w:val="15"/>
      </w:rPr>
      <w:t>电话</w:t>
    </w:r>
    <w:r>
      <w:rPr>
        <w:rFonts w:ascii="黑体" w:eastAsia="黑体" w:hAnsi="黑体" w:hint="eastAsia"/>
        <w:color w:val="767171" w:themeColor="background2" w:themeShade="80"/>
        <w:sz w:val="15"/>
        <w:szCs w:val="15"/>
      </w:rPr>
      <w:t>:</w:t>
    </w:r>
    <w:r>
      <w:rPr>
        <w:rFonts w:ascii="黑体" w:eastAsia="黑体" w:hAnsi="黑体"/>
        <w:color w:val="767171" w:themeColor="background2" w:themeShade="80"/>
        <w:sz w:val="15"/>
        <w:szCs w:val="15"/>
      </w:rPr>
      <w:t>010-50911878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C2D41E"/>
    <w:multiLevelType w:val="singleLevel"/>
    <w:tmpl w:val="98C2D41E"/>
    <w:lvl w:ilvl="0">
      <w:start w:val="1"/>
      <w:numFmt w:val="decimal"/>
      <w:suff w:val="nothing"/>
      <w:lvlText w:val="（%1）"/>
      <w:lvlJc w:val="left"/>
    </w:lvl>
  </w:abstractNum>
  <w:abstractNum w:abstractNumId="1" w15:restartNumberingAfterBreak="0">
    <w:nsid w:val="E2EF10D7"/>
    <w:multiLevelType w:val="singleLevel"/>
    <w:tmpl w:val="E2EF10D7"/>
    <w:lvl w:ilvl="0">
      <w:start w:val="4"/>
      <w:numFmt w:val="chineseCounting"/>
      <w:suff w:val="nothing"/>
      <w:lvlText w:val="（%1）"/>
      <w:lvlJc w:val="left"/>
      <w:rPr>
        <w:rFonts w:hint="eastAsia"/>
      </w:rPr>
    </w:lvl>
  </w:abstractNum>
  <w:abstractNum w:abstractNumId="2" w15:restartNumberingAfterBreak="0">
    <w:nsid w:val="062381DE"/>
    <w:multiLevelType w:val="multilevel"/>
    <w:tmpl w:val="062381DE"/>
    <w:lvl w:ilvl="0">
      <w:start w:val="1"/>
      <w:numFmt w:val="decimal"/>
      <w:suff w:val="nothing"/>
      <w:lvlText w:val="（%1）"/>
      <w:lvlJc w:val="left"/>
      <w:pPr>
        <w:ind w:left="1200" w:hanging="7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 w15:restartNumberingAfterBreak="0">
    <w:nsid w:val="0D4E1B27"/>
    <w:multiLevelType w:val="singleLevel"/>
    <w:tmpl w:val="0D4E1B27"/>
    <w:lvl w:ilvl="0">
      <w:start w:val="1"/>
      <w:numFmt w:val="decimal"/>
      <w:suff w:val="nothing"/>
      <w:lvlText w:val="%1、"/>
      <w:lvlJc w:val="left"/>
    </w:lvl>
  </w:abstractNum>
  <w:abstractNum w:abstractNumId="4" w15:restartNumberingAfterBreak="0">
    <w:nsid w:val="1F5288DA"/>
    <w:multiLevelType w:val="singleLevel"/>
    <w:tmpl w:val="1F5288DA"/>
    <w:lvl w:ilvl="0">
      <w:start w:val="1"/>
      <w:numFmt w:val="chineseCounting"/>
      <w:suff w:val="nothing"/>
      <w:lvlText w:val="%1、"/>
      <w:lvlJc w:val="left"/>
      <w:rPr>
        <w:rFonts w:hint="eastAsia"/>
      </w:rPr>
    </w:lvl>
  </w:abstractNum>
  <w:num w:numId="1" w16cid:durableId="1148783733">
    <w:abstractNumId w:val="4"/>
  </w:num>
  <w:num w:numId="2" w16cid:durableId="1110127884">
    <w:abstractNumId w:val="2"/>
  </w:num>
  <w:num w:numId="3" w16cid:durableId="1347171838">
    <w:abstractNumId w:val="0"/>
  </w:num>
  <w:num w:numId="4" w16cid:durableId="298344488">
    <w:abstractNumId w:val="3"/>
  </w:num>
  <w:num w:numId="5" w16cid:durableId="1082917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D01690"/>
    <w:rsid w:val="F7F7B3C2"/>
    <w:rsid w:val="FFFE3A12"/>
    <w:rsid w:val="00090A39"/>
    <w:rsid w:val="00145317"/>
    <w:rsid w:val="0018402F"/>
    <w:rsid w:val="001E0046"/>
    <w:rsid w:val="0029527F"/>
    <w:rsid w:val="002D146D"/>
    <w:rsid w:val="003355D6"/>
    <w:rsid w:val="003E277D"/>
    <w:rsid w:val="004A701E"/>
    <w:rsid w:val="004D5B15"/>
    <w:rsid w:val="004E1D35"/>
    <w:rsid w:val="005566F8"/>
    <w:rsid w:val="005720B1"/>
    <w:rsid w:val="005F0392"/>
    <w:rsid w:val="0068002B"/>
    <w:rsid w:val="006A46CA"/>
    <w:rsid w:val="00746756"/>
    <w:rsid w:val="00763806"/>
    <w:rsid w:val="007A4584"/>
    <w:rsid w:val="00817F2D"/>
    <w:rsid w:val="00867512"/>
    <w:rsid w:val="008E2185"/>
    <w:rsid w:val="00940531"/>
    <w:rsid w:val="00957072"/>
    <w:rsid w:val="009A3396"/>
    <w:rsid w:val="00A017CC"/>
    <w:rsid w:val="00B67778"/>
    <w:rsid w:val="00C51C6F"/>
    <w:rsid w:val="00C53AFC"/>
    <w:rsid w:val="00C77376"/>
    <w:rsid w:val="00CA27AB"/>
    <w:rsid w:val="00D01690"/>
    <w:rsid w:val="00D27F70"/>
    <w:rsid w:val="00D53AED"/>
    <w:rsid w:val="00DA64A2"/>
    <w:rsid w:val="00EE1064"/>
    <w:rsid w:val="00F506D0"/>
    <w:rsid w:val="00FA12FF"/>
    <w:rsid w:val="00FE0766"/>
    <w:rsid w:val="04CE681A"/>
    <w:rsid w:val="051F03F9"/>
    <w:rsid w:val="058732F5"/>
    <w:rsid w:val="0827044D"/>
    <w:rsid w:val="088E653D"/>
    <w:rsid w:val="0B013790"/>
    <w:rsid w:val="0C5345F7"/>
    <w:rsid w:val="0E7771D7"/>
    <w:rsid w:val="0F685EE8"/>
    <w:rsid w:val="0FA91612"/>
    <w:rsid w:val="10A232A6"/>
    <w:rsid w:val="10B2581C"/>
    <w:rsid w:val="11206AB0"/>
    <w:rsid w:val="120B2110"/>
    <w:rsid w:val="12360EA4"/>
    <w:rsid w:val="124E6E62"/>
    <w:rsid w:val="14902184"/>
    <w:rsid w:val="18304DEF"/>
    <w:rsid w:val="18561C0B"/>
    <w:rsid w:val="19255D77"/>
    <w:rsid w:val="1A8A2C93"/>
    <w:rsid w:val="1C6051D5"/>
    <w:rsid w:val="1CC83DE9"/>
    <w:rsid w:val="1D8E1DF1"/>
    <w:rsid w:val="1F0E4427"/>
    <w:rsid w:val="206D12E3"/>
    <w:rsid w:val="211D0E5E"/>
    <w:rsid w:val="219D7535"/>
    <w:rsid w:val="21EF707F"/>
    <w:rsid w:val="22C57461"/>
    <w:rsid w:val="22E70B5D"/>
    <w:rsid w:val="23ED6232"/>
    <w:rsid w:val="24931ACF"/>
    <w:rsid w:val="24A42915"/>
    <w:rsid w:val="252B0500"/>
    <w:rsid w:val="25844A8E"/>
    <w:rsid w:val="27901B77"/>
    <w:rsid w:val="27AC12E6"/>
    <w:rsid w:val="28344EFF"/>
    <w:rsid w:val="2D6D483C"/>
    <w:rsid w:val="2EE412DA"/>
    <w:rsid w:val="2F4D344F"/>
    <w:rsid w:val="30254EF4"/>
    <w:rsid w:val="30857C64"/>
    <w:rsid w:val="30BC3E94"/>
    <w:rsid w:val="312A718A"/>
    <w:rsid w:val="3152003F"/>
    <w:rsid w:val="31555190"/>
    <w:rsid w:val="319F5029"/>
    <w:rsid w:val="31B72DDD"/>
    <w:rsid w:val="335F0E6B"/>
    <w:rsid w:val="350E464D"/>
    <w:rsid w:val="36474C4B"/>
    <w:rsid w:val="378B0AE3"/>
    <w:rsid w:val="38244AE6"/>
    <w:rsid w:val="38625D5B"/>
    <w:rsid w:val="38D21177"/>
    <w:rsid w:val="3A2643EB"/>
    <w:rsid w:val="3BD63FE6"/>
    <w:rsid w:val="3CE15486"/>
    <w:rsid w:val="3F0B17F3"/>
    <w:rsid w:val="407707ED"/>
    <w:rsid w:val="409A001D"/>
    <w:rsid w:val="40AF70D4"/>
    <w:rsid w:val="412E4CEF"/>
    <w:rsid w:val="419D3E09"/>
    <w:rsid w:val="4262096F"/>
    <w:rsid w:val="42C955B0"/>
    <w:rsid w:val="43170EF8"/>
    <w:rsid w:val="45432F12"/>
    <w:rsid w:val="455D1D5C"/>
    <w:rsid w:val="46043ECE"/>
    <w:rsid w:val="46625D28"/>
    <w:rsid w:val="46F1596F"/>
    <w:rsid w:val="477E4E42"/>
    <w:rsid w:val="488A12DA"/>
    <w:rsid w:val="497F4AD1"/>
    <w:rsid w:val="4A8C39A9"/>
    <w:rsid w:val="4AB33801"/>
    <w:rsid w:val="4AB503AD"/>
    <w:rsid w:val="4C0A6477"/>
    <w:rsid w:val="4D5D603F"/>
    <w:rsid w:val="4E1D497A"/>
    <w:rsid w:val="5046445A"/>
    <w:rsid w:val="509061A2"/>
    <w:rsid w:val="50C728B2"/>
    <w:rsid w:val="50E15D7C"/>
    <w:rsid w:val="51AD37B4"/>
    <w:rsid w:val="52B458D1"/>
    <w:rsid w:val="538277D3"/>
    <w:rsid w:val="543D593B"/>
    <w:rsid w:val="5589744D"/>
    <w:rsid w:val="59D34E6F"/>
    <w:rsid w:val="5A211720"/>
    <w:rsid w:val="5A3360E4"/>
    <w:rsid w:val="5B391894"/>
    <w:rsid w:val="5CA72065"/>
    <w:rsid w:val="5CD73CC6"/>
    <w:rsid w:val="5D3413D5"/>
    <w:rsid w:val="5EE53E93"/>
    <w:rsid w:val="5F1267B5"/>
    <w:rsid w:val="6091581D"/>
    <w:rsid w:val="62C511EF"/>
    <w:rsid w:val="64827F41"/>
    <w:rsid w:val="65135298"/>
    <w:rsid w:val="65640A4B"/>
    <w:rsid w:val="67EB4657"/>
    <w:rsid w:val="682B3A36"/>
    <w:rsid w:val="6862662B"/>
    <w:rsid w:val="69115D64"/>
    <w:rsid w:val="6A425F97"/>
    <w:rsid w:val="6A937D90"/>
    <w:rsid w:val="6B944D36"/>
    <w:rsid w:val="6BF97D21"/>
    <w:rsid w:val="6C767D76"/>
    <w:rsid w:val="6CE55E74"/>
    <w:rsid w:val="6E62667D"/>
    <w:rsid w:val="70631942"/>
    <w:rsid w:val="7139757C"/>
    <w:rsid w:val="72B32C22"/>
    <w:rsid w:val="75880697"/>
    <w:rsid w:val="75F3411D"/>
    <w:rsid w:val="76E96375"/>
    <w:rsid w:val="79175BC7"/>
    <w:rsid w:val="7988176F"/>
    <w:rsid w:val="7B3F4FF7"/>
    <w:rsid w:val="7B6202DE"/>
    <w:rsid w:val="7CDB795E"/>
    <w:rsid w:val="7E441CE9"/>
    <w:rsid w:val="7E64086C"/>
    <w:rsid w:val="7EA26DEA"/>
    <w:rsid w:val="7F873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A54B4"/>
  <w15:docId w15:val="{B4B01744-510C-4144-A744-54E2C36C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qFormat="1"/>
    <w:lsdException w:name="Normal Indent" w:uiPriority="99" w:qFormat="1"/>
    <w:lsdException w:name="annotation text" w:unhideWhenUsed="1" w:qFormat="1"/>
    <w:lsdException w:name="header" w:uiPriority="99" w:qFormat="1"/>
    <w:lsdException w:name="footer" w:qFormat="1"/>
    <w:lsdException w:name="caption" w:semiHidden="1" w:unhideWhenUsed="1" w:qFormat="1"/>
    <w:lsdException w:name="annotation reference"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uiPriority w:val="9"/>
    <w:qFormat/>
    <w:pPr>
      <w:keepNext/>
      <w:keepLines/>
      <w:spacing w:line="360" w:lineRule="auto"/>
      <w:outlineLvl w:val="0"/>
    </w:pPr>
    <w:rPr>
      <w:rFonts w:eastAsia="仿宋_GB2312"/>
      <w:b/>
      <w:kern w:val="44"/>
      <w:sz w:val="32"/>
      <w:szCs w:val="22"/>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unhideWhenUsed/>
    <w:qFormat/>
  </w:style>
  <w:style w:type="paragraph" w:styleId="a6">
    <w:name w:val="Body Text"/>
    <w:basedOn w:val="a"/>
    <w:uiPriority w:val="99"/>
    <w:unhideWhenUsed/>
    <w:qFormat/>
    <w:pPr>
      <w:spacing w:after="12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link w:val="a9"/>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spacing w:after="100" w:line="276" w:lineRule="auto"/>
    </w:pPr>
    <w:rPr>
      <w:sz w:val="22"/>
      <w:szCs w:val="22"/>
    </w:rPr>
  </w:style>
  <w:style w:type="paragraph" w:styleId="TOC2">
    <w:name w:val="toc 2"/>
    <w:basedOn w:val="a"/>
    <w:next w:val="a"/>
    <w:qFormat/>
    <w:pPr>
      <w:ind w:leftChars="200" w:left="420"/>
    </w:pPr>
  </w:style>
  <w:style w:type="paragraph" w:styleId="aa">
    <w:name w:val="Normal (Web)"/>
    <w:basedOn w:val="a"/>
    <w:qFormat/>
    <w:pPr>
      <w:spacing w:beforeAutospacing="1" w:afterAutospacing="1"/>
      <w:jc w:val="left"/>
    </w:pPr>
    <w:rPr>
      <w:kern w:val="0"/>
      <w:sz w:val="24"/>
    </w:rPr>
  </w:style>
  <w:style w:type="paragraph" w:styleId="ab">
    <w:name w:val="annotation subject"/>
    <w:basedOn w:val="a4"/>
    <w:next w:val="a4"/>
    <w:link w:val="ac"/>
    <w:qFormat/>
    <w:pPr>
      <w:jc w:val="left"/>
    </w:pPr>
    <w:rPr>
      <w:b/>
      <w:bCs/>
    </w:rPr>
  </w:style>
  <w:style w:type="paragraph" w:styleId="ad">
    <w:name w:val="Body Text First Indent"/>
    <w:basedOn w:val="a6"/>
    <w:qFormat/>
    <w:pPr>
      <w:ind w:firstLineChars="100" w:firstLine="420"/>
    </w:pPr>
  </w:style>
  <w:style w:type="table" w:styleId="a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qFormat/>
    <w:rPr>
      <w:color w:val="0000FF"/>
      <w:u w:val="single"/>
    </w:rPr>
  </w:style>
  <w:style w:type="character" w:styleId="af0">
    <w:name w:val="annotation reference"/>
    <w:basedOn w:val="a1"/>
    <w:unhideWhenUsed/>
    <w:qFormat/>
    <w:rPr>
      <w:sz w:val="21"/>
      <w:szCs w:val="21"/>
    </w:rPr>
  </w:style>
  <w:style w:type="character" w:customStyle="1" w:styleId="a9">
    <w:name w:val="页眉 字符"/>
    <w:basedOn w:val="a1"/>
    <w:link w:val="a8"/>
    <w:uiPriority w:val="99"/>
    <w:qFormat/>
    <w:rPr>
      <w:rFonts w:ascii="Calibri" w:hAnsi="Calibri"/>
      <w:kern w:val="2"/>
      <w:sz w:val="18"/>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51">
    <w:name w:val="font51"/>
    <w:basedOn w:val="a1"/>
    <w:qFormat/>
    <w:rPr>
      <w:rFonts w:ascii="Arial" w:hAnsi="Arial" w:cs="Arial"/>
      <w:b/>
      <w:color w:val="000000"/>
      <w:sz w:val="18"/>
      <w:szCs w:val="18"/>
      <w:u w:val="none"/>
    </w:rPr>
  </w:style>
  <w:style w:type="character" w:customStyle="1" w:styleId="font31">
    <w:name w:val="font31"/>
    <w:basedOn w:val="a1"/>
    <w:qFormat/>
    <w:rPr>
      <w:rFonts w:ascii="宋体" w:eastAsia="宋体" w:hAnsi="宋体" w:cs="宋体" w:hint="eastAsia"/>
      <w:color w:val="C55911"/>
      <w:sz w:val="18"/>
      <w:szCs w:val="18"/>
      <w:u w:val="none"/>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color w:val="2E74B5" w:themeColor="accent1" w:themeShade="BF"/>
      <w:kern w:val="0"/>
      <w:szCs w:val="32"/>
    </w:rPr>
  </w:style>
  <w:style w:type="character" w:customStyle="1" w:styleId="a5">
    <w:name w:val="批注文字 字符"/>
    <w:basedOn w:val="a1"/>
    <w:link w:val="a4"/>
    <w:qFormat/>
    <w:rPr>
      <w:rFonts w:ascii="Calibri" w:hAnsi="Calibri"/>
      <w:kern w:val="2"/>
      <w:sz w:val="21"/>
      <w:szCs w:val="24"/>
    </w:rPr>
  </w:style>
  <w:style w:type="character" w:customStyle="1" w:styleId="ac">
    <w:name w:val="批注主题 字符"/>
    <w:basedOn w:val="a5"/>
    <w:link w:val="ab"/>
    <w:qFormat/>
    <w:rPr>
      <w:rFonts w:ascii="Calibri" w:hAnsi="Calibri"/>
      <w:b/>
      <w:bCs/>
      <w:kern w:val="2"/>
      <w:sz w:val="21"/>
      <w:szCs w:val="24"/>
    </w:rPr>
  </w:style>
  <w:style w:type="paragraph" w:customStyle="1" w:styleId="10">
    <w:name w:val="修订1"/>
    <w:hidden/>
    <w:uiPriority w:val="99"/>
    <w:semiHidden/>
    <w:qFormat/>
    <w:rPr>
      <w:rFonts w:ascii="Calibri" w:hAnsi="Calibri"/>
      <w:kern w:val="2"/>
      <w:sz w:val="21"/>
      <w:szCs w:val="24"/>
    </w:rPr>
  </w:style>
  <w:style w:type="paragraph" w:customStyle="1" w:styleId="20">
    <w:name w:val="修订2"/>
    <w:hidden/>
    <w:uiPriority w:val="99"/>
    <w:semiHidden/>
    <w:qFormat/>
    <w:rPr>
      <w:rFonts w:ascii="Calibri" w:hAnsi="Calibri"/>
      <w:kern w:val="2"/>
      <w:sz w:val="21"/>
      <w:szCs w:val="24"/>
    </w:rPr>
  </w:style>
  <w:style w:type="paragraph" w:styleId="af1">
    <w:name w:val="List Paragraph"/>
    <w:basedOn w:val="a"/>
    <w:uiPriority w:val="99"/>
    <w:qFormat/>
    <w:pPr>
      <w:ind w:firstLineChars="200" w:firstLine="420"/>
    </w:pPr>
  </w:style>
  <w:style w:type="paragraph" w:customStyle="1" w:styleId="3">
    <w:name w:val="修订3"/>
    <w:hidden/>
    <w:uiPriority w:val="99"/>
    <w:semiHidden/>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1120</Words>
  <Characters>6385</Characters>
  <Application>Microsoft Office Word</Application>
  <DocSecurity>0</DocSecurity>
  <Lines>53</Lines>
  <Paragraphs>14</Paragraphs>
  <ScaleCrop>false</ScaleCrop>
  <Manager>Abu设计</Manager>
  <Company>Abu设计</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信纸-Abu设计</dc:title>
  <dc:subject>信纸</dc:subject>
  <dc:creator>Abu设计</dc:creator>
  <cp:keywords>信纸 信笺背景</cp:keywords>
  <dc:description>更多Abu设计的信纸请访问
http://chn.docer.com/works?userid=415014680
谢谢支持</dc:description>
  <cp:lastModifiedBy>t h</cp:lastModifiedBy>
  <cp:revision>13</cp:revision>
  <cp:lastPrinted>2022-04-27T17:39:00Z</cp:lastPrinted>
  <dcterms:created xsi:type="dcterms:W3CDTF">2018-02-21T07:36:00Z</dcterms:created>
  <dcterms:modified xsi:type="dcterms:W3CDTF">2022-06-08T04:56:00Z</dcterms:modified>
  <cp:category>信纸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E624EB2009E74D638FC9B65F30CF3CEA</vt:lpwstr>
  </property>
</Properties>
</file>