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outlineLvl w:val="0"/>
        <w:rPr>
          <w:rFonts w:ascii="仿宋" w:hAnsi="仿宋" w:eastAsia="仿宋"/>
          <w:b/>
          <w:sz w:val="36"/>
          <w:szCs w:val="36"/>
        </w:rPr>
      </w:pPr>
      <w:bookmarkStart w:id="0" w:name="_Toc2836"/>
      <w:bookmarkStart w:id="1" w:name="_Toc15603"/>
      <w:r>
        <w:rPr>
          <w:rFonts w:hint="eastAsia" w:ascii="仿宋" w:hAnsi="仿宋" w:eastAsia="仿宋"/>
          <w:b/>
          <w:sz w:val="36"/>
          <w:szCs w:val="36"/>
        </w:rPr>
        <w:t>中航信托·天启【2020】352号红星苏州盛泽项目股权投资集合资金信托计划入场报告</w:t>
      </w:r>
      <w:bookmarkEnd w:id="0"/>
      <w:bookmarkEnd w:id="1"/>
    </w:p>
    <w:p/>
    <w:p/>
    <w:p/>
    <w:p/>
    <w:p/>
    <w:p/>
    <w:p/>
    <w:p/>
    <w:p/>
    <w:p/>
    <w:p/>
    <w:p/>
    <w:p/>
    <w:p/>
    <w:p/>
    <w:p/>
    <w:p/>
    <w:p/>
    <w:p/>
    <w:p>
      <w:pPr>
        <w:ind w:firstLine="280" w:firstLineChars="1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北京康信君安资产管理有限公司</w:t>
      </w:r>
    </w:p>
    <w:p/>
    <w:p>
      <w:pPr>
        <w:pStyle w:val="2"/>
        <w:ind w:firstLine="3570" w:firstLineChars="1700"/>
      </w:pPr>
      <w:r>
        <w:rPr>
          <w:rFonts w:hint="eastAsia"/>
        </w:rPr>
        <w:t>2020年8月6日</w:t>
      </w:r>
    </w:p>
    <w:p/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9111"/>
        <w15:color w:val="DBDBDB"/>
        <w:docPartObj>
          <w:docPartGallery w:val="Table of Contents"/>
          <w:docPartUnique/>
        </w:docPartObj>
      </w:sdtPr>
      <w:sdtEndPr>
        <w:rPr>
          <w:rFonts w:ascii="Arial" w:hAnsi="Arial" w:cs="Arial" w:eastAsiaTheme="minorEastAsia"/>
          <w:b/>
          <w:bCs/>
          <w:kern w:val="44"/>
          <w:sz w:val="21"/>
          <w:szCs w:val="21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9"/>
            <w:tabs>
              <w:tab w:val="right" w:leader="dot" w:pos="8306"/>
            </w:tabs>
            <w:jc w:val="center"/>
            <w:rPr>
              <w:rFonts w:hint="eastAsia" w:ascii="Arial" w:hAnsi="Arial" w:eastAsia="宋体" w:cs="Arial"/>
              <w:b/>
              <w:bCs w:val="0"/>
              <w:kern w:val="44"/>
              <w:sz w:val="28"/>
              <w:szCs w:val="28"/>
              <w:lang w:val="en-US" w:eastAsia="zh-CN"/>
            </w:rPr>
          </w:pPr>
          <w:r>
            <w:rPr>
              <w:rFonts w:hint="eastAsia" w:ascii="Arial" w:hAnsi="Arial" w:cs="Arial"/>
              <w:b/>
              <w:bCs w:val="0"/>
              <w:kern w:val="44"/>
              <w:sz w:val="28"/>
              <w:szCs w:val="28"/>
              <w:lang w:val="en-US" w:eastAsia="zh-CN"/>
            </w:rPr>
            <w:t>目录</w:t>
          </w:r>
        </w:p>
        <w:p>
          <w:pPr>
            <w:pStyle w:val="9"/>
            <w:tabs>
              <w:tab w:val="right" w:leader="dot" w:pos="8306"/>
            </w:tabs>
            <w:rPr>
              <w:rFonts w:ascii="Arial" w:hAnsi="Arial" w:cs="Arial"/>
              <w:bCs/>
              <w:kern w:val="44"/>
              <w:szCs w:val="21"/>
            </w:rPr>
          </w:pP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ascii="Arial" w:hAnsi="Arial" w:cs="Arial"/>
              <w:bCs/>
              <w:kern w:val="44"/>
              <w:szCs w:val="21"/>
            </w:rPr>
            <w:fldChar w:fldCharType="begin"/>
          </w:r>
          <w:r>
            <w:rPr>
              <w:rFonts w:ascii="Arial" w:hAnsi="Arial" w:cs="Arial"/>
              <w:bCs/>
              <w:kern w:val="44"/>
              <w:szCs w:val="21"/>
            </w:rPr>
            <w:instrText xml:space="preserve">TOC \o "1-2" \h \u </w:instrText>
          </w:r>
          <w:r>
            <w:rPr>
              <w:rFonts w:ascii="Arial" w:hAnsi="Arial" w:cs="Arial"/>
              <w:bCs/>
              <w:kern w:val="44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_Toc5071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一、 项目地块基本情况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_Toc5071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1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_Toc13727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二、 项目公司基本信息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_Toc13727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1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_Toc32568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三、 竞品分析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_Toc32568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2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_Toc28358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四、入场流程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_Toc28358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3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_Toc28352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 xml:space="preserve">1、 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  <w:lang w:val="en-US" w:eastAsia="zh-CN"/>
            </w:rPr>
            <w:t>交接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前流程沟通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_Toc28352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3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_Toc10195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2、 项目现场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_Toc10195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4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_Toc8898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3、 印鉴核验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_Toc8898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6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_Toc3054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4、 银行账户信息查询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_Toc3054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6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_Toc7477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5、 共管交接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_Toc7477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6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spacing w:line="360" w:lineRule="auto"/>
            <w:jc w:val="left"/>
            <w:rPr>
              <w:rFonts w:ascii="Arial" w:hAnsi="Arial" w:cs="Arial"/>
              <w:bCs/>
              <w:kern w:val="44"/>
              <w:szCs w:val="21"/>
            </w:rPr>
          </w:pPr>
          <w:r>
            <w:rPr>
              <w:rFonts w:ascii="Arial" w:hAnsi="Arial" w:cs="Arial"/>
              <w:b/>
              <w:bCs/>
              <w:kern w:val="44"/>
              <w:szCs w:val="21"/>
            </w:rPr>
            <w:fldChar w:fldCharType="end"/>
          </w:r>
        </w:p>
      </w:sdtContent>
    </w:sdt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hint="eastAsia" w:ascii="Arial" w:hAnsi="Arial" w:cs="Arial"/>
          <w:bCs/>
          <w:kern w:val="44"/>
          <w:szCs w:val="21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numPr>
          <w:ilvl w:val="255"/>
          <w:numId w:val="0"/>
        </w:numPr>
        <w:spacing w:line="360" w:lineRule="auto"/>
        <w:jc w:val="left"/>
        <w:rPr>
          <w:rFonts w:hint="eastAsia"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·项目公司：</w:t>
      </w:r>
      <w:r>
        <w:rPr>
          <w:rFonts w:hint="eastAsia" w:ascii="Arial" w:hAnsi="Arial" w:cs="Arial"/>
          <w:bCs/>
          <w:kern w:val="44"/>
          <w:szCs w:val="21"/>
        </w:rPr>
        <w:t>苏州星盛房地产开发有限公司</w:t>
      </w:r>
    </w:p>
    <w:p>
      <w:pPr>
        <w:numPr>
          <w:ilvl w:val="255"/>
          <w:numId w:val="0"/>
        </w:numPr>
        <w:spacing w:line="360" w:lineRule="auto"/>
        <w:jc w:val="left"/>
        <w:rPr>
          <w:rFonts w:hint="eastAsia"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中航信托</w:t>
      </w:r>
      <w:r>
        <w:rPr>
          <w:rFonts w:ascii="Arial" w:hAnsi="Arial" w:cs="Arial"/>
          <w:bCs/>
          <w:kern w:val="44"/>
          <w:szCs w:val="21"/>
        </w:rPr>
        <w:t>：</w:t>
      </w:r>
      <w:r>
        <w:rPr>
          <w:rFonts w:hint="eastAsia" w:ascii="Arial" w:hAnsi="Arial" w:cs="Arial"/>
          <w:bCs/>
          <w:kern w:val="44"/>
          <w:szCs w:val="21"/>
        </w:rPr>
        <w:t>中航信托股份有限公司</w:t>
      </w:r>
    </w:p>
    <w:p/>
    <w:p>
      <w:pPr>
        <w:numPr>
          <w:ilvl w:val="0"/>
          <w:numId w:val="1"/>
        </w:numPr>
        <w:outlineLvl w:val="0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5071"/>
      <w:r>
        <w:rPr>
          <w:rFonts w:hint="eastAsia"/>
          <w:b/>
          <w:bCs/>
          <w:sz w:val="28"/>
          <w:szCs w:val="28"/>
        </w:rPr>
        <w:t>项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目地块基本情况</w:t>
      </w:r>
      <w:bookmarkEnd w:id="2"/>
    </w:p>
    <w:p>
      <w:pPr>
        <w:spacing w:line="360" w:lineRule="auto"/>
        <w:ind w:firstLine="420" w:firstLineChars="200"/>
        <w:jc w:val="left"/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2020</w:t>
      </w:r>
      <w:r>
        <w:rPr>
          <w:rFonts w:hint="eastAsia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年3月25日，苏州市吴江区自然资源和规划局发布吴地网挂【2020】4号公告，挂出吴江高新区（盛泽镇）绸都大道西侧1#（编号：WJ-J-2020-005）、2#（编号：WJ-J-2020-006）两宗纯住宅地块，总面积101</w:t>
      </w:r>
      <w:r>
        <w:rPr>
          <w:rFonts w:hint="eastAsia" w:asciiTheme="minorEastAsia" w:hAnsi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740.27㎡（152.61亩）总起报价155</w:t>
      </w:r>
      <w:r>
        <w:rPr>
          <w:rFonts w:hint="eastAsia" w:asciiTheme="minorEastAsia" w:hAnsi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662.61万元（详见图1）。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5268595" cy="1776095"/>
            <wp:effectExtent l="0" t="0" r="1905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图1 地块挂牌信息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</w:rPr>
      </w:pPr>
      <w:r>
        <w:rPr>
          <w:rFonts w:hint="eastAsia"/>
          <w:sz w:val="24"/>
        </w:rPr>
        <w:t>2020年4月28日，江苏盛泽投资有限公司竞得</w:t>
      </w:r>
      <w:r>
        <w:rPr>
          <w:rFonts w:hint="eastAsia" w:asciiTheme="minorEastAsia" w:hAnsiTheme="minorEastAsia"/>
          <w:sz w:val="24"/>
        </w:rPr>
        <w:t>江高新区（盛泽镇）绸都大道西侧1#、2#地块，成交总价155</w:t>
      </w:r>
      <w:r>
        <w:rPr>
          <w:rFonts w:hint="eastAsia" w:asciiTheme="minorEastAsia" w:hAnsiTheme="minorEastAsia"/>
          <w:sz w:val="24"/>
          <w:lang w:val="en-US" w:eastAsia="zh-CN"/>
        </w:rPr>
        <w:t>,</w:t>
      </w:r>
      <w:r>
        <w:rPr>
          <w:rFonts w:hint="eastAsia" w:asciiTheme="minorEastAsia" w:hAnsiTheme="minorEastAsia"/>
          <w:sz w:val="24"/>
        </w:rPr>
        <w:t>662.61万元，楼面价7</w:t>
      </w:r>
      <w:r>
        <w:rPr>
          <w:rFonts w:hint="eastAsia" w:asciiTheme="minorEastAsia" w:hAnsiTheme="minorEastAsia"/>
          <w:sz w:val="24"/>
          <w:lang w:val="en-US" w:eastAsia="zh-CN"/>
        </w:rPr>
        <w:t>,</w:t>
      </w:r>
      <w:r>
        <w:rPr>
          <w:rFonts w:hint="eastAsia" w:asciiTheme="minorEastAsia" w:hAnsiTheme="minorEastAsia"/>
          <w:sz w:val="24"/>
        </w:rPr>
        <w:t>650</w:t>
      </w:r>
      <w:r>
        <w:rPr>
          <w:rFonts w:hint="eastAsia" w:asciiTheme="minorEastAsia" w:hAnsiTheme="minorEastAsia"/>
          <w:sz w:val="24"/>
          <w:lang w:val="en-US" w:eastAsia="zh-CN"/>
        </w:rPr>
        <w:t>.00</w:t>
      </w:r>
      <w:r>
        <w:rPr>
          <w:rFonts w:hint="eastAsia" w:asciiTheme="minorEastAsia" w:hAnsiTheme="minorEastAsia"/>
          <w:sz w:val="24"/>
        </w:rPr>
        <w:t>元/㎡（详见图2）。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5270500" cy="1094740"/>
            <wp:effectExtent l="0" t="0" r="0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图2 地块成交信息</w:t>
      </w:r>
    </w:p>
    <w:p>
      <w:pPr>
        <w:numPr>
          <w:ilvl w:val="0"/>
          <w:numId w:val="1"/>
        </w:numPr>
        <w:jc w:val="left"/>
        <w:outlineLvl w:val="0"/>
        <w:rPr>
          <w:b/>
          <w:bCs/>
          <w:sz w:val="28"/>
          <w:szCs w:val="28"/>
        </w:rPr>
      </w:pPr>
      <w:bookmarkStart w:id="3" w:name="_Toc13727"/>
      <w:r>
        <w:rPr>
          <w:rFonts w:hint="eastAsia"/>
          <w:b/>
          <w:bCs/>
          <w:sz w:val="28"/>
          <w:szCs w:val="28"/>
        </w:rPr>
        <w:t>项目公司基本信息</w:t>
      </w:r>
      <w:bookmarkEnd w:id="3"/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项目公司成立于2020年07月06日，注册地位于苏州市吴江区盛泽镇西二环路1188号6号楼101室，法定代表人为郭大宇（详见图3）。</w:t>
      </w:r>
    </w:p>
    <w:p>
      <w:pPr>
        <w:jc w:val="left"/>
      </w:pPr>
      <w:r>
        <w:rPr>
          <w:rFonts w:hint="eastAsia"/>
        </w:rPr>
        <w:t>（转下页）</w:t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tabs>
          <w:tab w:val="left" w:pos="2738"/>
        </w:tabs>
        <w:jc w:val="left"/>
      </w:pPr>
      <w:r>
        <w:rPr>
          <w:rFonts w:hint="eastAsia"/>
        </w:rPr>
        <w:tab/>
      </w:r>
    </w:p>
    <w:p>
      <w:pPr>
        <w:numPr>
          <w:ilvl w:val="255"/>
          <w:numId w:val="0"/>
        </w:numPr>
        <w:jc w:val="left"/>
      </w:pPr>
      <w:r>
        <w:drawing>
          <wp:inline distT="0" distB="0" distL="114300" distR="114300">
            <wp:extent cx="5267325" cy="3278505"/>
            <wp:effectExtent l="0" t="0" r="3175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jc w:val="center"/>
      </w:pPr>
      <w:r>
        <w:rPr>
          <w:rFonts w:hint="eastAsia"/>
        </w:rPr>
        <w:t>图3 工商注册信息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公司股东上海洛翔企业管理有限公司出资占比95%，江苏盛泽投资有限公司出资占比5%。</w:t>
      </w:r>
    </w:p>
    <w:p>
      <w:pPr>
        <w:numPr>
          <w:ilvl w:val="255"/>
          <w:numId w:val="0"/>
        </w:numPr>
        <w:jc w:val="left"/>
      </w:pPr>
      <w:r>
        <w:drawing>
          <wp:inline distT="0" distB="0" distL="114300" distR="114300">
            <wp:extent cx="5271770" cy="2849245"/>
            <wp:effectExtent l="0" t="0" r="11430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jc w:val="center"/>
      </w:pPr>
      <w:r>
        <w:rPr>
          <w:rFonts w:hint="eastAsia"/>
        </w:rPr>
        <w:t>图4 股权穿透图</w:t>
      </w:r>
    </w:p>
    <w:p>
      <w:pPr>
        <w:numPr>
          <w:ilvl w:val="0"/>
          <w:numId w:val="1"/>
        </w:numPr>
        <w:outlineLvl w:val="0"/>
        <w:rPr>
          <w:b/>
          <w:bCs/>
          <w:sz w:val="28"/>
          <w:szCs w:val="28"/>
        </w:rPr>
      </w:pPr>
      <w:bookmarkStart w:id="4" w:name="_Toc32568"/>
      <w:r>
        <w:rPr>
          <w:rFonts w:hint="eastAsia"/>
          <w:b/>
          <w:bCs/>
          <w:sz w:val="28"/>
          <w:szCs w:val="28"/>
        </w:rPr>
        <w:t>竞品分析</w:t>
      </w:r>
      <w:bookmarkEnd w:id="4"/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项目周边在售竞品项目主要包括观湖春天、禹洲雍禧雅苑、望澜庭。项目周边在售楼盘位置</w:t>
      </w:r>
      <w:r>
        <w:rPr>
          <w:rFonts w:hint="eastAsia" w:asciiTheme="minorEastAsia" w:hAnsiTheme="minorEastAsia"/>
          <w:sz w:val="24"/>
        </w:rPr>
        <w:t>（详见图5）</w:t>
      </w:r>
    </w:p>
    <w:p>
      <w:pPr>
        <w:spacing w:line="360" w:lineRule="auto"/>
      </w:pPr>
      <w:r>
        <w:rPr>
          <w:rFonts w:hint="eastAsia"/>
        </w:rPr>
        <w:drawing>
          <wp:inline distT="0" distB="0" distL="114300" distR="114300">
            <wp:extent cx="5271135" cy="2557145"/>
            <wp:effectExtent l="0" t="0" r="5715" b="14605"/>
            <wp:docPr id="14" name="图片 14" descr="竞拍地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竞拍地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jc w:val="center"/>
      </w:pPr>
      <w:r>
        <w:rPr>
          <w:rFonts w:hint="eastAsia"/>
        </w:rPr>
        <w:t>图5 项目周边在售楼盘位置</w:t>
      </w:r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禹洲雍禧雅苑目前在售仅为建筑面积106㎡、142㎡、230㎡联排别墅，与本项目100㎡至200㎡高层住宅业态不同，业态不具备可比性。</w:t>
      </w:r>
    </w:p>
    <w:p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故仅参考观湖春天及德信望澜庭作为竞品，售价具备一定可比价值。</w:t>
      </w:r>
    </w:p>
    <w:p>
      <w:pPr>
        <w:spacing w:line="360" w:lineRule="auto"/>
        <w:ind w:firstLine="480" w:firstLineChars="200"/>
        <w:rPr>
          <w:sz w:val="24"/>
        </w:rPr>
      </w:pPr>
    </w:p>
    <w:tbl>
      <w:tblPr>
        <w:tblStyle w:val="6"/>
        <w:tblW w:w="8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3963"/>
        <w:gridCol w:w="3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5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项  目</w:t>
            </w:r>
          </w:p>
        </w:tc>
        <w:tc>
          <w:tcPr>
            <w:tcW w:w="3963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观湖春天</w:t>
            </w:r>
          </w:p>
        </w:tc>
        <w:tc>
          <w:tcPr>
            <w:tcW w:w="345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 w:cs="Arial" w:asciiTheme="minorEastAsia" w:hAnsiTheme="minorEastAsia"/>
                <w:b/>
                <w:bCs/>
                <w:sz w:val="24"/>
                <w:szCs w:val="24"/>
              </w:rPr>
              <w:t>望澜庭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5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项目地址</w:t>
            </w:r>
          </w:p>
        </w:tc>
        <w:tc>
          <w:tcPr>
            <w:tcW w:w="3963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吴江区盛泽春旭路与秋泽路交界处</w:t>
            </w:r>
          </w:p>
        </w:tc>
        <w:tc>
          <w:tcPr>
            <w:tcW w:w="345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吴江区盛泽镇白龙桥路2588号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5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开盘时间</w:t>
            </w:r>
          </w:p>
        </w:tc>
        <w:tc>
          <w:tcPr>
            <w:tcW w:w="3963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2020年5月1日</w:t>
            </w:r>
          </w:p>
        </w:tc>
        <w:tc>
          <w:tcPr>
            <w:tcW w:w="345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2020年7月10日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5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在售价格</w:t>
            </w:r>
          </w:p>
        </w:tc>
        <w:tc>
          <w:tcPr>
            <w:tcW w:w="3963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17305元/㎡</w:t>
            </w:r>
          </w:p>
        </w:tc>
        <w:tc>
          <w:tcPr>
            <w:tcW w:w="345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17908元/㎡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5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建筑面积</w:t>
            </w:r>
          </w:p>
        </w:tc>
        <w:tc>
          <w:tcPr>
            <w:tcW w:w="3963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141974㎡</w:t>
            </w:r>
          </w:p>
        </w:tc>
        <w:tc>
          <w:tcPr>
            <w:tcW w:w="345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100000㎡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5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容积率</w:t>
            </w:r>
          </w:p>
        </w:tc>
        <w:tc>
          <w:tcPr>
            <w:tcW w:w="3963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1.99</w:t>
            </w:r>
          </w:p>
        </w:tc>
        <w:tc>
          <w:tcPr>
            <w:tcW w:w="345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atLeast"/>
        </w:trPr>
        <w:tc>
          <w:tcPr>
            <w:tcW w:w="1585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产品户型</w:t>
            </w:r>
          </w:p>
        </w:tc>
        <w:tc>
          <w:tcPr>
            <w:tcW w:w="3963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三室两厅两卫98㎡</w:t>
            </w:r>
          </w:p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三室两厅两卫121㎡</w:t>
            </w:r>
          </w:p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四室两厅两卫130㎡</w:t>
            </w:r>
          </w:p>
        </w:tc>
        <w:tc>
          <w:tcPr>
            <w:tcW w:w="345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三室两厅两卫100㎡</w:t>
            </w:r>
          </w:p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三室两厅两卫119㎡</w:t>
            </w:r>
          </w:p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四室两厅两卫139㎡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5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装修标准</w:t>
            </w:r>
          </w:p>
        </w:tc>
        <w:tc>
          <w:tcPr>
            <w:tcW w:w="3963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毛坯</w:t>
            </w:r>
          </w:p>
        </w:tc>
        <w:tc>
          <w:tcPr>
            <w:tcW w:w="345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精装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5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住宅形态</w:t>
            </w:r>
          </w:p>
        </w:tc>
        <w:tc>
          <w:tcPr>
            <w:tcW w:w="3963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高层</w:t>
            </w:r>
          </w:p>
        </w:tc>
        <w:tc>
          <w:tcPr>
            <w:tcW w:w="3451" w:type="dxa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高层</w:t>
            </w:r>
          </w:p>
        </w:tc>
      </w:tr>
    </w:tbl>
    <w:p>
      <w:pPr>
        <w:outlineLvl w:val="9"/>
        <w:rPr>
          <w:sz w:val="28"/>
          <w:szCs w:val="28"/>
        </w:rPr>
      </w:pPr>
    </w:p>
    <w:p>
      <w:pPr>
        <w:outlineLvl w:val="0"/>
        <w:rPr>
          <w:sz w:val="28"/>
          <w:szCs w:val="28"/>
        </w:rPr>
      </w:pPr>
      <w:bookmarkStart w:id="5" w:name="_Toc28358"/>
      <w:r>
        <w:rPr>
          <w:rFonts w:hint="eastAsia"/>
          <w:b/>
          <w:bCs/>
          <w:sz w:val="28"/>
          <w:szCs w:val="28"/>
        </w:rPr>
        <w:t>四、入场流程</w:t>
      </w:r>
      <w:bookmarkEnd w:id="5"/>
    </w:p>
    <w:p>
      <w:pPr>
        <w:numPr>
          <w:ilvl w:val="0"/>
          <w:numId w:val="2"/>
        </w:numPr>
        <w:outlineLvl w:val="1"/>
        <w:rPr>
          <w:b/>
          <w:bCs/>
          <w:sz w:val="24"/>
          <w:szCs w:val="24"/>
        </w:rPr>
      </w:pPr>
      <w:bookmarkStart w:id="6" w:name="_Toc28352"/>
      <w:r>
        <w:rPr>
          <w:rFonts w:hint="eastAsia"/>
          <w:b/>
          <w:bCs/>
          <w:sz w:val="24"/>
          <w:szCs w:val="24"/>
          <w:lang w:val="en-US" w:eastAsia="zh-CN"/>
        </w:rPr>
        <w:t>交接</w:t>
      </w:r>
      <w:r>
        <w:rPr>
          <w:rFonts w:hint="eastAsia"/>
          <w:b/>
          <w:bCs/>
          <w:sz w:val="24"/>
          <w:szCs w:val="24"/>
        </w:rPr>
        <w:t>前流程沟通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2020年7月29日下午13时，我司入场主管、驻场人员与中航信托经理刘洵、红星公司财务总监崔世林、财务经理朱丽婷</w:t>
      </w:r>
      <w:r>
        <w:rPr>
          <w:rFonts w:hint="eastAsia" w:cs="Arial" w:asciiTheme="minorEastAsia" w:hAnsiTheme="minorEastAsia"/>
          <w:sz w:val="24"/>
          <w:lang w:val="en-US" w:eastAsia="zh-CN"/>
        </w:rPr>
        <w:t>就交接事项进行</w:t>
      </w:r>
      <w:r>
        <w:rPr>
          <w:rFonts w:hint="eastAsia" w:cs="Arial" w:asciiTheme="minorEastAsia" w:hAnsiTheme="minorEastAsia"/>
          <w:sz w:val="24"/>
        </w:rPr>
        <w:t>沟通：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Arial" w:asciiTheme="minorEastAsia" w:hAnsi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</w:rPr>
        <w:t>首先对项目公司开户情况进行了解，</w:t>
      </w:r>
      <w:r>
        <w:rPr>
          <w:rFonts w:hint="eastAsia" w:cs="Arial" w:asciiTheme="minorEastAsia" w:hAnsiTheme="minorEastAsia"/>
          <w:sz w:val="24"/>
          <w:lang w:val="en-US" w:eastAsia="zh-CN"/>
        </w:rPr>
        <w:t>项目公司</w:t>
      </w:r>
      <w:r>
        <w:rPr>
          <w:rFonts w:hint="eastAsia" w:cs="Arial" w:asciiTheme="minorEastAsia" w:hAnsiTheme="minorEastAsia"/>
          <w:sz w:val="24"/>
        </w:rPr>
        <w:t>目前仅在农业银行盛泽支行开设</w:t>
      </w:r>
      <w:r>
        <w:rPr>
          <w:rFonts w:hint="eastAsia" w:cs="Arial" w:asciiTheme="minorEastAsia" w:hAnsiTheme="minorEastAsia"/>
          <w:sz w:val="24"/>
          <w:lang w:val="en-US" w:eastAsia="zh-CN"/>
        </w:rPr>
        <w:t>了</w:t>
      </w:r>
      <w:r>
        <w:rPr>
          <w:rFonts w:hint="eastAsia" w:cs="Arial" w:asciiTheme="minorEastAsia" w:hAnsiTheme="minorEastAsia"/>
          <w:sz w:val="24"/>
        </w:rPr>
        <w:t>一个基本存款账户；领取U盾2个，其中1个操作盾（制单功能），</w:t>
      </w:r>
      <w:r>
        <w:rPr>
          <w:rFonts w:hint="eastAsia" w:cs="Arial" w:asciiTheme="minorEastAsia" w:hAnsiTheme="minorEastAsia"/>
          <w:sz w:val="24"/>
          <w:lang w:val="en-US" w:eastAsia="zh-CN"/>
        </w:rPr>
        <w:t>1</w:t>
      </w:r>
      <w:r>
        <w:rPr>
          <w:rFonts w:hint="eastAsia" w:cs="Arial" w:asciiTheme="minorEastAsia" w:hAnsiTheme="minorEastAsia"/>
          <w:sz w:val="24"/>
        </w:rPr>
        <w:t>个管理盾（复核功能）；了解到项目公司后续还</w:t>
      </w:r>
      <w:r>
        <w:rPr>
          <w:rFonts w:hint="eastAsia" w:cs="Arial" w:asciiTheme="minorEastAsia" w:hAnsiTheme="minorEastAsia"/>
          <w:sz w:val="24"/>
          <w:lang w:val="en-US" w:eastAsia="zh-CN"/>
        </w:rPr>
        <w:t>将</w:t>
      </w:r>
      <w:r>
        <w:rPr>
          <w:rFonts w:hint="eastAsia" w:cs="Arial" w:asciiTheme="minorEastAsia" w:hAnsiTheme="minorEastAsia"/>
          <w:sz w:val="24"/>
        </w:rPr>
        <w:t>领取2个</w:t>
      </w:r>
      <w:r>
        <w:rPr>
          <w:rFonts w:hint="eastAsia" w:cs="Arial" w:asciiTheme="minorEastAsia" w:hAnsiTheme="minorEastAsia"/>
          <w:sz w:val="24"/>
          <w:lang w:val="en-US" w:eastAsia="zh-CN"/>
        </w:rPr>
        <w:t>具有复核功能操作</w:t>
      </w:r>
      <w:r>
        <w:rPr>
          <w:rFonts w:hint="eastAsia" w:cs="Arial" w:asciiTheme="minorEastAsia" w:hAnsiTheme="minorEastAsia"/>
          <w:sz w:val="24"/>
        </w:rPr>
        <w:t>U盾，股东（江苏盛泽投资有限公司）</w:t>
      </w:r>
      <w:r>
        <w:rPr>
          <w:rFonts w:hint="eastAsia" w:cs="Arial" w:asciiTheme="minorEastAsia" w:hAnsiTheme="minorEastAsia"/>
          <w:sz w:val="24"/>
          <w:lang w:val="en-US" w:eastAsia="zh-CN"/>
        </w:rPr>
        <w:t>保管</w:t>
      </w:r>
      <w:r>
        <w:rPr>
          <w:rFonts w:hint="eastAsia" w:cs="Arial" w:asciiTheme="minorEastAsia" w:hAnsiTheme="minorEastAsia"/>
          <w:sz w:val="24"/>
        </w:rPr>
        <w:t>一个，红星集团</w:t>
      </w:r>
      <w:r>
        <w:rPr>
          <w:rFonts w:hint="eastAsia" w:cs="Arial" w:asciiTheme="minorEastAsia" w:hAnsiTheme="minorEastAsia"/>
          <w:sz w:val="24"/>
          <w:lang w:val="en-US" w:eastAsia="zh-CN"/>
        </w:rPr>
        <w:t>保管</w:t>
      </w:r>
      <w:r>
        <w:rPr>
          <w:rFonts w:hint="eastAsia" w:cs="Arial" w:asciiTheme="minorEastAsia" w:hAnsiTheme="minorEastAsia"/>
          <w:sz w:val="24"/>
        </w:rPr>
        <w:t>一个（50万以上复核盾）</w:t>
      </w:r>
      <w:r>
        <w:rPr>
          <w:rFonts w:hint="eastAsia" w:cs="Arial" w:asciiTheme="minorEastAsia" w:hAnsiTheme="minorEastAsia"/>
          <w:sz w:val="24"/>
          <w:lang w:eastAsia="zh-CN"/>
        </w:rPr>
        <w:t>，</w:t>
      </w:r>
      <w:r>
        <w:rPr>
          <w:rFonts w:hint="eastAsia" w:cs="Arial" w:asciiTheme="minorEastAsia" w:hAnsiTheme="minorEastAsia"/>
          <w:sz w:val="24"/>
        </w:rPr>
        <w:t>中航信托再开设1个复核功能</w:t>
      </w:r>
      <w:r>
        <w:rPr>
          <w:rFonts w:hint="eastAsia" w:cs="Arial" w:asciiTheme="minorEastAsia" w:hAnsiTheme="minorEastAsia"/>
          <w:sz w:val="24"/>
          <w:lang w:val="en-US" w:eastAsia="zh-CN"/>
        </w:rPr>
        <w:t>操作</w:t>
      </w:r>
      <w:r>
        <w:rPr>
          <w:rFonts w:hint="eastAsia" w:cs="Arial" w:asciiTheme="minorEastAsia" w:hAnsiTheme="minorEastAsia"/>
          <w:sz w:val="24"/>
        </w:rPr>
        <w:t>U盾进行共管</w:t>
      </w:r>
      <w:r>
        <w:rPr>
          <w:rFonts w:hint="eastAsia" w:cs="Arial" w:asciiTheme="minorEastAsia" w:hAnsiTheme="minorEastAsia"/>
          <w:sz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项目公司目前无符合共管要求的保险柜，</w:t>
      </w:r>
      <w:r>
        <w:rPr>
          <w:rFonts w:hint="eastAsia" w:cs="Arial" w:asciiTheme="minorEastAsia" w:hAnsiTheme="minorEastAsia"/>
          <w:sz w:val="24"/>
          <w:lang w:val="en-US" w:eastAsia="zh-CN"/>
        </w:rPr>
        <w:t>经沟通协商，项目公司已允诺</w:t>
      </w:r>
      <w:r>
        <w:rPr>
          <w:rFonts w:hint="eastAsia" w:cs="Arial" w:asciiTheme="minorEastAsia" w:hAnsiTheme="minorEastAsia"/>
          <w:sz w:val="24"/>
        </w:rPr>
        <w:t>尽快购买新保险</w:t>
      </w:r>
      <w:r>
        <w:rPr>
          <w:rFonts w:hint="eastAsia" w:cs="Arial" w:asciiTheme="minorEastAsia" w:hAnsiTheme="minorEastAsia"/>
          <w:sz w:val="24"/>
          <w:lang w:val="en-US" w:eastAsia="zh-CN"/>
        </w:rPr>
        <w:t>柜；</w:t>
      </w:r>
    </w:p>
    <w:p>
      <w:pPr>
        <w:spacing w:line="360" w:lineRule="auto"/>
        <w:ind w:firstLine="480" w:firstLineChars="200"/>
        <w:rPr>
          <w:rFonts w:hint="eastAsia" w:cs="Arial" w:asciiTheme="minorEastAsia" w:hAnsiTheme="minorEastAsia" w:eastAsia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</w:rPr>
        <w:t>（3）对于要求在基本户银行增加预留印鉴一事，</w:t>
      </w:r>
      <w:r>
        <w:rPr>
          <w:rFonts w:hint="eastAsia" w:cs="Arial" w:asciiTheme="minorEastAsia" w:hAnsiTheme="minorEastAsia"/>
          <w:sz w:val="24"/>
          <w:lang w:val="en-US" w:eastAsia="zh-CN"/>
        </w:rPr>
        <w:t>项目公司</w:t>
      </w:r>
      <w:r>
        <w:rPr>
          <w:rFonts w:hint="eastAsia" w:cs="Arial" w:asciiTheme="minorEastAsia" w:hAnsiTheme="minorEastAsia"/>
          <w:sz w:val="24"/>
        </w:rPr>
        <w:t>财务总监崔世林暂不同意在基本户农行增加印鉴</w:t>
      </w:r>
      <w:r>
        <w:rPr>
          <w:rFonts w:hint="eastAsia" w:cs="Arial" w:asciiTheme="minorEastAsia" w:hAnsiTheme="minorEastAsia"/>
          <w:sz w:val="24"/>
          <w:lang w:eastAsia="zh-CN"/>
        </w:rPr>
        <w:t>，</w:t>
      </w:r>
      <w:r>
        <w:rPr>
          <w:rFonts w:hint="eastAsia" w:cs="Arial" w:asciiTheme="minorEastAsia" w:hAnsiTheme="minorEastAsia"/>
          <w:sz w:val="24"/>
          <w:lang w:val="en-US" w:eastAsia="zh-CN"/>
        </w:rPr>
        <w:t>但</w:t>
      </w:r>
      <w:r>
        <w:rPr>
          <w:rFonts w:hint="eastAsia" w:cs="Arial" w:asciiTheme="minorEastAsia" w:hAnsiTheme="minorEastAsia"/>
          <w:sz w:val="24"/>
        </w:rPr>
        <w:t>可在后续开设的账户上留存</w:t>
      </w:r>
      <w:r>
        <w:rPr>
          <w:rFonts w:hint="eastAsia" w:cs="Arial" w:asciiTheme="minorEastAsia" w:hAnsiTheme="minorEastAsia"/>
          <w:sz w:val="24"/>
          <w:lang w:eastAsia="zh-CN"/>
        </w:rPr>
        <w:t>；</w:t>
      </w: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（4）项目</w:t>
      </w:r>
      <w:r>
        <w:rPr>
          <w:rFonts w:hint="eastAsia" w:cs="Arial" w:asciiTheme="minorEastAsia" w:hAnsiTheme="minorEastAsia"/>
          <w:sz w:val="24"/>
          <w:lang w:val="en-US" w:eastAsia="zh-CN"/>
        </w:rPr>
        <w:t>现场2#</w:t>
      </w:r>
      <w:r>
        <w:rPr>
          <w:rFonts w:hint="eastAsia" w:cs="Arial" w:asciiTheme="minorEastAsia" w:hAnsiTheme="minorEastAsia"/>
          <w:sz w:val="24"/>
        </w:rPr>
        <w:t>地块正在进行试桩</w:t>
      </w:r>
      <w:r>
        <w:rPr>
          <w:rFonts w:hint="eastAsia" w:cs="Arial" w:asciiTheme="minorEastAsia" w:hAnsiTheme="minorEastAsia"/>
          <w:sz w:val="24"/>
          <w:lang w:val="en-US" w:eastAsia="zh-CN"/>
        </w:rPr>
        <w:t>及临时围挡</w:t>
      </w:r>
      <w:r>
        <w:rPr>
          <w:rFonts w:hint="eastAsia" w:cs="Arial" w:asciiTheme="minorEastAsia" w:hAnsiTheme="minorEastAsia"/>
          <w:sz w:val="24"/>
        </w:rPr>
        <w:t>施工。</w:t>
      </w: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我司入场主管、驻场人员与</w:t>
      </w:r>
      <w:r>
        <w:rPr>
          <w:rFonts w:hint="eastAsia" w:cs="Arial" w:asciiTheme="minorEastAsia" w:hAnsiTheme="minorEastAsia"/>
          <w:sz w:val="24"/>
          <w:lang w:val="en-US" w:eastAsia="zh-CN"/>
        </w:rPr>
        <w:t>项目公司</w:t>
      </w:r>
      <w:r>
        <w:rPr>
          <w:rFonts w:hint="eastAsia" w:cs="Arial" w:asciiTheme="minorEastAsia" w:hAnsiTheme="minorEastAsia"/>
          <w:sz w:val="24"/>
        </w:rPr>
        <w:t>财务张宇对项目公司基础证照、印鉴、空白支票进行核对</w:t>
      </w:r>
      <w:r>
        <w:rPr>
          <w:rFonts w:hint="eastAsia" w:cs="Arial" w:asciiTheme="minorEastAsia" w:hAnsiTheme="minorEastAsia"/>
          <w:sz w:val="24"/>
          <w:lang w:eastAsia="zh-CN"/>
        </w:rPr>
        <w:t>，</w:t>
      </w:r>
      <w:r>
        <w:rPr>
          <w:rFonts w:hint="eastAsia" w:cs="Arial" w:asciiTheme="minorEastAsia" w:hAnsiTheme="minorEastAsia"/>
          <w:sz w:val="24"/>
        </w:rPr>
        <w:t>并编辑共管资料交接单。</w:t>
      </w: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 xml:space="preserve">  </w:t>
      </w:r>
    </w:p>
    <w:p>
      <w:pPr>
        <w:numPr>
          <w:ilvl w:val="0"/>
          <w:numId w:val="2"/>
        </w:numPr>
        <w:outlineLvl w:val="1"/>
        <w:rPr>
          <w:b/>
          <w:bCs/>
          <w:sz w:val="24"/>
          <w:szCs w:val="24"/>
        </w:rPr>
      </w:pPr>
      <w:bookmarkStart w:id="7" w:name="_Toc10195"/>
      <w:r>
        <w:rPr>
          <w:rFonts w:hint="eastAsia"/>
          <w:b/>
          <w:bCs/>
          <w:sz w:val="24"/>
          <w:szCs w:val="24"/>
        </w:rPr>
        <w:t>项目现场</w:t>
      </w:r>
      <w:bookmarkEnd w:id="7"/>
    </w:p>
    <w:p>
      <w:pPr>
        <w:spacing w:line="360" w:lineRule="auto"/>
        <w:ind w:firstLine="480" w:firstLineChars="200"/>
        <w:rPr>
          <w:rFonts w:hint="eastAsia"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2020年7月30日上午我司入场主管、驻场人员与中航信托经理刘洵前往项目现场进行核查（期间并无项目公司人员陪同），</w:t>
      </w:r>
      <w:r>
        <w:rPr>
          <w:rFonts w:hint="eastAsia" w:cs="Arial" w:asciiTheme="minorEastAsia" w:hAnsiTheme="minorEastAsia"/>
          <w:sz w:val="24"/>
          <w:lang w:val="en-US" w:eastAsia="zh-CN"/>
        </w:rPr>
        <w:t>项目现场1#地块尚未开始施工，</w:t>
      </w:r>
      <w:r>
        <w:rPr>
          <w:rFonts w:hint="eastAsia" w:cs="Arial" w:asciiTheme="minorEastAsia" w:hAnsiTheme="minorEastAsia"/>
          <w:sz w:val="24"/>
        </w:rPr>
        <w:t>2#地块正在进行试桩施工（售楼处试桩）</w:t>
      </w:r>
      <w:r>
        <w:rPr>
          <w:rFonts w:hint="eastAsia" w:cs="Arial" w:asciiTheme="minorEastAsia" w:hAnsiTheme="minorEastAsia"/>
          <w:sz w:val="24"/>
          <w:lang w:eastAsia="zh-CN"/>
        </w:rPr>
        <w:t>，</w:t>
      </w:r>
      <w:r>
        <w:rPr>
          <w:rFonts w:hint="eastAsia" w:cs="Arial" w:asciiTheme="minorEastAsia" w:hAnsiTheme="minorEastAsia"/>
          <w:sz w:val="24"/>
        </w:rPr>
        <w:t>地块周边围挡未全部</w:t>
      </w:r>
      <w:r>
        <w:rPr>
          <w:rFonts w:hint="eastAsia" w:cs="Arial" w:asciiTheme="minorEastAsia" w:hAnsiTheme="minorEastAsia"/>
          <w:sz w:val="24"/>
          <w:lang w:val="en-US" w:eastAsia="zh-CN"/>
        </w:rPr>
        <w:t>设立（详见图6、图7）</w:t>
      </w:r>
      <w:r>
        <w:rPr>
          <w:rFonts w:hint="eastAsia" w:cs="Arial" w:asciiTheme="minorEastAsia" w:hAnsiTheme="minorEastAsia"/>
          <w:sz w:val="24"/>
        </w:rPr>
        <w:t>。</w:t>
      </w:r>
    </w:p>
    <w:p>
      <w:pPr>
        <w:spacing w:line="360" w:lineRule="auto"/>
        <w:rPr>
          <w:rFonts w:hint="eastAsia" w:cs="Arial" w:asciiTheme="minorEastAsia" w:hAnsiTheme="minorEastAsia"/>
          <w:sz w:val="24"/>
        </w:rPr>
      </w:pPr>
      <w:r>
        <w:rPr>
          <w:rFonts w:hint="eastAsia"/>
        </w:rPr>
        <w:t>（转下页）</w:t>
      </w:r>
    </w:p>
    <w:p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66690" cy="3950970"/>
            <wp:effectExtent l="0" t="0" r="10160" b="11430"/>
            <wp:docPr id="2" name="图片 2" descr="4、1#地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、1#地块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 xml:space="preserve">图6  </w:t>
      </w:r>
      <w:r>
        <w:rPr>
          <w:rFonts w:hint="eastAsia"/>
          <w:sz w:val="21"/>
          <w:szCs w:val="21"/>
        </w:rPr>
        <w:t>2#地块</w:t>
      </w:r>
      <w:r>
        <w:rPr>
          <w:rFonts w:hint="eastAsia" w:asciiTheme="minorEastAsia" w:hAnsiTheme="minorEastAsia"/>
          <w:sz w:val="21"/>
          <w:szCs w:val="21"/>
        </w:rPr>
        <w:t>售楼处试桩</w:t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 xml:space="preserve">  </w:t>
      </w:r>
      <w:r>
        <w:rPr>
          <w:rFonts w:asciiTheme="minorEastAsia" w:hAnsiTheme="minorEastAsia"/>
          <w:sz w:val="24"/>
        </w:rPr>
        <w:drawing>
          <wp:inline distT="0" distB="0" distL="114300" distR="114300">
            <wp:extent cx="5240655" cy="3930650"/>
            <wp:effectExtent l="0" t="0" r="17145" b="12700"/>
            <wp:docPr id="3" name="图片 3" descr="6、1#地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、1#地块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 xml:space="preserve">图7  </w:t>
      </w:r>
      <w:r>
        <w:rPr>
          <w:rFonts w:hint="eastAsia"/>
          <w:sz w:val="21"/>
          <w:szCs w:val="21"/>
        </w:rPr>
        <w:t>2#地块</w:t>
      </w:r>
      <w:r>
        <w:rPr>
          <w:rFonts w:hint="eastAsia" w:asciiTheme="minorEastAsia" w:hAnsiTheme="minorEastAsia"/>
          <w:sz w:val="21"/>
          <w:szCs w:val="21"/>
        </w:rPr>
        <w:t>围挡施工</w:t>
      </w:r>
    </w:p>
    <w:p>
      <w:pPr>
        <w:jc w:val="center"/>
        <w:rPr>
          <w:rFonts w:hint="eastAsia" w:asciiTheme="minorEastAsia" w:hAnsiTheme="minorEastAsia"/>
          <w:sz w:val="21"/>
          <w:szCs w:val="21"/>
        </w:rPr>
      </w:pPr>
    </w:p>
    <w:p>
      <w:pPr>
        <w:numPr>
          <w:ilvl w:val="0"/>
          <w:numId w:val="2"/>
        </w:numPr>
        <w:outlineLvl w:val="1"/>
        <w:rPr>
          <w:b/>
          <w:bCs/>
          <w:sz w:val="24"/>
          <w:szCs w:val="24"/>
        </w:rPr>
      </w:pPr>
      <w:bookmarkStart w:id="8" w:name="_Toc8898"/>
      <w:r>
        <w:rPr>
          <w:rFonts w:hint="eastAsia"/>
          <w:b/>
          <w:bCs/>
          <w:sz w:val="24"/>
          <w:szCs w:val="24"/>
        </w:rPr>
        <w:t>印鉴核验</w:t>
      </w:r>
      <w:bookmarkEnd w:id="8"/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2020年7月30日中午我司入场主管、驻场人员与中航信托经理刘洵前往刻章店核验印鉴。项目公司</w:t>
      </w:r>
      <w:r>
        <w:rPr>
          <w:rFonts w:hint="eastAsia" w:cs="Arial" w:asciiTheme="minorEastAsia" w:hAnsiTheme="minorEastAsia"/>
          <w:sz w:val="24"/>
          <w:lang w:val="en-US" w:eastAsia="zh-CN"/>
        </w:rPr>
        <w:t>目前</w:t>
      </w:r>
      <w:r>
        <w:rPr>
          <w:rFonts w:hint="eastAsia" w:cs="Arial" w:asciiTheme="minorEastAsia" w:hAnsiTheme="minorEastAsia"/>
          <w:sz w:val="24"/>
        </w:rPr>
        <w:t>共</w:t>
      </w:r>
      <w:r>
        <w:rPr>
          <w:rFonts w:hint="eastAsia" w:cs="Arial" w:asciiTheme="minorEastAsia" w:hAnsiTheme="minorEastAsia"/>
          <w:sz w:val="24"/>
          <w:lang w:val="en-US" w:eastAsia="zh-CN"/>
        </w:rPr>
        <w:t>有</w:t>
      </w:r>
      <w:r>
        <w:rPr>
          <w:rFonts w:hint="eastAsia" w:cs="Arial" w:asciiTheme="minorEastAsia" w:hAnsiTheme="minorEastAsia"/>
          <w:sz w:val="24"/>
        </w:rPr>
        <w:t>5枚</w:t>
      </w:r>
      <w:r>
        <w:rPr>
          <w:rFonts w:hint="eastAsia" w:cs="Arial" w:asciiTheme="minorEastAsia" w:hAnsiTheme="minorEastAsia"/>
          <w:sz w:val="24"/>
          <w:lang w:val="en-US" w:eastAsia="zh-CN"/>
        </w:rPr>
        <w:t>备案</w:t>
      </w:r>
      <w:r>
        <w:rPr>
          <w:rFonts w:hint="eastAsia" w:cs="Arial" w:asciiTheme="minorEastAsia" w:hAnsiTheme="minorEastAsia"/>
          <w:sz w:val="24"/>
        </w:rPr>
        <w:t>印鉴</w:t>
      </w:r>
      <w:r>
        <w:rPr>
          <w:rFonts w:hint="eastAsia" w:cs="Arial" w:asciiTheme="minorEastAsia" w:hAnsiTheme="minorEastAsia"/>
          <w:sz w:val="24"/>
          <w:lang w:eastAsia="zh-CN"/>
        </w:rPr>
        <w:t>，</w:t>
      </w:r>
      <w:r>
        <w:rPr>
          <w:rFonts w:hint="eastAsia" w:cs="Arial" w:asciiTheme="minorEastAsia" w:hAnsiTheme="minorEastAsia"/>
          <w:sz w:val="24"/>
          <w:lang w:val="en-US" w:eastAsia="zh-CN"/>
        </w:rPr>
        <w:t>分别为：</w:t>
      </w:r>
      <w:r>
        <w:rPr>
          <w:rFonts w:hint="eastAsia" w:cs="Arial" w:asciiTheme="minorEastAsia" w:hAnsiTheme="minorEastAsia"/>
          <w:sz w:val="24"/>
        </w:rPr>
        <w:t>公章、财务</w:t>
      </w:r>
      <w:r>
        <w:rPr>
          <w:rFonts w:hint="eastAsia" w:cs="Arial" w:asciiTheme="minorEastAsia" w:hAnsiTheme="minorEastAsia"/>
          <w:sz w:val="24"/>
          <w:lang w:val="en-US" w:eastAsia="zh-CN"/>
        </w:rPr>
        <w:t>专用</w:t>
      </w:r>
      <w:r>
        <w:rPr>
          <w:rFonts w:hint="eastAsia" w:cs="Arial" w:asciiTheme="minorEastAsia" w:hAnsiTheme="minorEastAsia"/>
          <w:sz w:val="24"/>
        </w:rPr>
        <w:t>章、法人</w:t>
      </w:r>
      <w:r>
        <w:rPr>
          <w:rFonts w:hint="eastAsia" w:cs="Arial" w:asciiTheme="minorEastAsia" w:hAnsiTheme="minorEastAsia"/>
          <w:sz w:val="24"/>
          <w:lang w:val="en-US" w:eastAsia="zh-CN"/>
        </w:rPr>
        <w:t>名</w:t>
      </w:r>
      <w:r>
        <w:rPr>
          <w:rFonts w:hint="eastAsia" w:cs="Arial" w:asciiTheme="minorEastAsia" w:hAnsiTheme="minorEastAsia"/>
          <w:sz w:val="24"/>
        </w:rPr>
        <w:t>章</w:t>
      </w:r>
      <w:r>
        <w:rPr>
          <w:rFonts w:hint="eastAsia" w:cs="Arial" w:asciiTheme="minorEastAsia" w:hAnsiTheme="minorEastAsia"/>
          <w:sz w:val="24"/>
          <w:lang w:eastAsia="zh-CN"/>
        </w:rPr>
        <w:t>、</w:t>
      </w:r>
      <w:r>
        <w:rPr>
          <w:rFonts w:hint="eastAsia" w:cs="Arial" w:asciiTheme="minorEastAsia" w:hAnsiTheme="minorEastAsia"/>
          <w:sz w:val="24"/>
        </w:rPr>
        <w:t>合同</w:t>
      </w:r>
      <w:r>
        <w:rPr>
          <w:rFonts w:hint="eastAsia" w:cs="Arial" w:asciiTheme="minorEastAsia" w:hAnsiTheme="minorEastAsia"/>
          <w:sz w:val="24"/>
          <w:lang w:val="en-US" w:eastAsia="zh-CN"/>
        </w:rPr>
        <w:t>专用</w:t>
      </w:r>
      <w:r>
        <w:rPr>
          <w:rFonts w:hint="eastAsia" w:cs="Arial" w:asciiTheme="minorEastAsia" w:hAnsiTheme="minorEastAsia"/>
          <w:sz w:val="24"/>
        </w:rPr>
        <w:t>章、发票</w:t>
      </w:r>
      <w:r>
        <w:rPr>
          <w:rFonts w:hint="eastAsia" w:cs="Arial" w:asciiTheme="minorEastAsia" w:hAnsiTheme="minorEastAsia"/>
          <w:sz w:val="24"/>
          <w:lang w:val="en-US" w:eastAsia="zh-CN"/>
        </w:rPr>
        <w:t>专用</w:t>
      </w:r>
      <w:r>
        <w:rPr>
          <w:rFonts w:hint="eastAsia" w:cs="Arial" w:asciiTheme="minorEastAsia" w:hAnsiTheme="minorEastAsia"/>
          <w:sz w:val="24"/>
        </w:rPr>
        <w:t>章</w:t>
      </w:r>
      <w:r>
        <w:rPr>
          <w:rFonts w:hint="eastAsia" w:cs="Arial" w:asciiTheme="minorEastAsia" w:hAnsiTheme="minorEastAsia"/>
          <w:sz w:val="24"/>
          <w:lang w:eastAsia="zh-CN"/>
        </w:rPr>
        <w:t>（</w:t>
      </w:r>
      <w:r>
        <w:rPr>
          <w:rFonts w:hint="eastAsia" w:cs="Arial" w:asciiTheme="minorEastAsia" w:hAnsiTheme="minorEastAsia"/>
          <w:sz w:val="24"/>
          <w:lang w:val="en-US" w:eastAsia="zh-CN"/>
        </w:rPr>
        <w:t>详见图8</w:t>
      </w:r>
      <w:r>
        <w:rPr>
          <w:rFonts w:hint="eastAsia" w:cs="Arial" w:asciiTheme="minorEastAsia" w:hAnsiTheme="minorEastAsia"/>
          <w:sz w:val="24"/>
          <w:lang w:eastAsia="zh-CN"/>
        </w:rPr>
        <w:t>）</w:t>
      </w:r>
      <w:r>
        <w:rPr>
          <w:rFonts w:hint="eastAsia" w:cs="Arial" w:asciiTheme="minorEastAsia" w:hAnsiTheme="minorEastAsia"/>
          <w:sz w:val="24"/>
        </w:rPr>
        <w:t>。项目公司</w:t>
      </w:r>
      <w:r>
        <w:rPr>
          <w:rFonts w:hint="eastAsia" w:cs="Arial" w:asciiTheme="minorEastAsia" w:hAnsiTheme="minorEastAsia"/>
          <w:sz w:val="24"/>
          <w:lang w:val="en-US" w:eastAsia="zh-CN"/>
        </w:rPr>
        <w:t>已备案</w:t>
      </w:r>
      <w:r>
        <w:rPr>
          <w:rFonts w:hint="eastAsia" w:cs="Arial" w:asciiTheme="minorEastAsia" w:hAnsiTheme="minorEastAsia"/>
          <w:sz w:val="24"/>
        </w:rPr>
        <w:t>印鉴并不是芯片章，</w:t>
      </w:r>
      <w:r>
        <w:rPr>
          <w:rFonts w:hint="eastAsia" w:cs="Arial" w:asciiTheme="minorEastAsia" w:hAnsiTheme="minorEastAsia"/>
          <w:sz w:val="24"/>
          <w:lang w:val="en-US" w:eastAsia="zh-CN"/>
        </w:rPr>
        <w:t>经刻章店人员辨别后，确认5枚</w:t>
      </w:r>
      <w:r>
        <w:rPr>
          <w:rFonts w:hint="eastAsia" w:cs="Arial" w:asciiTheme="minorEastAsia" w:hAnsiTheme="minorEastAsia"/>
          <w:sz w:val="24"/>
        </w:rPr>
        <w:t>印</w:t>
      </w:r>
      <w:r>
        <w:rPr>
          <w:rFonts w:hint="eastAsia" w:cs="Arial" w:asciiTheme="minorEastAsia" w:hAnsiTheme="minorEastAsia"/>
          <w:sz w:val="24"/>
          <w:lang w:val="en-US" w:eastAsia="zh-CN"/>
        </w:rPr>
        <w:t>章</w:t>
      </w:r>
      <w:r>
        <w:rPr>
          <w:rFonts w:hint="eastAsia" w:cs="Arial" w:asciiTheme="minorEastAsia" w:hAnsiTheme="minorEastAsia"/>
          <w:sz w:val="24"/>
        </w:rPr>
        <w:t>为备案章。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690" cy="2433320"/>
            <wp:effectExtent l="0" t="0" r="10160" b="5080"/>
            <wp:docPr id="4" name="图片 4" descr="7月30日印鉴核验查询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月30日印鉴核验查询凭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图8 备案印鉴明细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b/>
          <w:bCs/>
          <w:sz w:val="24"/>
          <w:szCs w:val="24"/>
        </w:rPr>
      </w:pPr>
      <w:bookmarkStart w:id="9" w:name="_Toc3054"/>
      <w:r>
        <w:rPr>
          <w:rFonts w:hint="eastAsia"/>
          <w:b/>
          <w:bCs/>
          <w:sz w:val="24"/>
          <w:szCs w:val="24"/>
        </w:rPr>
        <w:t>银行账户信息查询</w:t>
      </w:r>
      <w:bookmarkEnd w:id="9"/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2020年7月30日下午我司入场主管、驻场人员与中航信托经理刘洵、</w:t>
      </w:r>
      <w:r>
        <w:rPr>
          <w:rFonts w:hint="eastAsia" w:cs="Arial" w:asciiTheme="minorEastAsia" w:hAnsiTheme="minorEastAsia"/>
          <w:sz w:val="24"/>
          <w:lang w:val="en-US" w:eastAsia="zh-CN"/>
        </w:rPr>
        <w:t>项目公司</w:t>
      </w:r>
      <w:r>
        <w:rPr>
          <w:rFonts w:hint="eastAsia" w:cs="Arial" w:asciiTheme="minorEastAsia" w:hAnsiTheme="minorEastAsia"/>
          <w:sz w:val="24"/>
        </w:rPr>
        <w:t>财务张宇前往基本户银行核验预留印鉴及开户情况。打印出7月10日到7月29日银行流水和已开立银行结算清单。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cs="Arial" w:asciiTheme="minorEastAsia" w:hAnsiTheme="minorEastAsia" w:eastAsiaTheme="minorEastAsia"/>
          <w:sz w:val="24"/>
          <w:lang w:val="en-US" w:eastAsia="zh-CN"/>
        </w:rPr>
      </w:pPr>
      <w:r>
        <w:rPr>
          <w:rFonts w:hint="eastAsia" w:cs="Arial" w:asciiTheme="minorEastAsia" w:hAnsiTheme="minorEastAsia"/>
          <w:sz w:val="24"/>
        </w:rPr>
        <w:t>（1）经核实项目公司银行预留印鉴</w:t>
      </w:r>
      <w:r>
        <w:rPr>
          <w:rFonts w:hint="eastAsia" w:cs="Arial" w:asciiTheme="minorEastAsia" w:hAnsiTheme="minorEastAsia"/>
          <w:sz w:val="24"/>
          <w:lang w:val="en-US" w:eastAsia="zh-CN"/>
        </w:rPr>
        <w:t>为</w:t>
      </w:r>
      <w:r>
        <w:rPr>
          <w:rFonts w:hint="eastAsia" w:cs="Arial" w:asciiTheme="minorEastAsia" w:hAnsiTheme="minorEastAsia"/>
          <w:sz w:val="24"/>
        </w:rPr>
        <w:t>公章、财务</w:t>
      </w:r>
      <w:r>
        <w:rPr>
          <w:rFonts w:hint="eastAsia" w:cs="Arial" w:asciiTheme="minorEastAsia" w:hAnsiTheme="minorEastAsia"/>
          <w:sz w:val="24"/>
          <w:lang w:val="en-US" w:eastAsia="zh-CN"/>
        </w:rPr>
        <w:t>专用</w:t>
      </w:r>
      <w:r>
        <w:rPr>
          <w:rFonts w:hint="eastAsia" w:cs="Arial" w:asciiTheme="minorEastAsia" w:hAnsiTheme="minorEastAsia"/>
          <w:sz w:val="24"/>
        </w:rPr>
        <w:t>章、法人章</w:t>
      </w:r>
      <w:r>
        <w:rPr>
          <w:rFonts w:hint="eastAsia" w:cs="Arial" w:asciiTheme="minorEastAsia" w:hAnsiTheme="minorEastAsia"/>
          <w:sz w:val="24"/>
          <w:lang w:eastAsia="zh-CN"/>
        </w:rPr>
        <w:t>，</w:t>
      </w:r>
      <w:r>
        <w:rPr>
          <w:rFonts w:hint="eastAsia" w:cs="Arial" w:asciiTheme="minorEastAsia" w:hAnsiTheme="minorEastAsia"/>
          <w:sz w:val="24"/>
          <w:lang w:val="en-US" w:eastAsia="zh-CN"/>
        </w:rPr>
        <w:t>且与备案系统一致；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（2）</w:t>
      </w:r>
      <w:r>
        <w:rPr>
          <w:rFonts w:hint="eastAsia" w:cs="Arial" w:asciiTheme="minorEastAsia" w:hAnsiTheme="minorEastAsia"/>
          <w:sz w:val="24"/>
          <w:lang w:val="en-US" w:eastAsia="zh-CN"/>
        </w:rPr>
        <w:t>项目公司</w:t>
      </w:r>
      <w:r>
        <w:rPr>
          <w:rFonts w:hint="eastAsia" w:cs="Arial" w:asciiTheme="minorEastAsia" w:hAnsiTheme="minorEastAsia"/>
          <w:sz w:val="24"/>
        </w:rPr>
        <w:t>仅开设一个基本存款账户（</w:t>
      </w:r>
      <w:r>
        <w:rPr>
          <w:rFonts w:hint="eastAsia" w:cs="Arial" w:asciiTheme="minorEastAsia" w:hAnsiTheme="minorEastAsia"/>
          <w:sz w:val="24"/>
          <w:lang w:val="en-US" w:eastAsia="zh-CN"/>
        </w:rPr>
        <w:t>开户行：</w:t>
      </w:r>
      <w:r>
        <w:rPr>
          <w:rFonts w:hint="eastAsia" w:cs="Arial" w:asciiTheme="minorEastAsia" w:hAnsiTheme="minorEastAsia"/>
          <w:sz w:val="24"/>
        </w:rPr>
        <w:t>中国农业银行股份有限公司吴江盛泽支行、账号：10544301040150760、</w:t>
      </w:r>
      <w:r>
        <w:rPr>
          <w:rFonts w:hint="eastAsia" w:cs="Arial" w:asciiTheme="minorEastAsia" w:hAnsiTheme="minorEastAsia"/>
          <w:sz w:val="24"/>
          <w:lang w:val="en-US" w:eastAsia="zh-CN"/>
        </w:rPr>
        <w:t>账户</w:t>
      </w:r>
      <w:r>
        <w:rPr>
          <w:rFonts w:hint="eastAsia" w:cs="Arial" w:asciiTheme="minorEastAsia" w:hAnsiTheme="minorEastAsia"/>
          <w:sz w:val="24"/>
        </w:rPr>
        <w:t>余额：16</w:t>
      </w:r>
      <w:r>
        <w:rPr>
          <w:rFonts w:hint="eastAsia" w:cs="Arial" w:asciiTheme="minorEastAsia" w:hAnsiTheme="minorEastAsia"/>
          <w:sz w:val="24"/>
          <w:lang w:val="en-US" w:eastAsia="zh-CN"/>
        </w:rPr>
        <w:t>,</w:t>
      </w:r>
      <w:r>
        <w:rPr>
          <w:rFonts w:hint="eastAsia" w:cs="Arial" w:asciiTheme="minorEastAsia" w:hAnsiTheme="minorEastAsia"/>
          <w:sz w:val="24"/>
        </w:rPr>
        <w:t>102</w:t>
      </w:r>
      <w:r>
        <w:rPr>
          <w:rFonts w:hint="eastAsia" w:cs="Arial" w:asciiTheme="minorEastAsia" w:hAnsiTheme="minorEastAsia"/>
          <w:sz w:val="24"/>
          <w:lang w:val="en-US" w:eastAsia="zh-CN"/>
        </w:rPr>
        <w:t>,</w:t>
      </w:r>
      <w:r>
        <w:rPr>
          <w:rFonts w:hint="eastAsia" w:cs="Arial" w:asciiTheme="minorEastAsia" w:hAnsiTheme="minorEastAsia"/>
          <w:sz w:val="24"/>
        </w:rPr>
        <w:t>892.97元）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（3）核实项目公司共领取2个U盾，其中1个操作盾（制单功能）、</w:t>
      </w:r>
      <w:r>
        <w:rPr>
          <w:rFonts w:hint="eastAsia" w:cs="Arial" w:asciiTheme="minorEastAsia" w:hAnsiTheme="minorEastAsia"/>
          <w:sz w:val="24"/>
          <w:lang w:val="en-US" w:eastAsia="zh-CN"/>
        </w:rPr>
        <w:t>1</w:t>
      </w:r>
      <w:r>
        <w:rPr>
          <w:rFonts w:hint="eastAsia" w:cs="Arial" w:asciiTheme="minorEastAsia" w:hAnsiTheme="minorEastAsia"/>
          <w:sz w:val="24"/>
        </w:rPr>
        <w:t>个管理盾（复核</w:t>
      </w:r>
      <w:r>
        <w:rPr>
          <w:rFonts w:hint="eastAsia" w:cs="Arial" w:asciiTheme="minorEastAsia" w:hAnsiTheme="minorEastAsia"/>
          <w:sz w:val="24"/>
          <w:lang w:val="en-US" w:eastAsia="zh-CN"/>
        </w:rPr>
        <w:t>功能</w:t>
      </w:r>
      <w:r>
        <w:rPr>
          <w:rFonts w:hint="eastAsia" w:cs="Arial" w:asciiTheme="minorEastAsia" w:hAnsiTheme="minorEastAsia"/>
          <w:sz w:val="24"/>
        </w:rPr>
        <w:t>）</w:t>
      </w:r>
      <w:r>
        <w:rPr>
          <w:rFonts w:hint="eastAsia" w:cs="Arial" w:asciiTheme="minorEastAsia" w:hAnsiTheme="minorEastAsia"/>
          <w:sz w:val="24"/>
          <w:lang w:eastAsia="zh-CN"/>
        </w:rPr>
        <w:t>，</w:t>
      </w:r>
      <w:r>
        <w:rPr>
          <w:rFonts w:hint="eastAsia" w:cs="Arial" w:asciiTheme="minorEastAsia" w:hAnsiTheme="minorEastAsia"/>
          <w:sz w:val="24"/>
        </w:rPr>
        <w:t>中航信托</w:t>
      </w:r>
      <w:r>
        <w:rPr>
          <w:rFonts w:hint="eastAsia" w:cs="Arial" w:asciiTheme="minorEastAsia" w:hAnsiTheme="minorEastAsia"/>
          <w:sz w:val="24"/>
          <w:lang w:val="en-US" w:eastAsia="zh-CN"/>
        </w:rPr>
        <w:t>现场</w:t>
      </w:r>
      <w:r>
        <w:rPr>
          <w:rFonts w:hint="eastAsia" w:cs="Arial" w:asciiTheme="minorEastAsia" w:hAnsiTheme="minorEastAsia"/>
          <w:sz w:val="24"/>
        </w:rPr>
        <w:t>开设1个复核功能操作盾。经查询“管理盾”有</w:t>
      </w:r>
      <w:bookmarkStart w:id="11" w:name="_GoBack"/>
      <w:bookmarkEnd w:id="11"/>
      <w:r>
        <w:rPr>
          <w:rFonts w:hint="eastAsia" w:cs="Arial" w:asciiTheme="minorEastAsia" w:hAnsiTheme="minorEastAsia"/>
          <w:sz w:val="24"/>
        </w:rPr>
        <w:t>在网上银行更改“操作盾”权限的功能，按照协议约定应共管“最高权限的U盾”。经</w:t>
      </w:r>
      <w:r>
        <w:rPr>
          <w:rFonts w:hint="eastAsia" w:cs="Arial" w:asciiTheme="minorEastAsia" w:hAnsiTheme="minorEastAsia"/>
          <w:sz w:val="24"/>
          <w:lang w:val="en-US" w:eastAsia="zh-CN"/>
        </w:rPr>
        <w:t>与</w:t>
      </w:r>
      <w:r>
        <w:rPr>
          <w:rFonts w:hint="eastAsia" w:cs="Arial" w:asciiTheme="minorEastAsia" w:hAnsiTheme="minorEastAsia"/>
          <w:sz w:val="24"/>
        </w:rPr>
        <w:t>项目公司协商</w:t>
      </w:r>
      <w:r>
        <w:rPr>
          <w:rFonts w:hint="eastAsia" w:cs="Arial" w:asciiTheme="minorEastAsia" w:hAnsiTheme="minorEastAsia"/>
          <w:sz w:val="24"/>
          <w:lang w:eastAsia="zh-CN"/>
        </w:rPr>
        <w:t>，</w:t>
      </w:r>
      <w:r>
        <w:rPr>
          <w:rFonts w:hint="eastAsia" w:cs="Arial" w:asciiTheme="minorEastAsia" w:hAnsiTheme="minorEastAsia"/>
          <w:sz w:val="24"/>
          <w:lang w:val="en-US" w:eastAsia="zh-CN"/>
        </w:rPr>
        <w:t>项目公司</w:t>
      </w:r>
      <w:r>
        <w:rPr>
          <w:rFonts w:hint="eastAsia" w:cs="Arial" w:asciiTheme="minorEastAsia" w:hAnsiTheme="minorEastAsia"/>
          <w:sz w:val="24"/>
        </w:rPr>
        <w:t>同意</w:t>
      </w:r>
      <w:r>
        <w:rPr>
          <w:rFonts w:hint="eastAsia" w:cs="Arial" w:asciiTheme="minorEastAsia" w:hAnsiTheme="minorEastAsia"/>
          <w:sz w:val="24"/>
          <w:lang w:val="en-US" w:eastAsia="zh-CN"/>
        </w:rPr>
        <w:t>将基本户</w:t>
      </w:r>
      <w:r>
        <w:rPr>
          <w:rFonts w:hint="eastAsia" w:cs="Arial" w:asciiTheme="minorEastAsia" w:hAnsiTheme="minorEastAsia"/>
          <w:sz w:val="24"/>
        </w:rPr>
        <w:t>“管理盾”</w:t>
      </w:r>
      <w:r>
        <w:rPr>
          <w:rFonts w:hint="eastAsia" w:cs="Arial" w:asciiTheme="minorEastAsia" w:hAnsiTheme="minorEastAsia"/>
          <w:sz w:val="24"/>
          <w:lang w:val="en-US" w:eastAsia="zh-CN"/>
        </w:rPr>
        <w:t>交接共管</w:t>
      </w:r>
      <w:r>
        <w:rPr>
          <w:rFonts w:hint="eastAsia" w:cs="Arial" w:asciiTheme="minorEastAsia" w:hAnsiTheme="minorEastAsia"/>
          <w:sz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Arial" w:asciiTheme="minorEastAsia" w:hAnsiTheme="minorEastAsia" w:eastAsia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</w:rPr>
        <w:t>（4）</w:t>
      </w:r>
      <w:r>
        <w:rPr>
          <w:rFonts w:hint="eastAsia" w:cs="Arial" w:asciiTheme="minorEastAsia" w:hAnsiTheme="minorEastAsia"/>
          <w:sz w:val="24"/>
          <w:lang w:val="en-US" w:eastAsia="zh-CN"/>
        </w:rPr>
        <w:t>银行系统查验</w:t>
      </w:r>
      <w:r>
        <w:rPr>
          <w:rFonts w:hint="eastAsia" w:cs="Arial" w:asciiTheme="minorEastAsia" w:hAnsiTheme="minorEastAsia"/>
          <w:sz w:val="24"/>
        </w:rPr>
        <w:t>到</w:t>
      </w:r>
      <w:r>
        <w:rPr>
          <w:rFonts w:hint="eastAsia" w:cs="Arial" w:asciiTheme="minorEastAsia" w:hAnsiTheme="minorEastAsia"/>
          <w:sz w:val="24"/>
          <w:lang w:val="en-US" w:eastAsia="zh-CN"/>
        </w:rPr>
        <w:t>项目公司已领取支票25张，</w:t>
      </w:r>
      <w:r>
        <w:rPr>
          <w:rFonts w:hint="eastAsia" w:cs="Arial" w:asciiTheme="minorEastAsia" w:hAnsiTheme="minorEastAsia"/>
          <w:sz w:val="24"/>
        </w:rPr>
        <w:t>剩余</w:t>
      </w:r>
      <w:r>
        <w:rPr>
          <w:rFonts w:hint="eastAsia" w:cs="Arial" w:asciiTheme="minorEastAsia" w:hAnsiTheme="minorEastAsia"/>
          <w:sz w:val="24"/>
          <w:lang w:val="en-US" w:eastAsia="zh-CN"/>
        </w:rPr>
        <w:t>未使用</w:t>
      </w:r>
      <w:r>
        <w:rPr>
          <w:rFonts w:hint="eastAsia" w:cs="Arial" w:asciiTheme="minorEastAsia" w:hAnsiTheme="minorEastAsia"/>
          <w:sz w:val="24"/>
        </w:rPr>
        <w:t>支票15张</w:t>
      </w:r>
      <w:r>
        <w:rPr>
          <w:rFonts w:hint="eastAsia" w:cs="Arial" w:asciiTheme="minorEastAsia" w:hAnsiTheme="minorEastAsia"/>
          <w:sz w:val="24"/>
          <w:lang w:eastAsia="zh-CN"/>
        </w:rPr>
        <w:t>，</w:t>
      </w:r>
      <w:r>
        <w:rPr>
          <w:rFonts w:hint="eastAsia" w:cs="Arial" w:asciiTheme="minorEastAsia" w:hAnsiTheme="minorEastAsia"/>
          <w:sz w:val="24"/>
          <w:lang w:val="en-US" w:eastAsia="zh-CN"/>
        </w:rPr>
        <w:t>凭证号码为：</w:t>
      </w:r>
      <w:r>
        <w:rPr>
          <w:rFonts w:hint="eastAsia" w:cs="Arial" w:asciiTheme="minorEastAsia" w:hAnsiTheme="minorEastAsia"/>
          <w:sz w:val="24"/>
        </w:rPr>
        <w:t>29155111-29155125</w:t>
      </w:r>
      <w:r>
        <w:rPr>
          <w:rFonts w:hint="eastAsia" w:cs="Arial" w:asciiTheme="minorEastAsia" w:hAnsiTheme="minorEastAsia"/>
          <w:sz w:val="24"/>
          <w:lang w:eastAsia="zh-CN"/>
        </w:rPr>
        <w:t>。</w:t>
      </w:r>
    </w:p>
    <w:p>
      <w:pPr>
        <w:numPr>
          <w:ilvl w:val="0"/>
          <w:numId w:val="2"/>
        </w:numPr>
        <w:outlineLvl w:val="1"/>
        <w:rPr>
          <w:b/>
          <w:bCs/>
          <w:sz w:val="24"/>
          <w:szCs w:val="24"/>
        </w:rPr>
      </w:pPr>
      <w:bookmarkStart w:id="10" w:name="_Toc7477"/>
      <w:r>
        <w:rPr>
          <w:rFonts w:hint="eastAsia"/>
          <w:b/>
          <w:bCs/>
          <w:sz w:val="24"/>
          <w:szCs w:val="24"/>
        </w:rPr>
        <w:t>共管交接</w:t>
      </w:r>
      <w:bookmarkEnd w:id="10"/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（1）2020年7月30日晚上我司入场主管、驻场人员与中航信托经理刘洵、</w:t>
      </w:r>
      <w:r>
        <w:rPr>
          <w:rFonts w:hint="eastAsia" w:cs="Arial" w:asciiTheme="minorEastAsia" w:hAnsiTheme="minorEastAsia"/>
          <w:sz w:val="24"/>
          <w:lang w:val="en-US" w:eastAsia="zh-CN"/>
        </w:rPr>
        <w:t>项目公司</w:t>
      </w:r>
      <w:r>
        <w:rPr>
          <w:rFonts w:hint="eastAsia" w:cs="Arial" w:asciiTheme="minorEastAsia" w:hAnsiTheme="minorEastAsia"/>
          <w:sz w:val="24"/>
        </w:rPr>
        <w:t>财务张宇对共管资料进行交接，交接单如下：</w:t>
      </w:r>
    </w:p>
    <w:p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424805" cy="7233920"/>
            <wp:effectExtent l="0" t="0" r="4445" b="5080"/>
            <wp:docPr id="5" name="图片 5" descr="d176ce9e9fa5cba4c908f327fa5c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176ce9e9fa5cba4c908f327fa5c57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690" cy="7022465"/>
            <wp:effectExtent l="0" t="0" r="10160" b="6985"/>
            <wp:docPr id="8" name="图片 8" descr="8c79edd50e67471cb8f3f7d923c0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c79edd50e67471cb8f3f7d923c079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5266690" cy="7022465"/>
            <wp:effectExtent l="0" t="0" r="10160" b="6985"/>
            <wp:docPr id="9" name="图片 9" descr="a223bfb3339bab7ca3dd94effe0a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223bfb3339bab7ca3dd94effe0a90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（2）2020年8月3日上午我司驻场人员与</w:t>
      </w:r>
      <w:r>
        <w:rPr>
          <w:rFonts w:hint="eastAsia" w:cs="Arial" w:asciiTheme="minorEastAsia" w:hAnsiTheme="minorEastAsia"/>
          <w:sz w:val="24"/>
          <w:lang w:val="en-US" w:eastAsia="zh-CN"/>
        </w:rPr>
        <w:t>项目公司</w:t>
      </w:r>
      <w:r>
        <w:rPr>
          <w:rFonts w:hint="eastAsia" w:cs="Arial" w:asciiTheme="minorEastAsia" w:hAnsiTheme="minorEastAsia"/>
          <w:sz w:val="24"/>
        </w:rPr>
        <w:t>财务张宇对</w:t>
      </w:r>
      <w:r>
        <w:rPr>
          <w:rFonts w:hint="eastAsia" w:cs="Arial" w:asciiTheme="minorEastAsia" w:hAnsiTheme="minorEastAsia"/>
          <w:sz w:val="24"/>
          <w:lang w:val="en-US" w:eastAsia="zh-CN"/>
        </w:rPr>
        <w:t>项目公司后续取得</w:t>
      </w:r>
      <w:r>
        <w:rPr>
          <w:rFonts w:hint="eastAsia" w:cs="Arial" w:asciiTheme="minorEastAsia" w:hAnsiTheme="minorEastAsia"/>
          <w:sz w:val="24"/>
        </w:rPr>
        <w:t>资料进行</w:t>
      </w:r>
      <w:r>
        <w:rPr>
          <w:rFonts w:hint="eastAsia" w:cs="Arial" w:asciiTheme="minorEastAsia" w:hAnsiTheme="minorEastAsia"/>
          <w:sz w:val="24"/>
          <w:lang w:val="en-US" w:eastAsia="zh-CN"/>
        </w:rPr>
        <w:t>共管</w:t>
      </w:r>
      <w:r>
        <w:rPr>
          <w:rFonts w:hint="eastAsia" w:cs="Arial" w:asciiTheme="minorEastAsia" w:hAnsiTheme="minorEastAsia"/>
          <w:sz w:val="24"/>
        </w:rPr>
        <w:t>交接，交接单如下：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59f9048ae0315a287467ab2e751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9f9048ae0315a287467ab2e75131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JVx3wPAgAACQ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OJVx3wPAgAACQ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BKGJQ8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楷体_GB2312" w:eastAsia="楷体_GB2312"/>
        <w:spacing w:val="-20"/>
        <w:sz w:val="24"/>
      </w:rPr>
    </w:pPr>
    <w:r>
      <w:rPr>
        <w:rFonts w:ascii="楷体_GB2312" w:eastAsia="楷体_GB2312"/>
        <w:spacing w:val="-20"/>
        <w:sz w:val="24"/>
      </w:rPr>
      <w:drawing>
        <wp:inline distT="0" distB="0" distL="0" distR="0">
          <wp:extent cx="5273675" cy="372110"/>
          <wp:effectExtent l="0" t="0" r="9525" b="889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367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811CDD"/>
    <w:multiLevelType w:val="singleLevel"/>
    <w:tmpl w:val="95811CD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54178CB"/>
    <w:multiLevelType w:val="singleLevel"/>
    <w:tmpl w:val="F54178C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64B5C2C"/>
    <w:multiLevelType w:val="singleLevel"/>
    <w:tmpl w:val="464B5C2C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681"/>
    <w:rsid w:val="00096253"/>
    <w:rsid w:val="0061362B"/>
    <w:rsid w:val="00BF0681"/>
    <w:rsid w:val="00F63032"/>
    <w:rsid w:val="05721B52"/>
    <w:rsid w:val="06406278"/>
    <w:rsid w:val="069367D5"/>
    <w:rsid w:val="0C263E59"/>
    <w:rsid w:val="1211363E"/>
    <w:rsid w:val="15087B06"/>
    <w:rsid w:val="18A704B0"/>
    <w:rsid w:val="1AE627C7"/>
    <w:rsid w:val="22955826"/>
    <w:rsid w:val="266B13AF"/>
    <w:rsid w:val="30EC4CC0"/>
    <w:rsid w:val="326D1D74"/>
    <w:rsid w:val="32E20806"/>
    <w:rsid w:val="33BE6837"/>
    <w:rsid w:val="3B2B05D8"/>
    <w:rsid w:val="42663006"/>
    <w:rsid w:val="49B65664"/>
    <w:rsid w:val="4A0E7463"/>
    <w:rsid w:val="4FE964A0"/>
    <w:rsid w:val="54F36899"/>
    <w:rsid w:val="552C0983"/>
    <w:rsid w:val="556D79F4"/>
    <w:rsid w:val="60956A3D"/>
    <w:rsid w:val="60FA27E6"/>
    <w:rsid w:val="68D13A70"/>
    <w:rsid w:val="6B0A3C7F"/>
    <w:rsid w:val="6C4305B6"/>
    <w:rsid w:val="6CD339F0"/>
    <w:rsid w:val="72BF376A"/>
    <w:rsid w:val="72C02A83"/>
    <w:rsid w:val="79B40972"/>
    <w:rsid w:val="7A921598"/>
    <w:rsid w:val="7FE30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paragraph" w:customStyle="1" w:styleId="9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0">
    <w:name w:val="数字"/>
    <w:basedOn w:val="1"/>
    <w:uiPriority w:val="0"/>
    <w:rPr>
      <w:sz w:val="18"/>
    </w:rPr>
  </w:style>
  <w:style w:type="paragraph" w:customStyle="1" w:styleId="11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357</Words>
  <Characters>2039</Characters>
  <Lines>16</Lines>
  <Paragraphs>4</Paragraphs>
  <TotalTime>5</TotalTime>
  <ScaleCrop>false</ScaleCrop>
  <LinksUpToDate>false</LinksUpToDate>
  <CharactersWithSpaces>2392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2020-08-03T05:53:00Z</dcterms:created>
  <dc:creator>Yang</dc:creator>
  <cp:lastModifiedBy>卟说嗳</cp:lastModifiedBy>
  <dcterms:modified xsi:type="dcterms:W3CDTF">2020-08-07T01:17:29Z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