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22"/>
          <w:rFonts w:ascii="Arial" w:hAnsi="Arial" w:cs="Arial"/>
          <w:b/>
          <w:color w:val="000000"/>
          <w:kern w:val="2"/>
          <w:sz w:val="44"/>
          <w:szCs w:val="22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中诚信托</w:t>
      </w:r>
      <w:r>
        <w:rPr>
          <w:rStyle w:val="22"/>
          <w:rFonts w:hint="eastAsia" w:ascii="Arial" w:hAnsi="Arial" w:cs="Arial"/>
          <w:b/>
          <w:sz w:val="36"/>
        </w:rPr>
        <w:t>“</w:t>
      </w:r>
      <w:r>
        <w:rPr>
          <w:rStyle w:val="22"/>
          <w:rFonts w:ascii="Arial" w:hAnsi="Arial" w:cs="Arial"/>
          <w:b/>
          <w:sz w:val="36"/>
        </w:rPr>
        <w:t>郑州恒祥·百悦城一号院</w:t>
      </w:r>
      <w:r>
        <w:rPr>
          <w:rStyle w:val="22"/>
          <w:rFonts w:hint="eastAsia" w:ascii="Arial" w:hAnsi="Arial" w:cs="Arial"/>
          <w:b/>
          <w:sz w:val="36"/>
        </w:rPr>
        <w:t>”</w:t>
      </w:r>
      <w:r>
        <w:rPr>
          <w:rStyle w:val="22"/>
          <w:rFonts w:ascii="Arial" w:hAnsi="Arial" w:cs="Arial"/>
          <w:b/>
          <w:sz w:val="36"/>
        </w:rPr>
        <w:t>项目</w:t>
      </w: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2020年1</w:t>
      </w:r>
      <w:r>
        <w:rPr>
          <w:rStyle w:val="22"/>
          <w:rFonts w:hint="eastAsia" w:ascii="Arial" w:hAnsi="Arial" w:cs="Arial"/>
          <w:b/>
          <w:sz w:val="36"/>
        </w:rPr>
        <w:t>1</w:t>
      </w:r>
      <w:r>
        <w:rPr>
          <w:rStyle w:val="22"/>
          <w:rFonts w:ascii="Arial" w:hAnsi="Arial" w:cs="Arial"/>
          <w:b/>
          <w:sz w:val="36"/>
        </w:rPr>
        <w:t>月管理报告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项目名称：2017年中诚信托诚祥1号贷款项目集合资金信托计划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委托方：中诚信托有限责任公司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受托方：北京康正国际资产评估有限公司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监管人员：杜广文、王得荣、</w:t>
      </w:r>
      <w:r>
        <w:rPr>
          <w:rStyle w:val="22"/>
          <w:rFonts w:hint="eastAsia" w:ascii="Arial" w:hAnsi="Arial" w:cs="Arial"/>
          <w:b/>
          <w:color w:val="000000"/>
          <w:sz w:val="21"/>
        </w:rPr>
        <w:t>吴国军</w:t>
      </w:r>
    </w:p>
    <w:p>
      <w:pPr>
        <w:spacing w:line="480" w:lineRule="auto"/>
        <w:jc w:val="left"/>
        <w:rPr>
          <w:rStyle w:val="22"/>
          <w:rFonts w:ascii="Arial" w:hAnsi="Arial" w:cs="Arial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843" w:right="1134" w:bottom="1134" w:left="1134" w:header="851" w:footer="851" w:gutter="340"/>
          <w:pgNumType w:fmt="decimal" w:start="1"/>
          <w:cols w:space="720" w:num="1"/>
          <w:titlePg/>
          <w:docGrid w:type="lines" w:linePitch="312" w:charSpace="0"/>
        </w:sectPr>
      </w:pPr>
      <w:r>
        <w:rPr>
          <w:rStyle w:val="22"/>
          <w:rFonts w:ascii="Arial" w:hAnsi="Arial" w:cs="Arial"/>
          <w:b/>
          <w:color w:val="000000"/>
          <w:sz w:val="21"/>
        </w:rPr>
        <w:t>日期：二零二零年十</w:t>
      </w:r>
      <w:r>
        <w:rPr>
          <w:rStyle w:val="22"/>
          <w:rFonts w:hint="eastAsia" w:ascii="Arial" w:hAnsi="Arial" w:cs="Arial"/>
          <w:b/>
          <w:color w:val="000000"/>
          <w:sz w:val="21"/>
        </w:rPr>
        <w:t>二</w:t>
      </w:r>
      <w:r>
        <w:rPr>
          <w:rStyle w:val="22"/>
          <w:rFonts w:ascii="Arial" w:hAnsi="Arial" w:cs="Arial"/>
          <w:b/>
          <w:color w:val="000000"/>
          <w:sz w:val="21"/>
        </w:rPr>
        <w:t>月十日</w:t>
      </w:r>
    </w:p>
    <w:p>
      <w:pPr>
        <w:pStyle w:val="52"/>
        <w:jc w:val="center"/>
        <w:rPr>
          <w:rFonts w:ascii="Arial" w:hAnsi="Arial" w:cs="Arial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录</w:t>
      </w:r>
    </w:p>
    <w:p>
      <w:pPr>
        <w:pStyle w:val="10"/>
        <w:tabs>
          <w:tab w:val="right" w:leader="dot" w:pos="8918"/>
        </w:tabs>
        <w:rPr>
          <w:rFonts w:cstheme="minorBidi"/>
          <w:kern w:val="2"/>
          <w:sz w:val="21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TOC \o "1-3" \h \u </w:instrText>
      </w:r>
      <w:r>
        <w:rPr>
          <w:rFonts w:ascii="Arial" w:hAnsi="Arial" w:cs="Arial"/>
        </w:rPr>
        <w:fldChar w:fldCharType="separate"/>
      </w:r>
      <w:r>
        <w:fldChar w:fldCharType="begin"/>
      </w:r>
      <w:r>
        <w:instrText xml:space="preserve"> HYPERLINK \l "_Toc56430485" </w:instrText>
      </w:r>
      <w:r>
        <w:fldChar w:fldCharType="separate"/>
      </w:r>
      <w:r>
        <w:rPr>
          <w:rStyle w:val="17"/>
          <w:rFonts w:ascii="Arial" w:hAnsi="Arial" w:cs="Arial"/>
        </w:rPr>
        <w:t>1 项目基本情况</w:t>
      </w:r>
      <w:r>
        <w:tab/>
      </w:r>
      <w:r>
        <w:fldChar w:fldCharType="begin"/>
      </w:r>
      <w:r>
        <w:instrText xml:space="preserve"> PAGEREF _Toc56430485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"_Toc56430486" </w:instrText>
      </w:r>
      <w:r>
        <w:fldChar w:fldCharType="separate"/>
      </w:r>
      <w:r>
        <w:rPr>
          <w:rStyle w:val="17"/>
          <w:rFonts w:ascii="Arial" w:hAnsi="Arial" w:cs="Arial"/>
        </w:rPr>
        <w:t>2 重大事件披露</w:t>
      </w:r>
      <w:r>
        <w:tab/>
      </w:r>
      <w:r>
        <w:fldChar w:fldCharType="begin"/>
      </w:r>
      <w:r>
        <w:instrText xml:space="preserve"> PAGEREF _Toc56430486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"_Toc56430487" </w:instrText>
      </w:r>
      <w:r>
        <w:fldChar w:fldCharType="separate"/>
      </w:r>
      <w:r>
        <w:rPr>
          <w:rStyle w:val="17"/>
          <w:rFonts w:ascii="Arial" w:hAnsi="Arial" w:cs="Arial"/>
        </w:rPr>
        <w:t>3 项目五证办理及施工进度情况</w:t>
      </w:r>
      <w:r>
        <w:tab/>
      </w:r>
      <w:r>
        <w:fldChar w:fldCharType="begin"/>
      </w:r>
      <w:r>
        <w:instrText xml:space="preserve"> PAGEREF _Toc56430487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"_Toc56430488" </w:instrText>
      </w:r>
      <w:r>
        <w:fldChar w:fldCharType="separate"/>
      </w:r>
      <w:r>
        <w:rPr>
          <w:rStyle w:val="17"/>
          <w:rFonts w:ascii="Arial" w:hAnsi="Arial" w:cs="Arial"/>
        </w:rPr>
        <w:t>3.1项目五证办理情况</w:t>
      </w:r>
      <w:r>
        <w:tab/>
      </w:r>
      <w:r>
        <w:fldChar w:fldCharType="begin"/>
      </w:r>
      <w:r>
        <w:instrText xml:space="preserve"> PAGEREF _Toc56430488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"_Toc56430489" </w:instrText>
      </w:r>
      <w:r>
        <w:fldChar w:fldCharType="separate"/>
      </w:r>
      <w:r>
        <w:rPr>
          <w:rStyle w:val="17"/>
          <w:rFonts w:ascii="Arial" w:hAnsi="Arial" w:cs="Arial"/>
        </w:rPr>
        <w:t>3.2项目施工进度情况</w:t>
      </w:r>
      <w:r>
        <w:tab/>
      </w:r>
      <w:r>
        <w:fldChar w:fldCharType="begin"/>
      </w:r>
      <w:r>
        <w:instrText xml:space="preserve"> PAGEREF _Toc56430489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"_Toc56430490" </w:instrText>
      </w:r>
      <w:r>
        <w:fldChar w:fldCharType="separate"/>
      </w:r>
      <w:r>
        <w:rPr>
          <w:rStyle w:val="17"/>
          <w:rFonts w:ascii="Arial" w:hAnsi="Arial" w:eastAsia="宋体" w:cs="Arial"/>
          <w:kern w:val="44"/>
        </w:rPr>
        <w:t>3.3 施工现场照片（2020.1</w:t>
      </w:r>
      <w:r>
        <w:rPr>
          <w:rStyle w:val="17"/>
          <w:rFonts w:hint="eastAsia" w:ascii="Arial" w:hAnsi="Arial" w:eastAsia="宋体" w:cs="Arial"/>
          <w:kern w:val="44"/>
        </w:rPr>
        <w:t>1</w:t>
      </w:r>
      <w:r>
        <w:rPr>
          <w:rStyle w:val="17"/>
          <w:rFonts w:ascii="Arial" w:hAnsi="Arial" w:eastAsia="宋体" w:cs="Arial"/>
          <w:kern w:val="44"/>
        </w:rPr>
        <w:t>）</w:t>
      </w:r>
      <w:r>
        <w:tab/>
      </w:r>
      <w:r>
        <w:fldChar w:fldCharType="begin"/>
      </w:r>
      <w:r>
        <w:instrText xml:space="preserve"> PAGEREF _Toc56430490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18"/>
        </w:tabs>
        <w:ind w:firstLine="220" w:firstLineChars="100"/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"_Toc56430491" </w:instrText>
      </w:r>
      <w:r>
        <w:fldChar w:fldCharType="separate"/>
      </w:r>
      <w:r>
        <w:rPr>
          <w:rStyle w:val="17"/>
          <w:rFonts w:ascii="Arial" w:hAnsi="Arial" w:cs="Arial"/>
        </w:rPr>
        <w:t>3.3.1 住宅、公寓</w:t>
      </w:r>
      <w:r>
        <w:tab/>
      </w:r>
      <w:r>
        <w:fldChar w:fldCharType="begin"/>
      </w:r>
      <w:r>
        <w:instrText xml:space="preserve"> PAGEREF _Toc56430491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18"/>
        </w:tabs>
        <w:ind w:firstLine="220" w:firstLineChars="100"/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"_Toc56430492" </w:instrText>
      </w:r>
      <w:r>
        <w:fldChar w:fldCharType="separate"/>
      </w:r>
      <w:r>
        <w:rPr>
          <w:rStyle w:val="17"/>
          <w:rFonts w:ascii="Arial" w:hAnsi="Arial" w:cs="Arial"/>
        </w:rPr>
        <w:t>3.3.2 集中商业</w:t>
      </w:r>
      <w:r>
        <w:tab/>
      </w:r>
      <w:r>
        <w:fldChar w:fldCharType="begin"/>
      </w:r>
      <w:r>
        <w:instrText xml:space="preserve"> PAGEREF _Toc56430492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"_Toc56430493" </w:instrText>
      </w:r>
      <w:r>
        <w:fldChar w:fldCharType="separate"/>
      </w:r>
      <w:r>
        <w:rPr>
          <w:rStyle w:val="17"/>
          <w:rFonts w:ascii="Arial" w:hAnsi="Arial" w:cs="Arial"/>
        </w:rPr>
        <w:t>4 项目销售情况</w:t>
      </w:r>
      <w:r>
        <w:tab/>
      </w:r>
      <w:r>
        <w:fldChar w:fldCharType="begin"/>
      </w:r>
      <w:r>
        <w:instrText xml:space="preserve"> PAGEREF _Toc56430493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"_Toc56430494" </w:instrText>
      </w:r>
      <w:r>
        <w:fldChar w:fldCharType="separate"/>
      </w:r>
      <w:r>
        <w:rPr>
          <w:rStyle w:val="17"/>
          <w:rFonts w:ascii="Arial" w:hAnsi="Arial" w:cs="Arial"/>
        </w:rPr>
        <w:t>4.1公寓、住宅销售情况</w:t>
      </w:r>
      <w:r>
        <w:tab/>
      </w:r>
      <w:r>
        <w:fldChar w:fldCharType="begin"/>
      </w:r>
      <w:r>
        <w:instrText xml:space="preserve"> PAGEREF _Toc56430494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"_Toc56430495" </w:instrText>
      </w:r>
      <w:r>
        <w:fldChar w:fldCharType="separate"/>
      </w:r>
      <w:r>
        <w:rPr>
          <w:rStyle w:val="17"/>
          <w:rFonts w:ascii="Arial" w:hAnsi="Arial" w:cs="Arial"/>
        </w:rPr>
        <w:t>4.2 集中商业销售情况</w:t>
      </w:r>
      <w:r>
        <w:tab/>
      </w:r>
      <w:r>
        <w:fldChar w:fldCharType="begin"/>
      </w:r>
      <w:r>
        <w:instrText xml:space="preserve"> PAGEREF _Toc56430495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"_Toc56430496" </w:instrText>
      </w:r>
      <w:r>
        <w:fldChar w:fldCharType="separate"/>
      </w:r>
      <w:r>
        <w:rPr>
          <w:rStyle w:val="17"/>
          <w:rFonts w:ascii="Arial" w:hAnsi="Arial" w:cs="Arial"/>
        </w:rPr>
        <w:t>4.3 郑州市公积金按揭放款情况</w:t>
      </w:r>
      <w:r>
        <w:tab/>
      </w:r>
      <w:r>
        <w:fldChar w:fldCharType="begin"/>
      </w:r>
      <w:r>
        <w:instrText xml:space="preserve"> PAGEREF _Toc56430496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"_Toc56430497" </w:instrText>
      </w:r>
      <w:r>
        <w:fldChar w:fldCharType="separate"/>
      </w:r>
      <w:r>
        <w:rPr>
          <w:rStyle w:val="17"/>
          <w:rFonts w:ascii="Arial" w:hAnsi="Arial" w:cs="Arial"/>
        </w:rPr>
        <w:t>5监管账户资金的使用情况</w:t>
      </w:r>
      <w:r>
        <w:tab/>
      </w:r>
      <w:r>
        <w:fldChar w:fldCharType="begin"/>
      </w:r>
      <w:r>
        <w:instrText xml:space="preserve"> PAGEREF _Toc56430497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"_Toc56430498" </w:instrText>
      </w:r>
      <w:r>
        <w:fldChar w:fldCharType="separate"/>
      </w:r>
      <w:r>
        <w:rPr>
          <w:rStyle w:val="17"/>
          <w:rFonts w:ascii="Arial" w:hAnsi="Arial" w:cs="Arial"/>
        </w:rPr>
        <w:t>6印章、证照使用情况</w:t>
      </w:r>
      <w:r>
        <w:tab/>
      </w:r>
      <w:r>
        <w:fldChar w:fldCharType="begin"/>
      </w:r>
      <w:r>
        <w:instrText xml:space="preserve"> PAGEREF _Toc56430498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"_Toc56430499" </w:instrText>
      </w:r>
      <w:r>
        <w:fldChar w:fldCharType="separate"/>
      </w:r>
      <w:r>
        <w:rPr>
          <w:rStyle w:val="17"/>
          <w:rFonts w:ascii="Arial" w:hAnsi="Arial" w:cs="Arial"/>
        </w:rPr>
        <w:t>7 合同签订情况</w:t>
      </w:r>
      <w:r>
        <w:tab/>
      </w:r>
      <w:r>
        <w:fldChar w:fldCharType="begin"/>
      </w:r>
      <w:r>
        <w:instrText xml:space="preserve"> PAGEREF _Toc56430499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  <w:r>
        <w:fldChar w:fldCharType="begin"/>
      </w:r>
      <w:r>
        <w:instrText xml:space="preserve"> HYPERLINK \l "_Toc56430501" </w:instrText>
      </w:r>
      <w:r>
        <w:fldChar w:fldCharType="separate"/>
      </w:r>
      <w:r>
        <w:fldChar w:fldCharType="end"/>
      </w:r>
    </w:p>
    <w:p>
      <w:pPr>
        <w:pStyle w:val="12"/>
        <w:tabs>
          <w:tab w:val="right" w:leader="dot" w:pos="8918"/>
        </w:tabs>
        <w:rPr>
          <w:rFonts w:cstheme="minorBidi"/>
          <w:kern w:val="2"/>
          <w:sz w:val="21"/>
        </w:rPr>
      </w:pPr>
      <w:r>
        <w:fldChar w:fldCharType="begin"/>
      </w:r>
      <w:r>
        <w:instrText xml:space="preserve"> HYPERLINK \l "_Toc56430502" </w:instrText>
      </w:r>
      <w:r>
        <w:fldChar w:fldCharType="separate"/>
      </w:r>
      <w:r>
        <w:rPr>
          <w:rStyle w:val="17"/>
          <w:rFonts w:ascii="Arial" w:hAnsi="Arial" w:eastAsia="宋体" w:cs="Arial"/>
        </w:rPr>
        <w:t>附件</w:t>
      </w:r>
      <w:r>
        <w:rPr>
          <w:rStyle w:val="17"/>
          <w:rFonts w:ascii="Arial" w:hAnsi="Arial" w:eastAsia="宋体" w:cs="Arial"/>
        </w:rPr>
        <w:t xml:space="preserve"> </w:t>
      </w:r>
      <w:bookmarkStart w:id="170" w:name="_GoBack"/>
      <w:bookmarkEnd w:id="170"/>
      <w:r>
        <w:rPr>
          <w:rStyle w:val="17"/>
          <w:rFonts w:ascii="Arial" w:hAnsi="Arial" w:eastAsia="宋体" w:cs="Arial"/>
        </w:rPr>
        <w:t>网签明细</w:t>
      </w:r>
      <w:r>
        <w:tab/>
      </w:r>
      <w:r>
        <w:fldChar w:fldCharType="begin"/>
      </w:r>
      <w:r>
        <w:instrText xml:space="preserve"> PAGEREF _Toc56430502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tabs>
          <w:tab w:val="right" w:leader="dot" w:pos="8918"/>
        </w:tabs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>
      <w:pPr>
        <w:snapToGrid w:val="0"/>
        <w:spacing w:line="360" w:lineRule="auto"/>
        <w:ind w:firstLine="630" w:firstLineChars="300"/>
        <w:jc w:val="distribute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ind w:firstLine="420" w:firstLineChars="200"/>
        <w:jc w:val="righ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  <w:sectPr>
          <w:headerReference r:id="rId8" w:type="first"/>
          <w:footerReference r:id="rId10" w:type="first"/>
          <w:headerReference r:id="rId7" w:type="default"/>
          <w:footerReference r:id="rId9" w:type="default"/>
          <w:pgSz w:w="11906" w:h="16838"/>
          <w:pgMar w:top="1440" w:right="1558" w:bottom="1440" w:left="1080" w:header="851" w:footer="992" w:gutter="340"/>
          <w:pgNumType w:fmt="decimal"/>
          <w:cols w:space="720" w:num="1"/>
          <w:titlePg/>
          <w:docGrid w:type="lines" w:linePitch="312" w:charSpace="0"/>
        </w:sect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为了方便阅读之目的，本报告中将部分名称简写为：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项目公司：河南恒祥实业有限公司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中诚信托：中诚信托有限责任公司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康正：北京康正国际资产评估有限公司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 w:val="0"/>
          <w:color w:val="000000"/>
          <w:sz w:val="24"/>
        </w:rPr>
      </w:pPr>
      <w:bookmarkStart w:id="0" w:name="_Toc51087084"/>
      <w:bookmarkStart w:id="1" w:name="_Toc203833231"/>
      <w:bookmarkStart w:id="2" w:name="_Toc1758091641"/>
      <w:bookmarkStart w:id="3" w:name="_Toc1320133937"/>
      <w:bookmarkStart w:id="4" w:name="_Toc304113333"/>
      <w:bookmarkStart w:id="5" w:name="_Toc205123163"/>
      <w:bookmarkStart w:id="6" w:name="_Toc1577570235"/>
      <w:bookmarkStart w:id="7" w:name="_Toc1641718728"/>
      <w:bookmarkStart w:id="8" w:name="_Toc45636804"/>
      <w:bookmarkStart w:id="9" w:name="_Toc1259561412"/>
      <w:bookmarkStart w:id="10" w:name="_Toc56430485"/>
      <w:bookmarkStart w:id="11" w:name="_Toc1077362396"/>
      <w:bookmarkStart w:id="12" w:name="_Toc2142899702"/>
      <w:bookmarkStart w:id="13" w:name="_Toc1383937533"/>
      <w:bookmarkStart w:id="14" w:name="_Toc799042728"/>
      <w:bookmarkStart w:id="15" w:name="_Toc886087972"/>
      <w:bookmarkStart w:id="16" w:name="_Toc225072882"/>
      <w:r>
        <w:rPr>
          <w:rStyle w:val="22"/>
          <w:rFonts w:ascii="Arial" w:hAnsi="Arial" w:cs="Arial"/>
          <w:bCs w:val="0"/>
          <w:color w:val="000000"/>
          <w:sz w:val="24"/>
        </w:rPr>
        <w:t>1</w:t>
      </w:r>
      <w:r>
        <w:rPr>
          <w:rStyle w:val="22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22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snapToGrid w:val="0"/>
        <w:spacing w:line="480" w:lineRule="auto"/>
        <w:ind w:firstLine="400" w:firstLineChars="200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  <w:bCs/>
        </w:rPr>
        <w:drawing>
          <wp:anchor distT="0" distB="360045" distL="114300" distR="114300" simplePos="0" relativeHeight="2516418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2"/>
          <w:rFonts w:ascii="Arial" w:hAnsi="Arial" w:cs="Arial"/>
          <w:sz w:val="21"/>
        </w:rPr>
        <w:t xml:space="preserve">标的项目为项目公司建设的“恒祥·百悦城一号院”项目，位于河南省郑州市金水区红旗路北、经七路东。标的项目用地面积87,028.31㎡，规划总建筑面积791,553.67㎡，其中地上规划建筑面积519,479.34㎡，地下规划建筑面积272,074.33㎡。国有建设用地使用权出让年期为商业40年，其他50年，居住70年，商业用途土地终止日期为2056年6月11日，其他用途土地终止日期为2066年6月11日，住宅用途土地终止日期为2086年6月11日。 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7" w:name="_Toc588696452"/>
      <w:bookmarkStart w:id="18" w:name="_Toc1295884805"/>
      <w:bookmarkStart w:id="19" w:name="_Toc1837522002"/>
      <w:bookmarkStart w:id="20" w:name="_Toc1828937106"/>
      <w:bookmarkStart w:id="21" w:name="_Toc56430486"/>
      <w:bookmarkStart w:id="22" w:name="_Toc442736474"/>
      <w:bookmarkStart w:id="23" w:name="_Toc45636805"/>
      <w:bookmarkStart w:id="24" w:name="_Toc793747106"/>
      <w:bookmarkStart w:id="25" w:name="_Toc1795161715"/>
      <w:bookmarkStart w:id="26" w:name="_Toc1496764840"/>
      <w:bookmarkStart w:id="27" w:name="_Toc1018711214"/>
      <w:bookmarkStart w:id="28" w:name="_Toc1081225407"/>
      <w:bookmarkStart w:id="29" w:name="_Toc221707871"/>
      <w:bookmarkStart w:id="30" w:name="_Toc51087085"/>
      <w:bookmarkStart w:id="31" w:name="_Toc267047677"/>
      <w:bookmarkStart w:id="32" w:name="_Toc1702343005"/>
      <w:bookmarkStart w:id="33" w:name="_Toc1389833783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2 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22"/>
          <w:rFonts w:ascii="Arial" w:hAnsi="Arial" w:cs="Arial"/>
          <w:sz w:val="21"/>
        </w:rPr>
        <w:t>）2020年</w:t>
      </w:r>
      <w:r>
        <w:rPr>
          <w:rStyle w:val="22"/>
          <w:rFonts w:hint="eastAsia" w:ascii="Arial" w:hAnsi="Arial" w:cs="Arial"/>
          <w:sz w:val="21"/>
        </w:rPr>
        <w:t>11</w:t>
      </w:r>
      <w:r>
        <w:rPr>
          <w:rStyle w:val="22"/>
          <w:rFonts w:ascii="Arial" w:hAnsi="Arial" w:cs="Arial"/>
          <w:sz w:val="21"/>
        </w:rPr>
        <w:t>月，河南恒祥实业有限公司</w:t>
      </w:r>
      <w:r>
        <w:rPr>
          <w:rStyle w:val="22"/>
          <w:rFonts w:hint="eastAsia" w:ascii="Arial" w:hAnsi="Arial" w:cs="Arial"/>
          <w:sz w:val="21"/>
        </w:rPr>
        <w:t>因与</w:t>
      </w:r>
      <w:r>
        <w:rPr>
          <w:rStyle w:val="22"/>
          <w:rFonts w:ascii="Arial" w:hAnsi="Arial" w:cs="Arial"/>
          <w:sz w:val="21"/>
        </w:rPr>
        <w:t>河南科锐开新电力公司合同纠纷案</w:t>
      </w:r>
      <w:r>
        <w:rPr>
          <w:rStyle w:val="22"/>
          <w:rFonts w:hint="eastAsia" w:ascii="Arial" w:hAnsi="Arial" w:cs="Arial"/>
          <w:sz w:val="21"/>
        </w:rPr>
        <w:t>，</w:t>
      </w:r>
      <w:r>
        <w:rPr>
          <w:rStyle w:val="22"/>
          <w:rFonts w:ascii="Arial" w:hAnsi="Arial" w:cs="Arial"/>
          <w:sz w:val="21"/>
        </w:rPr>
        <w:t>安阳商都银行银行保证金账户中的</w:t>
      </w:r>
      <w:r>
        <w:rPr>
          <w:rStyle w:val="22"/>
          <w:rFonts w:hint="eastAsia" w:ascii="Arial" w:hAnsi="Arial" w:cs="Arial"/>
          <w:sz w:val="21"/>
        </w:rPr>
        <w:t>830700.00元资金被法院划扣，造成安阳商都银行无法正常发放按揭贷款。</w:t>
      </w:r>
    </w:p>
    <w:p>
      <w:pPr>
        <w:spacing w:line="480" w:lineRule="auto"/>
        <w:ind w:firstLine="210" w:firstLineChars="100"/>
        <w:rPr>
          <w:rStyle w:val="22"/>
          <w:rFonts w:ascii="Arial" w:hAnsi="Arial" w:cs="Arial"/>
          <w:sz w:val="21"/>
          <w:szCs w:val="22"/>
        </w:rPr>
      </w:pPr>
      <w:r>
        <w:rPr>
          <w:rStyle w:val="22"/>
          <w:rFonts w:ascii="Arial" w:hAnsi="Arial" w:cs="Arial"/>
          <w:sz w:val="21"/>
        </w:rPr>
        <w:t>（2）2020年</w:t>
      </w:r>
      <w:r>
        <w:rPr>
          <w:rStyle w:val="22"/>
          <w:rFonts w:hint="eastAsia" w:ascii="Arial" w:hAnsi="Arial" w:cs="Arial"/>
          <w:sz w:val="21"/>
        </w:rPr>
        <w:t>11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恒祥百悦城</w:t>
      </w:r>
      <w:r>
        <w:rPr>
          <w:rStyle w:val="22"/>
          <w:rFonts w:ascii="Arial" w:hAnsi="Arial" w:cs="Arial"/>
          <w:sz w:val="21"/>
          <w:szCs w:val="22"/>
        </w:rPr>
        <w:t>更换销售代理公司</w:t>
      </w:r>
      <w:r>
        <w:rPr>
          <w:rStyle w:val="22"/>
          <w:rFonts w:hint="eastAsia" w:ascii="Arial" w:hAnsi="Arial" w:cs="Arial"/>
          <w:sz w:val="21"/>
          <w:szCs w:val="22"/>
        </w:rPr>
        <w:t>（新的销售代理公司为：郑州福宇房地产营销策划有限公司）后，</w:t>
      </w:r>
      <w:r>
        <w:rPr>
          <w:rStyle w:val="22"/>
          <w:rFonts w:ascii="Arial" w:hAnsi="Arial" w:cs="Arial"/>
          <w:sz w:val="21"/>
          <w:szCs w:val="22"/>
        </w:rPr>
        <w:t>销售情况继续下滑。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  <w:szCs w:val="22"/>
        </w:rPr>
      </w:pPr>
      <w:bookmarkStart w:id="34" w:name="_Toc782173037"/>
      <w:bookmarkStart w:id="35" w:name="_Toc156769761"/>
      <w:bookmarkStart w:id="36" w:name="_Toc1285187302"/>
      <w:bookmarkStart w:id="37" w:name="_Toc41081663"/>
      <w:bookmarkStart w:id="38" w:name="_Toc29485109"/>
      <w:bookmarkStart w:id="39" w:name="_Toc51087086"/>
      <w:bookmarkStart w:id="40" w:name="_Toc56430487"/>
      <w:bookmarkStart w:id="41" w:name="_Toc339195378"/>
      <w:bookmarkStart w:id="42" w:name="_Toc269960107"/>
      <w:bookmarkStart w:id="43" w:name="_Toc360060352"/>
      <w:bookmarkStart w:id="44" w:name="_Toc764107035"/>
      <w:bookmarkStart w:id="45" w:name="_Toc1936559037"/>
      <w:bookmarkStart w:id="46" w:name="_Toc1739739814"/>
      <w:bookmarkStart w:id="47" w:name="_Toc756762462"/>
      <w:bookmarkStart w:id="48" w:name="_Toc503224922"/>
      <w:bookmarkStart w:id="49" w:name="_Toc148794535"/>
      <w:bookmarkStart w:id="50" w:name="_Toc45636811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3 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56430488"/>
      <w:r>
        <w:rPr>
          <w:rFonts w:ascii="Arial" w:hAnsi="Arial" w:cs="Arial"/>
          <w:b/>
          <w:sz w:val="24"/>
          <w:szCs w:val="24"/>
        </w:rPr>
        <w:t>3.1项目五证办理情况</w:t>
      </w:r>
      <w:bookmarkEnd w:id="5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截至2020年</w:t>
      </w:r>
      <w:r>
        <w:rPr>
          <w:rFonts w:hint="eastAsia" w:ascii="Arial" w:hAnsi="Arial" w:cs="Arial"/>
          <w:bCs/>
          <w:kern w:val="44"/>
          <w:sz w:val="21"/>
          <w:szCs w:val="21"/>
        </w:rPr>
        <w:t>11</w:t>
      </w:r>
      <w:r>
        <w:rPr>
          <w:rFonts w:ascii="Arial" w:hAnsi="Arial" w:cs="Arial"/>
          <w:bCs/>
          <w:kern w:val="44"/>
          <w:sz w:val="21"/>
          <w:szCs w:val="21"/>
        </w:rPr>
        <w:t>月3</w:t>
      </w:r>
      <w:r>
        <w:rPr>
          <w:rFonts w:hint="eastAsia" w:ascii="Arial" w:hAnsi="Arial" w:cs="Arial"/>
          <w:bCs/>
          <w:kern w:val="44"/>
          <w:sz w:val="21"/>
          <w:szCs w:val="21"/>
        </w:rPr>
        <w:t>0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hint="eastAsia" w:ascii="Arial" w:hAnsi="Arial" w:cs="Arial"/>
          <w:bCs/>
          <w:kern w:val="44"/>
          <w:sz w:val="21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截至2020年11月五证办理情况</w:t>
      </w:r>
    </w:p>
    <w:tbl>
      <w:tblPr>
        <w:tblStyle w:val="19"/>
        <w:tblW w:w="94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8"/>
        <w:gridCol w:w="2715"/>
        <w:gridCol w:w="1630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5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郑规地字第410100201609098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用地面积87027.115平方米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4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郑国用（2016）第0150号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用地地面积87028.31平方米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郑规建（建筑）字第410100201709041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规划建筑面积791553.67平方米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建筑工程施工许可证（1标段）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规划建筑面积147913.18平方米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建筑工程施工许可证（2标段）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规划建筑面积250101.95平方米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建筑工程施工许可证（3标段）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规划建筑面积269873.13平方米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建筑工程施工许可证（4标段）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规划建筑面积123665.41平方米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3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2017郑房预字第4163号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住宅57593.46平方米，590套；非住宅127078.72平方米，1739间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商铺切割前：面积118292.63平方米，293间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056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商铺切割后：面积115646.81平方米，3575间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56430489"/>
      <w:r>
        <w:rPr>
          <w:rFonts w:ascii="Arial" w:hAnsi="Arial" w:cs="Arial"/>
          <w:b/>
          <w:sz w:val="24"/>
          <w:szCs w:val="24"/>
        </w:rPr>
        <w:t>3.2项目施工进度情况</w:t>
      </w:r>
      <w:bookmarkEnd w:id="5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bookmarkStart w:id="53" w:name="_Toc485580927"/>
      <w:bookmarkStart w:id="54" w:name="_Toc1234829572"/>
      <w:bookmarkStart w:id="55" w:name="_Toc45636812"/>
      <w:r>
        <w:rPr>
          <w:rFonts w:ascii="Arial" w:hAnsi="Arial" w:cs="Arial"/>
          <w:bCs/>
          <w:kern w:val="44"/>
          <w:sz w:val="21"/>
          <w:szCs w:val="21"/>
        </w:rPr>
        <w:t>截至2020年</w:t>
      </w:r>
      <w:r>
        <w:rPr>
          <w:rFonts w:hint="eastAsia" w:ascii="Arial" w:hAnsi="Arial" w:cs="Arial"/>
          <w:bCs/>
          <w:kern w:val="44"/>
          <w:sz w:val="21"/>
          <w:szCs w:val="21"/>
        </w:rPr>
        <w:t>11</w:t>
      </w:r>
      <w:r>
        <w:rPr>
          <w:rFonts w:ascii="Arial" w:hAnsi="Arial" w:cs="Arial"/>
          <w:bCs/>
          <w:kern w:val="44"/>
          <w:sz w:val="21"/>
          <w:szCs w:val="21"/>
        </w:rPr>
        <w:t>月3</w:t>
      </w:r>
      <w:r>
        <w:rPr>
          <w:rFonts w:hint="eastAsia" w:ascii="Arial" w:hAnsi="Arial" w:cs="Arial"/>
          <w:bCs/>
          <w:kern w:val="44"/>
          <w:sz w:val="21"/>
          <w:szCs w:val="21"/>
        </w:rPr>
        <w:t>0</w:t>
      </w:r>
      <w:r>
        <w:rPr>
          <w:rFonts w:ascii="Arial" w:hAnsi="Arial" w:cs="Arial"/>
          <w:bCs/>
          <w:kern w:val="44"/>
          <w:sz w:val="21"/>
          <w:szCs w:val="21"/>
        </w:rPr>
        <w:t>日，恒祥百悦城项目工地部分施工单位已经开始复工，</w:t>
      </w:r>
      <w:r>
        <w:rPr>
          <w:rFonts w:hint="eastAsia" w:ascii="Arial" w:hAnsi="Arial" w:cs="Arial"/>
          <w:bCs/>
          <w:kern w:val="44"/>
          <w:sz w:val="21"/>
          <w:szCs w:val="21"/>
        </w:rPr>
        <w:t>本月现场施工内容如下表所示</w:t>
      </w:r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872"/>
        <w:gridCol w:w="5286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室内给水工程施工、室内消防设备安装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裙房幕墙施工，外墙保温施工，室内二次结构施工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外墙保温施工，室内二次结构施工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室内内墙粉灰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室内水电零星工程施工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楼顶机房施工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Hans"/>
              </w:rPr>
              <w:t>停工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室内水电工程施工，栏杆施工，精装修施工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室内水电工程施工，精装修施工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局部二次结构施工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exact"/>
          <w:jc w:val="center"/>
        </w:trPr>
        <w:tc>
          <w:tcPr>
            <w:tcW w:w="962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  <w:vAlign w:val="top"/>
          </w:tcPr>
          <w:p>
            <w:pPr>
              <w:spacing w:line="480" w:lineRule="auto"/>
              <w:jc w:val="center"/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Hans"/>
              </w:rPr>
              <w:t>幼儿园</w:t>
            </w:r>
          </w:p>
        </w:tc>
        <w:tc>
          <w:tcPr>
            <w:tcW w:w="5286" w:type="dxa"/>
            <w:vAlign w:val="top"/>
          </w:tcPr>
          <w:p>
            <w:pPr>
              <w:spacing w:line="480" w:lineRule="auto"/>
              <w:jc w:val="center"/>
              <w:rPr>
                <w:rFonts w:hint="eastAsia" w:ascii="Arial" w:hAnsi="Arial" w:eastAsia="宋体" w:cs="Arial"/>
                <w:bCs/>
                <w:kern w:val="44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Hans"/>
              </w:rPr>
              <w:t>地基加固</w:t>
            </w:r>
          </w:p>
        </w:tc>
        <w:tc>
          <w:tcPr>
            <w:tcW w:w="900" w:type="dxa"/>
            <w:vAlign w:val="top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>
      <w:pPr>
        <w:pStyle w:val="3"/>
        <w:spacing w:before="0" w:after="0" w:line="480" w:lineRule="auto"/>
        <w:rPr>
          <w:rFonts w:ascii="Arial" w:hAnsi="Arial" w:cs="Arial"/>
          <w:sz w:val="21"/>
        </w:rPr>
      </w:pPr>
      <w:bookmarkStart w:id="56" w:name="_Toc1634988153"/>
      <w:bookmarkStart w:id="57" w:name="_Toc51087087"/>
      <w:bookmarkStart w:id="58" w:name="_Toc1117259354"/>
      <w:bookmarkStart w:id="59" w:name="_Toc910662168"/>
      <w:bookmarkStart w:id="60" w:name="_Toc1508541300"/>
      <w:bookmarkStart w:id="61" w:name="_Toc2014421905"/>
      <w:bookmarkStart w:id="62" w:name="_Toc1118784637"/>
      <w:bookmarkStart w:id="63" w:name="_Toc2072902465"/>
      <w:bookmarkStart w:id="64" w:name="_Toc776685758"/>
      <w:bookmarkStart w:id="65" w:name="_Toc619619712"/>
      <w:bookmarkStart w:id="66" w:name="_Toc1654647299"/>
      <w:bookmarkStart w:id="67" w:name="_Toc56430490"/>
      <w:bookmarkStart w:id="68" w:name="_Toc117603533"/>
      <w:bookmarkStart w:id="69" w:name="_Toc167854717"/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394335</wp:posOffset>
                </wp:positionV>
                <wp:extent cx="2734945" cy="2421890"/>
                <wp:effectExtent l="6350" t="6350" r="27305" b="10160"/>
                <wp:wrapNone/>
                <wp:docPr id="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53335" cy="2291080"/>
                                  <wp:effectExtent l="0" t="0" r="12065" b="20320"/>
                                  <wp:docPr id="16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b="98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335" cy="229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36.85pt;margin-top:31.05pt;height:190.7pt;width:215.35pt;z-index:251658240;mso-width-relative:page;mso-height-relative:page;" fillcolor="#FFFFFF [3201]" filled="t" stroked="t" coordsize="21600,21600" o:gfxdata="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A8qMuP1wAAAAoBAAAPAAAAAAAAAAEAIAAAADgA&#10;AABkcnMvZG93bnJldi54bWxQSwECFAAUAAAACACHTuJAKC5qivQBAADqAwAADgAAAAAAAAABACAA&#10;AAA8AQAAZHJzL2Uyb0RvYy54bWxQSwUGAAAAAAYABgBZAQAAo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53335" cy="2291080"/>
                            <wp:effectExtent l="0" t="0" r="12065" b="20320"/>
                            <wp:docPr id="16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b="98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335" cy="229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施工现场照片（2020.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11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22"/>
          <w:rFonts w:ascii="Arial" w:hAnsi="Arial" w:cs="Arial"/>
          <w:sz w:val="21"/>
        </w:rPr>
        <w:t xml:space="preserve">                 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bookmarkStart w:id="70" w:name="_Toc56430491"/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8255</wp:posOffset>
                </wp:positionV>
                <wp:extent cx="2734945" cy="2421890"/>
                <wp:effectExtent l="6350" t="6350" r="27305" b="10160"/>
                <wp:wrapNone/>
                <wp:docPr id="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55875" cy="2248535"/>
                                  <wp:effectExtent l="0" t="0" r="9525" b="12065"/>
                                  <wp:docPr id="18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b="55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875" cy="224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2.8pt;margin-top:0.65pt;height:190.7pt;width:215.35pt;z-index:251657216;mso-width-relative:page;mso-height-relative:page;" fillcolor="#FFFFFF [3201]" filled="t" stroked="t" coordsize="21600,21600" o:gfxdata="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KfplpbTAAAABwEAAA8AAAAAAAAAAQAgAAAAOAAA&#10;AGRycy9kb3ducmV2LnhtbFBLAQIUABQAAAAIAIdO4kDbtcV39wEAAOoDAAAOAAAAAAAAAAEAIAAA&#10;ADgBAABkcnMvZTJvRG9jLnhtbFBLBQYAAAAABgAGAFkBAACh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55875" cy="2248535"/>
                            <wp:effectExtent l="0" t="0" r="9525" b="12065"/>
                            <wp:docPr id="18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b="55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875" cy="224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3.3.1 住宅、公寓</w:t>
      </w:r>
      <w:bookmarkEnd w:id="70"/>
      <w:r>
        <w:rPr>
          <w:rFonts w:hint="eastAsia" w:ascii="Arial" w:hAnsi="Arial" w:cs="Arial"/>
          <w:b/>
          <w:sz w:val="24"/>
          <w:szCs w:val="24"/>
        </w:rPr>
        <w:t xml:space="preserve">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</w:p>
    <w:p/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图1项目现状-1#楼                           图2项目现状-2#楼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6350" t="6350" r="27305" b="10160"/>
                <wp:wrapNone/>
                <wp:docPr id="10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94610" cy="2211705"/>
                                  <wp:effectExtent l="0" t="0" r="21590" b="23495"/>
                                  <wp:docPr id="21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4610" cy="2211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29.5pt;margin-top:6.5pt;height:190.7pt;width:215.35pt;z-index:251661312;mso-width-relative:page;mso-height-relative:page;" fillcolor="#FFFFFF [3201]" filled="t" stroked="t" coordsize="21600,21600" o:gfxdata="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N0vmXNcAAAAKAQAADwAAAAAAAAABACAAAAA4&#10;AAAAZHJzL2Rvd25yZXYueG1sUEsBAhQAFAAAAAgAh07iQBg7q3n1AQAA6wMAAA4AAAAAAAAAAQAg&#10;AAAAPAEAAGRycy9lMm9Eb2MueG1sUEsFBgAAAAAGAAYAWQEAAKM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94610" cy="2211705"/>
                            <wp:effectExtent l="0" t="0" r="21590" b="23495"/>
                            <wp:docPr id="21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b="46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4610" cy="2211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734945" cy="2421890"/>
                <wp:effectExtent l="6350" t="6350" r="27305" b="10160"/>
                <wp:wrapNone/>
                <wp:docPr id="9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64130" cy="2280920"/>
                                  <wp:effectExtent l="0" t="0" r="1270" b="5080"/>
                                  <wp:docPr id="17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b="67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130" cy="228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-0.85pt;margin-top:6.4pt;height:190.7pt;width:215.35pt;z-index:251660288;mso-width-relative:page;mso-height-relative:page;" fillcolor="#FFFFFF [3201]" filled="t" stroked="t" coordsize="21600,21600" o:gfxdata="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2GCxCdYAAAAJAQAADwAAAAAAAAABACAAAAA4&#10;AAAAZHJzL2Rvd25yZXYueG1sUEsBAhQAFAAAAAgAh07iQFCkasH2AQAA6gMAAA4AAAAAAAAAAQAg&#10;AAAAOwEAAGRycy9lMm9Eb2MueG1sUEsFBgAAAAAGAAYAWQEAAKM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64130" cy="2280920"/>
                            <wp:effectExtent l="0" t="0" r="1270" b="5080"/>
                            <wp:docPr id="17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b="67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130" cy="228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图3项目现状-3#5#楼                         图4项目现状-6#楼</w: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61595</wp:posOffset>
                </wp:positionV>
                <wp:extent cx="2734945" cy="2400300"/>
                <wp:effectExtent l="6350" t="6350" r="27305" b="6350"/>
                <wp:wrapNone/>
                <wp:docPr id="1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93340" cy="2212975"/>
                                  <wp:effectExtent l="0" t="0" r="22860" b="22225"/>
                                  <wp:docPr id="22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b="73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340" cy="221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29.5pt;margin-top:4.85pt;height:189pt;width:215.35pt;z-index:251671552;mso-width-relative:page;mso-height-relative:page;" fillcolor="#FFFFFF [3201]" filled="t" stroked="t" coordsize="21600,21600" o:gfxdata="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PkOua3XAAAACQEAAA8AAAAAAAAAAQAgAAAAOAAA&#10;AGRycy9kb3ducmV2LnhtbFBLAQIUABQAAAAIAIdO4kCBpYjF8wEAAOsDAAAOAAAAAAAAAAEAIAAA&#10;ADwBAABkcnMvZTJvRG9jLnhtbFBLBQYAAAAABgAGAFkBAACh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93340" cy="2212975"/>
                            <wp:effectExtent l="0" t="0" r="22860" b="22225"/>
                            <wp:docPr id="22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 b="73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340" cy="221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61595</wp:posOffset>
                </wp:positionV>
                <wp:extent cx="2734945" cy="2399030"/>
                <wp:effectExtent l="6350" t="6350" r="27305" b="7620"/>
                <wp:wrapNone/>
                <wp:docPr id="11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9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610485" cy="2212975"/>
                                  <wp:effectExtent l="0" t="0" r="5715" b="22225"/>
                                  <wp:docPr id="77" name="图片 6" descr="C:\Users\Dell\Desktop\202010\7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图片 6" descr="C:\Users\Dell\Desktop\202010\7#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b="277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485" cy="221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0.9pt;margin-top:4.85pt;height:188.9pt;width:215.35pt;z-index:251666432;mso-width-relative:page;mso-height-relative:page;" fillcolor="#FFFFFF [3201]" filled="t" stroked="t" coordsize="21600,21600" o:gfxdata="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ARAEPX1QAAAAcBAAAPAAAAAAAAAAEAIAAAADgA&#10;AABkcnMvZG93bnJldi54bWxQSwECFAAUAAAACACHTuJAm5+sZfYBAADrAwAADgAAAAAAAAABACAA&#10;AAA6AQAAZHJzL2Uyb0RvYy54bWxQSwUGAAAAAAYABgBZAQAAo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610485" cy="2212975"/>
                            <wp:effectExtent l="0" t="0" r="5715" b="22225"/>
                            <wp:docPr id="77" name="图片 6" descr="C:\Users\Dell\Desktop\202010\7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图片 6" descr="C:\Users\Dell\Desktop\202010\7#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b="277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485" cy="221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图5项目现状-7#楼                            图6项目现状-9#楼</w:t>
      </w: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140335</wp:posOffset>
                </wp:positionV>
                <wp:extent cx="2634615" cy="2536190"/>
                <wp:effectExtent l="6350" t="6350" r="26035" b="22860"/>
                <wp:wrapNone/>
                <wp:docPr id="1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443480" cy="2387600"/>
                                  <wp:effectExtent l="0" t="0" r="20320" b="0"/>
                                  <wp:docPr id="23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b="63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480" cy="238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230.5pt;margin-top:11.05pt;height:199.7pt;width:207.45pt;z-index:251673600;mso-width-relative:page;mso-height-relative:page;" fillcolor="#FFFFFF [3201]" filled="t" stroked="t" coordsize="21600,21600" o:gfxdata="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+mOIytcAAAAKAQAADwAAAAAAAAABACAAAAA4&#10;AAAAZHJzL2Rvd25yZXYueG1sUEsBAhQAFAAAAAgAh07iQD3sU0H1AQAA6wMAAA4AAAAAAAAAAQAg&#10;AAAAPAEAAGRycy9lMm9Eb2MueG1sUEsFBgAAAAAGAAYAWQEAAKM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443480" cy="2387600"/>
                            <wp:effectExtent l="0" t="0" r="20320" b="0"/>
                            <wp:docPr id="23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rcRect b="63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480" cy="238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536190"/>
                <wp:effectExtent l="6350" t="6350" r="26035" b="22860"/>
                <wp:wrapNone/>
                <wp:docPr id="13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443480" cy="2387600"/>
                                  <wp:effectExtent l="0" t="0" r="20320" b="0"/>
                                  <wp:docPr id="24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b="48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480" cy="238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.8pt;margin-top:11.9pt;height:199.7pt;width:207.45pt;z-index:251672576;mso-width-relative:page;mso-height-relative:page;" fillcolor="#FFFFFF [3201]" filled="t" stroked="t" coordsize="21600,21600" o:gfxdata="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FgAAAGRycy9QSwECFAAUAAAACACHTuJAdEZegNQAAAAIAQAADwAAAAAAAAABACAAAAA4AAAA&#10;ZHJzL2Rvd25yZXYueG1sUEsBAhQAFAAAAAgAh07iQMsQeRP1AQAA6wMAAA4AAAAAAAAAAQAgAAAA&#10;OQEAAGRycy9lMm9Eb2MueG1sUEsFBgAAAAAGAAYAWQEAAKA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443480" cy="2387600"/>
                            <wp:effectExtent l="0" t="0" r="20320" b="0"/>
                            <wp:docPr id="24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rcRect b="48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480" cy="238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 7项目现状-10#楼                           图 8项目现状-11#楼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2734945" cy="2386965"/>
                <wp:effectExtent l="6350" t="6350" r="27305" b="19685"/>
                <wp:wrapNone/>
                <wp:docPr id="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86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40635" cy="2247900"/>
                                  <wp:effectExtent l="0" t="0" r="24765" b="12700"/>
                                  <wp:docPr id="20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b="53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63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.8pt;margin-top:8.9pt;height:187.95pt;width:215.35pt;z-index:251653120;mso-width-relative:page;mso-height-relative:page;" fillcolor="#FFFFFF [3201]" filled="t" stroked="t" coordsize="21600,21600" o:gfxdata="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Bon65zVAAAACAEAAA8AAAAAAAAAAQAgAAAAOAAA&#10;AGRycy9kb3ducmV2LnhtbFBLAQIUABQAAAAIAIdO4kAPXqdy9QEAAOoDAAAOAAAAAAAAAAEAIAAA&#10;ADoBAABkcnMvZTJvRG9jLnhtbFBLBQYAAAAABgAGAFkBAACh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40635" cy="2247900"/>
                            <wp:effectExtent l="0" t="0" r="24765" b="12700"/>
                            <wp:docPr id="20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rcRect b="53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635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109855</wp:posOffset>
                </wp:positionV>
                <wp:extent cx="2577465" cy="2385695"/>
                <wp:effectExtent l="6350" t="6350" r="6985" b="20955"/>
                <wp:wrapNone/>
                <wp:docPr id="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2385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386330" cy="2257425"/>
                                  <wp:effectExtent l="0" t="0" r="1270" b="3175"/>
                                  <wp:docPr id="19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b="306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6330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45pt;margin-top:8.65pt;height:187.85pt;width:202.95pt;z-index:251655168;mso-width-relative:page;mso-height-relative:page;" fillcolor="#FFFFFF [3201]" filled="t" stroked="t" coordsize="21600,21600" o:gfxdata="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Ea3AizXAAAACgEAAA8AAAAAAAAAAQAgAAAAOAAA&#10;AGRycy9kb3ducmV2LnhtbFBLAQIUABQAAAAIAIdO4kADllXO8wEAAOoDAAAOAAAAAAAAAAEAIAAA&#10;ADwBAABkcnMvZTJvRG9jLnhtbFBLBQYAAAAABgAGAFkBAACh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386330" cy="2257425"/>
                            <wp:effectExtent l="0" t="0" r="1270" b="3175"/>
                            <wp:docPr id="19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rcRect b="306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6330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 9项目现状-12#楼                           图 10项目现状-13#楼</w:t>
      </w:r>
    </w:p>
    <w:p>
      <w:pPr>
        <w:snapToGrid w:val="0"/>
        <w:rPr>
          <w:rFonts w:ascii="Arial" w:hAnsi="Arial" w:cs="Arial" w:eastAsiaTheme="majorEastAsia"/>
          <w:b/>
          <w:bCs/>
          <w:sz w:val="24"/>
          <w:szCs w:val="24"/>
        </w:rPr>
      </w:pPr>
    </w:p>
    <w:p>
      <w:pPr>
        <w:keepNext/>
        <w:keepLines/>
        <w:spacing w:line="480" w:lineRule="auto"/>
        <w:ind w:firstLine="120" w:firstLineChars="50"/>
        <w:outlineLvl w:val="1"/>
        <w:rPr>
          <w:rStyle w:val="22"/>
          <w:rFonts w:ascii="Arial" w:hAnsi="Arial" w:cs="Arial"/>
          <w:color w:val="000000"/>
          <w:sz w:val="24"/>
        </w:rPr>
      </w:pPr>
      <w:bookmarkStart w:id="71" w:name="_Toc56430492"/>
      <w:r>
        <w:rPr>
          <w:rFonts w:ascii="Arial" w:hAnsi="Arial" w:cs="Arial"/>
          <w:b/>
          <w:sz w:val="24"/>
          <w:szCs w:val="24"/>
        </w:rPr>
        <w:t>3.3.2 集中商业</w:t>
      </w:r>
      <w:bookmarkEnd w:id="71"/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6350" t="6350" r="15875" b="19685"/>
                <wp:wrapNone/>
                <wp:docPr id="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30475" cy="1968500"/>
                                  <wp:effectExtent l="0" t="0" r="9525" b="12700"/>
                                  <wp:docPr id="25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b="61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0475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3.9pt;margin-top:5.5pt;height:169.95pt;width:214.25pt;z-index:251644928;mso-width-relative:page;mso-height-relative:page;" fillcolor="#FFFFFF [3201]" filled="t" stroked="t" coordsize="21600,21600" o:gfxdata="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FgAAAGRycy9QSwECFAAUAAAACACHTuJAkEehS9UAAAAIAQAADwAAAAAAAAABACAAAAA4AAAAZHJz&#10;L2Rvd25yZXYueG1sUEsBAhQAFAAAAAgAh07iQM3SCFHxAQAA6QMAAA4AAAAAAAAAAQAgAAAAOgEA&#10;AGRycy9lMm9Eb2MueG1sUEsFBgAAAAAGAAYAWQEAAJ0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30475" cy="1968500"/>
                            <wp:effectExtent l="0" t="0" r="9525" b="12700"/>
                            <wp:docPr id="25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 b="61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0475" cy="196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6350" t="6350" r="17780" b="635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424430" cy="2038985"/>
                                  <wp:effectExtent l="0" t="0" r="13970" b="18415"/>
                                  <wp:docPr id="26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b="77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4430" cy="203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42.8pt;margin-top:5.3pt;height:171pt;width:206.1pt;z-index:251648000;mso-width-relative:page;mso-height-relative:page;" fillcolor="#FFFFFF [3201]" filled="t" stroked="t" coordsize="21600,21600" o:gfxdata="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FgAAAGRycy9QSwECFAAUAAAACACHTuJA1nyCkdcAAAAKAQAADwAAAAAAAAABACAAAAA4AAAA&#10;ZHJzL2Rvd25yZXYueG1sUEsBAhQAFAAAAAgAh07iQAS6UCfyAQAA6gMAAA4AAAAAAAAAAQAgAAAA&#10;PAEAAGRycy9lMm9Eb2MueG1sUEsFBgAAAAAGAAYAWQEAAKA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424430" cy="2038985"/>
                            <wp:effectExtent l="0" t="0" r="13970" b="18415"/>
                            <wp:docPr id="26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rcRect b="77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4430" cy="203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ind w:firstLine="1155" w:firstLineChars="550"/>
        <w:rPr>
          <w:rFonts w:ascii="Arial" w:hAnsi="Arial" w:cs="Arial"/>
          <w:sz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图11-集中商业                          图12-集中商业</w:t>
      </w:r>
    </w:p>
    <w:p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153285"/>
                <wp:effectExtent l="6350" t="6350" r="6350" b="24765"/>
                <wp:wrapNone/>
                <wp:docPr id="4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15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414270" cy="2055495"/>
                                  <wp:effectExtent l="0" t="0" r="24130" b="1905"/>
                                  <wp:docPr id="28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b="58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4270" cy="2055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42.7pt;margin-top:11.5pt;height:169.55pt;width:205pt;z-index:251650048;mso-width-relative:page;mso-height-relative:page;" fillcolor="#FFFFFF [3201]" filled="t" stroked="t" coordsize="21600,21600" o:gfxdata="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WAAAAZHJzL1BLAQIUABQAAAAIAIdO4kAv7znb1wAAAAoBAAAPAAAAAAAAAAEAIAAAADgAAABk&#10;cnMvZG93bnJldi54bWxQSwECFAAUAAAACACHTuJAjHeQK/EBAADqAwAADgAAAAAAAAABACAAAAA8&#10;AQAAZHJzL2Uyb0RvYy54bWxQSwUGAAAAAAYABgBZAQAAnw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414270" cy="2055495"/>
                            <wp:effectExtent l="0" t="0" r="24130" b="1905"/>
                            <wp:docPr id="28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rcRect b="58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4270" cy="2055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145665"/>
                <wp:effectExtent l="6350" t="6350" r="8255" b="6985"/>
                <wp:wrapNone/>
                <wp:docPr id="3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2145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537460" cy="1949450"/>
                                  <wp:effectExtent l="0" t="0" r="2540" b="6350"/>
                                  <wp:docPr id="27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b="620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460" cy="194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3.1pt;margin-top:12pt;height:168.95pt;width:214.85pt;z-index:251649024;mso-width-relative:page;mso-height-relative:page;" fillcolor="#FFFFFF [3201]" filled="t" stroked="t" coordsize="21600,21600" o:gfxdata="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FgAAAGRycy9QSwECFAAUAAAACACHTuJANAfFBNYAAAAIAQAADwAAAAAAAAABACAAAAA4AAAA&#10;ZHJzL2Rvd25yZXYueG1sUEsBAhQAFAAAAAgAh07iQGFl5tLzAQAA6gMAAA4AAAAAAAAAAQAgAAAA&#10;OwEAAGRycy9lMm9Eb2MueG1sUEsFBgAAAAAGAAYAWQEAAKA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37460" cy="1949450"/>
                            <wp:effectExtent l="0" t="0" r="2540" b="6350"/>
                            <wp:docPr id="27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rcRect b="62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460" cy="194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2" w:name="_Toc952922724"/>
      <w:bookmarkStart w:id="73" w:name="_Toc1030870492"/>
      <w:bookmarkStart w:id="74" w:name="_Toc1118283042"/>
      <w:bookmarkStart w:id="75" w:name="_Toc897398210"/>
      <w:bookmarkStart w:id="76" w:name="_Toc266618032"/>
      <w:bookmarkStart w:id="77" w:name="_Toc45636813"/>
    </w:p>
    <w:p>
      <w:pPr>
        <w:snapToGrid w:val="0"/>
        <w:ind w:firstLine="1260" w:firstLineChars="600"/>
        <w:rPr>
          <w:rFonts w:ascii="Arial" w:hAnsi="Arial" w:cs="Arial"/>
          <w:sz w:val="24"/>
          <w:szCs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图13-集中商业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>局部</w:t>
      </w:r>
      <w:r>
        <w:rPr>
          <w:rStyle w:val="22"/>
          <w:rFonts w:ascii="Arial" w:hAnsi="Arial" w:cs="Arial"/>
          <w:color w:val="000000"/>
          <w:sz w:val="21"/>
          <w:szCs w:val="21"/>
        </w:rPr>
        <w:t xml:space="preserve">                            图14-集中商业局部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8" w:name="_Toc56430493"/>
      <w:r>
        <w:rPr>
          <w:rFonts w:ascii="Arial" w:hAnsi="Arial" w:cs="Arial"/>
          <w:sz w:val="24"/>
          <w:szCs w:val="24"/>
        </w:rPr>
        <w:t>4 项目销售情况</w:t>
      </w:r>
      <w:bookmarkEnd w:id="72"/>
      <w:bookmarkEnd w:id="73"/>
      <w:bookmarkEnd w:id="74"/>
      <w:bookmarkEnd w:id="75"/>
      <w:bookmarkEnd w:id="76"/>
      <w:bookmarkEnd w:id="7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2017年11月23日起（按照预售证取得时间），恒祥百悦城项目住宅可售61,119.90平方米，645套；公寓可售117,901.02平方米，1652套；集中商业，住宅底商可售6,321.06平方米，32套；自2020年4月13日起（按照新房号预售证取得时间），恒祥百悦城项目集中商业可售115,646.81平方米，3575套；可售情况详见下表：</w:t>
      </w:r>
    </w:p>
    <w:tbl>
      <w:tblPr>
        <w:tblStyle w:val="19"/>
        <w:tblW w:w="8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3321"/>
        <w:gridCol w:w="1383"/>
        <w:gridCol w:w="896"/>
        <w:gridCol w:w="1621"/>
        <w:gridCol w:w="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6" w:hRule="atLeast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1-4（局部 5层）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79" w:name="_Toc1398376182"/>
      <w:bookmarkStart w:id="80" w:name="_Toc216415714"/>
      <w:bookmarkStart w:id="81" w:name="_Toc606915550"/>
      <w:bookmarkStart w:id="82" w:name="_Toc51087089"/>
      <w:bookmarkStart w:id="83" w:name="_Toc696601743"/>
      <w:bookmarkStart w:id="84" w:name="_Toc1201592581"/>
      <w:bookmarkStart w:id="85" w:name="_Toc613967022"/>
      <w:bookmarkStart w:id="86" w:name="_Toc206208350"/>
      <w:bookmarkStart w:id="87" w:name="_Toc489756834"/>
      <w:bookmarkStart w:id="88" w:name="_Toc794062589"/>
      <w:bookmarkStart w:id="89" w:name="_Toc1985599005"/>
      <w:bookmarkStart w:id="90" w:name="_Toc1986666589"/>
      <w:bookmarkStart w:id="91" w:name="_Toc2089778695"/>
      <w:bookmarkStart w:id="92" w:name="_Toc56430494"/>
      <w:r>
        <w:rPr>
          <w:rFonts w:ascii="Arial" w:hAnsi="Arial" w:cs="Arial"/>
          <w:b/>
          <w:sz w:val="24"/>
          <w:szCs w:val="24"/>
        </w:rPr>
        <w:t>4.1公寓、住宅销售情况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其中2020年1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月1日至2020年1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月3</w:t>
      </w:r>
      <w:r>
        <w:rPr>
          <w:rFonts w:hint="eastAsia"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日期间，恒祥百悦城项目住宅、公寓销售收入：新售0套，实收收款金额0元；补房款5套，实收房款金额571,580.00元，代收维修基金21,825.00元，登记费790.00元，合计实收金额594,195.00元。详见下表：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2020年1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月1日至2020年1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月3</w:t>
      </w:r>
      <w:r>
        <w:rPr>
          <w:rFonts w:hint="eastAsia" w:ascii="Arial" w:hAnsi="Arial" w:cs="Arial"/>
          <w:sz w:val="21"/>
          <w:szCs w:val="21"/>
        </w:rPr>
        <w:t>0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Style w:val="19"/>
        <w:tblW w:w="89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>
        <w:trPr>
          <w:trHeight w:val="504" w:hRule="exact"/>
          <w:tblHeader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（M2）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1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2020/11/5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10-2-1006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99.52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牛丽华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6,160.00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6,468.00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2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2020/11/9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3-17-1731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56.44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孙雪丽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0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3,414.00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550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3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2020/11/12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6-14-1407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86.33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孟庆蕾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4,080.00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5,611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4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2020/11/15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9-1-109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97.43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余洋洋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552,340.00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6,332.00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550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5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2020/11/30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3-9-914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75.81 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陈卫丽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9,000.00 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0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Hans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2" w:hRule="exact"/>
          <w:jc w:val="center"/>
        </w:trPr>
        <w:tc>
          <w:tcPr>
            <w:tcW w:w="14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571,580.00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21,825.00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790.00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3" w:name="_Toc56430495"/>
      <w:bookmarkStart w:id="94" w:name="_Toc230292479"/>
      <w:bookmarkStart w:id="95" w:name="_Toc1346550865"/>
      <w:bookmarkStart w:id="96" w:name="_Toc1852134804"/>
      <w:bookmarkStart w:id="97" w:name="_Toc2029809247"/>
      <w:bookmarkStart w:id="98" w:name="_Toc51087090"/>
      <w:bookmarkStart w:id="99" w:name="_Toc829617767"/>
      <w:bookmarkStart w:id="100" w:name="_Toc38290087"/>
      <w:bookmarkStart w:id="101" w:name="_Toc447458106"/>
      <w:bookmarkStart w:id="102" w:name="_Toc1852615839"/>
      <w:bookmarkStart w:id="103" w:name="_Toc815480180"/>
      <w:bookmarkStart w:id="104" w:name="_Toc284814919"/>
      <w:bookmarkStart w:id="105" w:name="_Toc1609090827"/>
      <w:bookmarkStart w:id="106" w:name="_Toc66602655"/>
      <w:r>
        <w:rPr>
          <w:rFonts w:ascii="Arial" w:hAnsi="Arial" w:cs="Arial"/>
          <w:b/>
          <w:sz w:val="24"/>
          <w:szCs w:val="24"/>
        </w:rPr>
        <w:t>4.2 集中商业销售情况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snapToGrid w:val="0"/>
        <w:spacing w:line="48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  <w:sz w:val="21"/>
        </w:rPr>
        <w:t>2020年1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月，恒祥百悦城一号院项目</w:t>
      </w:r>
      <w:r>
        <w:rPr>
          <w:rFonts w:hint="eastAsia" w:ascii="Arial" w:hAnsi="Arial" w:cs="Arial"/>
          <w:sz w:val="21"/>
        </w:rPr>
        <w:t>集中商业</w:t>
      </w:r>
      <w:r>
        <w:rPr>
          <w:rFonts w:ascii="Arial" w:hAnsi="Arial" w:cs="Arial"/>
          <w:sz w:val="21"/>
        </w:rPr>
        <w:t>商铺销售：新售商铺1</w:t>
      </w:r>
      <w:r>
        <w:rPr>
          <w:rFonts w:hint="eastAsia" w:ascii="Arial" w:hAnsi="Arial" w:cs="Arial"/>
          <w:sz w:val="21"/>
        </w:rPr>
        <w:t>套</w:t>
      </w:r>
      <w:r>
        <w:rPr>
          <w:rFonts w:ascii="Arial" w:hAnsi="Arial" w:cs="Arial"/>
          <w:sz w:val="21"/>
        </w:rPr>
        <w:t>，实收金额</w:t>
      </w:r>
      <w:r>
        <w:rPr>
          <w:rFonts w:hint="default" w:ascii="Arial" w:hAnsi="Arial" w:cs="Arial"/>
          <w:sz w:val="21"/>
          <w:lang w:val="en-US" w:eastAsia="zh-CN"/>
        </w:rPr>
        <w:t>10,404.00</w:t>
      </w:r>
      <w:r>
        <w:rPr>
          <w:rFonts w:ascii="Arial" w:hAnsi="Arial" w:cs="Arial"/>
          <w:sz w:val="21"/>
        </w:rPr>
        <w:t>元；代收维修基金</w:t>
      </w:r>
      <w:r>
        <w:rPr>
          <w:rFonts w:hint="default" w:ascii="Arial" w:hAnsi="Arial" w:cs="Arial"/>
          <w:sz w:val="21"/>
          <w:lang w:val="en-US" w:eastAsia="zh-CN"/>
        </w:rPr>
        <w:t>3,716.00</w:t>
      </w:r>
      <w:r>
        <w:rPr>
          <w:rFonts w:hint="eastAsia" w:ascii="Arial" w:hAnsi="Arial" w:cs="Arial"/>
          <w:sz w:val="21"/>
        </w:rPr>
        <w:t>元</w:t>
      </w:r>
      <w:r>
        <w:rPr>
          <w:rFonts w:ascii="Arial" w:hAnsi="Arial" w:cs="Arial"/>
          <w:sz w:val="21"/>
        </w:rPr>
        <w:t>、登记费550.00元。回款19套，实收金额607</w:t>
      </w:r>
      <w:r>
        <w:rPr>
          <w:rFonts w:hint="eastAsia" w:ascii="Arial" w:hAnsi="Arial" w:cs="Arial"/>
          <w:sz w:val="21"/>
        </w:rPr>
        <w:t>,</w:t>
      </w:r>
      <w:r>
        <w:rPr>
          <w:rFonts w:ascii="Arial" w:hAnsi="Arial" w:cs="Arial"/>
          <w:sz w:val="21"/>
        </w:rPr>
        <w:t>862.00元，定金0套，代收维修基金</w:t>
      </w:r>
      <w:r>
        <w:rPr>
          <w:rFonts w:hint="default" w:ascii="Arial" w:hAnsi="Arial" w:cs="Arial"/>
          <w:sz w:val="21"/>
        </w:rPr>
        <w:t>20</w:t>
      </w:r>
      <w:r>
        <w:rPr>
          <w:rFonts w:hint="eastAsia" w:ascii="Arial" w:hAnsi="Arial" w:cs="Arial"/>
          <w:sz w:val="21"/>
        </w:rPr>
        <w:t>,</w:t>
      </w:r>
      <w:r>
        <w:rPr>
          <w:rFonts w:hint="default" w:ascii="Arial" w:hAnsi="Arial" w:cs="Arial"/>
          <w:sz w:val="21"/>
        </w:rPr>
        <w:t>85</w:t>
      </w:r>
      <w:r>
        <w:rPr>
          <w:rFonts w:ascii="Arial" w:hAnsi="Arial" w:cs="Arial"/>
          <w:sz w:val="21"/>
        </w:rPr>
        <w:t>1</w:t>
      </w:r>
      <w:r>
        <w:rPr>
          <w:rFonts w:hint="eastAsia" w:ascii="Arial" w:hAnsi="Arial" w:cs="Arial"/>
          <w:sz w:val="21"/>
        </w:rPr>
        <w:t>.00元</w:t>
      </w:r>
      <w:r>
        <w:rPr>
          <w:rFonts w:ascii="Arial" w:hAnsi="Arial" w:cs="Arial"/>
          <w:sz w:val="21"/>
        </w:rPr>
        <w:t>、登记费</w:t>
      </w:r>
      <w:r>
        <w:rPr>
          <w:rFonts w:hint="default" w:ascii="Arial" w:hAnsi="Arial" w:cs="Arial"/>
          <w:sz w:val="21"/>
        </w:rPr>
        <w:t>8</w:t>
      </w:r>
      <w:r>
        <w:rPr>
          <w:rFonts w:hint="eastAsia" w:ascii="Arial" w:hAnsi="Arial" w:cs="Arial"/>
          <w:sz w:val="21"/>
        </w:rPr>
        <w:t>,</w:t>
      </w:r>
      <w:r>
        <w:rPr>
          <w:rFonts w:ascii="Arial" w:hAnsi="Arial" w:cs="Arial"/>
          <w:sz w:val="21"/>
        </w:rPr>
        <w:t>800</w:t>
      </w:r>
      <w:r>
        <w:rPr>
          <w:rFonts w:hint="eastAsia" w:ascii="Arial" w:hAnsi="Arial" w:cs="Arial"/>
          <w:sz w:val="21"/>
        </w:rPr>
        <w:t>.00</w:t>
      </w:r>
      <w:r>
        <w:rPr>
          <w:rFonts w:ascii="Arial" w:hAnsi="Arial" w:cs="Arial"/>
          <w:sz w:val="21"/>
        </w:rPr>
        <w:t>元。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2020年1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Style w:val="19"/>
        <w:tblW w:w="89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38" w:hRule="exact"/>
          <w:tblHeader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Hans" w:bidi="ar-SA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新售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2020/11/21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4-4328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57.17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Hans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丁东亮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10,404.00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3,716.00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1-77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23.84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何素真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6,209.00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1549.00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2020/11/7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4-4433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14.89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郑明帅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21,797.00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967.00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2020/11/7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4-498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10.82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郭宝萍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9,878.00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703.00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2020/11/7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1-1601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20.92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王伟玲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18,091.00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1359.00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2020/11/8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3-3338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19.42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陈甜甜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12,891.00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1262.00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2020/11/9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4-4358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19.10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刘朔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32,567.00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1241.00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2020/11/10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3-3870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29.18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杜爱香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160,000.00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2020/11/10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3--3481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18.65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孙灵灵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29,279.00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1,212.00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2020/11/13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3-3235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13.52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魏丽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7,895.00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878.00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2020/11/14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1-1567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24.91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蒋桂丽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9,440.00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1,619.00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2020/11/16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3-3171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21.89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贺瑞兰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3,147.00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1,422.00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1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2020/11/21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4-4328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57.17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丁东亮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10,404.00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3,716.00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2020/11/22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3-3402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18.85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苏伟庭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40,613.00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1,225.00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2020/11/27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3-3229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13.50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秦勤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20,000.00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877.00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550.00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2020/11/27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3-3587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17.82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宗书梅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139,463.00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2020/11/29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1-1806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28.6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李浩艳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51,281.00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Hans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2020/11/29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4-99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13.91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李根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1,052.00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904.00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550.00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2020/11/30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4-4486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16.53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苏晓娣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29,466.00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1,074.00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550.00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  <w:t>回款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2020/11/30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4-4458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12.98 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陈俊锋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4,389.00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 xml:space="preserve">843.00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Hans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550.00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19套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607,862.00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851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800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新售1套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新售面积：57.17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实收金额：637,513.00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合同金额：637,976,991.50</w:t>
            </w:r>
          </w:p>
        </w:tc>
      </w:tr>
    </w:tbl>
    <w:p>
      <w:bookmarkStart w:id="107" w:name="_Toc1309262380"/>
      <w:bookmarkStart w:id="108" w:name="_Toc1307048441"/>
      <w:bookmarkStart w:id="109" w:name="_Toc437178547"/>
      <w:bookmarkStart w:id="110" w:name="_Toc1480944420"/>
      <w:bookmarkStart w:id="111" w:name="_Toc1862994136"/>
      <w:bookmarkStart w:id="112" w:name="_Toc872706606"/>
      <w:bookmarkStart w:id="113" w:name="_Toc534750106"/>
      <w:bookmarkStart w:id="114" w:name="_Toc1054187563"/>
      <w:bookmarkStart w:id="115" w:name="_Toc143294470"/>
      <w:bookmarkStart w:id="116" w:name="_Toc549008220"/>
      <w:bookmarkStart w:id="117" w:name="_Toc551842498"/>
      <w:bookmarkStart w:id="118" w:name="_Toc727962718"/>
      <w:bookmarkStart w:id="119" w:name="_Toc1655373498"/>
      <w:bookmarkStart w:id="120" w:name="_Toc1297715969"/>
      <w:bookmarkStart w:id="121" w:name="_Toc2088139395"/>
      <w:bookmarkStart w:id="122" w:name="_Toc78798087"/>
      <w:bookmarkStart w:id="123" w:name="_Toc1443881756"/>
      <w:bookmarkStart w:id="124" w:name="_Toc180953310"/>
      <w:bookmarkStart w:id="125" w:name="_Toc760162659"/>
      <w:bookmarkStart w:id="126" w:name="_Toc1921973645"/>
      <w:bookmarkStart w:id="127" w:name="_Toc51087091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28" w:name="_Toc56430496"/>
      <w:r>
        <w:rPr>
          <w:rFonts w:ascii="Arial" w:hAnsi="Arial" w:cs="Arial"/>
          <w:b/>
          <w:sz w:val="24"/>
          <w:szCs w:val="24"/>
        </w:rPr>
        <w:t xml:space="preserve">4.3 </w:t>
      </w:r>
      <w:bookmarkEnd w:id="107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08"/>
      <w:bookmarkEnd w:id="109"/>
      <w:bookmarkEnd w:id="110"/>
      <w:bookmarkEnd w:id="111"/>
      <w:bookmarkEnd w:id="112"/>
      <w:r>
        <w:rPr>
          <w:rFonts w:ascii="Arial" w:hAnsi="Arial" w:cs="Arial"/>
          <w:b/>
          <w:sz w:val="24"/>
          <w:szCs w:val="24"/>
        </w:rPr>
        <w:t>情况</w:t>
      </w:r>
      <w:bookmarkEnd w:id="128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2020年11</w:t>
      </w:r>
      <w:r>
        <w:rPr>
          <w:rFonts w:ascii="Arial" w:hAnsi="Arial" w:cs="Arial"/>
          <w:sz w:val="21"/>
        </w:rPr>
        <w:t>月，郑州市公积金中心</w:t>
      </w:r>
      <w:r>
        <w:rPr>
          <w:rFonts w:hint="eastAsia" w:ascii="Arial" w:hAnsi="Arial" w:cs="Arial"/>
          <w:sz w:val="21"/>
        </w:rPr>
        <w:t>无</w:t>
      </w:r>
      <w:r>
        <w:rPr>
          <w:rFonts w:hint="eastAsia" w:ascii="Arial" w:hAnsi="Arial" w:cs="Arial"/>
          <w:sz w:val="21"/>
          <w:lang w:val="en-US" w:eastAsia="zh-Hans"/>
        </w:rPr>
        <w:t>新增</w:t>
      </w:r>
      <w:r>
        <w:rPr>
          <w:rFonts w:ascii="Arial" w:hAnsi="Arial" w:cs="Arial"/>
          <w:sz w:val="21"/>
        </w:rPr>
        <w:t>放款</w:t>
      </w:r>
      <w:r>
        <w:rPr>
          <w:rFonts w:hint="eastAsia" w:ascii="Arial" w:hAnsi="Arial" w:cs="Arial"/>
          <w:sz w:val="21"/>
          <w:lang w:eastAsia="zh-Hans"/>
        </w:rPr>
        <w:t>，</w:t>
      </w:r>
      <w:r>
        <w:rPr>
          <w:rFonts w:hint="eastAsia" w:ascii="Arial" w:hAnsi="Arial" w:cs="Arial"/>
          <w:sz w:val="21"/>
          <w:lang w:val="en-US" w:eastAsia="zh-Hans"/>
        </w:rPr>
        <w:t>公积金中心放款明细</w:t>
      </w:r>
      <w:r>
        <w:rPr>
          <w:rFonts w:hint="default" w:ascii="Arial" w:hAnsi="Arial" w:cs="Arial"/>
          <w:sz w:val="21"/>
        </w:rPr>
        <w:t>详见</w:t>
      </w:r>
      <w:r>
        <w:rPr>
          <w:rFonts w:ascii="Arial" w:hAnsi="Arial" w:cs="Arial"/>
          <w:sz w:val="21"/>
        </w:rPr>
        <w:t>下表：</w:t>
      </w:r>
    </w:p>
    <w:p>
      <w:pPr>
        <w:snapToGrid w:val="0"/>
        <w:spacing w:line="480" w:lineRule="auto"/>
        <w:ind w:firstLine="420" w:firstLineChars="20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截至2020年</w:t>
      </w:r>
      <w:r>
        <w:rPr>
          <w:rFonts w:hint="eastAsia" w:ascii="Arial" w:hAnsi="Arial" w:cs="Arial"/>
          <w:sz w:val="21"/>
        </w:rPr>
        <w:t>11</w:t>
      </w:r>
      <w:r>
        <w:rPr>
          <w:rFonts w:ascii="Arial" w:hAnsi="Arial" w:cs="Arial"/>
          <w:sz w:val="21"/>
        </w:rPr>
        <w:t>月3</w:t>
      </w:r>
      <w:r>
        <w:rPr>
          <w:rFonts w:hint="eastAsia"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20"/>
        <w:tblW w:w="88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943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>
        <w:trPr>
          <w:trHeight w:val="597" w:hRule="atLeast"/>
          <w:tblHeader/>
          <w:jc w:val="center"/>
        </w:trPr>
        <w:tc>
          <w:tcPr>
            <w:tcW w:w="94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转入B账户或C账户（元）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rPr>
          <w:trHeight w:val="49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>
        <w:trPr>
          <w:trHeight w:val="532" w:hRule="atLeast"/>
          <w:jc w:val="center"/>
        </w:trPr>
        <w:tc>
          <w:tcPr>
            <w:tcW w:w="94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>
        <w:trPr>
          <w:trHeight w:val="500" w:hRule="exact"/>
          <w:jc w:val="center"/>
        </w:trPr>
        <w:tc>
          <w:tcPr>
            <w:tcW w:w="3327" w:type="dxa"/>
            <w:gridSpan w:val="4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共24户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2,503.70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10,820,000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9,190,000</w:t>
            </w:r>
          </w:p>
        </w:tc>
      </w:tr>
    </w:tbl>
    <w:p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法院划扣为康达基础合同纠纷案件，执行金额163万元，</w:t>
      </w:r>
    </w:p>
    <w:p>
      <w:pPr>
        <w:pStyle w:val="2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29" w:name="_Toc56430497"/>
      <w:r>
        <w:rPr>
          <w:rFonts w:ascii="Arial" w:hAnsi="Arial" w:cs="Arial"/>
          <w:bCs w:val="0"/>
          <w:kern w:val="0"/>
          <w:sz w:val="24"/>
          <w:szCs w:val="24"/>
        </w:rPr>
        <w:t>5监管账户资金的使用情况</w:t>
      </w:r>
      <w:bookmarkEnd w:id="77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9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bookmarkStart w:id="130" w:name="_Toc755461992"/>
      <w:bookmarkStart w:id="131" w:name="_Toc655064467"/>
      <w:bookmarkStart w:id="132" w:name="_Toc45636814"/>
      <w:r>
        <w:rPr>
          <w:rFonts w:hint="eastAsia" w:ascii="Arial" w:hAnsi="Arial" w:cs="Arial"/>
          <w:sz w:val="21"/>
        </w:rPr>
        <w:t>2020年11月1日至2020年11月30日期间，监管范围内资金流出总额共计1,083,323.91元，以上资金流出中不含银行自动扣除的工本费、手续费。具体支出情况见下表：</w:t>
      </w:r>
    </w:p>
    <w:p>
      <w:pPr>
        <w:snapToGrid w:val="0"/>
        <w:spacing w:beforeLines="50" w:afterLines="50"/>
        <w:jc w:val="center"/>
        <w:rPr>
          <w:rStyle w:val="22"/>
          <w:rFonts w:ascii="Arial" w:hAnsi="Arial" w:cs="Arial"/>
          <w:bCs/>
          <w:sz w:val="21"/>
          <w:szCs w:val="21"/>
        </w:rPr>
      </w:pPr>
      <w:r>
        <w:rPr>
          <w:rStyle w:val="22"/>
          <w:rFonts w:ascii="Arial" w:hAnsi="Arial" w:cs="Arial"/>
          <w:bCs/>
          <w:color w:val="000000"/>
          <w:sz w:val="21"/>
          <w:szCs w:val="21"/>
        </w:rPr>
        <w:t>2020年</w:t>
      </w:r>
      <w:r>
        <w:rPr>
          <w:rStyle w:val="22"/>
          <w:rFonts w:hint="eastAsia" w:ascii="Arial" w:hAnsi="Arial" w:cs="Arial"/>
          <w:bCs/>
          <w:color w:val="000000"/>
          <w:sz w:val="21"/>
          <w:szCs w:val="21"/>
        </w:rPr>
        <w:t>11</w:t>
      </w:r>
      <w:r>
        <w:rPr>
          <w:rStyle w:val="22"/>
          <w:rFonts w:ascii="Arial" w:hAnsi="Arial" w:cs="Arial"/>
          <w:bCs/>
          <w:color w:val="000000"/>
          <w:sz w:val="21"/>
          <w:szCs w:val="21"/>
        </w:rPr>
        <w:t>月银行监管账户资金使用情况表</w:t>
      </w:r>
    </w:p>
    <w:tbl>
      <w:tblPr>
        <w:tblStyle w:val="19"/>
        <w:tblW w:w="880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1277"/>
        <w:gridCol w:w="3400"/>
        <w:gridCol w:w="1546"/>
        <w:gridCol w:w="1892"/>
      </w:tblGrid>
      <w:tr>
        <w:trPr>
          <w:trHeight w:val="726" w:hRule="atLeast"/>
          <w:tblHeader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银行名称</w:t>
            </w:r>
          </w:p>
        </w:tc>
      </w:tr>
      <w:tr>
        <w:trPr>
          <w:trHeight w:val="646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2020/11/1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71,983.70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712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2020/11/4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202,250.49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612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2020/11/10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181,779.76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厦农商银行 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4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2020/11/13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103,750.36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厦农商银行 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5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2020/11/16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180,659.00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厦农商银行 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6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2020/11/20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42,903.54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厦农商银行</w:t>
            </w:r>
          </w:p>
        </w:tc>
      </w:tr>
      <w:tr>
        <w:trPr>
          <w:trHeight w:val="627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7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2020/11/26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73,733.15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运营类支出小计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857,059.91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8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2020/11/1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张钊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100,000.00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9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2020/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11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/1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马桂花</w:t>
            </w: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26,264.00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2020/11/11</w:t>
            </w: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张婕退房</w:t>
            </w: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  <w:lang w:val="en-US" w:eastAsia="zh-Hans"/>
              </w:rPr>
              <w:t>款</w:t>
            </w:r>
          </w:p>
        </w:tc>
        <w:tc>
          <w:tcPr>
            <w:tcW w:w="1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kern w:val="2"/>
                <w:sz w:val="18"/>
                <w:szCs w:val="18"/>
              </w:rPr>
              <w:t>100,000.00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22"/>
                <w:rFonts w:ascii="Arial" w:hAnsi="Arial" w:cs="Arial"/>
                <w:kern w:val="2"/>
                <w:sz w:val="18"/>
                <w:szCs w:val="18"/>
              </w:rPr>
              <w:t>厦农商银行</w:t>
            </w:r>
          </w:p>
        </w:tc>
      </w:tr>
      <w:tr>
        <w:trPr>
          <w:trHeight w:val="510" w:hRule="exact"/>
          <w:jc w:val="center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退房款</w:t>
            </w: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支出小计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226,264.00</w:t>
            </w:r>
          </w:p>
        </w:tc>
      </w:tr>
      <w:tr>
        <w:trPr>
          <w:trHeight w:val="510" w:hRule="exact"/>
          <w:jc w:val="center"/>
        </w:trPr>
        <w:tc>
          <w:tcPr>
            <w:tcW w:w="53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sz w:val="18"/>
              </w:rPr>
            </w:pPr>
            <w:r>
              <w:rPr>
                <w:rStyle w:val="22"/>
                <w:rFonts w:ascii="Arial" w:hAnsi="Arial" w:cs="Arial"/>
                <w:b/>
                <w:kern w:val="2"/>
                <w:sz w:val="18"/>
                <w:szCs w:val="18"/>
              </w:rPr>
              <w:t>费用支出总计</w:t>
            </w:r>
          </w:p>
        </w:tc>
        <w:tc>
          <w:tcPr>
            <w:tcW w:w="34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22"/>
                <w:rFonts w:ascii="Arial" w:hAnsi="Arial" w:cs="Arial"/>
                <w:b/>
                <w:sz w:val="18"/>
              </w:rPr>
            </w:pPr>
            <w:r>
              <w:rPr>
                <w:rStyle w:val="22"/>
                <w:rFonts w:hint="eastAsia" w:ascii="Arial" w:hAnsi="Arial" w:cs="Arial"/>
                <w:b/>
                <w:kern w:val="2"/>
                <w:sz w:val="18"/>
                <w:szCs w:val="18"/>
              </w:rPr>
              <w:t>1,083,323.91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33" w:name="_Toc868372051"/>
      <w:bookmarkStart w:id="134" w:name="_Toc990283591"/>
      <w:bookmarkStart w:id="135" w:name="_Toc1509521657"/>
      <w:bookmarkStart w:id="136" w:name="_Toc325968847"/>
      <w:bookmarkStart w:id="137" w:name="_Toc56430498"/>
      <w:bookmarkStart w:id="138" w:name="_Toc673593810"/>
      <w:bookmarkStart w:id="139" w:name="_Toc1211734001"/>
      <w:bookmarkStart w:id="140" w:name="_Toc1020989003"/>
      <w:bookmarkStart w:id="141" w:name="_Toc1982476140"/>
      <w:bookmarkStart w:id="142" w:name="_Toc1181052491"/>
      <w:bookmarkStart w:id="143" w:name="_Toc51087092"/>
      <w:bookmarkStart w:id="144" w:name="_Toc162033341"/>
      <w:bookmarkStart w:id="145" w:name="_Toc1591406028"/>
      <w:bookmarkStart w:id="146" w:name="_Toc445437018"/>
      <w:r>
        <w:rPr>
          <w:rStyle w:val="22"/>
          <w:rFonts w:ascii="Arial" w:hAnsi="Arial" w:cs="Arial"/>
          <w:bCs w:val="0"/>
          <w:color w:val="000000"/>
          <w:sz w:val="24"/>
        </w:rPr>
        <w:t>6印章、证照使用情况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>
      <w:pPr>
        <w:snapToGrid w:val="0"/>
        <w:spacing w:line="480" w:lineRule="auto"/>
        <w:ind w:firstLine="420" w:firstLineChars="200"/>
        <w:jc w:val="left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对于印章的使用，河南恒祥实业有限公司工作人员严格按照监管计划及后续用章/印流程约定，履行印章使用流程，并通过相关负责人审批，给予盖章。各印鉴使用具体情况详见公章/合同章使用情况表：</w:t>
      </w:r>
    </w:p>
    <w:p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47" w:name="_Toc1667322347"/>
      <w:bookmarkStart w:id="148" w:name="_Toc45636815"/>
      <w:bookmarkStart w:id="149" w:name="_Toc1126378480"/>
      <w:r>
        <w:rPr>
          <w:rFonts w:ascii="Arial" w:hAnsi="Arial" w:cs="Arial"/>
          <w:bCs/>
          <w:color w:val="000000"/>
          <w:sz w:val="22"/>
          <w:szCs w:val="18"/>
        </w:rPr>
        <w:t>2020年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11</w:t>
      </w:r>
      <w:r>
        <w:rPr>
          <w:rFonts w:ascii="Arial" w:hAnsi="Arial" w:cs="Arial"/>
          <w:bCs/>
          <w:color w:val="000000"/>
          <w:sz w:val="22"/>
          <w:szCs w:val="18"/>
        </w:rPr>
        <w:t>月1日至2020年</w:t>
      </w:r>
      <w:r>
        <w:rPr>
          <w:rFonts w:hint="eastAsia" w:ascii="Arial" w:hAnsi="Arial" w:cs="Arial"/>
          <w:bCs/>
          <w:color w:val="000000"/>
          <w:sz w:val="22"/>
          <w:szCs w:val="18"/>
        </w:rPr>
        <w:t>11</w:t>
      </w:r>
      <w:r>
        <w:rPr>
          <w:rFonts w:ascii="Arial" w:hAnsi="Arial" w:cs="Arial"/>
          <w:bCs/>
          <w:color w:val="000000"/>
          <w:sz w:val="22"/>
          <w:szCs w:val="18"/>
        </w:rPr>
        <w:t>月3</w:t>
      </w:r>
      <w:r>
        <w:rPr>
          <w:rFonts w:hint="eastAsia" w:ascii="Arial" w:hAnsi="Arial" w:cs="Arial"/>
          <w:bCs/>
          <w:color w:val="000000"/>
          <w:sz w:val="22"/>
          <w:szCs w:val="18"/>
        </w:rPr>
        <w:t>0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Style w:val="19"/>
        <w:tblW w:w="90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>
        <w:trPr>
          <w:trHeight w:val="566" w:hRule="atLeast"/>
          <w:tblHeader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>
        <w:trPr>
          <w:trHeight w:val="532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万达仲裁案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答辩材料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答辩状、质询意见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李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54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于丽霞案和解协议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李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781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晏淑珍、梁朝上诉案及起诉连建峰委托诉讼手续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委托书、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营业执照复印件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法人证明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法人身份证复印件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707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北京汇薪案答辩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答辩状、北京三中院送达回证、送达地址确认书、法院廉政监督卡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11/12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杨代银、王明火、魏永杰执行案件委托手续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委托书、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营业执照复印件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法人证明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法人身份证复印件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社保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申报表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（增员）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社保关系申报表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赵梦云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起诉连建峰诉状、晏淑珍、梁朝上诉状、夏钟毓和解协议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起诉连建峰诉状、晏淑珍、梁朝上诉状、夏钟毓和解协议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法务部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新建社保关系申报表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新建社保关系申报表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赵梦云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安阳商都行解封申请书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安阳商都行解封申请书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来关顺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工程险续保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工程险投保单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来关顺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变更公积金按揭账户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账户变更情况说明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金融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二部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李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广伟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安阳招行开户需有办公地址，实业与房地产签订租赁合同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租赁合同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监管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杜广文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  <w:tr>
        <w:trPr>
          <w:trHeight w:val="600" w:hRule="atLeast"/>
          <w:jc w:val="center"/>
        </w:trPr>
        <w:tc>
          <w:tcPr>
            <w:tcW w:w="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变更公积金按揭账户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变更</w:t>
            </w: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申请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金融二部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李曼曼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白国法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sz w:val="24"/>
          <w:szCs w:val="24"/>
        </w:rPr>
      </w:pPr>
      <w:bookmarkStart w:id="150" w:name="_Toc757867016"/>
      <w:bookmarkStart w:id="151" w:name="_Toc56430499"/>
      <w:bookmarkStart w:id="152" w:name="_Toc51087093"/>
      <w:bookmarkStart w:id="153" w:name="_Toc331968084"/>
      <w:bookmarkStart w:id="154" w:name="_Toc285097791"/>
      <w:bookmarkStart w:id="155" w:name="_Toc1267701775"/>
      <w:bookmarkStart w:id="156" w:name="_Toc430196145"/>
      <w:bookmarkStart w:id="157" w:name="_Toc1367833891"/>
      <w:bookmarkStart w:id="158" w:name="_Toc158683541"/>
      <w:bookmarkStart w:id="159" w:name="_Toc1704861333"/>
      <w:bookmarkStart w:id="160" w:name="_Toc1999772858"/>
      <w:bookmarkStart w:id="161" w:name="_Toc698049687"/>
      <w:bookmarkStart w:id="162" w:name="_Toc327628032"/>
      <w:bookmarkStart w:id="163" w:name="_Toc1025930306"/>
      <w:r>
        <w:rPr>
          <w:rStyle w:val="22"/>
          <w:rFonts w:ascii="Arial" w:hAnsi="Arial" w:cs="Arial"/>
          <w:sz w:val="24"/>
          <w:szCs w:val="24"/>
        </w:rPr>
        <w:t>7 合同签订情况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>
      <w:pPr>
        <w:spacing w:line="480" w:lineRule="auto"/>
        <w:ind w:firstLine="420" w:firstLineChars="200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2020年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4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>
      <w:pPr>
        <w:spacing w:line="480" w:lineRule="auto"/>
        <w:jc w:val="center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2020年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Style w:val="19"/>
        <w:tblW w:w="88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152"/>
        <w:gridCol w:w="1617"/>
        <w:gridCol w:w="1827"/>
        <w:gridCol w:w="2449"/>
        <w:gridCol w:w="13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33" w:hRule="atLeast"/>
          <w:tblHeader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2020/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09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于丽霞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和解协议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退房款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365147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元，签订和解协议后首月退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万，以后每月退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万，退完为止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hint="eastAsia" w:ascii="Arial" w:hAnsi="Arial" w:cs="Arial"/>
                <w:sz w:val="18"/>
                <w:szCs w:val="18"/>
              </w:rPr>
              <w:t>365147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2020/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18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夏钟毓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和解协议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退房款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100000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元，签订和解协议后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月退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万，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月退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万，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月退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万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合同总价预计</w:t>
            </w:r>
            <w:r>
              <w:rPr>
                <w:rFonts w:hint="eastAsia" w:ascii="Arial" w:hAnsi="Arial" w:cs="Arial"/>
                <w:sz w:val="18"/>
                <w:szCs w:val="18"/>
              </w:rPr>
              <w:t>100000</w:t>
            </w: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2020/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26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国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任财产保险公司郑州支公司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建筑工程一切险投保单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标的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亿，保费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万元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保期</w:t>
            </w:r>
            <w:r>
              <w:rPr>
                <w:rFonts w:hint="eastAsia" w:ascii="Arial" w:hAnsi="Arial" w:cs="Arial"/>
                <w:sz w:val="18"/>
                <w:szCs w:val="18"/>
              </w:rPr>
              <w:t>2020.11.28-2021.11.27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保费26万元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sz w:val="18"/>
                <w:szCs w:val="16"/>
              </w:rPr>
              <w:t>2020/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11</w:t>
            </w:r>
            <w:r>
              <w:rPr>
                <w:rStyle w:val="22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26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恒祥房地产开发公司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房屋租赁合同</w:t>
            </w:r>
          </w:p>
        </w:tc>
        <w:tc>
          <w:tcPr>
            <w:tcW w:w="2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租期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年（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2019.12-2029.11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）租金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433890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元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hint="eastAsia" w:cs="Arial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</w:p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433890</w:t>
            </w:r>
            <w:r>
              <w:rPr>
                <w:rFonts w:ascii="Arial" w:hAnsi="Arial" w:cs="Arial"/>
                <w:sz w:val="18"/>
                <w:szCs w:val="18"/>
              </w:rPr>
              <w:t>/年</w:t>
            </w:r>
          </w:p>
        </w:tc>
      </w:tr>
    </w:tbl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64" w:name="_Toc56430502"/>
      <w:bookmarkStart w:id="165" w:name="_Toc1539777933"/>
      <w:bookmarkStart w:id="166" w:name="_Toc945159628"/>
      <w:bookmarkStart w:id="167" w:name="_Toc484573767"/>
      <w:bookmarkStart w:id="168" w:name="_Toc1089688553"/>
      <w:bookmarkStart w:id="169" w:name="_Toc18249673"/>
      <w:r>
        <w:rPr>
          <w:rFonts w:ascii="Arial" w:hAnsi="Arial" w:eastAsia="宋体" w:cs="Arial"/>
          <w:color w:val="000000"/>
          <w:kern w:val="2"/>
          <w:sz w:val="24"/>
          <w:szCs w:val="24"/>
        </w:rPr>
        <w:t>附件：网签明细</w:t>
      </w:r>
      <w:bookmarkEnd w:id="164"/>
      <w:bookmarkEnd w:id="165"/>
      <w:bookmarkEnd w:id="166"/>
      <w:bookmarkEnd w:id="167"/>
      <w:bookmarkEnd w:id="168"/>
      <w:bookmarkEnd w:id="169"/>
    </w:p>
    <w:p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截至2020年1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月3</w:t>
      </w:r>
      <w:r>
        <w:rPr>
          <w:rFonts w:hint="eastAsia" w:ascii="Arial" w:hAnsi="Arial" w:cs="Arial"/>
          <w:sz w:val="21"/>
          <w:szCs w:val="21"/>
        </w:rPr>
        <w:t>0</w:t>
      </w:r>
      <w:r>
        <w:rPr>
          <w:rFonts w:ascii="Arial" w:hAnsi="Arial" w:cs="Arial"/>
          <w:sz w:val="21"/>
          <w:szCs w:val="21"/>
        </w:rPr>
        <w:t>日，恒祥百悦城项目住宅网签共计191套</w:t>
      </w:r>
      <w:r>
        <w:rPr>
          <w:rFonts w:hint="eastAsia" w:ascii="Arial" w:hAnsi="Arial" w:cs="Arial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 20262.21平方米；公寓网签307套，面积18208.53 平方米；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网签260套，面积5245.22平方米，详见下表：</w:t>
      </w:r>
    </w:p>
    <w:p>
      <w:pPr>
        <w:snapToGrid w:val="0"/>
        <w:spacing w:beforeLines="50" w:afterLines="50"/>
        <w:ind w:firstLine="415" w:firstLineChars="198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截至2020年1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月3</w:t>
      </w:r>
      <w:r>
        <w:rPr>
          <w:rFonts w:hint="eastAsia" w:ascii="Arial" w:hAnsi="Arial" w:cs="Arial"/>
          <w:sz w:val="21"/>
          <w:szCs w:val="16"/>
        </w:rPr>
        <w:t>0</w:t>
      </w:r>
      <w:r>
        <w:rPr>
          <w:rFonts w:ascii="Arial" w:hAnsi="Arial" w:cs="Arial"/>
          <w:sz w:val="21"/>
          <w:szCs w:val="16"/>
        </w:rPr>
        <w:t>日</w:t>
      </w:r>
      <w:r>
        <w:rPr>
          <w:rFonts w:hint="eastAsia" w:ascii="Arial" w:hAnsi="Arial" w:cs="Arial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20"/>
        <w:tblW w:w="8901" w:type="dxa"/>
        <w:tblInd w:w="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7" w:hRule="atLeast"/>
          <w:tblHeader/>
        </w:trPr>
        <w:tc>
          <w:tcPr>
            <w:tcW w:w="76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 白云波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 师鑫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 罗小娃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 段争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张棋 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 李萍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 郜电荣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 李焕利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 杜鹃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岳腊梅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 王赛南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 栗保玲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 骆立祥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  王倩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黄莉傈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 孙利锋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 黄涛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 魏震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 丰五生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陈世超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 于秀娟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  高秀平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 赵一凡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  张庆玉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  毛景正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刘世省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  张玉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李东东 赵娜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 王芳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 李喜红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 付静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 刘莉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 毛利民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孙鹏涛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李淑军 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44.99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陶志斌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20006390929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34.65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李国权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20006391025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3414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20.24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陈龙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20006391626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4269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李伟伟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20006406048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4152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36.5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王巧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20006415552</w:t>
            </w:r>
          </w:p>
        </w:tc>
      </w:tr>
    </w:tbl>
    <w:p>
      <w:pPr>
        <w:snapToGrid w:val="0"/>
        <w:spacing w:beforeLines="50" w:afterLines="5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截至2020年1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30</w:t>
      </w:r>
      <w:r>
        <w:rPr>
          <w:rFonts w:ascii="Arial" w:hAnsi="Arial" w:cs="Arial"/>
          <w:sz w:val="24"/>
        </w:rPr>
        <w:t>日公寓网签情况</w:t>
      </w:r>
    </w:p>
    <w:tbl>
      <w:tblPr>
        <w:tblStyle w:val="20"/>
        <w:tblW w:w="8912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</w:trPr>
        <w:tc>
          <w:tcPr>
            <w:tcW w:w="79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 李丹丹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范春花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安世紅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邴武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陈一菲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栗伟丽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 李晶磊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贾辉 陈新慧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 赵敏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 李力轩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 王睿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 范伟哲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耿世杰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 杜艳玲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 赵蕾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李世瑞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 张保平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孙雪丽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20006394371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截至2020年1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月3</w:t>
      </w:r>
      <w:r>
        <w:rPr>
          <w:rFonts w:hint="eastAsia" w:ascii="Arial" w:hAnsi="Arial" w:cs="Arial"/>
          <w:sz w:val="24"/>
        </w:rPr>
        <w:t>0</w:t>
      </w:r>
      <w:r>
        <w:rPr>
          <w:rFonts w:ascii="Arial" w:hAnsi="Arial" w:cs="Arial"/>
          <w:sz w:val="24"/>
        </w:rPr>
        <w:t>日住宅网签情况</w:t>
      </w:r>
    </w:p>
    <w:p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20"/>
        <w:tblW w:w="88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>
        <w:trPr>
          <w:trHeight w:val="454" w:hRule="atLeast"/>
          <w:tblHeader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卜黎明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吉喆阳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 陈雪萍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岳宁静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 高建梅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河南启元教育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 刘静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 王晓莹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>
        <w:trPr>
          <w:trHeight w:val="454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 何茜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卢志鹏 邵琼 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2020/11/6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304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93.85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金璐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20006391447</w:t>
            </w:r>
          </w:p>
        </w:tc>
      </w:tr>
      <w:tr>
        <w:trPr>
          <w:trHeight w:val="437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2020/11/10</w:t>
            </w:r>
          </w:p>
        </w:tc>
        <w:tc>
          <w:tcPr>
            <w:tcW w:w="672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1001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149.28</w:t>
            </w:r>
          </w:p>
        </w:tc>
        <w:tc>
          <w:tcPr>
            <w:tcW w:w="1315" w:type="dxa"/>
            <w:vAlign w:val="center"/>
          </w:tcPr>
          <w:p>
            <w:pPr>
              <w:jc w:val="center"/>
              <w:textAlignment w:val="auto"/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张丹</w:t>
            </w:r>
          </w:p>
        </w:tc>
        <w:tc>
          <w:tcPr>
            <w:tcW w:w="2214" w:type="dxa"/>
            <w:vAlign w:val="center"/>
          </w:tcPr>
          <w:p>
            <w:pPr>
              <w:jc w:val="center"/>
              <w:textAlignment w:val="auto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  <w:t>20006396085</w:t>
            </w:r>
          </w:p>
        </w:tc>
      </w:tr>
    </w:tbl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sectPr>
      <w:footerReference r:id="rId12" w:type="first"/>
      <w:footerReference r:id="rId11" w:type="default"/>
      <w:pgSz w:w="11906" w:h="16838"/>
      <w:pgMar w:top="1440" w:right="1558" w:bottom="1440" w:left="1080" w:header="851" w:footer="992" w:gutter="340"/>
      <w:pgNumType w:fmt="decimal"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Style w:val="22"/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DP8uUE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NWnLr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2020年5月管理报告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t>2020年1</w:t>
    </w:r>
    <w:r>
      <w:rPr>
        <w:rFonts w:hint="eastAsia"/>
      </w:rPr>
      <w:t>1</w:t>
    </w:r>
    <w:r>
      <w:t>月管理报告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0"/>
  <w:bordersDoNotSurroundFooter w:val="0"/>
  <w:hideSpellingErrors/>
  <w:hideGrammaticalErrors/>
  <w:documentProtection w:enforcement="0"/>
  <w:defaultTabStop w:val="420"/>
  <w:drawingGridHorizontalSpacing w:val="100"/>
  <w:drawingGridVerticalSpacing w:val="156"/>
  <w:displayHorizontalDrawingGridEvery w:val="1"/>
  <w:displayVerticalDrawingGridEvery w:val="1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A5"/>
    <w:rsid w:val="000014EC"/>
    <w:rsid w:val="0000237D"/>
    <w:rsid w:val="00002682"/>
    <w:rsid w:val="000038AB"/>
    <w:rsid w:val="00003B63"/>
    <w:rsid w:val="00010B97"/>
    <w:rsid w:val="00011542"/>
    <w:rsid w:val="000130BB"/>
    <w:rsid w:val="00015841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64F"/>
    <w:rsid w:val="000E584F"/>
    <w:rsid w:val="000E617B"/>
    <w:rsid w:val="000E66B6"/>
    <w:rsid w:val="000E68A1"/>
    <w:rsid w:val="000E69E4"/>
    <w:rsid w:val="000E6AA5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7B45"/>
    <w:rsid w:val="00171538"/>
    <w:rsid w:val="0017374A"/>
    <w:rsid w:val="00174CE9"/>
    <w:rsid w:val="00177CC1"/>
    <w:rsid w:val="00177E0D"/>
    <w:rsid w:val="00181D01"/>
    <w:rsid w:val="00183058"/>
    <w:rsid w:val="00184825"/>
    <w:rsid w:val="00187310"/>
    <w:rsid w:val="0019112C"/>
    <w:rsid w:val="00194737"/>
    <w:rsid w:val="001A02E9"/>
    <w:rsid w:val="001A0A70"/>
    <w:rsid w:val="001A1084"/>
    <w:rsid w:val="001A233A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63EF9"/>
    <w:rsid w:val="00264B4B"/>
    <w:rsid w:val="00264CBB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3040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5400"/>
    <w:rsid w:val="00376CA8"/>
    <w:rsid w:val="00387465"/>
    <w:rsid w:val="00390257"/>
    <w:rsid w:val="00390448"/>
    <w:rsid w:val="00392E60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D8D"/>
    <w:rsid w:val="004D1FB3"/>
    <w:rsid w:val="004D5050"/>
    <w:rsid w:val="004D664F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40082"/>
    <w:rsid w:val="0064133E"/>
    <w:rsid w:val="006474D7"/>
    <w:rsid w:val="0065059B"/>
    <w:rsid w:val="00653276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7D33"/>
    <w:rsid w:val="006C0DB1"/>
    <w:rsid w:val="006C2EFD"/>
    <w:rsid w:val="006C3857"/>
    <w:rsid w:val="006C3C52"/>
    <w:rsid w:val="006C3D39"/>
    <w:rsid w:val="006C569D"/>
    <w:rsid w:val="006C750D"/>
    <w:rsid w:val="006D4898"/>
    <w:rsid w:val="006D7038"/>
    <w:rsid w:val="006E0757"/>
    <w:rsid w:val="006E615B"/>
    <w:rsid w:val="006E7F4A"/>
    <w:rsid w:val="006F0513"/>
    <w:rsid w:val="006F0EA9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401A3"/>
    <w:rsid w:val="00741D6C"/>
    <w:rsid w:val="00742EC5"/>
    <w:rsid w:val="00744B33"/>
    <w:rsid w:val="007479B5"/>
    <w:rsid w:val="00750ADB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6971"/>
    <w:rsid w:val="00907378"/>
    <w:rsid w:val="009112C7"/>
    <w:rsid w:val="00913D8B"/>
    <w:rsid w:val="009176B8"/>
    <w:rsid w:val="00920E45"/>
    <w:rsid w:val="009210C2"/>
    <w:rsid w:val="00923BDE"/>
    <w:rsid w:val="00927B24"/>
    <w:rsid w:val="00927CE2"/>
    <w:rsid w:val="00935AB3"/>
    <w:rsid w:val="00935B30"/>
    <w:rsid w:val="0093682E"/>
    <w:rsid w:val="00937748"/>
    <w:rsid w:val="00942132"/>
    <w:rsid w:val="00944005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14432"/>
    <w:rsid w:val="00A16253"/>
    <w:rsid w:val="00A16A83"/>
    <w:rsid w:val="00A201F9"/>
    <w:rsid w:val="00A23E3A"/>
    <w:rsid w:val="00A24A96"/>
    <w:rsid w:val="00A250F4"/>
    <w:rsid w:val="00A255E9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339C"/>
    <w:rsid w:val="00A8020E"/>
    <w:rsid w:val="00A80B42"/>
    <w:rsid w:val="00A80C75"/>
    <w:rsid w:val="00A81469"/>
    <w:rsid w:val="00A81DD6"/>
    <w:rsid w:val="00A82EB2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6FA9"/>
    <w:rsid w:val="00AB73BB"/>
    <w:rsid w:val="00AB7F1C"/>
    <w:rsid w:val="00AC1071"/>
    <w:rsid w:val="00AC6C60"/>
    <w:rsid w:val="00AD28F7"/>
    <w:rsid w:val="00AD6650"/>
    <w:rsid w:val="00AE27BC"/>
    <w:rsid w:val="00AE3E73"/>
    <w:rsid w:val="00AE6E4D"/>
    <w:rsid w:val="00AE7C05"/>
    <w:rsid w:val="00AF1A4C"/>
    <w:rsid w:val="00AF3147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7573"/>
    <w:rsid w:val="00B32204"/>
    <w:rsid w:val="00B3603F"/>
    <w:rsid w:val="00B377A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802CF"/>
    <w:rsid w:val="00B840D6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B0E45"/>
    <w:rsid w:val="00BB2F07"/>
    <w:rsid w:val="00BB57F9"/>
    <w:rsid w:val="00BB59C1"/>
    <w:rsid w:val="00BB6323"/>
    <w:rsid w:val="00BB68B6"/>
    <w:rsid w:val="00BB7C4C"/>
    <w:rsid w:val="00BC45FE"/>
    <w:rsid w:val="00BC6A7B"/>
    <w:rsid w:val="00BD29C1"/>
    <w:rsid w:val="00BD39D9"/>
    <w:rsid w:val="00BD4937"/>
    <w:rsid w:val="00BD4B04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E91"/>
    <w:rsid w:val="00CA40EE"/>
    <w:rsid w:val="00CB066C"/>
    <w:rsid w:val="00CB15C1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40B71"/>
    <w:rsid w:val="00D4159A"/>
    <w:rsid w:val="00D4222F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B85"/>
    <w:rsid w:val="00DB4D18"/>
    <w:rsid w:val="00DB4E93"/>
    <w:rsid w:val="00DB7F4A"/>
    <w:rsid w:val="00DC1468"/>
    <w:rsid w:val="00DC1C5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11A7C"/>
    <w:rsid w:val="00E1271B"/>
    <w:rsid w:val="00E14DD6"/>
    <w:rsid w:val="00E166B0"/>
    <w:rsid w:val="00E1753F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91C34"/>
    <w:rsid w:val="00E91DD3"/>
    <w:rsid w:val="00E922DA"/>
    <w:rsid w:val="00E92F14"/>
    <w:rsid w:val="00E93DBD"/>
    <w:rsid w:val="00E93EAF"/>
    <w:rsid w:val="00E9558E"/>
    <w:rsid w:val="00E95BFB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4776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286E"/>
    <w:rsid w:val="00F1361B"/>
    <w:rsid w:val="00F13DCD"/>
    <w:rsid w:val="00F15DEA"/>
    <w:rsid w:val="00F16B2C"/>
    <w:rsid w:val="00F16EEF"/>
    <w:rsid w:val="00F23AC7"/>
    <w:rsid w:val="00F30F98"/>
    <w:rsid w:val="00F31A93"/>
    <w:rsid w:val="00F325F6"/>
    <w:rsid w:val="00F34335"/>
    <w:rsid w:val="00F35215"/>
    <w:rsid w:val="00F370C0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FB43560"/>
    <w:rsid w:val="17706E2E"/>
    <w:rsid w:val="1E7DC8AA"/>
    <w:rsid w:val="231864DF"/>
    <w:rsid w:val="23BA2166"/>
    <w:rsid w:val="25EB62F0"/>
    <w:rsid w:val="288B689F"/>
    <w:rsid w:val="29B84826"/>
    <w:rsid w:val="2DBD1EF4"/>
    <w:rsid w:val="2EEFE4DC"/>
    <w:rsid w:val="2F7347C6"/>
    <w:rsid w:val="31AE6E42"/>
    <w:rsid w:val="31DF359E"/>
    <w:rsid w:val="34C57542"/>
    <w:rsid w:val="35F57B8F"/>
    <w:rsid w:val="37EB6510"/>
    <w:rsid w:val="39DFB05F"/>
    <w:rsid w:val="3C2123DF"/>
    <w:rsid w:val="3FBF11C7"/>
    <w:rsid w:val="3FFF0089"/>
    <w:rsid w:val="45B9A6A7"/>
    <w:rsid w:val="4DFF1AC4"/>
    <w:rsid w:val="50B666E5"/>
    <w:rsid w:val="53ED7560"/>
    <w:rsid w:val="55F69C58"/>
    <w:rsid w:val="56821C69"/>
    <w:rsid w:val="586A3739"/>
    <w:rsid w:val="593955EE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37C2584"/>
    <w:rsid w:val="740E16CF"/>
    <w:rsid w:val="76B7924A"/>
    <w:rsid w:val="76BF380D"/>
    <w:rsid w:val="777DE8A3"/>
    <w:rsid w:val="77EFA57B"/>
    <w:rsid w:val="77FC031D"/>
    <w:rsid w:val="78F77457"/>
    <w:rsid w:val="7B74198E"/>
    <w:rsid w:val="7B7E8E28"/>
    <w:rsid w:val="7B7F9B17"/>
    <w:rsid w:val="7BE93B7C"/>
    <w:rsid w:val="7D7E6B1A"/>
    <w:rsid w:val="7DF7641F"/>
    <w:rsid w:val="7DFAAEC9"/>
    <w:rsid w:val="7DFF0654"/>
    <w:rsid w:val="7ED62C38"/>
    <w:rsid w:val="7F6D4CB5"/>
    <w:rsid w:val="7F6F8B95"/>
    <w:rsid w:val="7FB59AFD"/>
    <w:rsid w:val="7FBB0556"/>
    <w:rsid w:val="7FBF6935"/>
    <w:rsid w:val="7FD7D6C2"/>
    <w:rsid w:val="7FE82673"/>
    <w:rsid w:val="7FF3EAA6"/>
    <w:rsid w:val="7FFF92C6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B6D7B"/>
    <w:rsid w:val="FDDB6C73"/>
    <w:rsid w:val="FDF5C6C9"/>
    <w:rsid w:val="FEFE6A2D"/>
    <w:rsid w:val="FFBE35B3"/>
    <w:rsid w:val="FFBFF014"/>
    <w:rsid w:val="FFFE19F0"/>
    <w:rsid w:val="FFFE94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49"/>
    <w:unhideWhenUsed/>
    <w:qFormat/>
    <w:uiPriority w:val="99"/>
    <w:rPr>
      <w:b/>
      <w:bCs/>
    </w:rPr>
  </w:style>
  <w:style w:type="paragraph" w:styleId="5">
    <w:name w:val="annotation text"/>
    <w:basedOn w:val="1"/>
    <w:link w:val="48"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7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2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1">
    <w:name w:val="Subtitle"/>
    <w:basedOn w:val="1"/>
    <w:next w:val="1"/>
    <w:link w:val="46"/>
    <w:qFormat/>
    <w:uiPriority w:val="0"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character" w:styleId="14">
    <w:name w:val="Strong"/>
    <w:qFormat/>
    <w:uiPriority w:val="0"/>
    <w:rPr>
      <w:b/>
      <w:sz w:val="21"/>
    </w:rPr>
  </w:style>
  <w:style w:type="character" w:styleId="15">
    <w:name w:val="FollowedHyperlink"/>
    <w:qFormat/>
    <w:uiPriority w:val="0"/>
    <w:rPr>
      <w:color w:val="800080"/>
      <w:sz w:val="20"/>
      <w:u w:val="single"/>
    </w:rPr>
  </w:style>
  <w:style w:type="character" w:styleId="16">
    <w:name w:val="Emphasis"/>
    <w:qFormat/>
    <w:uiPriority w:val="0"/>
    <w:rPr>
      <w:i/>
      <w:sz w:val="21"/>
    </w:rPr>
  </w:style>
  <w:style w:type="character" w:styleId="17">
    <w:name w:val="Hyperlink"/>
    <w:qFormat/>
    <w:uiPriority w:val="99"/>
    <w:rPr>
      <w:color w:val="0000FF"/>
      <w:sz w:val="20"/>
      <w:u w:val="single"/>
    </w:rPr>
  </w:style>
  <w:style w:type="character" w:styleId="18">
    <w:name w:val="annotation reference"/>
    <w:basedOn w:val="13"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Heading1"/>
    <w:basedOn w:val="1"/>
    <w:next w:val="1"/>
    <w:qFormat/>
    <w:uiPriority w:val="0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22">
    <w:name w:val="NormalCharacter"/>
    <w:semiHidden/>
    <w:qFormat/>
    <w:uiPriority w:val="0"/>
    <w:rPr>
      <w:sz w:val="20"/>
    </w:rPr>
  </w:style>
  <w:style w:type="table" w:customStyle="1" w:styleId="23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AnnotationReference"/>
    <w:qFormat/>
    <w:uiPriority w:val="0"/>
    <w:rPr>
      <w:sz w:val="20"/>
    </w:rPr>
  </w:style>
  <w:style w:type="character" w:customStyle="1" w:styleId="25">
    <w:name w:val="262"/>
    <w:qFormat/>
    <w:uiPriority w:val="0"/>
    <w:rPr>
      <w:color w:val="000000"/>
      <w:sz w:val="21"/>
    </w:rPr>
  </w:style>
  <w:style w:type="character" w:customStyle="1" w:styleId="26">
    <w:name w:val="UserStyle_0"/>
    <w:qFormat/>
    <w:uiPriority w:val="0"/>
    <w:rPr>
      <w:sz w:val="20"/>
    </w:rPr>
  </w:style>
  <w:style w:type="character" w:customStyle="1" w:styleId="27">
    <w:name w:val="264"/>
    <w:qFormat/>
    <w:uiPriority w:val="0"/>
    <w:rPr>
      <w:b/>
      <w:i/>
      <w:sz w:val="21"/>
    </w:rPr>
  </w:style>
  <w:style w:type="character" w:customStyle="1" w:styleId="28">
    <w:name w:val="UserStyle_1"/>
    <w:basedOn w:val="22"/>
    <w:link w:val="29"/>
    <w:qFormat/>
    <w:uiPriority w:val="0"/>
    <w:rPr>
      <w:sz w:val="20"/>
    </w:rPr>
  </w:style>
  <w:style w:type="paragraph" w:customStyle="1" w:styleId="29">
    <w:name w:val="AnnotationText"/>
    <w:basedOn w:val="1"/>
    <w:link w:val="28"/>
    <w:qFormat/>
    <w:uiPriority w:val="0"/>
    <w:pPr>
      <w:jc w:val="left"/>
    </w:pPr>
  </w:style>
  <w:style w:type="character" w:customStyle="1" w:styleId="30">
    <w:name w:val="263"/>
    <w:qFormat/>
    <w:uiPriority w:val="0"/>
    <w:rPr>
      <w:b/>
      <w:color w:val="000000"/>
      <w:sz w:val="21"/>
    </w:rPr>
  </w:style>
  <w:style w:type="character" w:customStyle="1" w:styleId="31">
    <w:name w:val="UserStyle_2"/>
    <w:qFormat/>
    <w:uiPriority w:val="0"/>
    <w:rPr>
      <w:sz w:val="20"/>
    </w:rPr>
  </w:style>
  <w:style w:type="character" w:customStyle="1" w:styleId="32">
    <w:name w:val="页眉 Char"/>
    <w:link w:val="9"/>
    <w:qFormat/>
    <w:uiPriority w:val="0"/>
    <w:rPr>
      <w:sz w:val="18"/>
      <w:szCs w:val="18"/>
    </w:rPr>
  </w:style>
  <w:style w:type="character" w:customStyle="1" w:styleId="33">
    <w:name w:val="261"/>
    <w:qFormat/>
    <w:uiPriority w:val="0"/>
    <w:rPr>
      <w:i/>
      <w:color w:val="000000"/>
      <w:sz w:val="21"/>
    </w:rPr>
  </w:style>
  <w:style w:type="character" w:customStyle="1" w:styleId="34">
    <w:name w:val="260"/>
    <w:qFormat/>
    <w:uiPriority w:val="0"/>
    <w:rPr>
      <w:i/>
      <w:color w:val="000000"/>
      <w:sz w:val="21"/>
    </w:rPr>
  </w:style>
  <w:style w:type="character" w:customStyle="1" w:styleId="35">
    <w:name w:val="UserStyle_4"/>
    <w:qFormat/>
    <w:uiPriority w:val="0"/>
    <w:rPr>
      <w:sz w:val="20"/>
    </w:rPr>
  </w:style>
  <w:style w:type="character" w:customStyle="1" w:styleId="36">
    <w:name w:val="UserStyle_5"/>
    <w:qFormat/>
    <w:uiPriority w:val="0"/>
    <w:rPr>
      <w:b/>
      <w:sz w:val="20"/>
    </w:rPr>
  </w:style>
  <w:style w:type="character" w:customStyle="1" w:styleId="37">
    <w:name w:val="UserStyle_6"/>
    <w:link w:val="38"/>
    <w:qFormat/>
    <w:uiPriority w:val="0"/>
    <w:rPr>
      <w:sz w:val="18"/>
      <w:szCs w:val="18"/>
    </w:rPr>
  </w:style>
  <w:style w:type="paragraph" w:customStyle="1" w:styleId="38">
    <w:name w:val="Acetate"/>
    <w:basedOn w:val="1"/>
    <w:link w:val="37"/>
    <w:qFormat/>
    <w:uiPriority w:val="0"/>
    <w:rPr>
      <w:sz w:val="18"/>
      <w:szCs w:val="18"/>
    </w:rPr>
  </w:style>
  <w:style w:type="character" w:customStyle="1" w:styleId="39">
    <w:name w:val="UserStyle_7"/>
    <w:link w:val="40"/>
    <w:qFormat/>
    <w:uiPriority w:val="0"/>
    <w:rPr>
      <w:rFonts w:cs="Times New Roman"/>
      <w:b/>
      <w:bCs/>
      <w:sz w:val="20"/>
    </w:rPr>
  </w:style>
  <w:style w:type="paragraph" w:customStyle="1" w:styleId="40">
    <w:name w:val="AnnotationSubject"/>
    <w:basedOn w:val="29"/>
    <w:next w:val="29"/>
    <w:link w:val="39"/>
    <w:qFormat/>
    <w:uiPriority w:val="0"/>
  </w:style>
  <w:style w:type="character" w:customStyle="1" w:styleId="41">
    <w:name w:val="UserStyle_8"/>
    <w:qFormat/>
    <w:uiPriority w:val="0"/>
    <w:rPr>
      <w:sz w:val="20"/>
    </w:rPr>
  </w:style>
  <w:style w:type="character" w:customStyle="1" w:styleId="42">
    <w:name w:val="UserStyle_9"/>
    <w:qFormat/>
    <w:uiPriority w:val="0"/>
    <w:rPr>
      <w:b/>
      <w:sz w:val="20"/>
    </w:rPr>
  </w:style>
  <w:style w:type="character" w:customStyle="1" w:styleId="43">
    <w:name w:val="页脚 Char"/>
    <w:link w:val="8"/>
    <w:qFormat/>
    <w:uiPriority w:val="99"/>
    <w:rPr>
      <w:sz w:val="18"/>
      <w:szCs w:val="18"/>
    </w:rPr>
  </w:style>
  <w:style w:type="table" w:customStyle="1" w:styleId="44">
    <w:name w:val="TableGrid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">
    <w:name w:val="191"/>
    <w:basedOn w:val="23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6">
    <w:name w:val="副标题 Char"/>
    <w:link w:val="11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7">
    <w:name w:val="批注框文本 Char"/>
    <w:basedOn w:val="13"/>
    <w:link w:val="7"/>
    <w:semiHidden/>
    <w:qFormat/>
    <w:uiPriority w:val="99"/>
    <w:rPr>
      <w:sz w:val="18"/>
      <w:szCs w:val="18"/>
    </w:rPr>
  </w:style>
  <w:style w:type="character" w:customStyle="1" w:styleId="48">
    <w:name w:val="批注文字 Char"/>
    <w:basedOn w:val="13"/>
    <w:link w:val="5"/>
    <w:semiHidden/>
    <w:qFormat/>
    <w:uiPriority w:val="99"/>
  </w:style>
  <w:style w:type="character" w:customStyle="1" w:styleId="49">
    <w:name w:val="批注主题 Char"/>
    <w:basedOn w:val="48"/>
    <w:link w:val="4"/>
    <w:semiHidden/>
    <w:qFormat/>
    <w:uiPriority w:val="99"/>
    <w:rPr>
      <w:b/>
      <w:bCs/>
    </w:rPr>
  </w:style>
  <w:style w:type="paragraph" w:customStyle="1" w:styleId="50">
    <w:name w:val="列表段落1"/>
    <w:basedOn w:val="1"/>
    <w:qFormat/>
    <w:uiPriority w:val="34"/>
    <w:pPr>
      <w:ind w:firstLine="420" w:firstLineChars="200"/>
    </w:pPr>
  </w:style>
  <w:style w:type="character" w:customStyle="1" w:styleId="51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TOC 标题1"/>
    <w:basedOn w:val="2"/>
    <w:next w:val="1"/>
    <w:unhideWhenUsed/>
    <w:qFormat/>
    <w:uiPriority w:val="39"/>
    <w:pPr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3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54">
    <w:name w:val="font0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5">
    <w:name w:val="font2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6">
    <w:name w:val="font11"/>
    <w:basedOn w:val="13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5.jpeg"/><Relationship Id="rId27" Type="http://schemas.openxmlformats.org/officeDocument/2006/relationships/image" Target="media/image14.jpeg"/><Relationship Id="rId26" Type="http://schemas.openxmlformats.org/officeDocument/2006/relationships/image" Target="media/image13.jpeg"/><Relationship Id="rId25" Type="http://schemas.openxmlformats.org/officeDocument/2006/relationships/image" Target="media/image12.jpeg"/><Relationship Id="rId24" Type="http://schemas.openxmlformats.org/officeDocument/2006/relationships/image" Target="media/image11.jpeg"/><Relationship Id="rId23" Type="http://schemas.openxmlformats.org/officeDocument/2006/relationships/image" Target="media/image10.jpeg"/><Relationship Id="rId22" Type="http://schemas.openxmlformats.org/officeDocument/2006/relationships/image" Target="media/image9.jpeg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image" Target="media/image4.jpeg"/><Relationship Id="rId16" Type="http://schemas.openxmlformats.org/officeDocument/2006/relationships/image" Target="media/image3.jpeg"/><Relationship Id="rId15" Type="http://schemas.openxmlformats.org/officeDocument/2006/relationships/image" Target="media/image2.jpe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</Company>
  <Pages>40</Pages>
  <Words>6342</Words>
  <Characters>36155</Characters>
  <Lines>301</Lines>
  <Paragraphs>84</Paragraphs>
  <ScaleCrop>false</ScaleCrop>
  <LinksUpToDate>false</LinksUpToDate>
  <CharactersWithSpaces>42413</CharactersWithSpaces>
  <Application>WPS Office_3.0.2.4882_F1E327BC-269C-435d-A152-05C5408002CA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2020-08-28T01:00:00Z</dcterms:created>
  <dc:creator>黑人</dc:creator>
  <cp:lastModifiedBy>吴国军</cp:lastModifiedBy>
  <cp:lastPrinted>2020-03-12T17:58:00Z</cp:lastPrinted>
  <dcterms:modified xsi:type="dcterms:W3CDTF">2020-12-15T13:55:09Z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