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hint="eastAsia" w:ascii="Arial" w:hAnsi="Arial" w:cs="Arial"/>
          <w:b/>
          <w:sz w:val="36"/>
        </w:rPr>
        <w:t>浙金·汇业345号融创海口项目集合资金信托计划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hint="eastAsia" w:ascii="Arial" w:hAnsi="Arial" w:cs="Arial"/>
          <w:b/>
          <w:sz w:val="36"/>
          <w:lang w:val="en-US" w:eastAsia="zh-CN"/>
        </w:rPr>
        <w:t>2020年12月</w:t>
      </w:r>
      <w:r>
        <w:rPr>
          <w:rFonts w:hint="eastAsia" w:ascii="Arial" w:hAnsi="Arial" w:cs="Arial"/>
          <w:b/>
          <w:sz w:val="36"/>
        </w:rPr>
        <w:t>退场监管报告</w:t>
      </w:r>
    </w:p>
    <w:p>
      <w:pPr>
        <w:spacing w:line="480" w:lineRule="auto"/>
        <w:jc w:val="left"/>
        <w:rPr>
          <w:rFonts w:ascii="Arial" w:hAnsi="Arial"/>
          <w:b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szCs w:val="28"/>
        </w:rPr>
      </w:pPr>
      <w:r>
        <w:rPr>
          <w:rFonts w:hint="eastAsia" w:ascii="Arial" w:hAnsi="Arial"/>
          <w:b/>
          <w:szCs w:val="28"/>
        </w:rPr>
        <w:t>项目名称：浙金·汇业345号融创海口项目集合资金信托计划</w:t>
      </w:r>
    </w:p>
    <w:p>
      <w:pPr>
        <w:spacing w:line="480" w:lineRule="auto"/>
        <w:jc w:val="left"/>
        <w:rPr>
          <w:rFonts w:ascii="Arial" w:hAnsi="Arial"/>
          <w:b/>
          <w:szCs w:val="28"/>
        </w:rPr>
      </w:pPr>
      <w:r>
        <w:rPr>
          <w:rFonts w:hint="eastAsia" w:ascii="Arial" w:hAnsi="Arial"/>
          <w:b/>
          <w:szCs w:val="28"/>
        </w:rPr>
        <w:t>委托方：浙商金汇信托股份有限公司</w:t>
      </w:r>
    </w:p>
    <w:p>
      <w:pPr>
        <w:spacing w:line="480" w:lineRule="auto"/>
        <w:jc w:val="left"/>
        <w:rPr>
          <w:rFonts w:ascii="Arial" w:hAnsi="Arial"/>
          <w:b/>
          <w:szCs w:val="28"/>
        </w:rPr>
      </w:pPr>
      <w:r>
        <w:rPr>
          <w:rFonts w:hint="eastAsia" w:ascii="Arial" w:hAnsi="Arial"/>
          <w:b/>
          <w:szCs w:val="28"/>
        </w:rPr>
        <w:t>受托方：北京康信君安资产管理有限公司</w:t>
      </w:r>
    </w:p>
    <w:p>
      <w:pPr>
        <w:spacing w:line="480" w:lineRule="auto"/>
        <w:jc w:val="left"/>
        <w:rPr>
          <w:rFonts w:ascii="Arial" w:hAnsi="Arial"/>
          <w:b/>
          <w:szCs w:val="28"/>
        </w:rPr>
      </w:pPr>
      <w:r>
        <w:rPr>
          <w:rFonts w:hint="eastAsia" w:ascii="Arial" w:hAnsi="Arial"/>
          <w:b/>
          <w:szCs w:val="28"/>
        </w:rPr>
        <w:t xml:space="preserve">监管人员：冯小娟    </w:t>
      </w:r>
    </w:p>
    <w:p>
      <w:pPr>
        <w:spacing w:line="480" w:lineRule="auto"/>
        <w:jc w:val="left"/>
        <w:rPr>
          <w:rFonts w:ascii="Arial" w:hAnsi="Arial"/>
          <w:b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hint="eastAsia" w:ascii="Arial" w:hAnsi="Arial"/>
          <w:b/>
          <w:szCs w:val="28"/>
        </w:rPr>
        <w:t>日期：二零二零年十二月二十四日</w:t>
      </w:r>
    </w:p>
    <w:p>
      <w:pPr>
        <w:pStyle w:val="15"/>
        <w:keepNext w:val="0"/>
        <w:keepLines w:val="0"/>
        <w:widowControl w:val="0"/>
        <w:spacing w:line="480" w:lineRule="auto"/>
        <w:jc w:val="center"/>
        <w:rPr>
          <w:rFonts w:hint="default" w:ascii="Arial" w:hAnsi="Arial" w:eastAsia="宋体" w:cs="Arial"/>
          <w:b/>
          <w:bCs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/>
          <w:color w:val="auto"/>
        </w:rPr>
        <w:t>目</w:t>
      </w:r>
      <w:r>
        <w:rPr>
          <w:rFonts w:hint="eastAsia"/>
          <w:color w:val="auto"/>
          <w:lang w:val="en-US" w:eastAsia="zh-CN"/>
        </w:rPr>
        <w:t xml:space="preserve">  </w:t>
      </w:r>
      <w:r>
        <w:rPr>
          <w:rFonts w:hint="eastAsia"/>
          <w:color w:val="auto"/>
        </w:rPr>
        <w:t>录</w:t>
      </w:r>
      <w:r>
        <w:rPr>
          <w:rFonts w:hint="default" w:ascii="Arial" w:hAnsi="Arial" w:eastAsia="宋体" w:cs="Arial"/>
          <w:sz w:val="21"/>
          <w:szCs w:val="21"/>
        </w:rPr>
        <w:fldChar w:fldCharType="begin"/>
      </w:r>
      <w:r>
        <w:rPr>
          <w:rStyle w:val="13"/>
          <w:rFonts w:hint="default" w:ascii="Arial" w:hAnsi="Arial" w:eastAsia="宋体" w:cs="Arial"/>
          <w:color w:val="auto"/>
          <w:sz w:val="21"/>
          <w:szCs w:val="21"/>
        </w:rPr>
        <w:instrText xml:space="preserve"> TOC \o "1-3" \h \z \u </w:instrText>
      </w:r>
      <w:r>
        <w:rPr>
          <w:rFonts w:hint="default" w:ascii="Arial" w:hAnsi="Arial" w:eastAsia="宋体" w:cs="Arial"/>
          <w:sz w:val="21"/>
          <w:szCs w:val="21"/>
        </w:rPr>
        <w:fldChar w:fldCharType="separate"/>
      </w:r>
    </w:p>
    <w:p>
      <w:pPr>
        <w:pStyle w:val="8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_Toc7616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1项目基本情况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_Toc7616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2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_Toc32628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2重大事件披露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_Toc32628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2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_Toc19497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3项目五证办理及施工进度情况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_Toc19497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3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9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_Toc9287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3.1项目五证办理情况说明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_Toc9287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3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9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_Toc26153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3.2项目2020年12月施工进度情况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_Toc26153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3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_Toc29442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4印鉴使用情况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_Toc29442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6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_Toc359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5合同签订情况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_Toc359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7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_Toc29212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6项目销售情况及回款情况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_Toc29212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9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9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color w:val="auto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_Toc23619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6.</w:t>
      </w:r>
      <w:r>
        <w:rPr>
          <w:rFonts w:hint="eastAsia" w:ascii="Arial" w:hAnsi="Arial" w:cs="Arial"/>
          <w:sz w:val="24"/>
          <w:szCs w:val="24"/>
          <w:lang w:val="en-US" w:eastAsia="zh-CN"/>
        </w:rPr>
        <w:t>1</w:t>
      </w:r>
      <w:r>
        <w:rPr>
          <w:rFonts w:hint="default" w:ascii="Arial" w:hAnsi="Arial" w:eastAsia="宋体" w:cs="Arial"/>
          <w:sz w:val="24"/>
          <w:szCs w:val="24"/>
        </w:rPr>
        <w:t>项目销售情况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_Toc23619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9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9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color w:val="auto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_Toc23619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6.2项目销售回款情况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_Toc23619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9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8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color w:val="auto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_Toc31018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7资金情况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_Toc31018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10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9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_Toc8143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eastAsia" w:ascii="Arial" w:hAnsi="Arial" w:cs="Arial"/>
          <w:sz w:val="24"/>
          <w:szCs w:val="24"/>
          <w:lang w:val="en-US" w:eastAsia="zh-CN"/>
        </w:rPr>
        <w:t>7.1各账户余额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_Toc8143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</w:t>
      </w:r>
      <w:r>
        <w:rPr>
          <w:rFonts w:hint="eastAsia" w:ascii="Arial" w:hAnsi="Arial" w:cs="Arial"/>
          <w:sz w:val="24"/>
          <w:szCs w:val="24"/>
          <w:lang w:val="en-US" w:eastAsia="zh-CN"/>
        </w:rPr>
        <w:t>0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9"/>
        <w:tabs>
          <w:tab w:val="right" w:leader="dot" w:pos="9298"/>
          <w:tab w:val="clear" w:pos="8302"/>
        </w:tabs>
        <w:spacing w:line="480" w:lineRule="auto"/>
        <w:ind w:left="0" w:leftChars="0" w:firstLine="0" w:firstLineChars="0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_Toc8143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附件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_Toc8143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11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9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_Toc17796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附件一 共管资料移交清单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_Toc17796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11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9"/>
        <w:tabs>
          <w:tab w:val="right" w:leader="dot" w:pos="9298"/>
          <w:tab w:val="clear" w:pos="8302"/>
        </w:tabs>
        <w:spacing w:line="480" w:lineRule="auto"/>
        <w:rPr>
          <w:rFonts w:hint="default" w:ascii="Arial" w:hAnsi="Arial" w:eastAsia="宋体" w:cs="Arial"/>
          <w:sz w:val="24"/>
          <w:szCs w:val="24"/>
        </w:rPr>
      </w:pP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HYPERLINK \l _Toc4709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附件二 银行对账单</w:t>
      </w:r>
      <w:r>
        <w:rPr>
          <w:rFonts w:hint="default" w:ascii="Arial" w:hAnsi="Arial" w:eastAsia="宋体" w:cs="Arial"/>
          <w:sz w:val="24"/>
          <w:szCs w:val="24"/>
        </w:rPr>
        <w:tab/>
      </w:r>
      <w:r>
        <w:rPr>
          <w:rFonts w:hint="default" w:ascii="Arial" w:hAnsi="Arial" w:eastAsia="宋体" w:cs="Arial"/>
          <w:sz w:val="24"/>
          <w:szCs w:val="24"/>
        </w:rPr>
        <w:fldChar w:fldCharType="begin"/>
      </w:r>
      <w:r>
        <w:rPr>
          <w:rFonts w:hint="default" w:ascii="Arial" w:hAnsi="Arial" w:eastAsia="宋体" w:cs="Arial"/>
          <w:sz w:val="24"/>
          <w:szCs w:val="24"/>
        </w:rPr>
        <w:instrText xml:space="preserve"> PAGEREF _Toc4709 </w:instrText>
      </w:r>
      <w:r>
        <w:rPr>
          <w:rFonts w:hint="default" w:ascii="Arial" w:hAnsi="Arial" w:eastAsia="宋体" w:cs="Arial"/>
          <w:sz w:val="24"/>
          <w:szCs w:val="24"/>
        </w:rPr>
        <w:fldChar w:fldCharType="separate"/>
      </w:r>
      <w:r>
        <w:rPr>
          <w:rFonts w:hint="default" w:ascii="Arial" w:hAnsi="Arial" w:eastAsia="宋体" w:cs="Arial"/>
          <w:sz w:val="24"/>
          <w:szCs w:val="24"/>
        </w:rPr>
        <w:t>15</w:t>
      </w:r>
      <w:r>
        <w:rPr>
          <w:rFonts w:hint="default" w:ascii="Arial" w:hAnsi="Arial" w:eastAsia="宋体" w:cs="Arial"/>
          <w:sz w:val="24"/>
          <w:szCs w:val="24"/>
        </w:rPr>
        <w:fldChar w:fldCharType="end"/>
      </w:r>
      <w:r>
        <w:rPr>
          <w:rFonts w:hint="default" w:ascii="Arial" w:hAnsi="Arial" w:eastAsia="宋体" w:cs="Arial"/>
          <w:color w:val="auto"/>
          <w:sz w:val="24"/>
          <w:szCs w:val="24"/>
        </w:rPr>
        <w:fldChar w:fldCharType="end"/>
      </w:r>
    </w:p>
    <w:p>
      <w:pPr>
        <w:pStyle w:val="8"/>
        <w:keepNext w:val="0"/>
        <w:keepLines w:val="0"/>
        <w:widowControl w:val="0"/>
        <w:spacing w:after="0" w:line="480" w:lineRule="auto"/>
        <w:jc w:val="center"/>
        <w:rPr>
          <w:rFonts w:hint="default" w:ascii="Arial" w:hAnsi="Arial" w:eastAsia="宋体" w:cs="Arial"/>
          <w:color w:val="auto"/>
          <w:sz w:val="21"/>
          <w:szCs w:val="21"/>
        </w:rPr>
        <w:sectPr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hint="default" w:ascii="Arial" w:hAnsi="Arial" w:eastAsia="宋体" w:cs="Arial"/>
          <w:color w:val="auto"/>
          <w:sz w:val="21"/>
          <w:szCs w:val="21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hint="eastAsia"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·项目公司：海南荣丰华瑞实业有限公司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·浙金信托：浙商金汇信托股份有限公司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·康信资管：北京康信君安资产管理有限公司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/>
          <w:sz w:val="24"/>
          <w:szCs w:val="24"/>
        </w:rPr>
      </w:pPr>
      <w:bookmarkStart w:id="1" w:name="_Toc7616"/>
      <w:bookmarkStart w:id="2" w:name="_Toc535570745"/>
      <w:bookmarkStart w:id="3" w:name="_Toc532281654"/>
      <w:bookmarkStart w:id="4" w:name="_Toc535580086"/>
      <w:bookmarkStart w:id="5" w:name="_Toc535508633"/>
      <w:bookmarkStart w:id="6" w:name="_Toc535580018"/>
      <w:r>
        <w:rPr>
          <w:rFonts w:hint="eastAsia" w:ascii="Arial" w:hAnsi="Arial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</w:p>
    <w:p>
      <w:pPr>
        <w:jc w:val="center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drawing>
          <wp:inline distT="0" distB="0" distL="114300" distR="114300">
            <wp:extent cx="5779135" cy="2934970"/>
            <wp:effectExtent l="0" t="0" r="12065" b="6350"/>
            <wp:docPr id="14" name="图片 1" descr="20190301084357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201903010843575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标的项目为海南荣丰华瑞实业有限公司开发建设的 “太禾小镇•瑞园”居住项目，项目推广名为“融创·无忌海”，项目</w:t>
      </w:r>
      <w:r>
        <w:rPr>
          <w:rFonts w:hint="eastAsia" w:ascii="Arial" w:hAnsi="Arial"/>
          <w:bCs/>
          <w:szCs w:val="28"/>
        </w:rPr>
        <w:t>位于海南省海口市琼山区红旗镇红旗路，</w:t>
      </w:r>
      <w:r>
        <w:rPr>
          <w:rFonts w:hint="eastAsia" w:ascii="Arial" w:hAnsi="Arial" w:cs="Arial"/>
          <w:bCs/>
          <w:kern w:val="44"/>
          <w:szCs w:val="21"/>
        </w:rPr>
        <w:t>紧邻红旗水库，环境较好</w:t>
      </w:r>
      <w:r>
        <w:rPr>
          <w:rFonts w:hint="eastAsia" w:ascii="Arial" w:hAnsi="Arial"/>
          <w:bCs/>
          <w:szCs w:val="28"/>
        </w:rPr>
        <w:t>。</w:t>
      </w:r>
      <w:r>
        <w:rPr>
          <w:rFonts w:hint="eastAsia" w:ascii="Arial" w:hAnsi="Arial" w:cs="Arial"/>
          <w:bCs/>
          <w:kern w:val="44"/>
          <w:szCs w:val="21"/>
        </w:rPr>
        <w:t>标的项目土地面积为136340.55平方米，总建筑规模为198676.7平方米。该项目分为三期开发，一、二期规划建设21栋洋房住宅楼及2栋独立商业楼，其中3#-7#、9#-16#、18#-22#、26#-28#楼为洋房住宅楼，1#、2#楼为独立商业楼。住宅楼均为地上6层，7#楼地下1层为设备用房，除7#楼外其他楼宇无地下建筑面积，另，临红旗路住宅楼地上1-2层为配套商业；独立商业楼为地上2层建筑，目前作为项目售楼处及办公场所使用，项目完成销售后改部分拟用作会所使用。项目一期、二期于2018年开工建设，交付时间为2020年底。项目三期规划建23栋建筑，主力用途为洋房，地下为整体设计的车库。该项目建筑均为钢混结构。</w:t>
      </w:r>
    </w:p>
    <w:p>
      <w:pPr>
        <w:pStyle w:val="2"/>
        <w:keepNext w:val="0"/>
        <w:keepLines w:val="0"/>
        <w:numPr>
          <w:ilvl w:val="0"/>
          <w:numId w:val="1"/>
        </w:numPr>
        <w:spacing w:before="300" w:after="300" w:line="360" w:lineRule="exact"/>
        <w:jc w:val="left"/>
        <w:rPr>
          <w:rFonts w:ascii="Arial" w:hAnsi="Arial"/>
          <w:sz w:val="24"/>
          <w:szCs w:val="24"/>
        </w:rPr>
      </w:pPr>
      <w:bookmarkStart w:id="7" w:name="_Toc535580089"/>
      <w:bookmarkStart w:id="8" w:name="_Toc32628"/>
      <w:bookmarkStart w:id="9" w:name="_Toc535570748"/>
      <w:bookmarkStart w:id="10" w:name="_Toc535508634"/>
      <w:bookmarkStart w:id="11" w:name="_Toc532281655"/>
      <w:bookmarkStart w:id="12" w:name="_Toc535580021"/>
      <w:r>
        <w:rPr>
          <w:rFonts w:hint="eastAsia" w:ascii="Arial" w:hAnsi="Arial"/>
          <w:sz w:val="24"/>
          <w:szCs w:val="24"/>
        </w:rPr>
        <w:t>重大事件披露</w:t>
      </w:r>
      <w:bookmarkEnd w:id="7"/>
      <w:bookmarkEnd w:id="8"/>
      <w:bookmarkEnd w:id="9"/>
      <w:bookmarkEnd w:id="10"/>
      <w:bookmarkEnd w:id="11"/>
      <w:bookmarkEnd w:id="1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1、2020年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</w:rPr>
        <w:t>2月16日，在项目公司行政部与财务部的见证下，康信资管对荣丰华瑞实业有限公司网银账户U盾（复核盾）完成退场交接，2020年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hint="eastAsia" w:ascii="Arial" w:hAnsi="Arial" w:cs="Arial"/>
          <w:bCs/>
          <w:kern w:val="44"/>
          <w:szCs w:val="21"/>
        </w:rPr>
        <w:t>2月17日，在项目公司行政部与财务部的见证下，康信资管对荣丰华瑞实业有限公司法人章、财务专用章、不动产权证书、基本存款账户信息、营业执照正本（91460100082548909X）、营业执照副本（2-1）、营业执照副本（2-2）、准予变更登记通知书（法人变更）完成退场交接，2020年12月18日，在项目公司行政部与财务部的见证下，康信资管对荣丰华瑞实业有限公司公章、合同专用章完成退场交接，详情详见附件二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2、2020年12月21日，驻场监管人员陪同项目公司出纳外出办理银行预留印鉴变更事宜，于2020年12月23日办理完8家银行浙金信托预留印鉴解除，并当日寄回浙金信托印鉴。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sz w:val="24"/>
          <w:szCs w:val="24"/>
        </w:rPr>
      </w:pPr>
      <w:bookmarkStart w:id="13" w:name="_Toc535570749"/>
      <w:bookmarkStart w:id="14" w:name="_Toc535580090"/>
      <w:bookmarkStart w:id="15" w:name="_Toc535508635"/>
      <w:bookmarkStart w:id="16" w:name="_Toc532281656"/>
      <w:bookmarkStart w:id="17" w:name="_Toc19497"/>
      <w:bookmarkStart w:id="18" w:name="_Toc535580022"/>
      <w:r>
        <w:rPr>
          <w:rFonts w:hint="eastAsia" w:ascii="Arial" w:hAnsi="Arial"/>
          <w:sz w:val="24"/>
          <w:szCs w:val="24"/>
        </w:rPr>
        <w:t>3项目五证办理及施工进度情况</w:t>
      </w:r>
      <w:bookmarkEnd w:id="13"/>
      <w:bookmarkEnd w:id="14"/>
      <w:bookmarkEnd w:id="15"/>
      <w:bookmarkEnd w:id="16"/>
      <w:bookmarkEnd w:id="17"/>
      <w:bookmarkEnd w:id="18"/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9" w:name="_Toc535580023"/>
      <w:bookmarkStart w:id="20" w:name="_Toc9287"/>
      <w:bookmarkStart w:id="21" w:name="_Toc535580091"/>
      <w:bookmarkStart w:id="22" w:name="_Toc535570750"/>
      <w:bookmarkStart w:id="23" w:name="_Toc535508636"/>
      <w:bookmarkStart w:id="24" w:name="_Toc532281657"/>
      <w:r>
        <w:rPr>
          <w:rFonts w:hint="eastAsia" w:eastAsia="宋体"/>
          <w:sz w:val="24"/>
        </w:rPr>
        <w:t>3.1项目五证办理情况说明</w:t>
      </w:r>
      <w:bookmarkEnd w:id="19"/>
      <w:bookmarkEnd w:id="20"/>
      <w:bookmarkEnd w:id="21"/>
      <w:bookmarkEnd w:id="22"/>
      <w:bookmarkEnd w:id="23"/>
      <w:bookmarkEnd w:id="24"/>
    </w:p>
    <w:p>
      <w:pPr>
        <w:spacing w:before="240" w:beforeLines="100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hint="eastAsia" w:ascii="Arial" w:hAnsi="Arial" w:cs="Arial"/>
          <w:b/>
          <w:bCs/>
          <w:kern w:val="44"/>
          <w:sz w:val="24"/>
          <w:szCs w:val="44"/>
        </w:rPr>
        <w:t>截至2020年12月项目五证办理计划及进度情况</w:t>
      </w:r>
    </w:p>
    <w:tbl>
      <w:tblPr>
        <w:tblStyle w:val="11"/>
        <w:tblW w:w="0" w:type="auto"/>
        <w:tblInd w:w="93" w:type="dxa"/>
        <w:tblLayout w:type="fixed"/>
        <w:tblCellMar>
          <w:top w:w="28" w:type="dxa"/>
          <w:left w:w="57" w:type="dxa"/>
          <w:bottom w:w="28" w:type="dxa"/>
          <w:right w:w="57" w:type="dxa"/>
        </w:tblCellMar>
      </w:tblPr>
      <w:tblGrid>
        <w:gridCol w:w="1080"/>
        <w:gridCol w:w="4720"/>
        <w:gridCol w:w="3220"/>
      </w:tblGrid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一期</w:t>
            </w:r>
          </w:p>
        </w:tc>
        <w:tc>
          <w:tcPr>
            <w:tcW w:w="47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2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已于2017/6/20日核发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海口市已取消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已于2018/11/9日核发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已于2018/11/19日核发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已于2018/12/14日核发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二期</w:t>
            </w: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已于2017/6/20日核发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海口市已取消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已于2018/11/9日核发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已于2018/11/21日核发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已于2019/8/30日核发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三期</w:t>
            </w: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已于2017/6/20日核发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海口市已取消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建设工程规划许可证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已于2019/7/25日核发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建筑工程施工许可证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已于2019/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/2</w:t>
            </w: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日核发</w:t>
            </w:r>
          </w:p>
        </w:tc>
      </w:tr>
      <w:tr>
        <w:tblPrEx>
          <w:tblCellMar>
            <w:top w:w="28" w:type="dxa"/>
            <w:left w:w="57" w:type="dxa"/>
            <w:bottom w:w="28" w:type="dxa"/>
            <w:right w:w="57" w:type="dxa"/>
          </w:tblCellMar>
        </w:tblPrEx>
        <w:trPr>
          <w:trHeight w:val="397" w:hRule="atLeast"/>
        </w:trPr>
        <w:tc>
          <w:tcPr>
            <w:tcW w:w="108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预售许可证</w:t>
            </w:r>
          </w:p>
        </w:tc>
        <w:tc>
          <w:tcPr>
            <w:tcW w:w="3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已于2020年4月25日核发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25" w:name="_Toc26153"/>
      <w:r>
        <w:rPr>
          <w:rFonts w:hint="eastAsia" w:eastAsia="宋体"/>
          <w:sz w:val="24"/>
        </w:rPr>
        <w:t>3.2项目2020年12月施工进度情况</w:t>
      </w:r>
      <w:bookmarkEnd w:id="25"/>
    </w:p>
    <w:p>
      <w:pPr>
        <w:spacing w:line="480" w:lineRule="auto"/>
        <w:ind w:firstLine="420" w:firstLineChars="2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截至2020年12月16日，标的项目售楼处已实现对外开放，一二三期全部楼栋均已实现主体封顶，各楼栋详细工程进度情况如下：</w:t>
      </w:r>
    </w:p>
    <w:p>
      <w:pPr>
        <w:numPr>
          <w:ilvl w:val="0"/>
          <w:numId w:val="2"/>
        </w:numPr>
        <w:spacing w:line="480" w:lineRule="auto"/>
        <w:ind w:firstLine="422" w:firstLineChars="200"/>
        <w:contextualSpacing/>
        <w:rPr>
          <w:rFonts w:ascii="Arial" w:hAnsi="Arial" w:cs="Arial"/>
          <w:b/>
          <w:bCs/>
          <w:kern w:val="44"/>
          <w:szCs w:val="21"/>
        </w:rPr>
      </w:pPr>
      <w:r>
        <w:rPr>
          <w:rFonts w:hint="eastAsia" w:ascii="Arial" w:hAnsi="Arial" w:cs="Arial"/>
          <w:b/>
          <w:bCs/>
          <w:kern w:val="44"/>
          <w:szCs w:val="21"/>
        </w:rPr>
        <w:t>二期各楼栋程进度情况：</w:t>
      </w:r>
    </w:p>
    <w:p>
      <w:pPr>
        <w:numPr>
          <w:ilvl w:val="0"/>
          <w:numId w:val="3"/>
        </w:numPr>
        <w:spacing w:line="480" w:lineRule="auto"/>
        <w:ind w:firstLine="630" w:firstLineChars="3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二期楼栋已达到交付标准，正在准备竣工完备、档案归纳阶段。</w:t>
      </w:r>
    </w:p>
    <w:p>
      <w:pPr>
        <w:spacing w:line="480" w:lineRule="auto"/>
        <w:ind w:firstLine="422" w:firstLineChars="200"/>
        <w:contextualSpacing/>
        <w:rPr>
          <w:rFonts w:ascii="Arial" w:hAnsi="Arial" w:cs="Arial"/>
          <w:b/>
          <w:bCs/>
          <w:kern w:val="44"/>
          <w:szCs w:val="21"/>
        </w:rPr>
      </w:pPr>
      <w:r>
        <w:rPr>
          <w:rFonts w:hint="eastAsia" w:ascii="Arial" w:hAnsi="Arial" w:cs="Arial"/>
          <w:b/>
          <w:bCs/>
          <w:kern w:val="44"/>
          <w:szCs w:val="21"/>
        </w:rPr>
        <w:t>三期楼栋施工进程情况：</w:t>
      </w:r>
    </w:p>
    <w:p>
      <w:pPr>
        <w:spacing w:line="480" w:lineRule="auto"/>
        <w:ind w:firstLine="630" w:firstLineChars="3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8#、17#、18#、23#、25#、26#、30#、31#、32#、35#、39#、40#、41#、42#、44#主体结构封顶已完成；</w:t>
      </w:r>
    </w:p>
    <w:p>
      <w:pPr>
        <w:spacing w:line="480" w:lineRule="auto"/>
        <w:ind w:firstLine="630" w:firstLineChars="3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34#楼：1-3层主体结构完成：五层梁板绑扎完成，1-4层安全文明相关措施、脚手架完成；</w:t>
      </w:r>
    </w:p>
    <w:p>
      <w:pPr>
        <w:spacing w:line="480" w:lineRule="auto"/>
        <w:ind w:left="630" w:leftChars="3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39#楼：1-4层主体结构完成:五层墙柱钢筋绑扎完成，1-5层安全文明相关措施、脚手架完成</w:t>
      </w:r>
      <w:r>
        <w:rPr>
          <w:rFonts w:hint="eastAsia" w:ascii="Arial" w:hAnsi="Arial" w:cs="Arial"/>
          <w:bCs/>
          <w:kern w:val="44"/>
          <w:szCs w:val="21"/>
        </w:rPr>
        <w:t>；38#楼：1-5层主体结构完成：六层顶板支模完成50%及其1-6层安全文明相关措施、脚手架完成；</w:t>
      </w:r>
    </w:p>
    <w:p>
      <w:pPr>
        <w:spacing w:line="480" w:lineRule="auto"/>
        <w:ind w:left="630" w:leftChars="3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36#楼：1-3层主体结构完成，五层梁板支模完成60%；1-3层安全文明相关措施、脚手架完成；43#楼：1-5层主体结构完成，斜屋面钢筋绑扎完成，2-5层砌筑完成；1-6层及其安全文明相关措施、脚手架完成；</w:t>
      </w:r>
    </w:p>
    <w:p>
      <w:pPr>
        <w:pageBreakBefore/>
        <w:ind w:right="437" w:rightChars="208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标的项目现场照片（2020年12月13日）</w:t>
      </w:r>
    </w:p>
    <w:p>
      <w:pPr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86995</wp:posOffset>
                </wp:positionV>
                <wp:extent cx="2707005" cy="1924685"/>
                <wp:effectExtent l="5080" t="5080" r="15875" b="57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005" cy="1924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494280" cy="1793240"/>
                                  <wp:effectExtent l="0" t="0" r="5080" b="5080"/>
                                  <wp:docPr id="16" name="图片 2" descr="91cf95e31d4e31c5be4135f5bb6c28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2" descr="91cf95e31d4e31c5be4135f5bb6c28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280" cy="179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6.85pt;height:151.55pt;width:213.15pt;z-index:251660288;mso-width-relative:page;mso-height-relative:page;" fillcolor="#FFFFFF" filled="t" stroked="t" coordsize="21600,21600" o:gfxdata="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09i+FNcAAAAIAQAADwAAAAAAAAABACAAAAAi&#10;AAAAZHJzL2Rvd25yZXYueG1sUEsBAhQAFAAAAAgAh07iQNHsOI4LAgAANwQAAA4AAAAAAAAAAQAg&#10;AAAAJg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494280" cy="1793240"/>
                            <wp:effectExtent l="0" t="0" r="5080" b="5080"/>
                            <wp:docPr id="16" name="图片 2" descr="91cf95e31d4e31c5be4135f5bb6c28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2" descr="91cf95e31d4e31c5be4135f5bb6c28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280" cy="179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86995</wp:posOffset>
                </wp:positionV>
                <wp:extent cx="2796540" cy="1953260"/>
                <wp:effectExtent l="5080" t="4445" r="17780" b="82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195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00325" cy="1950720"/>
                                  <wp:effectExtent l="0" t="0" r="5715" b="0"/>
                                  <wp:docPr id="18" name="图片 3" descr="06a2ed4839fa96f1c2186e3d435c1f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3" descr="06a2ed4839fa96f1c2186e3d435c1f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0325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75pt;margin-top:6.85pt;height:153.8pt;width:220.2pt;mso-wrap-style:none;z-index:251659264;mso-width-relative:page;mso-height-relative:page;" fillcolor="#FFFFFF" filled="t" stroked="t" coordsize="21600,21600" o:gfxdata="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iE0bc&#10;2wAAAAoBAAAPAAAAAAAAAAEAIAAAACIAAABkcnMvZG93bnJldi54bWxQSwECFAAUAAAACACHTuJA&#10;PEGqUh4CAABdBAAADgAAAAAAAAABACAAAAAq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00325" cy="1950720"/>
                            <wp:effectExtent l="0" t="0" r="5715" b="0"/>
                            <wp:docPr id="18" name="图片 3" descr="06a2ed4839fa96f1c2186e3d435c1f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3" descr="06a2ed4839fa96f1c2186e3d435c1f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0325" cy="1950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/>
          <w:sz w:val="28"/>
          <w:szCs w:val="28"/>
        </w:rPr>
        <w:t xml:space="preserve">                             </w:t>
      </w:r>
    </w:p>
    <w:p>
      <w:pPr>
        <w:jc w:val="left"/>
        <w:rPr>
          <w:rFonts w:ascii="Arial" w:hAnsi="Arial"/>
          <w:sz w:val="28"/>
          <w:szCs w:val="28"/>
        </w:rPr>
      </w:pPr>
    </w:p>
    <w:p>
      <w:pPr>
        <w:jc w:val="left"/>
        <w:rPr>
          <w:rFonts w:ascii="Arial" w:hAnsi="Arial"/>
          <w:sz w:val="28"/>
          <w:szCs w:val="28"/>
        </w:rPr>
      </w:pPr>
    </w:p>
    <w:p>
      <w:pPr>
        <w:jc w:val="left"/>
        <w:rPr>
          <w:rFonts w:ascii="Arial" w:hAnsi="Arial"/>
          <w:sz w:val="28"/>
          <w:szCs w:val="28"/>
        </w:rPr>
      </w:pPr>
    </w:p>
    <w:p>
      <w:pPr>
        <w:jc w:val="left"/>
        <w:rPr>
          <w:rFonts w:ascii="Arial" w:hAnsi="Arial"/>
          <w:sz w:val="28"/>
          <w:szCs w:val="28"/>
        </w:rPr>
      </w:pPr>
    </w:p>
    <w:p>
      <w:pPr>
        <w:jc w:val="left"/>
        <w:rPr>
          <w:rFonts w:ascii="Arial" w:hAnsi="Arial"/>
          <w:sz w:val="28"/>
          <w:szCs w:val="28"/>
        </w:rPr>
      </w:pPr>
    </w:p>
    <w:p>
      <w:pPr>
        <w:jc w:val="left"/>
        <w:rPr>
          <w:rFonts w:ascii="Arial" w:hAnsi="Arial"/>
          <w:szCs w:val="28"/>
        </w:rPr>
      </w:pPr>
    </w:p>
    <w:p>
      <w:pPr>
        <w:ind w:right="-716" w:rightChars="-341"/>
        <w:jc w:val="left"/>
        <w:rPr>
          <w:rFonts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ascii="Arial" w:hAnsi="Arial"/>
          <w:sz w:val="18"/>
          <w:szCs w:val="28"/>
        </w:rPr>
      </w:pPr>
    </w:p>
    <w:p>
      <w:pPr>
        <w:ind w:right="-716" w:rightChars="-341"/>
        <w:jc w:val="left"/>
        <w:rPr>
          <w:rFonts w:ascii="Arial" w:hAnsi="Arial"/>
          <w:sz w:val="18"/>
          <w:szCs w:val="28"/>
        </w:rPr>
      </w:pPr>
    </w:p>
    <w:p>
      <w:pPr>
        <w:ind w:right="-716" w:rightChars="-341" w:firstLine="1440" w:firstLineChars="800"/>
        <w:jc w:val="left"/>
        <w:rPr>
          <w:rFonts w:ascii="Arial" w:hAnsi="Arial"/>
          <w:sz w:val="18"/>
          <w:szCs w:val="28"/>
        </w:rPr>
      </w:pPr>
      <w:r>
        <w:rPr>
          <w:rFonts w:hint="eastAsia" w:ascii="Arial" w:hAnsi="Arial"/>
          <w:sz w:val="18"/>
          <w:szCs w:val="28"/>
        </w:rPr>
        <w:t>1、一期现场房屋状况</w:t>
      </w:r>
      <w:r>
        <w:rPr>
          <w:rFonts w:hint="eastAsia" w:ascii="Arial" w:hAnsi="Arial"/>
          <w:sz w:val="18"/>
          <w:szCs w:val="18"/>
        </w:rPr>
        <w:t xml:space="preserve">                                       2、一期室内装修状况</w:t>
      </w:r>
    </w:p>
    <w:p>
      <w:pPr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63500</wp:posOffset>
                </wp:positionV>
                <wp:extent cx="2815590" cy="1928495"/>
                <wp:effectExtent l="4445" t="4445" r="14605" b="1778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192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622550" cy="1832610"/>
                                  <wp:effectExtent l="0" t="0" r="13970" b="11430"/>
                                  <wp:docPr id="8" name="图片 4" descr="f36dbc28301ad5689ea2b21c38fad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4" descr="f36dbc28301ad5689ea2b21c38fad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2550" cy="183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25pt;margin-top:5pt;height:151.85pt;width:221.7pt;z-index:251662336;mso-width-relative:page;mso-height-relative:page;" fillcolor="#FFFFFF" filled="t" stroked="t" coordsize="21600,21600" o:gfxdata="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SQorO2QAAAAoBAAAP&#10;AAAAAAAAAAEAIAAAACIAAABkcnMvZG93bnJldi54bWxQSwECFAAUAAAACACHTuJANpjFjBcCAABT&#10;BAAADgAAAAAAAAABACAAAAAo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622550" cy="1832610"/>
                            <wp:effectExtent l="0" t="0" r="13970" b="11430"/>
                            <wp:docPr id="8" name="图片 4" descr="f36dbc28301ad5689ea2b21c38fad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4" descr="f36dbc28301ad5689ea2b21c38fad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2550" cy="183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60325</wp:posOffset>
                </wp:positionV>
                <wp:extent cx="2722245" cy="1931670"/>
                <wp:effectExtent l="4445" t="4445" r="16510" b="1460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193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23490" cy="1793240"/>
                                  <wp:effectExtent l="0" t="0" r="6350" b="5080"/>
                                  <wp:docPr id="15" name="图片 5" descr="dd0ba44a2764de5f406b5f010c4ea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5" descr="dd0ba44a2764de5f406b5f010c4ea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490" cy="1793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7pt;margin-top:4.75pt;height:152.1pt;width:214.35pt;z-index:251658240;mso-width-relative:page;mso-height-relative:page;" fillcolor="#FFFFFF" filled="t" stroked="t" coordsize="21600,21600" o:gfxdata="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pBp811gAAAAcBAAAP&#10;AAAAAAAAAAEAIAAAACIAAABkcnMvZG93bnJldi54bWxQSwECFAAUAAAACACHTuJAIu0eWhoCAABR&#10;BAAADgAAAAAAAAABACAAAAAl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23490" cy="1793240"/>
                            <wp:effectExtent l="0" t="0" r="6350" b="5080"/>
                            <wp:docPr id="15" name="图片 5" descr="dd0ba44a2764de5f406b5f010c4ea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5" descr="dd0ba44a2764de5f406b5f010c4ea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490" cy="1793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/>
          <w:sz w:val="28"/>
          <w:szCs w:val="28"/>
        </w:rPr>
      </w:pPr>
    </w:p>
    <w:p>
      <w:pPr>
        <w:rPr>
          <w:rFonts w:ascii="Arial" w:hAnsi="Arial"/>
          <w:sz w:val="28"/>
          <w:szCs w:val="28"/>
        </w:rPr>
      </w:pPr>
    </w:p>
    <w:p>
      <w:pPr>
        <w:rPr>
          <w:rFonts w:ascii="Arial" w:hAnsi="Arial"/>
          <w:sz w:val="28"/>
          <w:szCs w:val="28"/>
        </w:rPr>
      </w:pPr>
    </w:p>
    <w:p>
      <w:pPr>
        <w:rPr>
          <w:rFonts w:ascii="Arial" w:hAnsi="Arial"/>
          <w:sz w:val="28"/>
          <w:szCs w:val="28"/>
        </w:rPr>
      </w:pPr>
    </w:p>
    <w:p>
      <w:pPr>
        <w:ind w:right="-506" w:rightChars="-241"/>
        <w:rPr>
          <w:rFonts w:ascii="Arial" w:hAnsi="Arial"/>
          <w:sz w:val="28"/>
          <w:szCs w:val="28"/>
        </w:rPr>
      </w:pPr>
    </w:p>
    <w:p>
      <w:pPr>
        <w:ind w:right="-506" w:rightChars="-241"/>
        <w:rPr>
          <w:rFonts w:ascii="Arial" w:hAnsi="Arial"/>
          <w:sz w:val="18"/>
          <w:szCs w:val="18"/>
        </w:rPr>
      </w:pPr>
    </w:p>
    <w:p>
      <w:pPr>
        <w:ind w:right="-506" w:rightChars="-241"/>
        <w:rPr>
          <w:rFonts w:ascii="Arial" w:hAnsi="Arial"/>
          <w:sz w:val="18"/>
          <w:szCs w:val="18"/>
        </w:rPr>
      </w:pPr>
    </w:p>
    <w:p>
      <w:pPr>
        <w:ind w:right="-506" w:rightChars="-241"/>
        <w:rPr>
          <w:rFonts w:ascii="Arial" w:hAnsi="Arial"/>
          <w:sz w:val="18"/>
          <w:szCs w:val="18"/>
        </w:rPr>
      </w:pPr>
    </w:p>
    <w:p>
      <w:pPr>
        <w:ind w:right="-506" w:rightChars="-241"/>
        <w:rPr>
          <w:rFonts w:ascii="Arial" w:hAnsi="Arial"/>
          <w:sz w:val="18"/>
          <w:szCs w:val="18"/>
        </w:rPr>
      </w:pPr>
    </w:p>
    <w:p>
      <w:pPr>
        <w:ind w:right="-506" w:rightChars="-241"/>
        <w:rPr>
          <w:rFonts w:ascii="Arial" w:hAnsi="Arial"/>
          <w:sz w:val="18"/>
          <w:szCs w:val="18"/>
        </w:rPr>
      </w:pPr>
    </w:p>
    <w:p>
      <w:pPr>
        <w:ind w:right="-506" w:rightChars="-241"/>
        <w:rPr>
          <w:rFonts w:ascii="Arial" w:hAnsi="Arial"/>
          <w:sz w:val="18"/>
          <w:szCs w:val="18"/>
        </w:rPr>
      </w:pPr>
    </w:p>
    <w:p>
      <w:pPr>
        <w:ind w:right="-506" w:rightChars="-241" w:firstLine="1260" w:firstLineChars="700"/>
        <w:rPr>
          <w:rFonts w:ascii="Arial" w:hAnsi="Arial"/>
          <w:sz w:val="28"/>
          <w:szCs w:val="28"/>
        </w:rPr>
      </w:pPr>
      <w:r>
        <w:rPr>
          <w:rFonts w:hint="eastAsia" w:ascii="Arial" w:hAnsi="Arial"/>
          <w:sz w:val="18"/>
          <w:szCs w:val="18"/>
        </w:rPr>
        <w:t>3、二期房屋客厅精装修状况</w:t>
      </w:r>
      <w:r>
        <w:rPr>
          <w:rFonts w:hint="eastAsia" w:ascii="Arial" w:hAnsi="Arial"/>
          <w:sz w:val="28"/>
          <w:szCs w:val="28"/>
        </w:rPr>
        <w:t xml:space="preserve">                      </w:t>
      </w:r>
      <w:r>
        <w:rPr>
          <w:rFonts w:hint="eastAsia" w:ascii="Arial" w:hAnsi="Arial"/>
          <w:sz w:val="18"/>
          <w:szCs w:val="18"/>
        </w:rPr>
        <w:t>4、二期房屋外观</w:t>
      </w:r>
    </w:p>
    <w:p>
      <w:pPr>
        <w:rPr>
          <w:rFonts w:ascii="Arial" w:hAnsi="Arial"/>
          <w:sz w:val="28"/>
          <w:szCs w:val="28"/>
        </w:rPr>
      </w:pPr>
      <w:r>
        <w:rPr>
          <w:rFonts w:hint="eastAsia"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119380</wp:posOffset>
                </wp:positionV>
                <wp:extent cx="2801620" cy="2076450"/>
                <wp:effectExtent l="4445" t="4445" r="13335" b="698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08885" cy="1881505"/>
                                  <wp:effectExtent l="0" t="0" r="5715" b="8255"/>
                                  <wp:docPr id="6" name="图片 6" descr="c7c159b4a018db38a0c8b7345329a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c7c159b4a018db38a0c8b7345329a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885" cy="188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35pt;margin-top:9.4pt;height:163.5pt;width:220.6pt;z-index:251663360;mso-width-relative:page;mso-height-relative:page;" fillcolor="#FFFFFF" filled="t" stroked="t" coordsize="21600,21600" o:gfxdata="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qZnPh2QAAAAoBAAAPAAAAAAAAAAEA&#10;IAAAACIAAABkcnMvZG93bnJldi54bWxQSwECFAAUAAAACACHTuJA7LasLQ4CAAA5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08885" cy="1881505"/>
                            <wp:effectExtent l="0" t="0" r="5715" b="8255"/>
                            <wp:docPr id="6" name="图片 6" descr="c7c159b4a018db38a0c8b7345329a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c7c159b4a018db38a0c8b7345329a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8885" cy="188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142875</wp:posOffset>
                </wp:positionV>
                <wp:extent cx="2705735" cy="2052955"/>
                <wp:effectExtent l="4445" t="4445" r="17780" b="1524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35" cy="2052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2541905" cy="1892300"/>
                                  <wp:effectExtent l="0" t="0" r="3175" b="12700"/>
                                  <wp:docPr id="1" name="图片 7" descr="545c3d490b41e00fd8115a65410d5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7" descr="545c3d490b41e00fd8115a65410d5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1905" cy="189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25pt;margin-top:11.25pt;height:161.65pt;width:213.05pt;z-index:251661312;mso-width-relative:page;mso-height-relative:page;" fillcolor="#FFFFFF" filled="t" stroked="t" coordsize="21600,21600" o:gfxdata="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D2lutgAAAAIAQAADwAAAAAAAAABACAA&#10;AAAiAAAAZHJzL2Rvd25yZXYueG1sUEsBAhQAFAAAAAgAh07iQOSHjnoNAgAAOQ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2541905" cy="1892300"/>
                            <wp:effectExtent l="0" t="0" r="3175" b="12700"/>
                            <wp:docPr id="1" name="图片 7" descr="545c3d490b41e00fd8115a65410d53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7" descr="545c3d490b41e00fd8115a65410d53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1905" cy="189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/>
          <w:sz w:val="28"/>
          <w:szCs w:val="28"/>
        </w:rPr>
      </w:pPr>
    </w:p>
    <w:p>
      <w:pPr>
        <w:rPr>
          <w:rFonts w:ascii="Arial" w:hAnsi="Arial"/>
          <w:sz w:val="28"/>
          <w:szCs w:val="28"/>
        </w:rPr>
      </w:pPr>
    </w:p>
    <w:p>
      <w:pPr>
        <w:rPr>
          <w:rFonts w:ascii="Arial" w:hAnsi="Arial"/>
          <w:sz w:val="28"/>
          <w:szCs w:val="28"/>
        </w:rPr>
      </w:pPr>
    </w:p>
    <w:p>
      <w:pPr>
        <w:rPr>
          <w:rFonts w:ascii="Arial" w:hAnsi="Arial"/>
          <w:sz w:val="28"/>
          <w:szCs w:val="28"/>
        </w:rPr>
      </w:pPr>
    </w:p>
    <w:p>
      <w:pPr>
        <w:ind w:firstLine="560" w:firstLineChars="200"/>
        <w:rPr>
          <w:rFonts w:ascii="Arial" w:hAnsi="Arial"/>
          <w:sz w:val="28"/>
          <w:szCs w:val="28"/>
        </w:rPr>
      </w:pPr>
    </w:p>
    <w:p>
      <w:pPr>
        <w:rPr>
          <w:rFonts w:ascii="Arial" w:hAnsi="Arial"/>
          <w:sz w:val="18"/>
          <w:szCs w:val="18"/>
        </w:rPr>
      </w:pPr>
    </w:p>
    <w:p>
      <w:pPr>
        <w:rPr>
          <w:rFonts w:ascii="Arial" w:hAnsi="Arial"/>
          <w:sz w:val="18"/>
          <w:szCs w:val="18"/>
        </w:rPr>
      </w:pPr>
    </w:p>
    <w:p>
      <w:pPr>
        <w:rPr>
          <w:rFonts w:ascii="Arial" w:hAnsi="Arial"/>
          <w:sz w:val="18"/>
          <w:szCs w:val="18"/>
        </w:rPr>
      </w:pPr>
    </w:p>
    <w:p>
      <w:pPr>
        <w:rPr>
          <w:rFonts w:ascii="Arial" w:hAnsi="Arial"/>
          <w:sz w:val="18"/>
          <w:szCs w:val="18"/>
        </w:rPr>
      </w:pPr>
    </w:p>
    <w:p>
      <w:pPr>
        <w:rPr>
          <w:rFonts w:ascii="Arial" w:hAnsi="Arial"/>
          <w:sz w:val="18"/>
          <w:szCs w:val="18"/>
        </w:rPr>
      </w:pPr>
    </w:p>
    <w:p>
      <w:pPr>
        <w:rPr>
          <w:rFonts w:ascii="Arial" w:hAnsi="Arial"/>
          <w:sz w:val="18"/>
          <w:szCs w:val="18"/>
        </w:rPr>
      </w:pPr>
    </w:p>
    <w:p>
      <w:pPr>
        <w:rPr>
          <w:rFonts w:ascii="Arial" w:hAnsi="Arial"/>
          <w:sz w:val="18"/>
          <w:szCs w:val="18"/>
        </w:rPr>
      </w:pPr>
    </w:p>
    <w:p>
      <w:pPr>
        <w:rPr>
          <w:rFonts w:ascii="Arial" w:hAnsi="Arial"/>
          <w:sz w:val="18"/>
          <w:szCs w:val="18"/>
        </w:rPr>
      </w:pPr>
    </w:p>
    <w:p>
      <w:pPr>
        <w:ind w:firstLine="1260" w:firstLineChars="700"/>
        <w:rPr>
          <w:rFonts w:ascii="Arial" w:hAnsi="Arial"/>
          <w:sz w:val="28"/>
          <w:szCs w:val="28"/>
        </w:rPr>
      </w:pPr>
      <w:r>
        <w:rPr>
          <w:rFonts w:hint="eastAsia" w:ascii="Arial" w:hAnsi="Arial"/>
          <w:sz w:val="18"/>
          <w:szCs w:val="18"/>
        </w:rPr>
        <w:t xml:space="preserve"> 5、三期地面施工现场                                     6、无忌海门口整体效果图</w:t>
      </w:r>
    </w:p>
    <w:p>
      <w:pPr>
        <w:tabs>
          <w:tab w:val="left" w:pos="1890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ab/>
      </w:r>
    </w:p>
    <w:p>
      <w:pPr>
        <w:rPr>
          <w:rFonts w:ascii="Arial" w:hAnsi="Arial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480" w:lineRule="auto"/>
        <w:contextualSpacing/>
        <w:rPr>
          <w:rFonts w:ascii="Arial" w:hAnsi="Arial"/>
          <w:sz w:val="24"/>
          <w:szCs w:val="24"/>
        </w:rPr>
      </w:pPr>
      <w:bookmarkStart w:id="26" w:name="_Toc535580094"/>
      <w:bookmarkStart w:id="27" w:name="_Toc535570753"/>
      <w:bookmarkStart w:id="28" w:name="_Toc535580026"/>
      <w:bookmarkStart w:id="29" w:name="_Toc532281660"/>
      <w:bookmarkStart w:id="30" w:name="_Toc535508639"/>
      <w:r>
        <w:rPr>
          <w:b w:val="0"/>
          <w:sz w:val="24"/>
        </w:rPr>
        <w:br w:type="page"/>
      </w:r>
      <w:bookmarkStart w:id="31" w:name="_Toc29442"/>
      <w:r>
        <w:rPr>
          <w:rFonts w:hint="eastAsia" w:ascii="Arial" w:hAnsi="Arial"/>
          <w:sz w:val="24"/>
          <w:szCs w:val="24"/>
        </w:rPr>
        <w:t>4印鉴使用情况</w:t>
      </w:r>
      <w:bookmarkEnd w:id="26"/>
      <w:bookmarkEnd w:id="27"/>
      <w:bookmarkEnd w:id="28"/>
      <w:bookmarkEnd w:id="29"/>
      <w:bookmarkEnd w:id="30"/>
      <w:bookmarkEnd w:id="31"/>
    </w:p>
    <w:p>
      <w:pPr>
        <w:spacing w:line="480" w:lineRule="auto"/>
        <w:ind w:firstLine="420" w:firstLineChars="200"/>
        <w:contextualSpacing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资管监管人员了解用印事由，通过邮件等方式向浙金信托有关人员提交用印申请，待浙金信托有关人员批复后方给予盖章。使用情况详见下表：</w:t>
      </w:r>
    </w:p>
    <w:p>
      <w:pPr>
        <w:spacing w:before="240" w:beforeLines="100"/>
        <w:jc w:val="center"/>
        <w:rPr>
          <w:rFonts w:ascii="Arial" w:hAnsi="Arial"/>
          <w:b/>
          <w:sz w:val="24"/>
          <w:szCs w:val="28"/>
        </w:rPr>
      </w:pPr>
      <w:r>
        <w:rPr>
          <w:rFonts w:hint="eastAsia" w:ascii="Arial" w:hAnsi="Arial"/>
          <w:b/>
          <w:sz w:val="24"/>
          <w:szCs w:val="28"/>
        </w:rPr>
        <w:t>2020年12月印章使用情况表</w:t>
      </w:r>
    </w:p>
    <w:tbl>
      <w:tblPr>
        <w:tblStyle w:val="11"/>
        <w:tblW w:w="10217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27"/>
        <w:gridCol w:w="2023"/>
        <w:gridCol w:w="1970"/>
        <w:gridCol w:w="1370"/>
        <w:gridCol w:w="992"/>
        <w:gridCol w:w="1417"/>
        <w:gridCol w:w="141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tblHeader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材料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印鉴名称及使用次数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申请人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kern w:val="0"/>
                <w:sz w:val="18"/>
                <w:szCs w:val="18"/>
                <w:lang w:bidi="ar"/>
              </w:rPr>
              <w:t>执行</w:t>
            </w: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人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  <w:lang w:bidi="ar"/>
              </w:rPr>
              <w:t>部门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关于无忌海项目规划核实、（一期）1#、2#楼物价备案用印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无忌海项目（一期）1#、2#楼（商业）销售价格备案申请书、商品房销售价目表、项目成本测算表、 预售方案、定价说明、基础设施配套费通知书及发票、基础资料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公章（20）法人章（4）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徐哲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2020/12/2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离职证明用印申请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离职证明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公章（1）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姚兴斗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人力资源部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2020/12/2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关于加快污水处理站施工进度督促用印申请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加快污水处理站施工进度再次督促函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公章（2）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梁昌伟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2020/12/3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关于维修基金授权委托书及门牌用印申登记证明用印请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开户申请、登记证明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公章（1）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高峰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客户关系部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关于无忌海一二期竣工验收资料、三期安全综合考评表用印申请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住宅工程质量投诉处理承诺书、工程质量整改情况报告书、授权书、建设单位工程质量终身责任制承诺书、三期安全生产标准化综合考评表、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公章（3）法人章（4）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吴艳敏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工程部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2020/12/7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关于无忌海一二期向住建局房管处办理实测采信用印申请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测绘委托书、建设工程规划核实意见书、不动产权证书复印件（6）、房屋面积测绘成果报告书、测绘报告（竣工报告）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公章（20）法人章（3）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徐哲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2020/12/7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无忌海项目园林和消防验收申报用印申请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一二期整改情况说明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公章（5）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徐哲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2020/12/7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无忌海预告抵押代理人变更用印申请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法人身份证复印件、授权委托书、营业执照、身份证明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公章（5）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夏薇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2020/12/9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销售网签合同备案登记变更申请表用印（原合同大写金额有误）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备案登记变更申请表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公章（1）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夏薇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2020/12/9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关于解决无忌海项目周边交通安全相关事宜请示申请用印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安全警示申请函（2）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公章（2）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梁昌伟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71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2020/12/11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关于一二期档案验收前期类文件用印申请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建设工程档案报送承诺书、验收申请书、档案文件说明、一二期行政处罚决定书及付款发票、质量监督登记表、项目名称变更复函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公章（20）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王招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2020/12/14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关于无忌海项目上报质检站申报创优项目用印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海南省建筑安全文明施工标准化工地申报表（4）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公章（4）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王招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2020/12/15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客户催告函、认购合同解除告知书用印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客户催告函（42）认购合同解除告知书（42）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公章（84）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章悦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营销管理部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2020/12/16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无忌海一二期变配电工程设计委托书用印申请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变配电工程设计委托书（3）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公章（3）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梁昌伟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前期开发部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2020/12/16</w:t>
            </w:r>
          </w:p>
        </w:tc>
        <w:tc>
          <w:tcPr>
            <w:tcW w:w="20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无忌海项目按揭准入事项用印申请</w:t>
            </w:r>
          </w:p>
        </w:tc>
        <w:tc>
          <w:tcPr>
            <w:tcW w:w="19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法人代表授权书、项目基础资料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公章（10）法人章（2）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邢小娟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冯小娟/吴淑蕊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18"/>
                <w:szCs w:val="18"/>
                <w:lang w:bidi="ar"/>
              </w:rPr>
              <w:t>融资管理组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sz w:val="24"/>
          <w:szCs w:val="24"/>
        </w:rPr>
      </w:pPr>
      <w:bookmarkStart w:id="32" w:name="_Toc359"/>
      <w:bookmarkStart w:id="33" w:name="_Toc535508640"/>
      <w:bookmarkStart w:id="34" w:name="_Toc535580095"/>
      <w:bookmarkStart w:id="35" w:name="_Toc535570754"/>
      <w:bookmarkStart w:id="36" w:name="_Toc535580027"/>
      <w:bookmarkStart w:id="37" w:name="_Toc532281661"/>
      <w:bookmarkStart w:id="38" w:name="_Toc411430359"/>
      <w:bookmarkStart w:id="39" w:name="_Toc373309851"/>
      <w:r>
        <w:rPr>
          <w:rFonts w:hint="eastAsia" w:ascii="Arial" w:hAnsi="Arial"/>
          <w:sz w:val="24"/>
          <w:szCs w:val="24"/>
        </w:rPr>
        <w:t>5合同签订情况</w:t>
      </w:r>
      <w:bookmarkEnd w:id="32"/>
      <w:bookmarkEnd w:id="33"/>
      <w:bookmarkEnd w:id="34"/>
      <w:bookmarkEnd w:id="35"/>
      <w:bookmarkEnd w:id="36"/>
      <w:bookmarkEnd w:id="37"/>
    </w:p>
    <w:p>
      <w:pPr>
        <w:ind w:firstLine="420" w:firstLineChars="200"/>
        <w:rPr>
          <w:rFonts w:ascii="Arial" w:hAnsi="Arial"/>
          <w:sz w:val="28"/>
          <w:szCs w:val="28"/>
        </w:rPr>
      </w:pPr>
      <w:r>
        <w:rPr>
          <w:rFonts w:hint="eastAsia" w:ascii="Arial" w:hAnsi="Arial" w:cs="Arial"/>
          <w:bCs/>
          <w:kern w:val="44"/>
          <w:szCs w:val="21"/>
        </w:rPr>
        <w:t>2020年12月期间，项目公司共计签订合同36份，详见合同签订情况表：</w:t>
      </w:r>
    </w:p>
    <w:p>
      <w:pPr>
        <w:spacing w:before="240" w:beforeLines="100"/>
        <w:jc w:val="center"/>
        <w:rPr>
          <w:rFonts w:ascii="Arial" w:hAnsi="Arial"/>
          <w:b/>
          <w:sz w:val="24"/>
          <w:szCs w:val="28"/>
        </w:rPr>
      </w:pPr>
      <w:r>
        <w:rPr>
          <w:rFonts w:hint="eastAsia" w:ascii="Arial" w:hAnsi="Arial"/>
          <w:b/>
          <w:sz w:val="24"/>
          <w:szCs w:val="28"/>
        </w:rPr>
        <w:t>2020年12月合同签订情况表</w:t>
      </w:r>
    </w:p>
    <w:tbl>
      <w:tblPr>
        <w:tblStyle w:val="11"/>
        <w:tblW w:w="99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1480"/>
        <w:gridCol w:w="1910"/>
        <w:gridCol w:w="2807"/>
        <w:gridCol w:w="1533"/>
        <w:gridCol w:w="1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tblHeader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签约日期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海口开源水务公司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融创无忌海延伸服务送水服务合同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合同有效期：2020年12月30日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2,700,000.00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480" w:type="dxa"/>
            <w:noWrap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董雨峥、符凯颖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农行个人购房担保借款合同（4）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海口市不动产预告登记申请书、农行个人购房担保借款合同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860,000.00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耿杰文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农行个人购房担保借款合同（4）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海口市不动产预告登记申请书、农行个人购房担保借款合同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余梦茹、朱九红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中信个人购房借款合同（5）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不动产预告登记申请书、中信银行个人借款合同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郑承唐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商铺租赁合同（4）治安消防安全责任书（4）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出租无忌海5#S106-S110，租赁面积438.46㎡，由于千佰汇经营小家电、日用百货，第一年不收租，第二-三年月租金8760元，第四-五年月租金10950元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刘智红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发票、商品买卖合同（1）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887,266.00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任宏伟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发票、商品买卖合同（1）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1,136,377.00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谢佩轩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1,278,095.00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谢家豪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发票、商品买卖合同（7）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1,278,095.00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姜丽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1,159,974.00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孙树伟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发票、商品买卖合同（6）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1,229,458.00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吴碧梅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783,950.00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李智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发票、商品买卖合同（7）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1,125,066.00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徐学鹏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发票、商品买卖合同（11）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1,146,231.00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梁家德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发票、商品买卖合同（11）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1,138,698.00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肖雨行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邮储个人购房借款担保合同用印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邮储个人购房借款担保合同（4）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匡加泽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邮储个人购房借款担保合同用印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邮储个人购房借款担保合同（4）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460,000.00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兰炎羚/李志伟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中行个人房屋贷款合同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中行个人房屋贷款合同（4）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1,040,000.00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王放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发票、网签合同确认单、商品买卖合同（11）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1,242,231.00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马津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发票、网签合同确认单、商品买卖合同（11）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1,210,626.00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罗立明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发票、网签合同确认单、商品买卖合同（11）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815,767.00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贾媛清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发票、网签合同确认单、商品买卖合同（10）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1,034,413.00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董雨峥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1,230,384.00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吴皖楠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1,173,508.00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肖雨行、周梦竹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1,029,196.00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海南聚江山广告有限公司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2020年11月物料制作安装合同（6）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物料制作安装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14,994.50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海南聚江山广告有限公司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2020年11月物料制作安装合同（6）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物料制作安装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19,080.00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吕旋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发票、商品买卖合同（1）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1,220,778.00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刘宇辰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农行个人购房担保借款合同（4）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农行个人购房担保借款合同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530,000.00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李丽华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1,280,582.00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曾喻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农行个人购房担保借款合同（4）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农行个人购房担保借款合同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620,000.00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赵海燕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1,150,000.00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李晔林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发票、网签合同确认单、商品买卖合同（10）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1,211,111.00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崔筱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794,289.00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班玲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商品买卖合同签约备案及限购协用印申请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发票、网签合同确认单、商品买卖合同（8）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763,337.00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6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148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910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认购合同（编号：900-1001）</w:t>
            </w:r>
          </w:p>
        </w:tc>
        <w:tc>
          <w:tcPr>
            <w:tcW w:w="2807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共150份</w:t>
            </w:r>
          </w:p>
        </w:tc>
        <w:tc>
          <w:tcPr>
            <w:tcW w:w="153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1483" w:type="dxa"/>
            <w:vAlign w:val="center"/>
          </w:tcPr>
          <w:p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2020/12/14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sz w:val="24"/>
          <w:szCs w:val="24"/>
        </w:rPr>
      </w:pPr>
      <w:bookmarkStart w:id="40" w:name="_Toc535580096"/>
      <w:bookmarkStart w:id="41" w:name="_Toc535508641"/>
      <w:bookmarkStart w:id="42" w:name="_Toc532281662"/>
      <w:bookmarkStart w:id="43" w:name="_Toc535580028"/>
      <w:bookmarkStart w:id="44" w:name="_Toc535570755"/>
      <w:bookmarkStart w:id="45" w:name="_Toc29212"/>
      <w:r>
        <w:rPr>
          <w:rFonts w:hint="eastAsia" w:ascii="Arial" w:hAnsi="Arial"/>
          <w:sz w:val="24"/>
          <w:szCs w:val="24"/>
        </w:rPr>
        <w:t>6</w:t>
      </w:r>
      <w:bookmarkEnd w:id="40"/>
      <w:bookmarkEnd w:id="41"/>
      <w:bookmarkEnd w:id="42"/>
      <w:bookmarkEnd w:id="43"/>
      <w:bookmarkEnd w:id="44"/>
      <w:r>
        <w:rPr>
          <w:rFonts w:hint="eastAsia" w:ascii="Arial" w:hAnsi="Arial"/>
          <w:sz w:val="24"/>
          <w:szCs w:val="24"/>
        </w:rPr>
        <w:t>项目销售情况及回款情况</w:t>
      </w:r>
      <w:bookmarkEnd w:id="45"/>
    </w:p>
    <w:p>
      <w:pPr>
        <w:spacing w:before="300" w:after="300" w:line="360" w:lineRule="exact"/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宋体" w:cs="Arial"/>
          <w:b/>
          <w:bCs/>
          <w:kern w:val="2"/>
          <w:sz w:val="24"/>
          <w:szCs w:val="24"/>
          <w:lang w:val="en-US" w:eastAsia="zh-CN" w:bidi="ar-SA"/>
        </w:rPr>
        <w:t>6.1项目销售情况</w:t>
      </w:r>
    </w:p>
    <w:p>
      <w:pPr>
        <w:spacing w:line="480" w:lineRule="auto"/>
        <w:ind w:firstLine="420" w:firstLineChars="200"/>
        <w:contextualSpacing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根据项目公司提供的《销售明细总表》，截至2020年12月16日，可售面积共计161,843㎡，取得预售面积159,632.14㎡，可售套数1783套，其中已售套数共计1722套，已售建筑面积共计</w:t>
      </w:r>
      <w:r>
        <w:rPr>
          <w:rFonts w:ascii="Arial" w:hAnsi="Arial" w:cs="Arial"/>
          <w:color w:val="000000"/>
          <w:kern w:val="0"/>
          <w:szCs w:val="21"/>
          <w:lang w:bidi="ar"/>
        </w:rPr>
        <w:t>153,904.77</w:t>
      </w:r>
      <w:r>
        <w:rPr>
          <w:rFonts w:ascii="Arial" w:hAnsi="Arial" w:cs="Arial"/>
          <w:bCs/>
          <w:kern w:val="44"/>
          <w:szCs w:val="21"/>
        </w:rPr>
        <w:t>㎡</w:t>
      </w:r>
      <w:r>
        <w:rPr>
          <w:rFonts w:hint="eastAsia" w:ascii="Arial" w:hAnsi="Arial" w:cs="Arial"/>
          <w:bCs/>
          <w:kern w:val="44"/>
          <w:szCs w:val="21"/>
        </w:rPr>
        <w:t>，累计售出合同总价</w:t>
      </w:r>
      <w:r>
        <w:rPr>
          <w:rFonts w:ascii="Arial" w:hAnsi="Arial" w:cs="Arial"/>
          <w:color w:val="000000"/>
          <w:kern w:val="0"/>
          <w:szCs w:val="21"/>
          <w:lang w:bidi="ar"/>
        </w:rPr>
        <w:t>1,829,340,235.00</w:t>
      </w:r>
      <w:r>
        <w:rPr>
          <w:rFonts w:hint="eastAsia" w:ascii="Arial" w:hAnsi="Arial" w:cs="Arial"/>
          <w:bCs/>
          <w:kern w:val="44"/>
          <w:szCs w:val="21"/>
        </w:rPr>
        <w:t>元，累计收款额</w:t>
      </w:r>
      <w:r>
        <w:rPr>
          <w:rFonts w:ascii="Arial" w:hAnsi="Arial" w:cs="Arial"/>
          <w:color w:val="000000"/>
          <w:kern w:val="0"/>
          <w:szCs w:val="21"/>
          <w:lang w:bidi="ar"/>
        </w:rPr>
        <w:t>1,336,556,785.00</w:t>
      </w:r>
      <w:r>
        <w:rPr>
          <w:rFonts w:hint="eastAsia" w:ascii="Arial" w:hAnsi="Arial" w:cs="Arial"/>
          <w:bCs/>
          <w:kern w:val="44"/>
          <w:szCs w:val="21"/>
        </w:rPr>
        <w:t>元，网签套数</w:t>
      </w:r>
      <w:r>
        <w:rPr>
          <w:rFonts w:ascii="Arial" w:hAnsi="Arial" w:cs="Arial"/>
          <w:color w:val="000000"/>
          <w:kern w:val="0"/>
          <w:szCs w:val="21"/>
          <w:lang w:bidi="ar"/>
        </w:rPr>
        <w:t>279</w:t>
      </w:r>
      <w:r>
        <w:rPr>
          <w:rFonts w:hint="eastAsia" w:ascii="Arial" w:hAnsi="Arial" w:cs="Arial"/>
          <w:bCs/>
          <w:kern w:val="44"/>
          <w:szCs w:val="21"/>
        </w:rPr>
        <w:t>套，网签面积</w:t>
      </w:r>
      <w:r>
        <w:rPr>
          <w:rFonts w:ascii="Arial" w:hAnsi="Arial" w:cs="Arial"/>
          <w:color w:val="000000"/>
          <w:kern w:val="0"/>
          <w:szCs w:val="21"/>
          <w:lang w:bidi="ar"/>
        </w:rPr>
        <w:t>22,341.82</w:t>
      </w:r>
      <w:r>
        <w:rPr>
          <w:rFonts w:hint="eastAsia" w:ascii="Arial" w:hAnsi="Arial" w:cs="Arial"/>
          <w:bCs/>
          <w:kern w:val="44"/>
          <w:szCs w:val="21"/>
        </w:rPr>
        <w:t>㎡，项目整体去化率15.64%，剩余货值3.47亿元。具体的销售数据，详见附件一的销售明细总表。</w:t>
      </w:r>
    </w:p>
    <w:p>
      <w:pPr>
        <w:spacing w:before="120" w:beforeLines="50" w:line="120" w:lineRule="auto"/>
        <w:contextualSpacing/>
        <w:jc w:val="center"/>
        <w:rPr>
          <w:rFonts w:ascii="Arial" w:hAnsi="Arial"/>
          <w:b/>
          <w:sz w:val="24"/>
          <w:szCs w:val="28"/>
        </w:rPr>
      </w:pPr>
      <w:r>
        <w:rPr>
          <w:rFonts w:hint="eastAsia" w:ascii="Arial" w:hAnsi="Arial"/>
          <w:b/>
          <w:sz w:val="24"/>
          <w:szCs w:val="28"/>
        </w:rPr>
        <w:t>截至2020年12月16日销售情况</w:t>
      </w:r>
    </w:p>
    <w:p>
      <w:pPr>
        <w:spacing w:before="120" w:beforeLines="50" w:line="120" w:lineRule="auto"/>
        <w:contextualSpacing/>
        <w:jc w:val="center"/>
        <w:rPr>
          <w:rFonts w:ascii="Arial" w:hAnsi="Arial"/>
          <w:b/>
          <w:sz w:val="24"/>
          <w:szCs w:val="28"/>
        </w:rPr>
      </w:pPr>
    </w:p>
    <w:p>
      <w:pPr>
        <w:spacing w:before="120" w:beforeLines="50" w:line="120" w:lineRule="auto"/>
        <w:contextualSpacing/>
        <w:jc w:val="center"/>
        <w:rPr>
          <w:rFonts w:ascii="Arial" w:hAnsi="Arial"/>
          <w:b/>
          <w:sz w:val="24"/>
          <w:szCs w:val="28"/>
        </w:rPr>
      </w:pPr>
    </w:p>
    <w:p>
      <w:pPr>
        <w:jc w:val="center"/>
      </w:pP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0"/>
        <w:gridCol w:w="1468"/>
        <w:gridCol w:w="1657"/>
        <w:gridCol w:w="2235"/>
        <w:gridCol w:w="20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320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Cs w:val="21"/>
              </w:rPr>
              <w:t>已售情况</w:t>
            </w:r>
          </w:p>
        </w:tc>
        <w:tc>
          <w:tcPr>
            <w:tcW w:w="1468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Cs w:val="21"/>
              </w:rPr>
              <w:t>套数（套）</w:t>
            </w:r>
          </w:p>
        </w:tc>
        <w:tc>
          <w:tcPr>
            <w:tcW w:w="1657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Cs w:val="21"/>
              </w:rPr>
              <w:t>面积（</w:t>
            </w:r>
            <w:r>
              <w:rPr>
                <w:rFonts w:hint="eastAsia" w:ascii="Arial" w:hAnsi="Arial" w:cs="宋体"/>
                <w:b/>
                <w:bCs/>
                <w:kern w:val="44"/>
                <w:szCs w:val="21"/>
              </w:rPr>
              <w:t>㎡</w:t>
            </w:r>
            <w:r>
              <w:rPr>
                <w:rFonts w:hint="eastAsia" w:ascii="Arial" w:hAnsi="Arial" w:cs="仿宋_GB2312"/>
                <w:b/>
                <w:bCs/>
                <w:kern w:val="44"/>
                <w:szCs w:val="21"/>
              </w:rPr>
              <w:t>）</w:t>
            </w:r>
          </w:p>
        </w:tc>
        <w:tc>
          <w:tcPr>
            <w:tcW w:w="223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Cs w:val="21"/>
              </w:rPr>
              <w:t>合同价（万元）</w:t>
            </w:r>
          </w:p>
        </w:tc>
        <w:tc>
          <w:tcPr>
            <w:tcW w:w="2099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Cs w:val="21"/>
              </w:rPr>
              <w:t>已收款额（万元）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3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44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  <w:lang w:bidi="ar"/>
              </w:rPr>
              <w:t>认购</w:t>
            </w:r>
          </w:p>
        </w:tc>
        <w:tc>
          <w:tcPr>
            <w:tcW w:w="1468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1,443.00</w:t>
            </w:r>
          </w:p>
        </w:tc>
        <w:tc>
          <w:tcPr>
            <w:tcW w:w="1657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131,562.95</w:t>
            </w:r>
          </w:p>
        </w:tc>
        <w:tc>
          <w:tcPr>
            <w:tcW w:w="2235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1,558,054,047.00</w:t>
            </w:r>
          </w:p>
        </w:tc>
        <w:tc>
          <w:tcPr>
            <w:tcW w:w="2099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1,093,985,520.00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3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44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Cs w:val="21"/>
              </w:rPr>
              <w:t>网签</w:t>
            </w:r>
          </w:p>
        </w:tc>
        <w:tc>
          <w:tcPr>
            <w:tcW w:w="1468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279.00</w:t>
            </w:r>
          </w:p>
        </w:tc>
        <w:tc>
          <w:tcPr>
            <w:tcW w:w="1657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22,341.82</w:t>
            </w:r>
          </w:p>
        </w:tc>
        <w:tc>
          <w:tcPr>
            <w:tcW w:w="2235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271,286,188.00</w:t>
            </w:r>
          </w:p>
        </w:tc>
        <w:tc>
          <w:tcPr>
            <w:tcW w:w="2099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242,571,265.00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132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44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  <w:lang w:bidi="ar"/>
              </w:rPr>
              <w:t>总计</w:t>
            </w:r>
          </w:p>
        </w:tc>
        <w:tc>
          <w:tcPr>
            <w:tcW w:w="1468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1,722.00</w:t>
            </w:r>
          </w:p>
        </w:tc>
        <w:tc>
          <w:tcPr>
            <w:tcW w:w="1657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153,904.77</w:t>
            </w:r>
          </w:p>
        </w:tc>
        <w:tc>
          <w:tcPr>
            <w:tcW w:w="2235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1,829,340,235.00</w:t>
            </w:r>
          </w:p>
        </w:tc>
        <w:tc>
          <w:tcPr>
            <w:tcW w:w="2099" w:type="dxa"/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  <w:lang w:bidi="ar"/>
              </w:rPr>
              <w:t>1,336,556,785.00</w:t>
            </w:r>
          </w:p>
        </w:tc>
      </w:tr>
    </w:tbl>
    <w:p>
      <w:pPr>
        <w:spacing w:line="480" w:lineRule="auto"/>
        <w:ind w:firstLine="420" w:firstLineChars="200"/>
        <w:contextualSpacing/>
        <w:jc w:val="left"/>
        <w:rPr>
          <w:rFonts w:ascii="Arial" w:hAnsi="Arial" w:cs="Arial"/>
          <w:bCs/>
          <w:kern w:val="44"/>
          <w:szCs w:val="21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  <w:szCs w:val="24"/>
        </w:rPr>
      </w:pPr>
      <w:bookmarkStart w:id="46" w:name="_Toc23619"/>
      <w:r>
        <w:rPr>
          <w:rFonts w:hint="eastAsia" w:eastAsia="宋体" w:cs="Arial"/>
          <w:sz w:val="24"/>
          <w:szCs w:val="24"/>
        </w:rPr>
        <w:t>6.2项目销售回款情况</w:t>
      </w:r>
      <w:bookmarkEnd w:id="46"/>
    </w:p>
    <w:p>
      <w:pPr>
        <w:spacing w:line="480" w:lineRule="auto"/>
        <w:ind w:firstLine="420" w:firstLineChars="200"/>
      </w:pPr>
      <w:r>
        <w:rPr>
          <w:rFonts w:hint="eastAsia"/>
        </w:rPr>
        <w:t>自</w:t>
      </w:r>
      <w:r>
        <w:rPr>
          <w:rFonts w:ascii="Arial" w:hAnsi="Arial" w:cs="Arial"/>
        </w:rPr>
        <w:t>2020</w:t>
      </w:r>
      <w:r>
        <w:rPr>
          <w:rFonts w:hint="eastAsia"/>
        </w:rPr>
        <w:t>年</w:t>
      </w:r>
      <w:r>
        <w:rPr>
          <w:rFonts w:ascii="Arial" w:hAnsi="Arial" w:cs="Arial"/>
        </w:rPr>
        <w:t>7</w:t>
      </w:r>
      <w:r>
        <w:rPr>
          <w:rFonts w:hint="eastAsia"/>
        </w:rPr>
        <w:t>月</w:t>
      </w:r>
      <w:r>
        <w:rPr>
          <w:rFonts w:hint="eastAsia" w:ascii="Arial" w:hAnsi="Arial" w:cs="Arial"/>
        </w:rPr>
        <w:t>1</w:t>
      </w:r>
      <w:r>
        <w:rPr>
          <w:rFonts w:hint="eastAsia"/>
        </w:rPr>
        <w:t>日起标的项目销售的每笔销售回款按</w:t>
      </w:r>
      <w:r>
        <w:rPr>
          <w:rFonts w:ascii="Arial" w:hAnsi="Arial" w:cs="Arial"/>
        </w:rPr>
        <w:t>30%</w:t>
      </w:r>
      <w:r>
        <w:rPr>
          <w:rFonts w:hint="eastAsia"/>
        </w:rPr>
        <w:t>的比例进行沉淀，该部分沉淀资金按周归集到乙方接受丙方监管的放款账户（开户行：中信银行海垦支行，账号：</w:t>
      </w:r>
      <w:r>
        <w:rPr>
          <w:rFonts w:ascii="Arial" w:hAnsi="Arial" w:cs="Arial"/>
        </w:rPr>
        <w:t>8115801013700050776）。2020</w:t>
      </w:r>
      <w:r>
        <w:rPr>
          <w:rFonts w:hint="eastAsia"/>
        </w:rPr>
        <w:t>年</w:t>
      </w:r>
      <w:r>
        <w:rPr>
          <w:rFonts w:hint="eastAsia" w:ascii="Arial" w:hAnsi="Arial" w:cs="Arial"/>
        </w:rPr>
        <w:t>12</w:t>
      </w:r>
      <w:r>
        <w:rPr>
          <w:rFonts w:hint="eastAsia"/>
        </w:rPr>
        <w:t>月</w:t>
      </w:r>
      <w:r>
        <w:rPr>
          <w:rFonts w:hint="eastAsia" w:ascii="Arial" w:hAnsi="Arial" w:cs="Arial"/>
        </w:rPr>
        <w:t>5</w:t>
      </w:r>
      <w:r>
        <w:rPr>
          <w:rFonts w:hint="eastAsia"/>
        </w:rPr>
        <w:t>日至</w:t>
      </w:r>
      <w:r>
        <w:rPr>
          <w:rFonts w:ascii="Arial" w:hAnsi="Arial" w:cs="Arial"/>
        </w:rPr>
        <w:t>2020</w:t>
      </w:r>
      <w:r>
        <w:rPr>
          <w:rFonts w:hint="eastAsia"/>
        </w:rPr>
        <w:t>年</w:t>
      </w:r>
      <w:r>
        <w:rPr>
          <w:rFonts w:hint="eastAsia" w:ascii="Arial" w:hAnsi="Arial" w:cs="Arial"/>
        </w:rPr>
        <w:t>12</w:t>
      </w:r>
      <w:r>
        <w:rPr>
          <w:rFonts w:hint="eastAsia"/>
        </w:rPr>
        <w:t>月</w:t>
      </w:r>
      <w:r>
        <w:rPr>
          <w:rFonts w:hint="eastAsia" w:ascii="Arial" w:hAnsi="Arial" w:cs="Arial"/>
        </w:rPr>
        <w:t>11</w:t>
      </w:r>
      <w:r>
        <w:rPr>
          <w:rFonts w:hint="eastAsia"/>
        </w:rPr>
        <w:t>日销售回款总计</w:t>
      </w:r>
      <w:r>
        <w:rPr>
          <w:rFonts w:hint="eastAsia" w:ascii="Arial" w:hAnsi="Arial" w:cs="Arial"/>
        </w:rPr>
        <w:t>8,905,521.00</w:t>
      </w:r>
      <w:r>
        <w:rPr>
          <w:rFonts w:hint="eastAsia"/>
        </w:rPr>
        <w:t>元，沉淀资金</w:t>
      </w:r>
      <w:r>
        <w:rPr>
          <w:rFonts w:hint="eastAsia" w:ascii="Arial" w:hAnsi="Arial" w:cs="Arial"/>
        </w:rPr>
        <w:t>2,671,656.30</w:t>
      </w:r>
      <w:r>
        <w:rPr>
          <w:rFonts w:hint="eastAsia"/>
        </w:rPr>
        <w:t>元。从</w:t>
      </w:r>
      <w:r>
        <w:rPr>
          <w:rFonts w:hint="eastAsia" w:ascii="Arial" w:hAnsi="Arial" w:cs="Arial"/>
        </w:rPr>
        <w:t>2020</w:t>
      </w:r>
      <w:r>
        <w:rPr>
          <w:rFonts w:hint="eastAsia"/>
        </w:rPr>
        <w:t>年</w:t>
      </w:r>
      <w:r>
        <w:rPr>
          <w:rFonts w:hint="eastAsia" w:ascii="Arial" w:hAnsi="Arial" w:cs="Arial"/>
        </w:rPr>
        <w:t>7</w:t>
      </w:r>
      <w:r>
        <w:rPr>
          <w:rFonts w:hint="eastAsia"/>
        </w:rPr>
        <w:t>月至退场节点</w:t>
      </w:r>
      <w:r>
        <w:rPr>
          <w:rFonts w:hint="eastAsia" w:ascii="Arial" w:hAnsi="Arial" w:cs="Arial"/>
        </w:rPr>
        <w:t>2020</w:t>
      </w:r>
      <w:r>
        <w:rPr>
          <w:rFonts w:hint="eastAsia"/>
        </w:rPr>
        <w:t>年</w:t>
      </w:r>
      <w:r>
        <w:rPr>
          <w:rFonts w:hint="eastAsia" w:ascii="Arial" w:hAnsi="Arial" w:cs="Arial"/>
        </w:rPr>
        <w:t>12</w:t>
      </w:r>
      <w:r>
        <w:rPr>
          <w:rFonts w:hint="eastAsia"/>
        </w:rPr>
        <w:t>月</w:t>
      </w:r>
      <w:r>
        <w:rPr>
          <w:rFonts w:hint="eastAsia" w:ascii="Arial" w:hAnsi="Arial" w:cs="Arial"/>
        </w:rPr>
        <w:t>16</w:t>
      </w:r>
      <w:r>
        <w:rPr>
          <w:rFonts w:hint="eastAsia"/>
        </w:rPr>
        <w:t>日，该项目沉淀资金合计</w:t>
      </w:r>
      <w:r>
        <w:rPr>
          <w:rFonts w:hint="eastAsia" w:ascii="Arial" w:hAnsi="Arial" w:cs="Arial"/>
        </w:rPr>
        <w:t>163,117,265.76元。</w:t>
      </w:r>
    </w:p>
    <w:p>
      <w:pPr>
        <w:spacing w:line="480" w:lineRule="auto"/>
        <w:ind w:firstLine="3855" w:firstLineChars="1600"/>
        <w:rPr>
          <w:b/>
          <w:bCs/>
        </w:rPr>
      </w:pPr>
      <w:r>
        <w:rPr>
          <w:rFonts w:hint="eastAsia"/>
          <w:b/>
          <w:bCs/>
          <w:sz w:val="24"/>
        </w:rPr>
        <w:t>沉淀资金统计表</w:t>
      </w:r>
    </w:p>
    <w:tbl>
      <w:tblPr>
        <w:tblStyle w:val="11"/>
        <w:tblW w:w="769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73"/>
        <w:gridCol w:w="2738"/>
        <w:gridCol w:w="277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jc w:val="center"/>
        </w:trPr>
        <w:tc>
          <w:tcPr>
            <w:tcW w:w="2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2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销售回款（元）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沉淀资金（元）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  <w:jc w:val="center"/>
        </w:trPr>
        <w:tc>
          <w:tcPr>
            <w:tcW w:w="2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截止上次累计</w:t>
            </w:r>
          </w:p>
        </w:tc>
        <w:tc>
          <w:tcPr>
            <w:tcW w:w="2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auto"/>
              <w:ind w:firstLine="630" w:firstLineChars="30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534,818,698.20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auto"/>
              <w:ind w:firstLine="630" w:firstLineChars="3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160,445,609.46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2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本次</w:t>
            </w:r>
          </w:p>
        </w:tc>
        <w:tc>
          <w:tcPr>
            <w:tcW w:w="2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ind w:firstLine="630" w:firstLineChars="300"/>
              <w:jc w:val="center"/>
              <w:textAlignment w:val="top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 w:ascii="Arial" w:hAnsi="Arial" w:cs="Arial"/>
                <w:color w:val="000000"/>
                <w:szCs w:val="21"/>
              </w:rPr>
              <w:t>8,905,521.00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 w:ascii="Arial" w:hAnsi="Arial" w:cs="Arial"/>
                <w:color w:val="000000"/>
                <w:szCs w:val="21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1"/>
              </w:rPr>
              <w:t>2,671,656.30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  <w:jc w:val="center"/>
        </w:trPr>
        <w:tc>
          <w:tcPr>
            <w:tcW w:w="2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360" w:lineRule="auto"/>
              <w:jc w:val="center"/>
              <w:textAlignment w:val="bottom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2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auto"/>
              <w:ind w:firstLine="630" w:firstLineChars="300"/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543,724,219.20</w:t>
            </w:r>
          </w:p>
        </w:tc>
        <w:tc>
          <w:tcPr>
            <w:tcW w:w="2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spacing w:line="360" w:lineRule="auto"/>
              <w:ind w:firstLine="630" w:firstLineChars="300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163,117,265.76</w:t>
            </w:r>
          </w:p>
        </w:tc>
      </w:tr>
    </w:tbl>
    <w:p/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sz w:val="24"/>
          <w:szCs w:val="24"/>
        </w:rPr>
      </w:pPr>
      <w:bookmarkStart w:id="68" w:name="_GoBack"/>
      <w:bookmarkEnd w:id="68"/>
      <w:bookmarkStart w:id="47" w:name="_Toc532281663"/>
      <w:bookmarkStart w:id="48" w:name="_Toc535580029"/>
      <w:bookmarkStart w:id="49" w:name="_Toc535570756"/>
      <w:bookmarkStart w:id="50" w:name="_Toc535580097"/>
      <w:bookmarkStart w:id="51" w:name="_Toc535508642"/>
      <w:bookmarkStart w:id="52" w:name="_Toc31018"/>
      <w:r>
        <w:rPr>
          <w:rFonts w:hint="eastAsia" w:ascii="Arial" w:hAnsi="Arial"/>
          <w:sz w:val="24"/>
          <w:szCs w:val="24"/>
        </w:rPr>
        <w:t>7资金</w:t>
      </w:r>
      <w:bookmarkEnd w:id="38"/>
      <w:bookmarkEnd w:id="39"/>
      <w:bookmarkEnd w:id="47"/>
      <w:r>
        <w:rPr>
          <w:rFonts w:hint="eastAsia" w:ascii="Arial" w:hAnsi="Arial"/>
          <w:sz w:val="24"/>
          <w:szCs w:val="24"/>
        </w:rPr>
        <w:t>情况</w:t>
      </w:r>
      <w:bookmarkEnd w:id="48"/>
      <w:bookmarkEnd w:id="49"/>
      <w:bookmarkEnd w:id="50"/>
      <w:bookmarkEnd w:id="51"/>
      <w:bookmarkEnd w:id="52"/>
    </w:p>
    <w:p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hint="eastAsia" w:ascii="Arial" w:hAnsi="Arial"/>
          <w:b/>
          <w:sz w:val="24"/>
        </w:rPr>
        <w:t>7.1各账户余额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根据项目公司提供的银行对账单，截至2020年12月16日，项目公司各资金账户余额总计</w:t>
      </w:r>
      <w:r>
        <w:rPr>
          <w:rFonts w:ascii="Arial" w:hAnsi="Arial" w:cs="Arial"/>
          <w:bCs/>
          <w:kern w:val="44"/>
          <w:szCs w:val="21"/>
        </w:rPr>
        <w:t>18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052</w:t>
      </w:r>
      <w:r>
        <w:rPr>
          <w:rFonts w:hint="eastAsia" w:ascii="Arial" w:hAnsi="Arial" w:cs="Arial"/>
          <w:bCs/>
          <w:kern w:val="44"/>
          <w:szCs w:val="21"/>
        </w:rPr>
        <w:t>,</w:t>
      </w:r>
      <w:r>
        <w:rPr>
          <w:rFonts w:ascii="Arial" w:hAnsi="Arial" w:cs="Arial"/>
          <w:bCs/>
          <w:kern w:val="44"/>
          <w:szCs w:val="21"/>
        </w:rPr>
        <w:t>008.68</w:t>
      </w:r>
      <w:r>
        <w:rPr>
          <w:rFonts w:hint="eastAsia" w:ascii="Arial" w:hAnsi="Arial" w:cs="Arial"/>
          <w:bCs/>
          <w:kern w:val="44"/>
          <w:szCs w:val="21"/>
        </w:rPr>
        <w:t xml:space="preserve"> 元，各账户余额见下表。</w:t>
      </w:r>
    </w:p>
    <w:p>
      <w:pPr>
        <w:spacing w:before="120" w:beforeLines="50" w:after="120" w:afterLines="50" w:line="360" w:lineRule="auto"/>
        <w:jc w:val="center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截至</w:t>
      </w:r>
      <w:r>
        <w:rPr>
          <w:rFonts w:ascii="Arial" w:hAnsi="Arial" w:cs="Arial"/>
          <w:b/>
          <w:sz w:val="24"/>
        </w:rPr>
        <w:t>20</w:t>
      </w:r>
      <w:r>
        <w:rPr>
          <w:rFonts w:hint="eastAsia" w:ascii="Arial" w:hAnsi="Arial" w:cs="Arial"/>
          <w:b/>
          <w:sz w:val="24"/>
        </w:rPr>
        <w:t>20</w:t>
      </w:r>
      <w:r>
        <w:rPr>
          <w:rFonts w:ascii="Arial" w:hAnsi="Arial" w:cs="Arial"/>
          <w:b/>
          <w:sz w:val="24"/>
        </w:rPr>
        <w:t>年</w:t>
      </w:r>
      <w:r>
        <w:rPr>
          <w:rFonts w:hint="eastAsia" w:ascii="Arial" w:hAnsi="Arial" w:cs="Arial"/>
          <w:b/>
          <w:sz w:val="24"/>
        </w:rPr>
        <w:t>12</w:t>
      </w:r>
      <w:r>
        <w:rPr>
          <w:rFonts w:ascii="Arial" w:hAnsi="Arial" w:cs="Arial"/>
          <w:b/>
          <w:sz w:val="24"/>
        </w:rPr>
        <w:t>月</w:t>
      </w:r>
      <w:r>
        <w:rPr>
          <w:rFonts w:hint="eastAsia" w:ascii="Arial" w:hAnsi="Arial" w:cs="Arial"/>
          <w:b/>
          <w:sz w:val="24"/>
        </w:rPr>
        <w:t>16</w:t>
      </w:r>
      <w:r>
        <w:rPr>
          <w:rFonts w:ascii="Arial" w:hAnsi="Arial" w:cs="Arial"/>
          <w:b/>
          <w:sz w:val="24"/>
        </w:rPr>
        <w:t>日</w:t>
      </w:r>
      <w:r>
        <w:rPr>
          <w:rFonts w:hint="eastAsia" w:ascii="宋体" w:hAnsi="宋体" w:cs="宋体"/>
          <w:b/>
          <w:sz w:val="24"/>
        </w:rPr>
        <w:t>各银行账户余额表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4166"/>
        <w:gridCol w:w="2806"/>
        <w:gridCol w:w="1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sz w:val="18"/>
                <w:szCs w:val="18"/>
              </w:rPr>
              <w:t>序号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sz w:val="18"/>
                <w:szCs w:val="18"/>
              </w:rPr>
              <w:t>开户行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sz w:val="18"/>
                <w:szCs w:val="18"/>
              </w:rPr>
              <w:t>账号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海口市农村信用合作联社营业部基本户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1008405300000193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48,531.15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中信银行海垦分行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8115801013700050776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2,148,464.64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中信银行海口分行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8115801013000044305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262,525.61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中国银行海口海关支行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265030817367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2,211,307.92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邮储银行海口海达路支行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946008010006698888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4,879,172.45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中国农业银行海口南海分理处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21289001040004079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1,062,484.90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招商银行海口分行营业部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898901449510902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213,845.86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4166" w:type="dxa"/>
            <w:vAlign w:val="center"/>
          </w:tcPr>
          <w:p>
            <w:pPr>
              <w:widowControl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hint="eastAsia" w:ascii="Arial" w:hAnsi="Arial"/>
                <w:sz w:val="18"/>
                <w:szCs w:val="18"/>
              </w:rPr>
              <w:t>海口市农村信用合作联社营业部保证金账户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无U盾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6,205,823.21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中国农业银行海口龙华分理处（公积金账户）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无U盾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829,643.77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中信银行海口分行子账户（按揭保证金账户）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无U盾</w:t>
            </w: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190,209.17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75" w:type="dxa"/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4166" w:type="dxa"/>
            <w:vAlign w:val="center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总计</w:t>
            </w:r>
          </w:p>
        </w:tc>
        <w:tc>
          <w:tcPr>
            <w:tcW w:w="2806" w:type="dxa"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73" w:type="dxa"/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  <w:r>
              <w:rPr>
                <w:rFonts w:hint="eastAsia"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052</w:t>
            </w:r>
            <w:r>
              <w:rPr>
                <w:rFonts w:hint="eastAsia"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008.68</w:t>
            </w:r>
          </w:p>
        </w:tc>
      </w:tr>
    </w:tbl>
    <w:p>
      <w:pPr>
        <w:spacing w:line="360" w:lineRule="auto"/>
        <w:ind w:firstLine="420" w:firstLineChars="200"/>
        <w:jc w:val="center"/>
        <w:rPr>
          <w:rFonts w:ascii="Arial" w:hAnsi="Arial"/>
        </w:rPr>
        <w:sectPr>
          <w:headerReference r:id="rId4" w:type="default"/>
          <w:footerReference r:id="rId5" w:type="default"/>
          <w:pgSz w:w="11906" w:h="16838"/>
          <w:pgMar w:top="1843" w:right="1134" w:bottom="1134" w:left="1134" w:header="851" w:footer="850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sz w:val="28"/>
          <w:szCs w:val="28"/>
        </w:rPr>
      </w:pPr>
      <w:bookmarkStart w:id="53" w:name="_Toc532281664"/>
      <w:bookmarkStart w:id="54" w:name="_Toc535508646"/>
      <w:bookmarkStart w:id="55" w:name="_Toc535570760"/>
      <w:bookmarkStart w:id="56" w:name="_Toc535580101"/>
      <w:bookmarkStart w:id="57" w:name="_Toc8143"/>
      <w:bookmarkStart w:id="58" w:name="_Toc535580033"/>
      <w:r>
        <w:rPr>
          <w:rFonts w:hint="eastAsia"/>
          <w:sz w:val="28"/>
          <w:szCs w:val="28"/>
        </w:rPr>
        <w:t>附件</w:t>
      </w:r>
      <w:bookmarkEnd w:id="53"/>
      <w:bookmarkEnd w:id="54"/>
      <w:bookmarkEnd w:id="55"/>
      <w:bookmarkEnd w:id="56"/>
      <w:bookmarkEnd w:id="57"/>
      <w:bookmarkEnd w:id="58"/>
      <w:bookmarkStart w:id="59" w:name="_Toc535580036"/>
      <w:bookmarkStart w:id="60" w:name="_Toc535508649"/>
      <w:bookmarkStart w:id="61" w:name="_Toc535580104"/>
      <w:bookmarkStart w:id="62" w:name="_Toc535570763"/>
    </w:p>
    <w:p>
      <w:pPr>
        <w:pStyle w:val="3"/>
        <w:spacing w:before="300" w:after="300" w:line="360" w:lineRule="exact"/>
        <w:rPr>
          <w:rFonts w:eastAsia="宋体"/>
          <w:sz w:val="24"/>
        </w:rPr>
      </w:pPr>
      <w:bookmarkStart w:id="63" w:name="_Toc17796"/>
      <w:r>
        <w:rPr>
          <w:rFonts w:hint="eastAsia" w:eastAsia="宋体"/>
          <w:sz w:val="24"/>
        </w:rPr>
        <w:t>附件一 共管资料移交清单</w:t>
      </w:r>
      <w:bookmarkEnd w:id="59"/>
      <w:bookmarkEnd w:id="60"/>
      <w:bookmarkEnd w:id="61"/>
      <w:bookmarkEnd w:id="62"/>
      <w:bookmarkEnd w:id="63"/>
    </w:p>
    <w:p>
      <w:pPr>
        <w:jc w:val="center"/>
      </w:pPr>
      <w:r>
        <w:rPr>
          <w:rFonts w:hint="eastAsia"/>
        </w:rPr>
        <w:t xml:space="preserve">       </w:t>
      </w:r>
    </w:p>
    <w:p>
      <w:pPr>
        <w:rPr>
          <w:rFonts w:ascii="Arial" w:hAnsi="Arial"/>
        </w:rPr>
      </w:pPr>
      <w:r>
        <w:drawing>
          <wp:inline distT="0" distB="0" distL="114300" distR="114300">
            <wp:extent cx="5044440" cy="6332220"/>
            <wp:effectExtent l="0" t="0" r="0" b="762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3960" cy="6065520"/>
            <wp:effectExtent l="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/>
        </w:rPr>
      </w:pPr>
    </w:p>
    <w:p>
      <w:pPr>
        <w:rPr>
          <w:rFonts w:ascii="Arial" w:hAnsi="Arial"/>
        </w:rPr>
      </w:pPr>
    </w:p>
    <w:p>
      <w:pPr>
        <w:rPr>
          <w:rFonts w:ascii="Arial" w:hAnsi="Arial"/>
        </w:rPr>
      </w:pPr>
      <w:r>
        <w:drawing>
          <wp:inline distT="0" distB="0" distL="114300" distR="114300">
            <wp:extent cx="5867400" cy="6621780"/>
            <wp:effectExtent l="0" t="0" r="0" b="762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2540" cy="6499860"/>
            <wp:effectExtent l="0" t="0" r="7620" b="762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64" w:name="_Toc24421"/>
      <w:bookmarkStart w:id="65" w:name="_Toc7914"/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Style w:val="14"/>
          <w:rFonts w:eastAsia="宋体" w:cs="Arial"/>
          <w:b w:val="0"/>
          <w:bCs w:val="0"/>
        </w:rPr>
      </w:pPr>
      <w:bookmarkStart w:id="66" w:name="_Toc4709"/>
      <w:r>
        <w:rPr>
          <w:rFonts w:eastAsia="宋体" w:cs="Arial"/>
          <w:sz w:val="24"/>
        </w:rPr>
        <w:t>附件二 银行对账单</w:t>
      </w:r>
      <w:bookmarkEnd w:id="64"/>
      <w:bookmarkEnd w:id="65"/>
      <w:bookmarkEnd w:id="66"/>
    </w:p>
    <w:p>
      <w:pPr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银行：中信银行海垦分行（融资放款户）</w:t>
      </w:r>
    </w:p>
    <w:p>
      <w:pPr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>账号：8115801013700050776</w:t>
      </w:r>
    </w:p>
    <w:p>
      <w:pPr>
        <w:ind w:left="630" w:hanging="630" w:hangingChars="300"/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  <w:szCs w:val="21"/>
        </w:rPr>
        <w:t xml:space="preserve">  </w:t>
      </w:r>
    </w:p>
    <w:p>
      <w:pPr>
        <w:rPr>
          <w:rFonts w:ascii="Arial" w:hAnsi="Arial" w:cs="Arial"/>
        </w:rPr>
      </w:pPr>
      <w:r>
        <w:rPr>
          <w:rFonts w:hint="eastAsia" w:ascii="Arial" w:hAnsi="Arial" w:cs="Arial"/>
        </w:rPr>
        <w:drawing>
          <wp:inline distT="0" distB="0" distL="114300" distR="114300">
            <wp:extent cx="5898515" cy="2620645"/>
            <wp:effectExtent l="0" t="0" r="14605" b="635"/>
            <wp:docPr id="21" name="图片 12" descr="a5fcb0115ad310c20043beac6767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a5fcb0115ad310c20043beac6767d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银行：</w:t>
      </w:r>
      <w:r>
        <w:rPr>
          <w:rFonts w:ascii="Arial" w:hAnsi="Arial" w:cs="Arial"/>
          <w:bCs/>
          <w:szCs w:val="21"/>
        </w:rPr>
        <w:t>中信银行海口分行（一般监管户）</w:t>
      </w:r>
    </w:p>
    <w:p>
      <w:pPr>
        <w:rPr>
          <w:rFonts w:ascii="Arial" w:hAnsi="Arial" w:cs="Arial"/>
          <w:bCs/>
          <w:szCs w:val="21"/>
        </w:rPr>
      </w:pPr>
      <w:r>
        <w:rPr>
          <w:rFonts w:ascii="Arial" w:hAnsi="Arial" w:cs="Arial"/>
          <w:bCs/>
        </w:rPr>
        <w:t>账号：</w:t>
      </w:r>
      <w:r>
        <w:rPr>
          <w:rFonts w:ascii="Arial" w:hAnsi="Arial" w:cs="Arial"/>
          <w:bCs/>
          <w:szCs w:val="21"/>
        </w:rPr>
        <w:t>8115801013000044305</w:t>
      </w:r>
    </w:p>
    <w:p>
      <w:pPr>
        <w:rPr>
          <w:rFonts w:ascii="Arial" w:hAnsi="Arial" w:cs="Arial"/>
          <w:bCs/>
        </w:rPr>
      </w:pPr>
      <w:r>
        <w:rPr>
          <w:rFonts w:hint="eastAsia" w:ascii="Arial" w:hAnsi="Arial" w:cs="Arial"/>
          <w:bCs/>
        </w:rPr>
        <w:drawing>
          <wp:inline distT="0" distB="0" distL="114300" distR="114300">
            <wp:extent cx="5896610" cy="2640330"/>
            <wp:effectExtent l="0" t="0" r="1270" b="11430"/>
            <wp:docPr id="13" name="图片 13" descr="8eb689386b8f816735271f01ead34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eb689386b8f816735271f01ead34c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</w:p>
    <w:p>
      <w:pPr>
        <w:jc w:val="center"/>
        <w:rPr>
          <w:rFonts w:ascii="Arial" w:hAnsi="Arial" w:cs="Arial"/>
          <w:bCs/>
        </w:rPr>
      </w:pP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银行：中国银行海口海关支行（一般监管户）</w:t>
      </w: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账号：265030817367</w:t>
      </w:r>
    </w:p>
    <w:p>
      <w:pPr>
        <w:rPr>
          <w:rFonts w:ascii="Arial" w:hAnsi="Arial" w:cs="Arial"/>
        </w:rPr>
      </w:pPr>
      <w:r>
        <w:drawing>
          <wp:inline distT="0" distB="0" distL="114300" distR="114300">
            <wp:extent cx="5897245" cy="722630"/>
            <wp:effectExtent l="0" t="0" r="635" b="8890"/>
            <wp:docPr id="3" name="图片 14" descr="11799788eed2337e5c017d1cb2ad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11799788eed2337e5c017d1cb2adda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/>
          <w:bCs/>
        </w:rPr>
      </w:pP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银行：邮储银行海口海达路支行（一般监管户）</w:t>
      </w: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账号：946008010006698888</w:t>
      </w:r>
    </w:p>
    <w:p>
      <w:pPr>
        <w:rPr>
          <w:rFonts w:ascii="Arial" w:hAnsi="Arial" w:cs="Arial"/>
        </w:rPr>
      </w:pPr>
    </w:p>
    <w:p>
      <w:pPr>
        <w:jc w:val="center"/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bCs/>
        </w:rPr>
      </w:pPr>
      <w:r>
        <w:rPr>
          <w:rFonts w:hint="eastAsia" w:ascii="Arial" w:hAnsi="Arial" w:cs="Arial"/>
          <w:bCs/>
        </w:rPr>
        <w:drawing>
          <wp:inline distT="0" distB="0" distL="114300" distR="114300">
            <wp:extent cx="5895975" cy="2244090"/>
            <wp:effectExtent l="0" t="0" r="1905" b="11430"/>
            <wp:docPr id="22" name="图片 15" descr="8c6f027055a00e8435cedbedd9e7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8c6f027055a00e8435cedbedd9e785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bCs/>
        </w:rPr>
      </w:pPr>
    </w:p>
    <w:p>
      <w:pPr>
        <w:rPr>
          <w:rFonts w:ascii="Arial" w:hAnsi="Arial" w:cs="Arial"/>
          <w:bCs/>
        </w:rPr>
      </w:pP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银行：中国农业银行海口南海分理处（一般监管户）</w:t>
      </w:r>
    </w:p>
    <w:p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账号：21289001040004079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hint="eastAsia" w:ascii="Arial" w:hAnsi="Arial" w:cs="Arial"/>
        </w:rPr>
        <w:drawing>
          <wp:inline distT="0" distB="0" distL="114300" distR="114300">
            <wp:extent cx="5895975" cy="2647315"/>
            <wp:effectExtent l="0" t="0" r="1905" b="4445"/>
            <wp:docPr id="4" name="图片 16" descr="590230bc5ae01ddc3983a8d472db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590230bc5ae01ddc3983a8d472db4d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</w:p>
    <w:p>
      <w:pPr>
        <w:pStyle w:val="3"/>
        <w:keepNext w:val="0"/>
        <w:keepLines w:val="0"/>
        <w:spacing w:before="0" w:after="0" w:line="0" w:lineRule="atLeast"/>
        <w:rPr>
          <w:rFonts w:eastAsia="宋体" w:cs="Arial"/>
          <w:b w:val="0"/>
          <w:bCs w:val="0"/>
          <w:sz w:val="21"/>
          <w:szCs w:val="21"/>
        </w:rPr>
      </w:pPr>
      <w:bookmarkStart w:id="67" w:name="_Toc4344"/>
      <w:r>
        <w:rPr>
          <w:rFonts w:eastAsia="宋体" w:cs="Arial"/>
          <w:b w:val="0"/>
          <w:bCs w:val="0"/>
          <w:sz w:val="21"/>
          <w:szCs w:val="21"/>
        </w:rPr>
        <w:t>银行：招商银行海口分行营业部（一般资金监管户）</w:t>
      </w:r>
      <w:bookmarkEnd w:id="67"/>
    </w:p>
    <w:p>
      <w:pPr>
        <w:rPr>
          <w:rFonts w:ascii="Arial" w:hAnsi="Arial" w:cs="Arial"/>
          <w:sz w:val="24"/>
        </w:rPr>
      </w:pPr>
      <w:r>
        <w:rPr>
          <w:rFonts w:ascii="Arial" w:hAnsi="Arial" w:cs="Arial"/>
          <w:szCs w:val="21"/>
        </w:rPr>
        <w:t>账号：898901449510902</w:t>
      </w:r>
    </w:p>
    <w:p>
      <w:r>
        <w:rPr>
          <w:rFonts w:hint="eastAsia" w:ascii="Arial" w:hAnsi="Arial" w:cs="Arial"/>
        </w:rPr>
        <w:drawing>
          <wp:inline distT="0" distB="0" distL="114300" distR="114300">
            <wp:extent cx="5902325" cy="1572260"/>
            <wp:effectExtent l="0" t="0" r="10795" b="12700"/>
            <wp:docPr id="11" name="图片 17" descr="8573a47a74c5d909623ac2ed4ec3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7" descr="8573a47a74c5d909623ac2ed4ec39f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P2/IisEBAACP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Arial" w:hAnsi="Arial"/>
      </w:rPr>
    </w:pPr>
    <w:r>
      <w:rPr>
        <w:rFonts w:hint="eastAsia" w:ascii="Arial" w:hAnsi="Arial"/>
      </w:rPr>
      <w:t>2020年</w:t>
    </w:r>
    <w:r>
      <w:rPr>
        <w:rFonts w:hint="eastAsia" w:ascii="Arial" w:hAnsi="Arial"/>
        <w:lang w:val="en-US" w:eastAsia="zh-CN"/>
      </w:rPr>
      <w:t>12月</w:t>
    </w:r>
    <w:r>
      <w:rPr>
        <w:rFonts w:hint="eastAsia" w:ascii="Arial" w:hAnsi="Arial"/>
      </w:rPr>
      <w:t>退场监管报告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ascii="宋体" w:hAnsi="宋体" w:cs="宋体"/>
      </w:rPr>
    </w:pPr>
    <w:r>
      <w:rPr>
        <w:rFonts w:hint="eastAsia" w:ascii="Arial" w:hAnsi="Arial"/>
      </w:rPr>
      <w:t>2020年</w:t>
    </w:r>
    <w:r>
      <w:rPr>
        <w:rFonts w:hint="eastAsia" w:ascii="Arial" w:hAnsi="Arial"/>
        <w:lang w:val="en-US" w:eastAsia="zh-CN"/>
      </w:rPr>
      <w:t>12月</w:t>
    </w:r>
    <w:r>
      <w:rPr>
        <w:rFonts w:hint="eastAsia" w:ascii="Arial" w:hAnsi="Arial"/>
      </w:rPr>
      <w:t>退场监管报告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ACF63D"/>
    <w:multiLevelType w:val="singleLevel"/>
    <w:tmpl w:val="C0ACF63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9FF4544"/>
    <w:multiLevelType w:val="singleLevel"/>
    <w:tmpl w:val="49FF4544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8AE613F"/>
    <w:multiLevelType w:val="singleLevel"/>
    <w:tmpl w:val="58AE613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A70BD4"/>
    <w:rsid w:val="005F6582"/>
    <w:rsid w:val="00910FF6"/>
    <w:rsid w:val="00AF3CF2"/>
    <w:rsid w:val="0B7F510E"/>
    <w:rsid w:val="0F8B6928"/>
    <w:rsid w:val="3AA70BD4"/>
    <w:rsid w:val="42E2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6"/>
    <w:qFormat/>
    <w:uiPriority w:val="0"/>
    <w:pPr>
      <w:jc w:val="left"/>
    </w:p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kern w:val="0"/>
      <w:sz w:val="22"/>
      <w:szCs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kern w:val="0"/>
      <w:sz w:val="22"/>
      <w:szCs w:val="22"/>
    </w:rPr>
  </w:style>
  <w:style w:type="paragraph" w:styleId="10">
    <w:name w:val="annotation subject"/>
    <w:basedOn w:val="4"/>
    <w:next w:val="4"/>
    <w:link w:val="17"/>
    <w:qFormat/>
    <w:uiPriority w:val="0"/>
    <w:rPr>
      <w:b/>
      <w:bCs/>
    </w:rPr>
  </w:style>
  <w:style w:type="character" w:styleId="13">
    <w:name w:val="Hyperlink"/>
    <w:qFormat/>
    <w:uiPriority w:val="99"/>
    <w:rPr>
      <w:color w:val="333333"/>
      <w:u w:val="none"/>
    </w:rPr>
  </w:style>
  <w:style w:type="character" w:styleId="14">
    <w:name w:val="annotation reference"/>
    <w:qFormat/>
    <w:uiPriority w:val="0"/>
    <w:rPr>
      <w:sz w:val="21"/>
      <w:szCs w:val="21"/>
    </w:rPr>
  </w:style>
  <w:style w:type="paragraph" w:customStyle="1" w:styleId="15">
    <w:name w:val="_Style 7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6">
    <w:name w:val="批注文字 字符"/>
    <w:basedOn w:val="12"/>
    <w:link w:val="4"/>
    <w:qFormat/>
    <w:uiPriority w:val="0"/>
    <w:rPr>
      <w:kern w:val="2"/>
      <w:sz w:val="21"/>
      <w:szCs w:val="24"/>
    </w:rPr>
  </w:style>
  <w:style w:type="character" w:customStyle="1" w:styleId="17">
    <w:name w:val="批注主题 字符"/>
    <w:basedOn w:val="16"/>
    <w:link w:val="10"/>
    <w:qFormat/>
    <w:uiPriority w:val="0"/>
    <w:rPr>
      <w:b/>
      <w:bCs/>
      <w:kern w:val="2"/>
      <w:sz w:val="21"/>
      <w:szCs w:val="24"/>
    </w:rPr>
  </w:style>
  <w:style w:type="character" w:customStyle="1" w:styleId="18">
    <w:name w:val="批注框文本 字符"/>
    <w:basedOn w:val="12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1303</Words>
  <Characters>7430</Characters>
  <Lines>61</Lines>
  <Paragraphs>17</Paragraphs>
  <TotalTime>20</TotalTime>
  <ScaleCrop>false</ScaleCrop>
  <LinksUpToDate>false</LinksUpToDate>
  <CharactersWithSpaces>8716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2020-12-25T10:09:00Z</dcterms:created>
  <dc:creator>冯同学</dc:creator>
  <cp:lastModifiedBy>冯同学</cp:lastModifiedBy>
  <dcterms:modified xsi:type="dcterms:W3CDTF">2020-12-27T13:08:49Z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