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融创杭州庆隆</w:t>
      </w:r>
      <w:r>
        <w:rPr>
          <w:rFonts w:hint="eastAsia" w:ascii="宋体" w:hAnsi="宋体" w:cs="宋体"/>
          <w:b/>
          <w:bCs/>
          <w:sz w:val="36"/>
          <w:szCs w:val="36"/>
        </w:rPr>
        <w:t>项目</w:t>
      </w:r>
      <w:r>
        <w:rPr>
          <w:rFonts w:ascii="Arial" w:hAnsi="Arial" w:cs="Arial"/>
          <w:b/>
          <w:bCs/>
          <w:sz w:val="36"/>
          <w:szCs w:val="36"/>
        </w:rPr>
        <w:t>20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spacing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</w:rPr>
        <w:t>杭州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融滨昌盛</w:t>
      </w:r>
      <w:r>
        <w:rPr>
          <w:rFonts w:hint="default" w:ascii="Arial" w:hAnsi="Arial" w:eastAsia="宋体" w:cs="Arial"/>
          <w:sz w:val="24"/>
          <w:szCs w:val="24"/>
        </w:rPr>
        <w:t>置业有限公司（以下简称项目公司）于202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日提交了《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融创</w:t>
      </w:r>
      <w:r>
        <w:rPr>
          <w:rFonts w:hint="default" w:ascii="Arial" w:hAnsi="Arial" w:eastAsia="宋体" w:cs="Arial"/>
          <w:sz w:val="24"/>
          <w:szCs w:val="24"/>
        </w:rPr>
        <w:t>杭州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庆隆</w:t>
      </w:r>
      <w:r>
        <w:rPr>
          <w:rFonts w:hint="default" w:ascii="Arial" w:hAnsi="Arial" w:eastAsia="宋体" w:cs="Arial"/>
          <w:sz w:val="24"/>
          <w:szCs w:val="24"/>
        </w:rPr>
        <w:t>项目202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60" w:beforeLines="50" w:after="160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融创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庆隆</w:t>
      </w:r>
      <w:r>
        <w:rPr>
          <w:rFonts w:hint="eastAsia" w:ascii="宋体" w:hAnsi="宋体"/>
          <w:b/>
          <w:sz w:val="24"/>
          <w:szCs w:val="24"/>
        </w:rPr>
        <w:t>项目202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eastAsia="zh-CN"/>
        </w:rPr>
        <w:t>资金计划</w:t>
      </w:r>
      <w:r>
        <w:rPr>
          <w:rFonts w:hint="eastAsia" w:ascii="宋体" w:hAnsi="宋体"/>
          <w:b/>
          <w:sz w:val="24"/>
          <w:szCs w:val="24"/>
        </w:rPr>
        <w:t>汇总</w:t>
      </w:r>
    </w:p>
    <w:p>
      <w:pPr>
        <w:numPr>
          <w:ilvl w:val="0"/>
          <w:numId w:val="2"/>
        </w:numPr>
        <w:spacing w:before="160" w:beforeLines="50" w:after="160" w:afterLines="50" w:line="360" w:lineRule="auto"/>
        <w:ind w:firstLine="0" w:firstLineChars="0"/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资金计划流入情况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项目公司预计</w:t>
      </w: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月份资金流入</w:t>
      </w: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销售回款4,663.00万元。</w:t>
      </w:r>
    </w:p>
    <w:p>
      <w:pPr>
        <w:numPr>
          <w:ilvl w:val="0"/>
          <w:numId w:val="2"/>
        </w:numPr>
        <w:spacing w:before="160" w:beforeLines="50" w:after="160" w:afterLines="50" w:line="360" w:lineRule="auto"/>
        <w:ind w:firstLine="0" w:firstLineChars="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资金计划</w:t>
      </w:r>
      <w:r>
        <w:rPr>
          <w:rFonts w:hint="eastAsia" w:ascii="Arial" w:hAnsi="Arial" w:cs="Arial"/>
          <w:sz w:val="24"/>
          <w:szCs w:val="24"/>
          <w:lang w:val="en-US" w:eastAsia="zh-CN"/>
        </w:rPr>
        <w:t>支出情况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  <w:lang w:val="en-US"/>
        </w:rPr>
      </w:pPr>
      <w:r>
        <w:rPr>
          <w:rFonts w:hint="default" w:ascii="Arial" w:hAnsi="Arial" w:eastAsia="宋体" w:cs="Arial"/>
          <w:sz w:val="24"/>
          <w:szCs w:val="24"/>
        </w:rPr>
        <w:t>项目公司202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sz w:val="24"/>
          <w:szCs w:val="24"/>
        </w:rPr>
        <w:t>日提交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default"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eastAsia="zh-CN"/>
        </w:rPr>
        <w:t>份</w:t>
      </w:r>
      <w:r>
        <w:rPr>
          <w:rFonts w:hint="default" w:ascii="Arial" w:hAnsi="Arial" w:eastAsia="宋体" w:cs="Arial"/>
          <w:sz w:val="24"/>
          <w:szCs w:val="24"/>
        </w:rPr>
        <w:t>资金计划，计划资金支出共计</w:t>
      </w:r>
      <w:r>
        <w:rPr>
          <w:rFonts w:hint="eastAsia" w:ascii="Arial" w:hAnsi="Arial" w:cs="Arial"/>
          <w:sz w:val="24"/>
          <w:szCs w:val="24"/>
          <w:lang w:val="en-US" w:eastAsia="zh-CN"/>
        </w:rPr>
        <w:t>14</w:t>
      </w:r>
      <w:r>
        <w:rPr>
          <w:rFonts w:hint="default" w:ascii="Arial" w:hAnsi="Arial" w:eastAsia="宋体" w:cs="Arial"/>
          <w:sz w:val="24"/>
          <w:szCs w:val="24"/>
        </w:rPr>
        <w:t>笔，合计</w:t>
      </w:r>
      <w:r>
        <w:rPr>
          <w:rFonts w:hint="eastAsia" w:ascii="Arial" w:hAnsi="Arial" w:cs="Arial"/>
          <w:sz w:val="24"/>
          <w:szCs w:val="24"/>
          <w:lang w:val="en-US" w:eastAsia="zh-CN"/>
        </w:rPr>
        <w:t>3,622.66</w:t>
      </w:r>
      <w:r>
        <w:rPr>
          <w:rFonts w:hint="default" w:ascii="Arial" w:hAnsi="Arial" w:eastAsia="宋体" w:cs="Arial"/>
          <w:sz w:val="24"/>
          <w:szCs w:val="24"/>
        </w:rPr>
        <w:t>万元。根据尽调报告中的目标成本分类方式，我司对资金计划中的支付项进行整理、分类，其中：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工程费用</w:t>
      </w:r>
      <w:r>
        <w:rPr>
          <w:rFonts w:hint="default" w:ascii="Arial" w:hAnsi="Arial" w:eastAsia="宋体" w:cs="Arial"/>
          <w:sz w:val="24"/>
          <w:szCs w:val="24"/>
        </w:rPr>
        <w:t>支出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1,535.00</w:t>
      </w:r>
      <w:r>
        <w:rPr>
          <w:rFonts w:hint="default" w:ascii="Arial" w:hAnsi="Arial" w:eastAsia="宋体" w:cs="Arial"/>
          <w:sz w:val="24"/>
          <w:szCs w:val="24"/>
        </w:rPr>
        <w:t>万元，前期费用支出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145.24</w:t>
      </w:r>
      <w:r>
        <w:rPr>
          <w:rFonts w:hint="default" w:ascii="Arial" w:hAnsi="Arial" w:eastAsia="宋体" w:cs="Arial"/>
          <w:sz w:val="24"/>
          <w:szCs w:val="24"/>
        </w:rPr>
        <w:t>万元，管理费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用</w:t>
      </w:r>
      <w:r>
        <w:rPr>
          <w:rFonts w:hint="default" w:ascii="Arial" w:hAnsi="Arial" w:eastAsia="宋体" w:cs="Arial"/>
          <w:sz w:val="24"/>
          <w:szCs w:val="24"/>
        </w:rPr>
        <w:t>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80.00</w:t>
      </w:r>
      <w:r>
        <w:rPr>
          <w:rFonts w:hint="default" w:ascii="Arial" w:hAnsi="Arial" w:eastAsia="宋体" w:cs="Arial"/>
          <w:sz w:val="24"/>
          <w:szCs w:val="24"/>
        </w:rPr>
        <w:t>万元，营销费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用</w:t>
      </w:r>
      <w:r>
        <w:rPr>
          <w:rFonts w:hint="default" w:ascii="Arial" w:hAnsi="Arial" w:eastAsia="宋体" w:cs="Arial"/>
          <w:sz w:val="24"/>
          <w:szCs w:val="24"/>
        </w:rPr>
        <w:t>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37</w:t>
      </w:r>
      <w:r>
        <w:rPr>
          <w:rFonts w:hint="eastAsia" w:ascii="Arial" w:hAnsi="Arial" w:cs="Arial"/>
          <w:sz w:val="24"/>
          <w:szCs w:val="24"/>
          <w:lang w:val="en-US" w:eastAsia="zh-CN"/>
        </w:rPr>
        <w:t>.42</w:t>
      </w:r>
      <w:r>
        <w:rPr>
          <w:rFonts w:hint="default" w:ascii="Arial" w:hAnsi="Arial" w:eastAsia="宋体" w:cs="Arial"/>
          <w:sz w:val="24"/>
          <w:szCs w:val="24"/>
        </w:rPr>
        <w:t>万元，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财务费用支出</w:t>
      </w:r>
      <w:r>
        <w:rPr>
          <w:rFonts w:hint="eastAsia" w:ascii="Arial" w:hAnsi="Arial" w:cs="Arial"/>
          <w:sz w:val="24"/>
          <w:szCs w:val="24"/>
          <w:lang w:val="en-US" w:eastAsia="zh-CN"/>
        </w:rPr>
        <w:t>1,180.00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万元，税费</w:t>
      </w:r>
      <w:r>
        <w:rPr>
          <w:rFonts w:hint="eastAsia" w:ascii="Arial" w:hAnsi="Arial" w:cs="Arial"/>
          <w:sz w:val="24"/>
          <w:szCs w:val="24"/>
          <w:lang w:val="en-US" w:eastAsia="zh-CN"/>
        </w:rPr>
        <w:t>45.00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万元。</w:t>
      </w:r>
    </w:p>
    <w:tbl>
      <w:tblPr>
        <w:tblStyle w:val="11"/>
        <w:tblW w:w="10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863"/>
        <w:gridCol w:w="1863"/>
        <w:gridCol w:w="1863"/>
        <w:gridCol w:w="186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546" w:type="dxa"/>
            <w:gridSpan w:val="6"/>
            <w:shd w:val="clear" w:color="auto" w:fill="CCC0D9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中航信托•天垣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12号融创庆隆项目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融创杭州庆隆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项目月度资金使用计划（202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6" w:type="dxa"/>
            <w:gridSpan w:val="6"/>
            <w:shd w:val="clear" w:color="auto" w:fill="CCC0D9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编制：杭州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融滨昌盛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置业有限公司                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28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目标成本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已签订合同占目标成本比例</w:t>
            </w:r>
          </w:p>
        </w:tc>
        <w:tc>
          <w:tcPr>
            <w:tcW w:w="1863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累计已付款</w:t>
            </w:r>
          </w:p>
        </w:tc>
        <w:tc>
          <w:tcPr>
            <w:tcW w:w="1866" w:type="dxa"/>
            <w:shd w:val="clear" w:color="auto" w:fill="DCD8C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土地费用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310,081.00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299,550.00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96.60%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308,766.08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工程费用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116,273.00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46,561.46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40.05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9,092.51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1,535.00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前期费用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2,438.00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2,614.36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107.23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1,461.37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145.24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管理费用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10,955.00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144.91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营销费用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10,955.00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1189.35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679.80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637.42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财务费用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14,869.00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021.25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6.87%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2,098.86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1,180.00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税费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855.00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233.54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48.70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1863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497,426.00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  <w:u w:val="none"/>
                <w:lang w:val="en-US" w:eastAsia="zh-CN" w:bidi="ar"/>
              </w:rPr>
              <w:t>350,936.42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70.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</w:rPr>
              <w:t>322,525.77</w:t>
            </w:r>
          </w:p>
        </w:tc>
        <w:tc>
          <w:tcPr>
            <w:tcW w:w="1866" w:type="dxa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3,622.66</w:t>
            </w:r>
          </w:p>
        </w:tc>
      </w:tr>
      <w:bookmarkEnd w:id="0"/>
    </w:tbl>
    <w:p>
      <w:pPr>
        <w:pStyle w:val="10"/>
        <w:spacing w:after="0"/>
        <w:ind w:left="540" w:hanging="540" w:hangingChars="300"/>
        <w:rPr>
          <w:rFonts w:hint="eastAsia" w:ascii="Arial" w:hAnsi="Arial" w:eastAsia="宋体" w:cs="Arial"/>
          <w:bCs/>
          <w:sz w:val="18"/>
          <w:szCs w:val="18"/>
          <w:lang w:val="en-US" w:eastAsia="zh-CN"/>
        </w:rPr>
      </w:pPr>
      <w:r>
        <w:rPr>
          <w:rFonts w:hint="eastAsia" w:ascii="Arial" w:hAnsi="Arial" w:cs="Arial"/>
          <w:bCs/>
          <w:sz w:val="18"/>
          <w:szCs w:val="18"/>
        </w:rPr>
        <w:t>注：</w:t>
      </w:r>
      <w:r>
        <w:rPr>
          <w:rFonts w:hint="eastAsia" w:ascii="Arial" w:hAnsi="Arial" w:cs="Arial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18"/>
          <w:szCs w:val="18"/>
        </w:rPr>
        <w:t>1、上表采用电算化连续计算得出，由于计算数据均按四舍五入保留两位小数或取整，故可能出现个别加总不完全相等的情况；</w:t>
      </w:r>
      <w:r>
        <w:rPr>
          <w:rFonts w:hint="eastAsia" w:ascii="Arial" w:hAnsi="Arial" w:cs="Arial"/>
          <w:bCs/>
          <w:sz w:val="18"/>
          <w:szCs w:val="18"/>
          <w:lang w:val="en-US" w:eastAsia="zh-CN"/>
        </w:rPr>
        <w:t xml:space="preserve"> </w:t>
      </w:r>
      <w:bookmarkStart w:id="1" w:name="_GoBack"/>
      <w:bookmarkEnd w:id="1"/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项目公司目标成本来源于信托尽调报告，待取得首董会批准的目标成本测算后将进行修正；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>土地成本及土地合同：（1）土地款、（2）土地契税和印花税、（3）市政配套费；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default" w:ascii="Arial" w:hAnsi="Arial" w:eastAsia="宋体" w:cs="Arial"/>
          <w:sz w:val="18"/>
          <w:szCs w:val="18"/>
        </w:rPr>
        <w:t>工程费用</w:t>
      </w:r>
      <w:r>
        <w:rPr>
          <w:rFonts w:hint="eastAsia" w:ascii="Arial" w:hAnsi="Arial" w:cs="Arial"/>
          <w:bCs/>
          <w:sz w:val="18"/>
          <w:szCs w:val="18"/>
        </w:rPr>
        <w:t>成本包括：（1）建安工程款、（2）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基础设施工程款、（3）公共配套设施工程款</w:t>
      </w:r>
      <w:r>
        <w:rPr>
          <w:rFonts w:hint="eastAsia" w:ascii="Arial" w:hAnsi="Arial" w:cs="Arial"/>
          <w:color w:val="000000"/>
          <w:kern w:val="0"/>
          <w:sz w:val="18"/>
          <w:szCs w:val="18"/>
          <w:lang w:eastAsia="zh-CN" w:bidi="ar"/>
        </w:rPr>
        <w:t>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>税费包括：增值税加及附加、所得税；</w:t>
      </w:r>
    </w:p>
    <w:p>
      <w:pPr>
        <w:pStyle w:val="10"/>
        <w:numPr>
          <w:ilvl w:val="0"/>
          <w:numId w:val="3"/>
        </w:numPr>
        <w:spacing w:after="0"/>
        <w:ind w:firstLine="180"/>
        <w:rPr>
          <w:rFonts w:ascii="Arial" w:hAnsi="Arial" w:cs="Times New Roman"/>
          <w:bCs/>
          <w:sz w:val="18"/>
          <w:szCs w:val="24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>其他包括：缴纳保证金。</w:t>
      </w:r>
    </w:p>
    <w:p>
      <w:pPr>
        <w:spacing w:before="162" w:beforeLines="50" w:after="162" w:afterLines="50" w:line="360" w:lineRule="auto"/>
        <w:rPr>
          <w:rFonts w:hint="default" w:ascii="Arial" w:hAnsi="Arial" w:cs="Arial"/>
          <w:bCs/>
          <w:sz w:val="24"/>
          <w:szCs w:val="24"/>
          <w:highlight w:val="yellow"/>
          <w:lang w:bidi="ar-SA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bidi="zh-CN"/>
        </w:rPr>
        <w:t xml:space="preserve">  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bidi="ar-SA"/>
        </w:rPr>
        <w:t>根据《</w:t>
      </w:r>
      <w:r>
        <w:rPr>
          <w:rFonts w:hint="eastAsia" w:ascii="Arial" w:hAnsi="Arial" w:cs="Arial"/>
          <w:bCs/>
          <w:sz w:val="24"/>
          <w:szCs w:val="24"/>
          <w:lang w:val="en-US" w:eastAsia="zh-CN" w:bidi="ar-SA"/>
        </w:rPr>
        <w:t>3</w:t>
      </w:r>
      <w:r>
        <w:rPr>
          <w:rFonts w:hint="default" w:ascii="Arial" w:hAnsi="Arial" w:cs="Arial"/>
          <w:bCs/>
          <w:sz w:val="24"/>
          <w:szCs w:val="24"/>
          <w:lang w:bidi="ar-SA"/>
        </w:rPr>
        <w:t>月份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月度资金使用计划</w:t>
      </w:r>
      <w:r>
        <w:rPr>
          <w:rFonts w:hint="default" w:ascii="Arial" w:hAnsi="Arial" w:cs="Arial"/>
          <w:bCs/>
          <w:sz w:val="24"/>
          <w:szCs w:val="24"/>
          <w:lang w:bidi="ar-SA"/>
        </w:rPr>
        <w:t>》显示，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前期费用已签订合同金额超出目标成本</w:t>
      </w:r>
      <w:r>
        <w:rPr>
          <w:rFonts w:hint="eastAsia" w:ascii="Arial" w:hAnsi="Arial" w:cs="Arial"/>
          <w:bCs/>
          <w:sz w:val="24"/>
          <w:szCs w:val="24"/>
          <w:lang w:val="en-US" w:eastAsia="zh-CN" w:bidi="ar-SA"/>
        </w:rPr>
        <w:t>7.23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%，主要原因是</w:t>
      </w:r>
      <w:r>
        <w:rPr>
          <w:rFonts w:hint="default" w:ascii="Arial" w:hAnsi="Arial" w:cs="Arial"/>
          <w:bCs/>
          <w:sz w:val="24"/>
          <w:szCs w:val="24"/>
          <w:lang w:val="en-US" w:eastAsia="zh-CN" w:bidi="ar-SA"/>
        </w:rPr>
        <w:t>尽调报告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目标</w:t>
      </w:r>
      <w:r>
        <w:rPr>
          <w:rFonts w:hint="default" w:ascii="Arial" w:hAnsi="Arial" w:cs="Arial"/>
          <w:bCs/>
          <w:sz w:val="24"/>
          <w:szCs w:val="24"/>
          <w:lang w:val="en-US" w:eastAsia="zh-CN" w:bidi="ar-SA"/>
        </w:rPr>
        <w:t>成本中的前期费用与项目公司实际目标成本存在差异</w:t>
      </w:r>
      <w:r>
        <w:rPr>
          <w:rFonts w:hint="default" w:ascii="Arial" w:hAnsi="Arial" w:cs="Arial"/>
          <w:bCs/>
          <w:sz w:val="24"/>
          <w:szCs w:val="24"/>
          <w:lang w:val="en-US" w:bidi="ar-SA"/>
        </w:rPr>
        <w:t>，</w:t>
      </w:r>
      <w:r>
        <w:rPr>
          <w:rFonts w:hint="default" w:ascii="Arial" w:hAnsi="Arial" w:cs="Arial"/>
          <w:bCs/>
          <w:sz w:val="24"/>
          <w:szCs w:val="24"/>
          <w:lang w:val="en-US" w:eastAsia="zh-CN" w:bidi="ar-SA"/>
        </w:rPr>
        <w:t>目标成本待首董会批准通过后进行调整。</w:t>
      </w:r>
    </w:p>
    <w:p>
      <w:pPr>
        <w:spacing w:before="160" w:beforeLines="50" w:after="16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二、</w:t>
      </w:r>
      <w:r>
        <w:rPr>
          <w:rFonts w:hint="eastAsia" w:ascii="宋体" w:hAnsi="宋体"/>
          <w:b/>
          <w:color w:val="000000"/>
          <w:sz w:val="24"/>
          <w:szCs w:val="24"/>
          <w:lang w:val="en-US" w:bidi="zh-CN"/>
        </w:rPr>
        <w:t>2021年2</w:t>
      </w:r>
      <w:r>
        <w:rPr>
          <w:rFonts w:hint="eastAsia" w:ascii="宋体" w:hAnsi="宋体" w:cs="宋体"/>
          <w:b/>
          <w:sz w:val="24"/>
          <w:szCs w:val="24"/>
        </w:rPr>
        <w:t>月份资</w:t>
      </w:r>
      <w:r>
        <w:rPr>
          <w:rFonts w:ascii="宋体" w:hAnsi="宋体" w:cs="宋体"/>
          <w:b/>
          <w:sz w:val="24"/>
          <w:szCs w:val="24"/>
        </w:rPr>
        <w:t>金计划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执行</w:t>
      </w:r>
      <w:r>
        <w:rPr>
          <w:rFonts w:ascii="宋体" w:hAnsi="宋体" w:cs="宋体"/>
          <w:b/>
          <w:sz w:val="24"/>
          <w:szCs w:val="24"/>
        </w:rPr>
        <w:t>情况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资金流入情况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项目公司预计2月份资金流入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23,000.00万元，</w:t>
      </w:r>
      <w:r>
        <w:rPr>
          <w:rFonts w:hint="eastAsia" w:ascii="Arial" w:hAnsi="Arial" w:cs="Arial"/>
          <w:bCs/>
          <w:sz w:val="24"/>
          <w:szCs w:val="24"/>
          <w:lang w:val="en-US" w:eastAsia="zh-CN"/>
        </w:rPr>
        <w:t>其中：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工商银行开发贷放款20,000.00万元，销售回款3</w:t>
      </w:r>
      <w:r>
        <w:rPr>
          <w:rFonts w:hint="default" w:ascii="Arial" w:hAnsi="Arial" w:cs="Arial"/>
          <w:bCs/>
          <w:sz w:val="24"/>
          <w:szCs w:val="24"/>
          <w:lang w:val="en-US" w:eastAsia="zh-CN"/>
        </w:rPr>
        <w:t>,</w:t>
      </w:r>
      <w:r>
        <w:rPr>
          <w:rFonts w:hint="default" w:ascii="Arial" w:hAnsi="Arial" w:eastAsia="宋体" w:cs="Arial"/>
          <w:bCs/>
          <w:sz w:val="24"/>
          <w:szCs w:val="24"/>
          <w:lang w:val="en-US" w:eastAsia="zh-CN"/>
        </w:rPr>
        <w:t>000.00万元</w:t>
      </w:r>
      <w:r>
        <w:rPr>
          <w:rFonts w:hint="eastAsia" w:ascii="Arial" w:hAnsi="Arial" w:cs="Arial"/>
          <w:bCs/>
          <w:sz w:val="24"/>
          <w:szCs w:val="24"/>
          <w:lang w:val="en-US" w:eastAsia="zh-CN"/>
        </w:rPr>
        <w:t>。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月份</w:t>
      </w:r>
      <w:r>
        <w:rPr>
          <w:rFonts w:hint="eastAsia" w:ascii="Arial" w:hAnsi="Arial" w:cs="Arial"/>
          <w:bCs/>
          <w:sz w:val="24"/>
          <w:szCs w:val="24"/>
          <w:lang w:val="en-US" w:eastAsia="zh-CN"/>
        </w:rPr>
        <w:t>实际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资金流入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20,670.32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万元，其中20,000.00万元为银行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开发贷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664.00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万元为房款、车位款收入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，6.32万元银行利息收入。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0" w:firstLineChars="0"/>
        <w:jc w:val="left"/>
        <w:textAlignment w:val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资金流出情况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lang w:bidi="zh-CN"/>
        </w:rPr>
      </w:pPr>
      <w:r>
        <w:rPr>
          <w:rFonts w:hint="default" w:ascii="Arial" w:hAnsi="Arial" w:cs="Arial"/>
          <w:sz w:val="24"/>
        </w:rPr>
        <w:t>项目公司</w:t>
      </w:r>
      <w:r>
        <w:rPr>
          <w:rFonts w:ascii="Arial" w:hAnsi="Arial" w:cs="Arial"/>
          <w:sz w:val="24"/>
        </w:rPr>
        <w:t>202</w:t>
      </w:r>
      <w:r>
        <w:rPr>
          <w:rFonts w:hint="eastAsia" w:ascii="Arial" w:hAnsi="Arial" w:cs="Arial"/>
          <w:sz w:val="24"/>
          <w:lang w:val="en-US" w:eastAsia="zh-CN"/>
        </w:rPr>
        <w:t>1</w:t>
      </w:r>
      <w:r>
        <w:rPr>
          <w:rFonts w:hint="default" w:ascii="Arial" w:hAnsi="Arial" w:cs="Arial"/>
          <w:sz w:val="24"/>
        </w:rPr>
        <w:t>年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ascii="Arial" w:hAnsi="Arial" w:cs="Arial"/>
          <w:sz w:val="24"/>
        </w:rPr>
        <w:t>月计</w:t>
      </w:r>
      <w:r>
        <w:rPr>
          <w:rFonts w:hint="default" w:ascii="Arial" w:hAnsi="Arial" w:cs="Arial"/>
          <w:sz w:val="24"/>
          <w:lang w:val="en-US" w:eastAsia="zh-CN"/>
        </w:rPr>
        <w:t>划</w:t>
      </w:r>
      <w:r>
        <w:rPr>
          <w:rFonts w:ascii="Arial" w:hAnsi="Arial" w:cs="Arial"/>
          <w:sz w:val="24"/>
        </w:rPr>
        <w:t>资金支出</w:t>
      </w:r>
      <w:r>
        <w:rPr>
          <w:rFonts w:hint="eastAsia" w:ascii="Arial" w:hAnsi="Arial" w:cs="Arial"/>
          <w:sz w:val="24"/>
          <w:lang w:val="en-US" w:eastAsia="zh-CN"/>
        </w:rPr>
        <w:t>5,253.57</w:t>
      </w:r>
      <w:r>
        <w:rPr>
          <w:rFonts w:hint="default" w:ascii="Arial" w:hAnsi="Arial" w:cs="Arial"/>
          <w:bCs/>
          <w:sz w:val="24"/>
        </w:rPr>
        <w:t>万元，</w:t>
      </w:r>
      <w:r>
        <w:rPr>
          <w:rFonts w:hint="default" w:ascii="Arial" w:hAnsi="Arial" w:cs="Arial"/>
          <w:sz w:val="24"/>
        </w:rPr>
        <w:t>实际资金支付</w:t>
      </w:r>
      <w:r>
        <w:rPr>
          <w:rFonts w:hint="eastAsia" w:ascii="Arial" w:hAnsi="Arial" w:cs="Arial"/>
          <w:sz w:val="24"/>
          <w:lang w:val="en-US" w:eastAsia="zh-CN"/>
        </w:rPr>
        <w:t>1,542.14</w:t>
      </w:r>
      <w:r>
        <w:rPr>
          <w:rFonts w:hint="default" w:ascii="Arial" w:hAnsi="Arial" w:cs="Arial"/>
          <w:sz w:val="24"/>
        </w:rPr>
        <w:t>万元</w:t>
      </w:r>
      <w:r>
        <w:rPr>
          <w:rFonts w:hint="default" w:ascii="Arial" w:hAnsi="Arial" w:cs="Arial"/>
          <w:sz w:val="24"/>
          <w:lang w:eastAsia="zh-CN"/>
        </w:rPr>
        <w:t>，</w:t>
      </w:r>
      <w:r>
        <w:rPr>
          <w:rFonts w:hint="default" w:ascii="Arial" w:hAnsi="Arial" w:cs="Arial"/>
          <w:sz w:val="24"/>
        </w:rPr>
        <w:t>其中：前期费用支出</w:t>
      </w:r>
      <w:r>
        <w:rPr>
          <w:rFonts w:hint="eastAsia" w:ascii="Arial" w:hAnsi="Arial" w:cs="Arial"/>
          <w:sz w:val="24"/>
          <w:lang w:val="en-US" w:eastAsia="zh-CN"/>
        </w:rPr>
        <w:t>103.71</w:t>
      </w:r>
      <w:r>
        <w:rPr>
          <w:rFonts w:hint="default" w:ascii="Arial" w:hAnsi="Arial" w:cs="Arial"/>
          <w:sz w:val="24"/>
        </w:rPr>
        <w:t>万元；工程费用支出</w:t>
      </w:r>
      <w:r>
        <w:rPr>
          <w:rFonts w:hint="eastAsia" w:ascii="Arial" w:hAnsi="Arial" w:cs="Arial"/>
          <w:sz w:val="24"/>
          <w:lang w:val="en-US" w:eastAsia="zh-CN"/>
        </w:rPr>
        <w:t>237.81</w:t>
      </w:r>
      <w:r>
        <w:rPr>
          <w:rFonts w:hint="default" w:ascii="Arial" w:hAnsi="Arial" w:cs="Arial"/>
          <w:sz w:val="24"/>
        </w:rPr>
        <w:t>万元；管理费用支出</w:t>
      </w:r>
      <w:r>
        <w:rPr>
          <w:rFonts w:hint="eastAsia" w:ascii="Arial" w:hAnsi="Arial" w:cs="Arial"/>
          <w:sz w:val="24"/>
          <w:lang w:val="en-US" w:eastAsia="zh-CN"/>
        </w:rPr>
        <w:t>98.25</w:t>
      </w:r>
      <w:r>
        <w:rPr>
          <w:rFonts w:hint="default" w:ascii="Arial" w:hAnsi="Arial" w:cs="Arial"/>
          <w:sz w:val="24"/>
        </w:rPr>
        <w:t>万元；</w:t>
      </w:r>
      <w:r>
        <w:rPr>
          <w:rFonts w:hint="default" w:ascii="Arial" w:hAnsi="Arial" w:cs="Arial"/>
          <w:sz w:val="24"/>
          <w:lang w:val="en-US" w:eastAsia="zh-CN"/>
        </w:rPr>
        <w:t xml:space="preserve">营销费用支出 </w:t>
      </w:r>
      <w:r>
        <w:rPr>
          <w:rFonts w:hint="eastAsia" w:ascii="Arial" w:hAnsi="Arial" w:cs="Arial"/>
          <w:sz w:val="24"/>
          <w:lang w:val="en-US" w:eastAsia="zh-CN"/>
        </w:rPr>
        <w:t>87.27</w:t>
      </w:r>
      <w:r>
        <w:rPr>
          <w:rFonts w:hint="default" w:ascii="Arial" w:hAnsi="Arial" w:cs="Arial"/>
          <w:sz w:val="24"/>
          <w:lang w:val="en-US" w:eastAsia="zh-CN"/>
        </w:rPr>
        <w:t>万元；</w:t>
      </w:r>
      <w:r>
        <w:rPr>
          <w:rFonts w:hint="default" w:ascii="Arial" w:hAnsi="Arial" w:cs="Arial"/>
          <w:sz w:val="24"/>
        </w:rPr>
        <w:t>财务费用支出</w:t>
      </w:r>
      <w:r>
        <w:rPr>
          <w:rFonts w:hint="eastAsia" w:ascii="Arial" w:hAnsi="Arial" w:cs="Arial"/>
          <w:sz w:val="24"/>
          <w:lang w:val="en-US" w:eastAsia="zh-CN"/>
        </w:rPr>
        <w:t>830.05</w:t>
      </w:r>
      <w:r>
        <w:rPr>
          <w:rFonts w:hint="default" w:ascii="Arial" w:hAnsi="Arial" w:cs="Arial"/>
          <w:sz w:val="24"/>
        </w:rPr>
        <w:t>万元，</w:t>
      </w:r>
      <w:r>
        <w:rPr>
          <w:rFonts w:hint="default" w:ascii="Arial" w:hAnsi="Arial" w:cs="Arial"/>
          <w:sz w:val="24"/>
          <w:lang w:eastAsia="zh-CN"/>
        </w:rPr>
        <w:t>税费支出</w:t>
      </w:r>
      <w:r>
        <w:rPr>
          <w:rFonts w:hint="eastAsia" w:ascii="Arial" w:hAnsi="Arial" w:cs="Arial"/>
          <w:sz w:val="24"/>
          <w:lang w:val="en-US" w:eastAsia="zh-CN"/>
        </w:rPr>
        <w:t>185.10</w:t>
      </w:r>
      <w:r>
        <w:rPr>
          <w:rFonts w:hint="default" w:ascii="Arial" w:hAnsi="Arial" w:cs="Arial"/>
          <w:sz w:val="24"/>
          <w:lang w:val="en-US" w:eastAsia="zh-CN"/>
        </w:rPr>
        <w:t>万元</w:t>
      </w:r>
      <w:r>
        <w:rPr>
          <w:rFonts w:hint="eastAsia" w:ascii="Arial" w:hAnsi="Arial" w:cs="Arial"/>
          <w:sz w:val="24"/>
          <w:lang w:val="en-US" w:eastAsia="zh-CN"/>
        </w:rPr>
        <w:t>。2</w:t>
      </w:r>
      <w:r>
        <w:rPr>
          <w:rFonts w:ascii="Arial" w:hAnsi="Arial" w:cs="Arial"/>
          <w:sz w:val="24"/>
          <w:lang w:bidi="zh-CN"/>
        </w:rPr>
        <w:t>月</w:t>
      </w:r>
      <w:r>
        <w:rPr>
          <w:rFonts w:hint="default" w:ascii="Arial" w:hAnsi="Arial" w:cs="Arial"/>
          <w:sz w:val="24"/>
          <w:lang w:bidi="zh-CN"/>
        </w:rPr>
        <w:t>份资金计划金额与执行情况对比如下表所示：</w:t>
      </w:r>
    </w:p>
    <w:p>
      <w:pPr>
        <w:pStyle w:val="10"/>
        <w:spacing w:after="0" w:line="480" w:lineRule="auto"/>
        <w:ind w:firstLine="0" w:firstLineChars="0"/>
        <w:jc w:val="center"/>
        <w:rPr>
          <w:rFonts w:ascii="Arial" w:hAnsi="Arial" w:cs="Arial"/>
          <w:sz w:val="24"/>
          <w:lang w:bidi="ar"/>
        </w:rPr>
      </w:pPr>
      <w:r>
        <w:rPr>
          <w:rFonts w:hint="default" w:ascii="Arial" w:hAnsi="Arial" w:cs="Arial"/>
          <w:sz w:val="24"/>
          <w:lang w:val="en-US" w:eastAsia="zh-CN" w:bidi="ar"/>
        </w:rPr>
        <w:t>2</w:t>
      </w:r>
      <w:r>
        <w:rPr>
          <w:rFonts w:ascii="Arial" w:hAnsi="Arial" w:cs="Arial"/>
          <w:sz w:val="24"/>
          <w:lang w:bidi="ar"/>
        </w:rPr>
        <w:t>月份资金计划</w:t>
      </w:r>
      <w:r>
        <w:rPr>
          <w:rFonts w:hint="default" w:ascii="Arial" w:hAnsi="Arial" w:cs="Arial"/>
          <w:sz w:val="24"/>
          <w:lang w:bidi="ar"/>
        </w:rPr>
        <w:t>金额与执行情况对比表</w:t>
      </w:r>
    </w:p>
    <w:tbl>
      <w:tblPr>
        <w:tblStyle w:val="11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45"/>
        <w:gridCol w:w="1200"/>
        <w:gridCol w:w="1200"/>
        <w:gridCol w:w="5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8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245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申请金额（万元）</w:t>
            </w:r>
          </w:p>
        </w:tc>
        <w:tc>
          <w:tcPr>
            <w:tcW w:w="120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0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月度计划资金使用率</w:t>
            </w:r>
          </w:p>
        </w:tc>
        <w:tc>
          <w:tcPr>
            <w:tcW w:w="5277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  <w:t>前期费用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281.57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103.71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36.83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支付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项目地质勘察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费用35.75万元，宗地测绘费用7.02万元，项目地块测量费用6.51万元，门窗幕墙设计费用24万元，人防设计费30.42万元，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其他前期费用未支付。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工程费用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1,185.00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237.81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20.07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支付总包单位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工程进度款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119.16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万元，支付桩基进度款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118.65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万元，其他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工程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费用未支付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营销费用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bidi="zh-CN"/>
              </w:rPr>
              <w:t>137.00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87.27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63.70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支付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展厅模型设计费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9.62万元，大悦城展厅1月租金8.85万元，开盘购买办公用品0.70万元，大悦城展厅装修费61.67万元，营销服装采购4.18万元，大悦城展厅物业用品1.81万元。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管理费用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bidi="zh-CN"/>
              </w:rPr>
              <w:t>100.00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98.39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98.39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bidi="ar"/>
              </w:rPr>
              <w:t>支付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人员工资及日常招待费、交通费、办公费</w:t>
            </w: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 w:bidi="ar"/>
              </w:rPr>
              <w:t>、社保费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 w:bidi="ar"/>
              </w:rPr>
              <w:t>、年终奖等。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bidi="ar"/>
              </w:rPr>
              <w:t>财务费用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bidi="zh-CN"/>
              </w:rPr>
              <w:t>830.00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rPr>
                <w:rFonts w:hint="default" w:ascii="Arial" w:hAnsi="Arial" w:cs="Arial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830.05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100.01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支付开发贷利息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829.93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万元，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银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行自动划扣手续费0.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  <w:t>税费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2,720.00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lang w:val="en-US" w:eastAsia="zh-CN"/>
              </w:rPr>
              <w:t>184.97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6.80</w:t>
            </w:r>
            <w:r>
              <w:rPr>
                <w:rFonts w:hint="default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支付印花税</w:t>
            </w:r>
            <w:r>
              <w:rPr>
                <w:rFonts w:hint="eastAsia" w:ascii="Arial" w:hAnsi="Arial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、附加税</w:t>
            </w:r>
            <w:r>
              <w:rPr>
                <w:rFonts w:hint="default" w:ascii="Arial" w:hAnsi="Arial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（银行自动划扣）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kern w:val="2"/>
                <w:sz w:val="21"/>
                <w:szCs w:val="21"/>
                <w:lang w:val="en-US" w:eastAsia="zh-CN" w:bidi="ar"/>
              </w:rPr>
              <w:t>0.00%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5,253.57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1,542.20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29.35</w:t>
            </w: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52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---</w:t>
            </w:r>
          </w:p>
        </w:tc>
      </w:tr>
    </w:tbl>
    <w:p>
      <w:pPr>
        <w:pStyle w:val="10"/>
        <w:spacing w:after="160" w:afterLines="50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宋体" w:hAnsi="宋体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left="0" w:firstLine="482" w:firstLineChars="0"/>
        <w:textAlignment w:val="auto"/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项目公司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月份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收到工商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银行开发贷放款20,000.00万元，已全部回流至项目公司账户，项目公司按各股东持股比例全额分配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，未列在各类费用中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60" w:lineRule="auto"/>
        <w:ind w:left="0" w:firstLine="482" w:firstLineChars="0"/>
        <w:textAlignment w:val="auto"/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根据《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月份资金计划金额与执行情况对比表》显示，项目公司的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资金计划与实际资金总支出存在差异，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差异较大主要为税费、工程费用，税费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实际支付金额占资金计划支出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的6.80%，差异原因为未缴纳增值税、土地增值税；工程费用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实际支付金额占资金计划支出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的20.07%，主要为总包工程款、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桩基及基坑支付工程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款实际支付金额减少，不可预见费未使用。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前期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费用中实际支付金额占资金计划的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36.83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%，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未达到付款节点或延期支付。</w:t>
      </w:r>
    </w:p>
    <w:p>
      <w:pPr>
        <w:pStyle w:val="10"/>
        <w:spacing w:after="0" w:line="360" w:lineRule="auto"/>
        <w:ind w:firstLine="0" w:firstLineChars="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 w:cs="宋体"/>
          <w:b/>
          <w:sz w:val="24"/>
        </w:rPr>
        <w:t>三、</w:t>
      </w:r>
      <w:r>
        <w:rPr>
          <w:rFonts w:ascii="宋体" w:hAnsi="宋体"/>
          <w:b/>
          <w:color w:val="000000"/>
          <w:sz w:val="24"/>
          <w:lang w:val="zh-CN" w:bidi="zh-CN"/>
        </w:rPr>
        <w:t>付款情况</w:t>
      </w:r>
      <w:r>
        <w:rPr>
          <w:rFonts w:hint="eastAsia" w:ascii="宋体" w:hAnsi="宋体"/>
          <w:b/>
          <w:color w:val="000000"/>
          <w:sz w:val="24"/>
          <w:lang w:bidi="zh-CN"/>
        </w:rPr>
        <w:t>审核说明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bidi="zh-CN"/>
        </w:rPr>
        <w:t>工程费用</w:t>
      </w: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支出计划说明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年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月计划支付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工程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费用共</w:t>
      </w:r>
      <w:r>
        <w:rPr>
          <w:rFonts w:hint="default" w:ascii="Arial" w:hAnsi="Arial" w:cs="Arial"/>
          <w:bCs/>
          <w:sz w:val="24"/>
          <w:szCs w:val="24"/>
          <w:lang w:bidi="zh-CN"/>
        </w:rPr>
        <w:t>计</w:t>
      </w:r>
      <w:r>
        <w:rPr>
          <w:rFonts w:hint="eastAsia" w:ascii="Arial" w:hAnsi="Arial" w:cs="Arial"/>
          <w:bCs/>
          <w:sz w:val="24"/>
          <w:szCs w:val="24"/>
          <w:lang w:val="en-US" w:bidi="zh-CN"/>
        </w:rPr>
        <w:t xml:space="preserve">1,535.00  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万元，具体分析如下：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eastAsia="zh-CN" w:bidi="zh-CN"/>
        </w:rPr>
        <w:t>（1）依据项目</w:t>
      </w:r>
      <w:r>
        <w:rPr>
          <w:rFonts w:hint="default" w:ascii="Arial" w:hAnsi="Arial" w:cs="Arial"/>
          <w:sz w:val="24"/>
          <w:szCs w:val="24"/>
          <w:lang w:eastAsia="zh-CN"/>
        </w:rPr>
        <w:t>公</w:t>
      </w:r>
      <w:r>
        <w:rPr>
          <w:rFonts w:hint="default" w:ascii="Arial" w:hAnsi="Arial" w:eastAsia="宋体" w:cs="Arial"/>
          <w:color w:val="auto"/>
          <w:sz w:val="24"/>
          <w:szCs w:val="24"/>
        </w:rPr>
        <w:t>司提供资料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，杭政储【2020】41号地块总包工程合同，合同总价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：</w:t>
      </w:r>
      <w:r>
        <w:rPr>
          <w:rFonts w:hint="default" w:ascii="Arial" w:hAnsi="Arial" w:eastAsia="宋体" w:cs="Arial"/>
          <w:b w:val="0"/>
          <w:color w:val="333333"/>
          <w:sz w:val="24"/>
          <w:szCs w:val="24"/>
          <w:lang w:val="en-US" w:eastAsia="zh-CN"/>
        </w:rPr>
        <w:t>38,579.79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</w:t>
      </w:r>
      <w:r>
        <w:rPr>
          <w:rFonts w:hint="default" w:ascii="Arial" w:hAnsi="Arial" w:eastAsia="宋体" w:cs="Arial"/>
          <w:color w:val="auto"/>
          <w:sz w:val="24"/>
          <w:szCs w:val="24"/>
        </w:rPr>
        <w:t>，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根据合同约定每次按确认产值的80%支付，</w:t>
      </w:r>
      <w:r>
        <w:rPr>
          <w:rFonts w:hint="default" w:ascii="Arial" w:hAnsi="Arial" w:eastAsia="宋体" w:cs="Arial"/>
          <w:b w:val="0"/>
          <w:color w:val="333333"/>
          <w:sz w:val="24"/>
          <w:szCs w:val="24"/>
        </w:rPr>
        <w:t>累计</w:t>
      </w:r>
      <w:r>
        <w:rPr>
          <w:rFonts w:hint="default" w:ascii="Arial" w:hAnsi="Arial" w:cs="Arial"/>
          <w:b w:val="0"/>
          <w:color w:val="333333"/>
          <w:sz w:val="24"/>
          <w:szCs w:val="24"/>
          <w:lang w:val="en-US" w:eastAsia="zh-CN"/>
        </w:rPr>
        <w:t>已支付</w:t>
      </w:r>
      <w:r>
        <w:rPr>
          <w:rFonts w:hint="eastAsia" w:ascii="Arial" w:hAnsi="Arial" w:cs="Arial"/>
          <w:b w:val="0"/>
          <w:color w:val="333333"/>
          <w:sz w:val="24"/>
          <w:szCs w:val="24"/>
          <w:lang w:val="en-US" w:eastAsia="zh-CN"/>
        </w:rPr>
        <w:t>4,399.16</w:t>
      </w:r>
      <w:r>
        <w:rPr>
          <w:rFonts w:hint="default" w:ascii="Arial" w:hAnsi="Arial" w:eastAsia="宋体" w:cs="Arial"/>
          <w:b w:val="0"/>
          <w:color w:val="333333"/>
          <w:sz w:val="24"/>
          <w:szCs w:val="24"/>
        </w:rPr>
        <w:t>万元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，本次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支付金额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1,000.00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本次支付完成后，累计支付金额占合同总价的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13.99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%。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（2）</w:t>
      </w:r>
      <w:r>
        <w:rPr>
          <w:rFonts w:hint="default" w:ascii="Arial" w:hAnsi="Arial" w:eastAsia="宋体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杭政储【2020】41号地块桩基及基坑支付工程合同，合同总价6,359.05万元，根据合同约定每次按确认产值的80%支付，累计已支付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4,510.80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，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本月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300.00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本次支付完成后，累计付款金额占合同总价的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75.65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%。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（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依据项目公司提供的资金计划，水电费预计支出35.00万元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；</w:t>
      </w:r>
      <w:r>
        <w:rPr>
          <w:rFonts w:hint="default" w:ascii="Arial" w:hAnsi="Arial" w:cs="Arial"/>
          <w:sz w:val="24"/>
          <w:szCs w:val="24"/>
          <w:lang w:val="en-US" w:bidi="zh-CN"/>
        </w:rPr>
        <w:t>预估不可预见费</w:t>
      </w:r>
      <w:r>
        <w:rPr>
          <w:rFonts w:hint="eastAsia" w:ascii="Arial" w:hAnsi="Arial" w:cs="Arial"/>
          <w:sz w:val="24"/>
          <w:szCs w:val="24"/>
          <w:lang w:val="en-US" w:bidi="zh-CN"/>
        </w:rPr>
        <w:t>200</w:t>
      </w:r>
      <w:r>
        <w:rPr>
          <w:rFonts w:hint="default" w:ascii="Arial" w:hAnsi="Arial" w:cs="Arial"/>
          <w:sz w:val="24"/>
          <w:szCs w:val="24"/>
          <w:lang w:val="en-US" w:bidi="zh-CN"/>
        </w:rPr>
        <w:t>万元；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0" w:firstLineChars="0"/>
        <w:rPr>
          <w:rFonts w:hint="default" w:ascii="Arial" w:hAnsi="Arial" w:cs="Arial"/>
          <w:b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经审核，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2021年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月工程费用中资金支出主要为总包工程款和桩基工程款，因项目公司提供的资金支付中累计产值不准确，不可预见费用为预估金额，在实际使用不可预见费用和支付工程款时，我司会对付款申请、发票、流程、合同、现场签证等依据进行审核，确保资金支付合理、合规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rPr>
          <w:rFonts w:ascii="宋体" w:hAnsi="宋体"/>
          <w:b/>
          <w:color w:val="auto"/>
          <w:sz w:val="24"/>
          <w:szCs w:val="24"/>
          <w:lang w:bidi="zh-CN"/>
        </w:rPr>
      </w:pPr>
      <w:r>
        <w:rPr>
          <w:rFonts w:hint="eastAsia" w:ascii="宋体" w:hAnsi="宋体"/>
          <w:b/>
          <w:color w:val="auto"/>
          <w:sz w:val="24"/>
          <w:szCs w:val="24"/>
          <w:lang w:bidi="zh-CN"/>
        </w:rPr>
        <w:t>（二）前期费用支出计划说明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bCs/>
          <w:color w:val="auto"/>
          <w:sz w:val="24"/>
          <w:szCs w:val="24"/>
          <w:lang w:bidi="zh-CN"/>
        </w:rPr>
      </w:pP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bCs/>
          <w:color w:val="auto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年</w:t>
      </w:r>
      <w:r>
        <w:rPr>
          <w:rFonts w:hint="eastAsia" w:ascii="Arial" w:hAnsi="Arial" w:cs="Arial"/>
          <w:bCs/>
          <w:color w:val="auto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月计划支付前期费用共计</w:t>
      </w:r>
      <w:r>
        <w:rPr>
          <w:rFonts w:hint="eastAsia" w:ascii="Arial" w:hAnsi="Arial" w:cs="Arial"/>
          <w:bCs/>
          <w:color w:val="auto"/>
          <w:sz w:val="24"/>
          <w:szCs w:val="24"/>
          <w:lang w:val="en-US" w:bidi="zh-CN"/>
        </w:rPr>
        <w:t>145.24</w:t>
      </w:r>
      <w:r>
        <w:rPr>
          <w:rFonts w:hint="default" w:ascii="Arial" w:hAnsi="Arial" w:cs="Arial"/>
          <w:bCs/>
          <w:color w:val="auto"/>
          <w:sz w:val="24"/>
          <w:szCs w:val="24"/>
          <w:lang w:bidi="zh-CN"/>
        </w:rPr>
        <w:t>万元，具体分析如下：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（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1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项目公司与杭州市规划和自然资源调查监测中心（杭州市地理信息中心）签订《建设工程规划三维景观分析技术合同》，合同总价5.55万元，根据合同约定提交景观分析报告一次支付合同价款，本月预计全额支付，支付金额5.55万元，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before="162" w:beforeLines="50" w:after="162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（2）依据项目公司提供的资金计划，项目公司与杭州宏东勘测设计有限公司签订《建设工程测量合同》，合同总价4.55万元，本月预计全额支付，支付金额4.55万元，项目公司未提供合同文本；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="162" w:beforeLines="50" w:after="162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（3）</w:t>
      </w:r>
      <w:r>
        <w:rPr>
          <w:rFonts w:hint="default" w:ascii="Arial" w:hAnsi="Arial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项目公司与上海兴邦建筑技术有限公司签订《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设计服务合同》，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合同总价97.70万元，根据合同约定PC设计启动后支付合同总价20%，PC初步设计方案评审通过后支付合同总价的20%，约定装配式施工图报建通过后支付合同总价的40%，本月预计支付78.16万元占合同总价80%，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</w:rPr>
        <w:t>依据项目公司提供资料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项目公司与艺普得（上海）城市设计咨询有限公司签订《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杭政储出2020-41号地块景观工程设计合同》，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合同总价145.10万元，根据合同约定完成方案深化阶段支付至合同总价的65%，累计已支付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58.38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万，本月预计支付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36.27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万元，本月支付完成后，累计付款金额占合同总价65.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23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%，</w:t>
      </w:r>
      <w:r>
        <w:rPr>
          <w:rFonts w:hint="default" w:ascii="Arial" w:hAnsi="Arial" w:eastAsia="宋体" w:cs="Arial"/>
          <w:color w:val="auto"/>
          <w:sz w:val="24"/>
          <w:szCs w:val="24"/>
          <w:lang w:bidi="zh-CN"/>
        </w:rPr>
        <w:t>实际支付时，我司会对付款申请、发票、流程、工程合同、现场签证等依据进行审核、计算，</w:t>
      </w:r>
      <w:r>
        <w:rPr>
          <w:rFonts w:hint="default" w:ascii="Arial" w:hAnsi="Arial" w:eastAsia="宋体" w:cs="Arial"/>
          <w:color w:val="auto"/>
          <w:sz w:val="24"/>
          <w:szCs w:val="24"/>
        </w:rPr>
        <w:t>严格把控，确保资金支付合理、合规</w:t>
      </w:r>
      <w:r>
        <w:rPr>
          <w:rFonts w:hint="default" w:ascii="Arial" w:hAnsi="Arial" w:cs="Arial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（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5</w:t>
      </w:r>
      <w:r>
        <w:rPr>
          <w:rFonts w:hint="default" w:ascii="Arial" w:hAnsi="Arial" w:cs="Arial"/>
          <w:color w:val="auto"/>
          <w:sz w:val="24"/>
          <w:szCs w:val="24"/>
          <w:lang w:val="en-US" w:eastAsia="zh-CN" w:bidi="zh-CN"/>
        </w:rPr>
        <w:t>）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依据项目公司提供的资金计划，项目公司与杭州慕景景观设计咨询有限公司签订《杭政储出【2020】41号地块 景观工程施工图设计合同》，合同总价43.53万元，根据合同约定签订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后支付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合同总价的20%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作为预付款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本月预计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支付预付款8.71万元，项目公司未提供合同，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ind w:firstLine="480" w:firstLineChars="200"/>
        <w:textAlignment w:val="auto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default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default" w:ascii="Arial" w:hAnsi="Arial" w:cs="Arial"/>
          <w:sz w:val="24"/>
          <w:szCs w:val="24"/>
          <w:lang w:eastAsia="zh-CN"/>
        </w:rPr>
        <w:t>）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依据项目公司提供的资金计划，《滨融府项目交评》合同，合同总价12.00万元，本月预计支付12.00万元，项目公司未提供合同，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auto"/>
        <w:textAlignment w:val="auto"/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 xml:space="preserve">   上述资金计划为预计支付金额，依据项目公司提供的资金计划，</w:t>
      </w:r>
      <w:r>
        <w:rPr>
          <w:rFonts w:hint="eastAsia" w:ascii="宋体" w:hAnsi="宋体"/>
          <w:color w:val="auto"/>
          <w:sz w:val="24"/>
          <w:szCs w:val="24"/>
          <w:highlight w:val="none"/>
          <w:lang w:bidi="zh-CN"/>
        </w:rPr>
        <w:t>我司认为以上已签合同付款符合合同约定，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bidi="zh-CN"/>
        </w:rPr>
        <w:t>未签订合同的需待合同签订后根据合同条款确定是否合理。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付款申请、工程结算单、发票、流程、签证等依据进行审核、计算，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spacing w:before="160" w:beforeLines="50" w:after="160" w:afterLines="50" w:line="360" w:lineRule="auto"/>
        <w:rPr>
          <w:rFonts w:hint="eastAsia" w:ascii="宋体" w:hAnsi="宋体"/>
          <w:b/>
          <w:bCs/>
          <w:color w:val="auto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bidi="zh-CN"/>
        </w:rPr>
        <w:t>（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bidi="zh-CN"/>
        </w:rPr>
        <w:t>三</w:t>
      </w:r>
      <w:r>
        <w:rPr>
          <w:rFonts w:hint="eastAsia" w:ascii="宋体" w:hAnsi="宋体"/>
          <w:b/>
          <w:bCs/>
          <w:color w:val="auto"/>
          <w:sz w:val="24"/>
          <w:szCs w:val="24"/>
          <w:lang w:bidi="zh-CN"/>
        </w:rPr>
        <w:t>）管理费用资金支出计划说明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项目公司在202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1</w:t>
      </w:r>
      <w:r>
        <w:rPr>
          <w:rFonts w:hint="default" w:ascii="Arial" w:hAnsi="Arial" w:cs="Arial"/>
          <w:color w:val="auto"/>
          <w:sz w:val="24"/>
          <w:szCs w:val="24"/>
        </w:rPr>
        <w:t>年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color w:val="auto"/>
          <w:sz w:val="24"/>
          <w:szCs w:val="24"/>
        </w:rPr>
        <w:t>月的管理费用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Arial" w:hAnsi="Arial" w:cs="Arial"/>
          <w:color w:val="auto"/>
          <w:sz w:val="24"/>
          <w:szCs w:val="24"/>
        </w:rPr>
        <w:t>支出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80.00</w:t>
      </w:r>
      <w:r>
        <w:rPr>
          <w:rFonts w:hint="default" w:ascii="Arial" w:hAnsi="Arial" w:cs="Arial"/>
          <w:color w:val="auto"/>
          <w:sz w:val="24"/>
          <w:szCs w:val="24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主要</w:t>
      </w:r>
      <w:r>
        <w:rPr>
          <w:rFonts w:hint="default" w:ascii="Arial" w:hAnsi="Arial" w:cs="Arial"/>
          <w:color w:val="auto"/>
          <w:sz w:val="24"/>
          <w:szCs w:val="24"/>
        </w:rPr>
        <w:t>为员工工资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日常</w:t>
      </w:r>
      <w:r>
        <w:rPr>
          <w:rFonts w:hint="default" w:ascii="Arial" w:hAnsi="Arial" w:cs="Arial"/>
          <w:color w:val="auto"/>
          <w:sz w:val="24"/>
          <w:szCs w:val="24"/>
        </w:rPr>
        <w:t>报销</w:t>
      </w:r>
      <w:r>
        <w:rPr>
          <w:rFonts w:hint="default" w:ascii="Arial" w:hAnsi="Arial" w:cs="Arial"/>
          <w:color w:val="auto"/>
          <w:sz w:val="24"/>
          <w:szCs w:val="24"/>
          <w:lang w:eastAsia="zh-CN"/>
        </w:rPr>
        <w:t>款</w:t>
      </w:r>
      <w:r>
        <w:rPr>
          <w:rFonts w:hint="default" w:ascii="Arial" w:hAnsi="Arial" w:cs="Arial"/>
          <w:color w:val="auto"/>
          <w:sz w:val="24"/>
          <w:szCs w:val="24"/>
        </w:rPr>
        <w:t>等费用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。</w:t>
      </w:r>
    </w:p>
    <w:p>
      <w:pPr>
        <w:pStyle w:val="16"/>
        <w:numPr>
          <w:ilvl w:val="0"/>
          <w:numId w:val="6"/>
        </w:numPr>
        <w:spacing w:before="160" w:beforeLines="50" w:after="160" w:afterLines="50" w:line="360" w:lineRule="auto"/>
        <w:ind w:firstLineChars="0"/>
        <w:rPr>
          <w:rFonts w:ascii="宋体" w:hAnsi="宋体"/>
          <w:b/>
          <w:color w:val="auto"/>
          <w:sz w:val="24"/>
          <w:szCs w:val="24"/>
          <w:lang w:bidi="zh-CN"/>
        </w:rPr>
      </w:pPr>
      <w:r>
        <w:rPr>
          <w:rFonts w:hint="eastAsia" w:ascii="宋体" w:hAnsi="宋体"/>
          <w:b/>
          <w:color w:val="auto"/>
          <w:sz w:val="24"/>
          <w:szCs w:val="24"/>
          <w:lang w:bidi="zh-CN"/>
        </w:rPr>
        <w:t>营销费用资金支出计划说明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lang w:bidi="zh-CN"/>
        </w:rPr>
      </w:pPr>
      <w:r>
        <w:rPr>
          <w:rFonts w:hint="default" w:ascii="Arial" w:hAnsi="Arial" w:cs="Arial"/>
          <w:color w:val="auto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年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月的营销费用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预计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支出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637.42</w:t>
      </w:r>
      <w:r>
        <w:rPr>
          <w:rFonts w:hint="default" w:ascii="Arial" w:hAnsi="Arial" w:cs="Arial"/>
          <w:color w:val="auto"/>
          <w:sz w:val="24"/>
          <w:szCs w:val="24"/>
          <w:lang w:bidi="zh-CN"/>
        </w:rPr>
        <w:t>万元，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其中：样板房装修、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样板房衣柜、镜柜的采购，高尔夫会所装修费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支出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117.42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万元，不可预见费5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0</w:t>
      </w:r>
      <w:r>
        <w:rPr>
          <w:rFonts w:hint="eastAsia" w:ascii="Arial" w:hAnsi="Arial" w:cs="Arial"/>
          <w:color w:val="auto"/>
          <w:sz w:val="24"/>
          <w:szCs w:val="24"/>
          <w:lang w:val="en-US" w:bidi="zh-CN"/>
        </w:rPr>
        <w:t>.00</w:t>
      </w:r>
      <w:r>
        <w:rPr>
          <w:rFonts w:hint="default" w:ascii="Arial" w:hAnsi="Arial" w:cs="Arial"/>
          <w:color w:val="auto"/>
          <w:sz w:val="24"/>
          <w:szCs w:val="24"/>
          <w:lang w:val="en-US" w:bidi="zh-CN"/>
        </w:rPr>
        <w:t>万元。具体支付如下：</w:t>
      </w:r>
    </w:p>
    <w:p>
      <w:pPr>
        <w:pStyle w:val="16"/>
        <w:numPr>
          <w:ilvl w:val="0"/>
          <w:numId w:val="7"/>
        </w:numPr>
        <w:spacing w:before="160" w:beforeLines="50" w:after="160" w:afterLines="50" w:line="360" w:lineRule="auto"/>
        <w:ind w:leftChars="0" w:firstLine="48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sz w:val="24"/>
          <w:szCs w:val="24"/>
        </w:rPr>
        <w:t>依据项目公司提供资料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lang w:val="en-US" w:eastAsia="zh-CN"/>
        </w:rPr>
        <w:t>项目公司与深圳市郑中设计股份有限公司签订《</w:t>
      </w:r>
      <w:r>
        <w:rPr>
          <w:rFonts w:hint="default" w:ascii="Arial" w:hAnsi="Arial" w:cs="Arial"/>
          <w:sz w:val="24"/>
          <w:szCs w:val="24"/>
          <w:lang w:eastAsia="zh-CN"/>
        </w:rPr>
        <w:t>杭州庆隆地块300方大平层样板间及公区硬装设计合同》，</w:t>
      </w:r>
      <w:r>
        <w:rPr>
          <w:rFonts w:hint="default" w:ascii="Arial" w:hAnsi="Arial" w:cs="Arial"/>
          <w:sz w:val="24"/>
          <w:szCs w:val="24"/>
          <w:lang w:val="en-US" w:eastAsia="zh-CN"/>
        </w:rPr>
        <w:t>合同总价：</w:t>
      </w:r>
      <w:r>
        <w:rPr>
          <w:rFonts w:hint="eastAsia" w:ascii="Arial" w:hAnsi="Arial" w:cs="Arial"/>
          <w:sz w:val="24"/>
          <w:szCs w:val="24"/>
          <w:lang w:val="en-US" w:eastAsia="zh-CN"/>
        </w:rPr>
        <w:t>98.98</w:t>
      </w:r>
      <w:r>
        <w:rPr>
          <w:rFonts w:hint="default" w:ascii="Arial" w:hAnsi="Arial" w:cs="Arial"/>
          <w:sz w:val="24"/>
          <w:szCs w:val="24"/>
          <w:lang w:val="en-US" w:eastAsia="zh-CN"/>
        </w:rPr>
        <w:t>万元，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根据合同约定</w:t>
      </w:r>
      <w:r>
        <w:rPr>
          <w:rFonts w:hint="default" w:ascii="Arial" w:hAnsi="Arial" w:cs="Arial"/>
          <w:sz w:val="24"/>
          <w:szCs w:val="24"/>
          <w:lang w:val="en-US" w:eastAsia="zh-CN"/>
        </w:rPr>
        <w:t>预付款</w:t>
      </w:r>
      <w:r>
        <w:rPr>
          <w:rFonts w:hint="eastAsia" w:ascii="Arial" w:hAnsi="Arial" w:cs="Arial"/>
          <w:sz w:val="24"/>
          <w:szCs w:val="24"/>
          <w:lang w:val="en-US" w:eastAsia="zh-CN"/>
        </w:rPr>
        <w:t>付</w:t>
      </w:r>
      <w:r>
        <w:rPr>
          <w:rFonts w:hint="default" w:ascii="Arial" w:hAnsi="Arial" w:cs="Arial"/>
          <w:sz w:val="24"/>
          <w:szCs w:val="24"/>
          <w:lang w:val="en-US" w:eastAsia="zh-CN"/>
        </w:rPr>
        <w:t>合同总价的20%，完成概念方案设计阶段最终成果，经书面确认付合同总价的20%，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完成方案扩初设计阶段最终成果阶段，付合同总价款的20%，完成施工图设计最终成果，付合同总价的30%，累计已支付59.39万元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本月预计支付29.69万元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本次支付完成后累计已支付金额</w:t>
      </w:r>
      <w:r>
        <w:rPr>
          <w:rFonts w:hint="default" w:ascii="Arial" w:hAnsi="Arial" w:cs="Arial"/>
          <w:sz w:val="24"/>
          <w:szCs w:val="24"/>
          <w:lang w:val="en-US" w:eastAsia="zh-CN"/>
        </w:rPr>
        <w:t>占合同总价</w:t>
      </w:r>
      <w:r>
        <w:rPr>
          <w:rFonts w:hint="eastAsia" w:ascii="Arial" w:hAnsi="Arial" w:cs="Arial"/>
          <w:sz w:val="24"/>
          <w:szCs w:val="24"/>
          <w:lang w:val="en-US" w:eastAsia="zh-CN"/>
        </w:rPr>
        <w:t>90.00</w:t>
      </w:r>
      <w:r>
        <w:rPr>
          <w:rFonts w:hint="default" w:ascii="Arial" w:hAnsi="Arial" w:cs="Arial"/>
          <w:sz w:val="24"/>
          <w:szCs w:val="24"/>
          <w:lang w:val="en-US" w:eastAsia="zh-CN"/>
        </w:rPr>
        <w:t>%，</w:t>
      </w:r>
      <w:r>
        <w:rPr>
          <w:rFonts w:hint="default" w:ascii="Arial" w:hAnsi="Arial" w:cs="Arial"/>
          <w:sz w:val="24"/>
          <w:szCs w:val="24"/>
          <w:lang w:bidi="zh-CN"/>
        </w:rPr>
        <w:t>实际支付时，我司会对付款申请、发票、流程、合同等依据进行审核、计算，严格把控，确保资金支付合理、合规。</w:t>
      </w:r>
    </w:p>
    <w:p>
      <w:pPr>
        <w:pStyle w:val="16"/>
        <w:numPr>
          <w:ilvl w:val="0"/>
          <w:numId w:val="7"/>
        </w:numPr>
        <w:spacing w:before="160" w:beforeLines="50" w:after="160" w:afterLines="50" w:line="360" w:lineRule="auto"/>
        <w:ind w:leftChars="0" w:firstLine="48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sz w:val="24"/>
          <w:szCs w:val="24"/>
        </w:rPr>
        <w:t>依据项目公司提供资料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lang w:val="en-US" w:eastAsia="zh-CN"/>
        </w:rPr>
        <w:t>项目公司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与</w:t>
      </w:r>
      <w:r>
        <w:rPr>
          <w:rFonts w:hint="default" w:ascii="Arial" w:hAnsi="Arial" w:cs="Arial"/>
          <w:sz w:val="24"/>
          <w:szCs w:val="24"/>
          <w:lang w:val="en-US" w:eastAsia="zh-CN"/>
        </w:rPr>
        <w:t>上海丹健环境艺术设计有限公司签订《杭州庆隆项目300户型样板间装饰装修工程设计合同》，合同总价</w:t>
      </w:r>
      <w:r>
        <w:rPr>
          <w:rFonts w:hint="eastAsia" w:ascii="Arial" w:hAnsi="Arial" w:cs="Arial"/>
          <w:sz w:val="24"/>
          <w:szCs w:val="24"/>
          <w:lang w:val="en-US" w:eastAsia="zh-CN"/>
        </w:rPr>
        <w:t>41.85</w:t>
      </w:r>
      <w:r>
        <w:rPr>
          <w:rFonts w:hint="default" w:ascii="Arial" w:hAnsi="Arial" w:cs="Arial"/>
          <w:sz w:val="24"/>
          <w:szCs w:val="24"/>
          <w:lang w:val="en-US" w:eastAsia="zh-CN"/>
        </w:rPr>
        <w:t>万元，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根据合同约定</w:t>
      </w:r>
      <w:r>
        <w:rPr>
          <w:rFonts w:hint="default" w:ascii="Arial" w:hAnsi="Arial" w:cs="Arial"/>
          <w:sz w:val="24"/>
          <w:szCs w:val="24"/>
          <w:lang w:val="en-US" w:eastAsia="zh-CN"/>
        </w:rPr>
        <w:t>预付款</w:t>
      </w:r>
      <w:r>
        <w:rPr>
          <w:rFonts w:hint="eastAsia" w:ascii="Arial" w:hAnsi="Arial" w:cs="Arial"/>
          <w:sz w:val="24"/>
          <w:szCs w:val="24"/>
          <w:lang w:val="en-US" w:eastAsia="zh-CN"/>
        </w:rPr>
        <w:t>为</w:t>
      </w:r>
      <w:r>
        <w:rPr>
          <w:rFonts w:hint="default" w:ascii="Arial" w:hAnsi="Arial" w:cs="Arial"/>
          <w:sz w:val="24"/>
          <w:szCs w:val="24"/>
          <w:lang w:val="en-US" w:eastAsia="zh-CN"/>
        </w:rPr>
        <w:t>合同总价的20%，完成概念方案设计阶段最终成果，经书面确认付合同总价的20%，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完成方案扩初设计阶段最终成果阶段，付合同总价款的20%，完成施工图设计最终成果，付合同总价的30%，累计已支付25.11万元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本月预计支付12.56万元</w:t>
      </w:r>
      <w:r>
        <w:rPr>
          <w:rFonts w:hint="default" w:ascii="Arial" w:hAnsi="Arial" w:cs="Arial"/>
          <w:sz w:val="24"/>
          <w:szCs w:val="24"/>
          <w:lang w:val="en-US"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本月支付完成后累计已支付金额</w:t>
      </w:r>
      <w:r>
        <w:rPr>
          <w:rFonts w:hint="default" w:ascii="Arial" w:hAnsi="Arial" w:cs="Arial"/>
          <w:sz w:val="24"/>
          <w:szCs w:val="24"/>
          <w:lang w:val="en-US" w:eastAsia="zh-CN"/>
        </w:rPr>
        <w:t>占合同总价</w:t>
      </w:r>
      <w:r>
        <w:rPr>
          <w:rFonts w:hint="eastAsia" w:ascii="Arial" w:hAnsi="Arial" w:cs="Arial"/>
          <w:sz w:val="24"/>
          <w:szCs w:val="24"/>
          <w:lang w:val="en-US" w:eastAsia="zh-CN"/>
        </w:rPr>
        <w:t>90.00</w:t>
      </w:r>
      <w:r>
        <w:rPr>
          <w:rFonts w:hint="default" w:ascii="Arial" w:hAnsi="Arial" w:cs="Arial"/>
          <w:sz w:val="24"/>
          <w:szCs w:val="24"/>
          <w:lang w:val="en-US" w:eastAsia="zh-CN"/>
        </w:rPr>
        <w:t>%，</w:t>
      </w:r>
      <w:r>
        <w:rPr>
          <w:rFonts w:hint="default" w:ascii="Arial" w:hAnsi="Arial" w:cs="Arial"/>
          <w:sz w:val="24"/>
          <w:szCs w:val="24"/>
          <w:lang w:bidi="zh-CN"/>
        </w:rPr>
        <w:t>实际支付时，我司会对付款申请、发票、流程、合同等依据进行审核、计算，严格把控，确保资金支付合理、合规。</w:t>
      </w:r>
    </w:p>
    <w:p>
      <w:pPr>
        <w:pStyle w:val="16"/>
        <w:numPr>
          <w:ilvl w:val="0"/>
          <w:numId w:val="7"/>
        </w:numPr>
        <w:spacing w:before="160" w:beforeLines="50" w:after="160" w:afterLines="50" w:line="360" w:lineRule="auto"/>
        <w:ind w:leftChars="0" w:firstLine="48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sz w:val="24"/>
          <w:szCs w:val="24"/>
        </w:rPr>
        <w:t>依据项目公司提供资料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lang w:val="en-US" w:eastAsia="zh-CN"/>
        </w:rPr>
        <w:t>项目公司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与杭州宁丽家居有限公司签订《滨融府项目住宅样板房衣柜及镜柜（索菲亚）采购合同》，合同总价11.71万元，根据合同约定货物到达现场并进行验收（数量、外观）合格后，支付至合同总价的80%，本月预计支付9.37万元，</w:t>
      </w:r>
      <w:r>
        <w:rPr>
          <w:rFonts w:hint="default" w:ascii="Arial" w:hAnsi="Arial" w:cs="Arial"/>
          <w:sz w:val="24"/>
          <w:szCs w:val="24"/>
          <w:lang w:bidi="zh-CN"/>
        </w:rPr>
        <w:t>实际支付时，我司会对付款申请、发票、流程、合同等依据进行审核、计算，严格把控，确保资金支付合理、合规。</w:t>
      </w:r>
    </w:p>
    <w:p>
      <w:pPr>
        <w:numPr>
          <w:ilvl w:val="0"/>
          <w:numId w:val="7"/>
        </w:numPr>
        <w:spacing w:before="162" w:beforeLines="50" w:after="162" w:afterLines="50" w:line="360" w:lineRule="auto"/>
        <w:ind w:leftChars="0" w:firstLine="480" w:firstLineChars="200"/>
        <w:rPr>
          <w:rFonts w:hint="default" w:ascii="Arial" w:hAnsi="Arial" w:cs="Arial"/>
          <w:sz w:val="24"/>
          <w:szCs w:val="24"/>
          <w:lang w:bidi="zh-CN"/>
        </w:rPr>
      </w:pP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依据项目公司提供的资金计划，《庆隆项目一层过厅高尔夫球区及会所软装设计及采购合同》，合同总价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131.60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万元，本月预计支付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65.80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万元，项目公司未提供合同，</w:t>
      </w:r>
      <w:r>
        <w:rPr>
          <w:rFonts w:hint="default" w:ascii="Arial" w:hAnsi="Arial" w:cs="Arial"/>
          <w:sz w:val="24"/>
          <w:szCs w:val="24"/>
          <w:lang w:val="en-US" w:eastAsia="zh-CN"/>
        </w:rPr>
        <w:t>实际支付时，我司会对合同文本、</w:t>
      </w:r>
      <w:r>
        <w:rPr>
          <w:rFonts w:hint="default" w:ascii="Arial" w:hAnsi="Arial" w:cs="Arial"/>
          <w:sz w:val="24"/>
          <w:szCs w:val="24"/>
          <w:lang w:bidi="zh-CN"/>
        </w:rPr>
        <w:t>付款申请、发票、流程、签证等依据进行审核、计算，</w:t>
      </w:r>
      <w:r>
        <w:rPr>
          <w:rFonts w:hint="default" w:ascii="Arial" w:hAnsi="Arial" w:cs="Arial"/>
          <w:sz w:val="24"/>
          <w:szCs w:val="24"/>
        </w:rPr>
        <w:t>严格把控</w:t>
      </w:r>
      <w:r>
        <w:rPr>
          <w:rFonts w:hint="default" w:ascii="Arial" w:hAnsi="Arial" w:cs="Arial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sz w:val="24"/>
          <w:szCs w:val="24"/>
        </w:rPr>
        <w:t>确保资金支付合理、合规</w:t>
      </w:r>
      <w:r>
        <w:rPr>
          <w:rFonts w:hint="default" w:ascii="Arial" w:hAnsi="Arial" w:cs="Arial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sz w:val="24"/>
          <w:szCs w:val="24"/>
          <w:lang w:val="en-US" w:bidi="zh-CN"/>
        </w:rPr>
      </w:pPr>
      <w:r>
        <w:rPr>
          <w:rFonts w:hint="default" w:ascii="Arial" w:hAnsi="Arial" w:cs="Arial"/>
          <w:sz w:val="24"/>
          <w:szCs w:val="24"/>
          <w:lang w:bidi="zh-CN"/>
        </w:rPr>
        <w:t>（</w:t>
      </w:r>
      <w:r>
        <w:rPr>
          <w:rFonts w:hint="eastAsia" w:ascii="Arial" w:hAnsi="Arial" w:cs="Arial"/>
          <w:sz w:val="24"/>
          <w:szCs w:val="24"/>
          <w:lang w:val="en-US" w:bidi="zh-CN"/>
        </w:rPr>
        <w:t>5</w:t>
      </w:r>
      <w:r>
        <w:rPr>
          <w:rFonts w:hint="default" w:ascii="Arial" w:hAnsi="Arial" w:cs="Arial"/>
          <w:sz w:val="24"/>
          <w:szCs w:val="24"/>
          <w:lang w:bidi="zh-CN"/>
        </w:rPr>
        <w:t>）根据项目公司提供的资金计划，营销费用中不可预见费计划支出</w:t>
      </w:r>
      <w:r>
        <w:rPr>
          <w:rFonts w:hint="eastAsia" w:ascii="Arial" w:hAnsi="Arial" w:cs="Arial"/>
          <w:sz w:val="24"/>
          <w:szCs w:val="24"/>
          <w:lang w:val="en-US" w:bidi="zh-CN"/>
        </w:rPr>
        <w:t>520.00</w:t>
      </w:r>
      <w:r>
        <w:rPr>
          <w:rFonts w:hint="default" w:ascii="Arial" w:hAnsi="Arial" w:cs="Arial"/>
          <w:sz w:val="24"/>
          <w:szCs w:val="24"/>
          <w:lang w:val="en-US" w:bidi="zh-CN"/>
        </w:rPr>
        <w:t>万元，</w:t>
      </w:r>
      <w:r>
        <w:rPr>
          <w:rFonts w:hint="default" w:ascii="Arial" w:hAnsi="Arial" w:cs="Arial"/>
          <w:sz w:val="24"/>
          <w:szCs w:val="24"/>
        </w:rPr>
        <w:t>项目</w:t>
      </w:r>
      <w:r>
        <w:rPr>
          <w:rFonts w:hint="default" w:ascii="Arial" w:hAnsi="Arial" w:cs="Arial"/>
          <w:sz w:val="24"/>
          <w:szCs w:val="24"/>
          <w:lang w:val="en-US" w:eastAsia="zh-CN"/>
        </w:rPr>
        <w:t>公司未提供支出明细及对应合同，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bidi="zh-CN"/>
        </w:rPr>
        <w:t>实际支付时，我司会对付款申请、发票、流程、协议等依据进行审核，确保资金支付合理、合规。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bidi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bidi="zh-CN"/>
        </w:rPr>
        <w:t>）</w:t>
      </w:r>
      <w:r>
        <w:rPr>
          <w:rFonts w:hint="eastAsia" w:ascii="宋体" w:hAnsi="宋体"/>
          <w:b/>
          <w:bCs/>
          <w:sz w:val="24"/>
          <w:szCs w:val="24"/>
          <w:lang w:val="en-US" w:bidi="zh-CN"/>
        </w:rPr>
        <w:t>财务</w:t>
      </w: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费用计划说明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  <w:color w:val="auto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sz w:val="24"/>
          <w:szCs w:val="24"/>
          <w:lang w:bidi="zh-CN"/>
        </w:rPr>
        <w:t>年</w:t>
      </w:r>
      <w:r>
        <w:rPr>
          <w:rFonts w:hint="eastAsia" w:ascii="Arial" w:hAnsi="Arial" w:cs="Arial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sz w:val="24"/>
          <w:szCs w:val="24"/>
          <w:lang w:bidi="zh-CN"/>
        </w:rPr>
        <w:t>月财务费用</w:t>
      </w:r>
      <w:r>
        <w:rPr>
          <w:rFonts w:hint="default" w:ascii="Arial" w:hAnsi="Arial" w:cs="Arial"/>
          <w:sz w:val="24"/>
          <w:szCs w:val="24"/>
          <w:lang w:val="en-US" w:bidi="zh-CN"/>
        </w:rPr>
        <w:t>预计支出</w:t>
      </w:r>
      <w:r>
        <w:rPr>
          <w:rFonts w:hint="eastAsia" w:ascii="Arial" w:hAnsi="Arial" w:cs="Arial"/>
          <w:sz w:val="24"/>
          <w:szCs w:val="24"/>
          <w:lang w:val="en-US" w:bidi="zh-CN"/>
        </w:rPr>
        <w:t>1,180.00</w:t>
      </w:r>
      <w:r>
        <w:rPr>
          <w:rFonts w:hint="default" w:ascii="Arial" w:hAnsi="Arial" w:cs="Arial"/>
          <w:sz w:val="24"/>
          <w:szCs w:val="24"/>
          <w:lang w:bidi="zh-CN"/>
        </w:rPr>
        <w:t>万元，</w:t>
      </w:r>
      <w:r>
        <w:rPr>
          <w:rFonts w:hint="default" w:ascii="Arial" w:hAnsi="Arial" w:cs="Arial"/>
          <w:sz w:val="24"/>
          <w:szCs w:val="24"/>
          <w:lang w:val="en-US" w:bidi="zh-CN"/>
        </w:rPr>
        <w:t>包括开发贷利息支出</w:t>
      </w:r>
      <w:r>
        <w:rPr>
          <w:rFonts w:hint="default" w:ascii="Arial" w:hAnsi="Arial" w:cs="Arial"/>
          <w:sz w:val="24"/>
          <w:szCs w:val="24"/>
          <w:lang w:bidi="zh-CN"/>
        </w:rPr>
        <w:t>，</w:t>
      </w:r>
      <w:r>
        <w:rPr>
          <w:rFonts w:hint="default" w:ascii="Arial" w:hAnsi="Arial" w:cs="Arial"/>
          <w:sz w:val="24"/>
          <w:szCs w:val="24"/>
          <w:lang w:val="en-US" w:bidi="zh-CN"/>
        </w:rPr>
        <w:t>银团代理费等，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bidi="zh-CN"/>
        </w:rPr>
        <w:t>实际支付时，我司会对付款申请、流程、协议等依据进行审核，确保资金支付合理、合规。</w:t>
      </w:r>
    </w:p>
    <w:p>
      <w:pPr>
        <w:numPr>
          <w:ilvl w:val="0"/>
          <w:numId w:val="8"/>
        </w:numPr>
        <w:spacing w:before="160" w:beforeLines="50" w:after="160" w:afterLines="50" w:line="360" w:lineRule="auto"/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val="en-US" w:bidi="zh-CN"/>
        </w:rPr>
        <w:t>税</w:t>
      </w: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费计划说明</w:t>
      </w:r>
    </w:p>
    <w:p>
      <w:pPr>
        <w:numPr>
          <w:ilvl w:val="0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lang w:bidi="zh-CN"/>
        </w:rPr>
        <w:t>项目公司在202</w:t>
      </w:r>
      <w:r>
        <w:rPr>
          <w:rFonts w:hint="default" w:ascii="Arial" w:hAnsi="Arial" w:cs="Arial"/>
          <w:sz w:val="24"/>
          <w:szCs w:val="24"/>
          <w:lang w:val="en-US" w:bidi="zh-CN"/>
        </w:rPr>
        <w:t>1</w:t>
      </w:r>
      <w:r>
        <w:rPr>
          <w:rFonts w:hint="default" w:ascii="Arial" w:hAnsi="Arial" w:cs="Arial"/>
          <w:sz w:val="24"/>
          <w:szCs w:val="24"/>
          <w:lang w:bidi="zh-CN"/>
        </w:rPr>
        <w:t>年</w:t>
      </w:r>
      <w:r>
        <w:rPr>
          <w:rFonts w:hint="eastAsia" w:ascii="Arial" w:hAnsi="Arial" w:cs="Arial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sz w:val="24"/>
          <w:szCs w:val="24"/>
          <w:lang w:bidi="zh-CN"/>
        </w:rPr>
        <w:t>月</w:t>
      </w:r>
      <w:r>
        <w:rPr>
          <w:rFonts w:hint="default" w:ascii="Arial" w:hAnsi="Arial" w:cs="Arial"/>
          <w:sz w:val="24"/>
          <w:szCs w:val="24"/>
          <w:lang w:val="en-US" w:bidi="zh-CN"/>
        </w:rPr>
        <w:t>税费预计支出</w:t>
      </w:r>
      <w:r>
        <w:rPr>
          <w:rFonts w:hint="eastAsia" w:ascii="Arial" w:hAnsi="Arial" w:cs="Arial"/>
          <w:sz w:val="24"/>
          <w:szCs w:val="24"/>
          <w:lang w:val="en-US" w:bidi="zh-CN"/>
        </w:rPr>
        <w:t>45.00</w:t>
      </w:r>
      <w:r>
        <w:rPr>
          <w:rFonts w:hint="default" w:ascii="Arial" w:hAnsi="Arial" w:cs="Arial"/>
          <w:sz w:val="24"/>
          <w:szCs w:val="24"/>
          <w:lang w:val="en-US" w:bidi="zh-CN"/>
        </w:rPr>
        <w:t>万元，主要是项目公司于</w:t>
      </w:r>
      <w:r>
        <w:rPr>
          <w:rFonts w:hint="eastAsia" w:ascii="Arial" w:hAnsi="Arial" w:cs="Arial"/>
          <w:sz w:val="24"/>
          <w:szCs w:val="24"/>
          <w:lang w:val="en-US" w:bidi="zh-CN"/>
        </w:rPr>
        <w:t>2</w:t>
      </w:r>
      <w:r>
        <w:rPr>
          <w:rFonts w:hint="default" w:ascii="Arial" w:hAnsi="Arial" w:cs="Arial"/>
          <w:sz w:val="24"/>
          <w:szCs w:val="24"/>
          <w:lang w:val="en-US" w:bidi="zh-CN"/>
        </w:rPr>
        <w:t>月收房款及车位款合计金额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664.00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万元，预计需要交纳土地增值税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20.00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万元、营业税金及附加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25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万元。</w:t>
      </w:r>
    </w:p>
    <w:p>
      <w:pPr>
        <w:spacing w:before="160" w:beforeLines="50" w:after="160" w:afterLines="50" w:line="360" w:lineRule="auto"/>
        <w:ind w:firstLine="0" w:firstLineChars="0"/>
        <w:rPr>
          <w:rFonts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四、结论：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b/>
          <w:color w:val="000000"/>
          <w:sz w:val="24"/>
          <w:szCs w:val="24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本次杭州融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滨昌盛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置业有限公司申报的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月资金计划包含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六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大项目，分别为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前期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费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用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、工程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费用</w:t>
      </w:r>
      <w:r>
        <w:rPr>
          <w:rFonts w:hint="default" w:ascii="Arial" w:hAnsi="Arial" w:cs="Arial"/>
          <w:bCs/>
          <w:color w:val="000000"/>
          <w:sz w:val="24"/>
          <w:szCs w:val="24"/>
          <w:lang w:bidi="zh-CN"/>
        </w:rPr>
        <w:t>、管理费用、营销费用、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bidi="zh-CN"/>
        </w:rPr>
        <w:t>财务费用、税费，</w:t>
      </w:r>
      <w:r>
        <w:rPr>
          <w:rFonts w:hint="default" w:ascii="Arial" w:hAnsi="Arial" w:cs="Arial"/>
          <w:bCs/>
          <w:sz w:val="24"/>
          <w:szCs w:val="24"/>
          <w:lang w:bidi="zh-CN"/>
        </w:rPr>
        <w:t>分类方式为项目公司各部门提供，与目标成本分类</w:t>
      </w:r>
      <w:r>
        <w:rPr>
          <w:rFonts w:hint="default" w:ascii="Arial" w:hAnsi="Arial" w:cs="Arial"/>
          <w:bCs/>
          <w:sz w:val="24"/>
          <w:szCs w:val="24"/>
          <w:lang w:val="en-US" w:bidi="zh-CN"/>
        </w:rPr>
        <w:t>不相符</w:t>
      </w:r>
      <w:r>
        <w:rPr>
          <w:rFonts w:hint="default" w:ascii="Arial" w:hAnsi="Arial" w:cs="Arial"/>
          <w:bCs/>
          <w:sz w:val="24"/>
          <w:szCs w:val="24"/>
          <w:lang w:bidi="zh-CN"/>
        </w:rPr>
        <w:t>，我司重新整理、统计了项目公司的资金计划，对上述费用的类别进行了调整，资金计划费用明细与现场实际情况基本吻合，编制基本合理，</w:t>
      </w:r>
      <w:r>
        <w:rPr>
          <w:rFonts w:hint="eastAsia" w:ascii="Arial" w:hAnsi="Arial" w:cs="Arial"/>
          <w:bCs/>
          <w:sz w:val="24"/>
          <w:szCs w:val="24"/>
          <w:lang w:bidi="zh-CN"/>
        </w:rPr>
        <w:t>不可预见费为预估金额，</w:t>
      </w:r>
      <w:r>
        <w:rPr>
          <w:rFonts w:hint="default" w:ascii="Arial" w:hAnsi="Arial" w:cs="Arial"/>
          <w:bCs/>
          <w:sz w:val="24"/>
          <w:szCs w:val="24"/>
          <w:lang w:val="en-US" w:bidi="zh-CN"/>
        </w:rPr>
        <w:t>实际支付时我司会对相关付款资料、合同等进行审核，严格把控</w:t>
      </w:r>
      <w:r>
        <w:rPr>
          <w:rFonts w:hint="default" w:ascii="Arial" w:hAnsi="Arial" w:cs="Arial"/>
          <w:bCs/>
          <w:sz w:val="24"/>
          <w:szCs w:val="24"/>
          <w:lang w:bidi="zh-CN"/>
        </w:rPr>
        <w:t>。对费用明细进行审核分析后，拟同意项目公司</w:t>
      </w:r>
      <w:r>
        <w:rPr>
          <w:rFonts w:hint="eastAsia" w:ascii="Arial" w:hAnsi="Arial" w:cs="Arial"/>
          <w:bCs/>
          <w:sz w:val="24"/>
          <w:szCs w:val="24"/>
          <w:lang w:val="en-US" w:bidi="zh-CN"/>
        </w:rPr>
        <w:t>3</w:t>
      </w:r>
      <w:r>
        <w:rPr>
          <w:rFonts w:hint="default" w:ascii="Arial" w:hAnsi="Arial" w:cs="Arial"/>
          <w:bCs/>
          <w:sz w:val="24"/>
          <w:szCs w:val="24"/>
          <w:lang w:bidi="zh-CN"/>
        </w:rPr>
        <w:t>月份资金计划，并以此作为付款的依据。待实际支付时，我司人员将对相关付款资料的合理、合规性一一核实，据实支付，请审批。</w:t>
      </w: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北京康信君安资产管理有限公司</w:t>
      </w:r>
    </w:p>
    <w:p>
      <w:pPr>
        <w:spacing w:line="360" w:lineRule="auto"/>
        <w:ind w:firstLine="5060" w:firstLineChars="2100"/>
        <w:jc w:val="right"/>
        <w:rPr>
          <w:rFonts w:hint="eastAsia"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</w:t>
      </w:r>
      <w:r>
        <w:rPr>
          <w:rFonts w:ascii="宋体" w:hAnsi="宋体"/>
          <w:b/>
          <w:color w:val="000000"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color w:val="000000"/>
          <w:sz w:val="24"/>
          <w:lang w:bidi="zh-CN"/>
        </w:rPr>
        <w:t>杭州融创</w:t>
      </w:r>
      <w:r>
        <w:rPr>
          <w:rFonts w:hint="eastAsia" w:ascii="宋体" w:hAnsi="宋体"/>
          <w:b/>
          <w:color w:val="000000"/>
          <w:sz w:val="24"/>
          <w:lang w:val="en-US" w:bidi="zh-CN"/>
        </w:rPr>
        <w:t>庆隆</w:t>
      </w:r>
      <w:r>
        <w:rPr>
          <w:rFonts w:hint="eastAsia" w:ascii="宋体" w:hAnsi="宋体"/>
          <w:b/>
          <w:color w:val="000000"/>
          <w:sz w:val="24"/>
          <w:lang w:bidi="zh-CN"/>
        </w:rPr>
        <w:t>项目组</w:t>
      </w:r>
    </w:p>
    <w:p>
      <w:pPr>
        <w:spacing w:line="360" w:lineRule="auto"/>
        <w:ind w:firstLine="5060" w:firstLineChars="2100"/>
        <w:jc w:val="right"/>
      </w:pPr>
      <w:r>
        <w:rPr>
          <w:rFonts w:hint="eastAsia" w:ascii="宋体" w:hAnsi="宋体"/>
          <w:b/>
          <w:bCs/>
          <w:color w:val="000000"/>
          <w:sz w:val="24"/>
          <w:lang w:bidi="zh-CN"/>
        </w:rPr>
        <w:t>20</w:t>
      </w:r>
      <w:r>
        <w:rPr>
          <w:rFonts w:ascii="宋体" w:hAnsi="宋体"/>
          <w:b/>
          <w:bCs/>
          <w:color w:val="000000"/>
          <w:sz w:val="24"/>
          <w:lang w:bidi="zh-CN"/>
        </w:rPr>
        <w:t>2</w:t>
      </w:r>
      <w:r>
        <w:rPr>
          <w:rFonts w:hint="eastAsia" w:ascii="宋体" w:hAnsi="宋体"/>
          <w:b/>
          <w:bCs/>
          <w:color w:val="000000"/>
          <w:sz w:val="24"/>
          <w:lang w:val="en-US" w:bidi="zh-CN"/>
        </w:rPr>
        <w:t>1</w:t>
      </w:r>
      <w:r>
        <w:rPr>
          <w:rFonts w:hint="eastAsia" w:ascii="宋体" w:hAnsi="宋体"/>
          <w:b/>
          <w:bCs/>
          <w:color w:val="000000"/>
          <w:sz w:val="24"/>
          <w:lang w:bidi="zh-CN"/>
        </w:rPr>
        <w:t>年</w:t>
      </w:r>
      <w:r>
        <w:rPr>
          <w:rFonts w:hint="eastAsia" w:ascii="宋体" w:hAnsi="宋体"/>
          <w:b/>
          <w:bCs/>
          <w:color w:val="000000"/>
          <w:sz w:val="24"/>
          <w:lang w:val="en-US" w:bidi="zh-CN"/>
        </w:rPr>
        <w:t>3</w:t>
      </w:r>
      <w:r>
        <w:rPr>
          <w:rFonts w:ascii="宋体" w:hAnsi="宋体"/>
          <w:b/>
          <w:bCs/>
          <w:color w:val="000000"/>
          <w:sz w:val="24"/>
          <w:lang w:bidi="zh-CN"/>
        </w:rPr>
        <w:t>月</w:t>
      </w:r>
      <w:r>
        <w:rPr>
          <w:rFonts w:hint="eastAsia" w:ascii="宋体" w:hAnsi="宋体"/>
          <w:b/>
          <w:bCs/>
          <w:color w:val="000000"/>
          <w:sz w:val="24"/>
          <w:lang w:val="en-US" w:bidi="zh-CN"/>
        </w:rPr>
        <w:t>3</w:t>
      </w:r>
      <w:r>
        <w:rPr>
          <w:rFonts w:ascii="宋体" w:hAnsi="宋体"/>
          <w:b/>
          <w:bCs/>
          <w:color w:val="000000"/>
          <w:sz w:val="24"/>
          <w:lang w:bidi="zh-CN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E97C2F"/>
    <w:multiLevelType w:val="singleLevel"/>
    <w:tmpl w:val="C6E97C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23BC1ED"/>
    <w:multiLevelType w:val="singleLevel"/>
    <w:tmpl w:val="E23BC1E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B749994"/>
    <w:multiLevelType w:val="singleLevel"/>
    <w:tmpl w:val="EB749994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4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b/>
        <w:bCs w:val="0"/>
      </w:rPr>
    </w:lvl>
  </w:abstractNum>
  <w:abstractNum w:abstractNumId="5">
    <w:nsid w:val="10553620"/>
    <w:multiLevelType w:val="multilevel"/>
    <w:tmpl w:val="10553620"/>
    <w:lvl w:ilvl="0" w:tentative="0">
      <w:start w:val="4"/>
      <w:numFmt w:val="japaneseCounting"/>
      <w:lvlText w:val="(%1）"/>
      <w:lvlJc w:val="left"/>
      <w:pPr>
        <w:ind w:left="720" w:hanging="720"/>
      </w:pPr>
      <w:rPr>
        <w:rFonts w:hint="default"/>
      </w:rPr>
    </w:lvl>
    <w:lvl w:ilvl="1" w:tentative="0">
      <w:start w:val="5"/>
      <w:numFmt w:val="japaneseCounting"/>
      <w:lvlText w:val="（%2）"/>
      <w:lvlJc w:val="left"/>
      <w:pPr>
        <w:ind w:left="1176" w:hanging="756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248BD3"/>
    <w:multiLevelType w:val="singleLevel"/>
    <w:tmpl w:val="66248B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113D38"/>
    <w:rsid w:val="00121BD0"/>
    <w:rsid w:val="00147C71"/>
    <w:rsid w:val="00163063"/>
    <w:rsid w:val="001F2DCA"/>
    <w:rsid w:val="00247A80"/>
    <w:rsid w:val="002941D7"/>
    <w:rsid w:val="0035481D"/>
    <w:rsid w:val="003A0743"/>
    <w:rsid w:val="003E4FC7"/>
    <w:rsid w:val="004B2AE2"/>
    <w:rsid w:val="005D0318"/>
    <w:rsid w:val="005E76F7"/>
    <w:rsid w:val="006127B0"/>
    <w:rsid w:val="00632F49"/>
    <w:rsid w:val="006F0C79"/>
    <w:rsid w:val="00786B23"/>
    <w:rsid w:val="00805D76"/>
    <w:rsid w:val="008140E4"/>
    <w:rsid w:val="008D4D46"/>
    <w:rsid w:val="00955A6F"/>
    <w:rsid w:val="009A58EB"/>
    <w:rsid w:val="00A57474"/>
    <w:rsid w:val="00A63903"/>
    <w:rsid w:val="00B27E33"/>
    <w:rsid w:val="00BE6D91"/>
    <w:rsid w:val="00C0795B"/>
    <w:rsid w:val="00C671C8"/>
    <w:rsid w:val="00C7424A"/>
    <w:rsid w:val="00D122DF"/>
    <w:rsid w:val="00DB663D"/>
    <w:rsid w:val="00DC4846"/>
    <w:rsid w:val="00F96098"/>
    <w:rsid w:val="025F085A"/>
    <w:rsid w:val="03A51C32"/>
    <w:rsid w:val="03F90870"/>
    <w:rsid w:val="064206D5"/>
    <w:rsid w:val="069C0541"/>
    <w:rsid w:val="06C07033"/>
    <w:rsid w:val="08D85DBA"/>
    <w:rsid w:val="0B153091"/>
    <w:rsid w:val="0C57047C"/>
    <w:rsid w:val="0DB56B5D"/>
    <w:rsid w:val="0E6755EB"/>
    <w:rsid w:val="0E846A57"/>
    <w:rsid w:val="0F035F29"/>
    <w:rsid w:val="0FE46F51"/>
    <w:rsid w:val="11617742"/>
    <w:rsid w:val="124A2A0A"/>
    <w:rsid w:val="15520CC7"/>
    <w:rsid w:val="166C5111"/>
    <w:rsid w:val="177C2AA9"/>
    <w:rsid w:val="1867733D"/>
    <w:rsid w:val="192B4265"/>
    <w:rsid w:val="199C1146"/>
    <w:rsid w:val="1A305246"/>
    <w:rsid w:val="1A9F09B7"/>
    <w:rsid w:val="1AF43DA8"/>
    <w:rsid w:val="1CAC4F40"/>
    <w:rsid w:val="1CD81376"/>
    <w:rsid w:val="1DEA0841"/>
    <w:rsid w:val="1E5D4ECF"/>
    <w:rsid w:val="1FA00234"/>
    <w:rsid w:val="207160E0"/>
    <w:rsid w:val="21172B4D"/>
    <w:rsid w:val="21416542"/>
    <w:rsid w:val="21A949E2"/>
    <w:rsid w:val="22CF04F8"/>
    <w:rsid w:val="22F04FB3"/>
    <w:rsid w:val="230A6507"/>
    <w:rsid w:val="23CF372F"/>
    <w:rsid w:val="27316A37"/>
    <w:rsid w:val="27327E0D"/>
    <w:rsid w:val="28867BE4"/>
    <w:rsid w:val="2AC65D2F"/>
    <w:rsid w:val="2AFE4F24"/>
    <w:rsid w:val="2B1A421A"/>
    <w:rsid w:val="2B414C73"/>
    <w:rsid w:val="2C53023C"/>
    <w:rsid w:val="2CC4163B"/>
    <w:rsid w:val="2D5A2BCC"/>
    <w:rsid w:val="2E7834D1"/>
    <w:rsid w:val="2F373872"/>
    <w:rsid w:val="30180343"/>
    <w:rsid w:val="30A20253"/>
    <w:rsid w:val="318F675C"/>
    <w:rsid w:val="32EC0C48"/>
    <w:rsid w:val="3370097D"/>
    <w:rsid w:val="35434E42"/>
    <w:rsid w:val="35650F24"/>
    <w:rsid w:val="35E361E2"/>
    <w:rsid w:val="367C42D0"/>
    <w:rsid w:val="382133CB"/>
    <w:rsid w:val="38DC0A32"/>
    <w:rsid w:val="391337BB"/>
    <w:rsid w:val="397816AD"/>
    <w:rsid w:val="3A441729"/>
    <w:rsid w:val="3B3C6CDC"/>
    <w:rsid w:val="3B7A7726"/>
    <w:rsid w:val="3C405B8D"/>
    <w:rsid w:val="3C940DB5"/>
    <w:rsid w:val="3F145B91"/>
    <w:rsid w:val="3FC73BFD"/>
    <w:rsid w:val="4006370C"/>
    <w:rsid w:val="40631A85"/>
    <w:rsid w:val="40B450E6"/>
    <w:rsid w:val="418538A5"/>
    <w:rsid w:val="419C0CC8"/>
    <w:rsid w:val="41DD41F5"/>
    <w:rsid w:val="421B01F5"/>
    <w:rsid w:val="42212E1F"/>
    <w:rsid w:val="42494A75"/>
    <w:rsid w:val="430C5DA9"/>
    <w:rsid w:val="432028CD"/>
    <w:rsid w:val="4610527A"/>
    <w:rsid w:val="46320297"/>
    <w:rsid w:val="46F60BDB"/>
    <w:rsid w:val="48BE4498"/>
    <w:rsid w:val="49767F15"/>
    <w:rsid w:val="4A9378AC"/>
    <w:rsid w:val="4AAA76EB"/>
    <w:rsid w:val="4B2041D6"/>
    <w:rsid w:val="4B6F480A"/>
    <w:rsid w:val="4C5471F2"/>
    <w:rsid w:val="4CD94D52"/>
    <w:rsid w:val="4DB05914"/>
    <w:rsid w:val="4DB927C2"/>
    <w:rsid w:val="4DB9543D"/>
    <w:rsid w:val="502F422C"/>
    <w:rsid w:val="511D1849"/>
    <w:rsid w:val="512A4603"/>
    <w:rsid w:val="53C22C26"/>
    <w:rsid w:val="54927008"/>
    <w:rsid w:val="5568577F"/>
    <w:rsid w:val="559F014D"/>
    <w:rsid w:val="57BE1EB5"/>
    <w:rsid w:val="585742D1"/>
    <w:rsid w:val="587D4384"/>
    <w:rsid w:val="59F96CA8"/>
    <w:rsid w:val="5A7A541E"/>
    <w:rsid w:val="5B0F1F70"/>
    <w:rsid w:val="5B325753"/>
    <w:rsid w:val="5BC84860"/>
    <w:rsid w:val="5D103D31"/>
    <w:rsid w:val="5D5D7B38"/>
    <w:rsid w:val="5E813C89"/>
    <w:rsid w:val="5EAF0219"/>
    <w:rsid w:val="5EF8535C"/>
    <w:rsid w:val="5F254158"/>
    <w:rsid w:val="5F5E5936"/>
    <w:rsid w:val="60F4772D"/>
    <w:rsid w:val="614F1272"/>
    <w:rsid w:val="61D443E6"/>
    <w:rsid w:val="634B38E7"/>
    <w:rsid w:val="63F804A8"/>
    <w:rsid w:val="64496841"/>
    <w:rsid w:val="650F0947"/>
    <w:rsid w:val="66F420A2"/>
    <w:rsid w:val="67522543"/>
    <w:rsid w:val="67D210A1"/>
    <w:rsid w:val="68873DCA"/>
    <w:rsid w:val="6968602C"/>
    <w:rsid w:val="6AFB4FE1"/>
    <w:rsid w:val="6B594652"/>
    <w:rsid w:val="6BA06C5A"/>
    <w:rsid w:val="6BC07FA6"/>
    <w:rsid w:val="6E512F58"/>
    <w:rsid w:val="6F073BA1"/>
    <w:rsid w:val="6F170DDD"/>
    <w:rsid w:val="731E7AC3"/>
    <w:rsid w:val="73B72C56"/>
    <w:rsid w:val="73FB0735"/>
    <w:rsid w:val="751D6116"/>
    <w:rsid w:val="78C878ED"/>
    <w:rsid w:val="7A160BA1"/>
    <w:rsid w:val="7B7626AA"/>
    <w:rsid w:val="7BCE73B2"/>
    <w:rsid w:val="7BDA2600"/>
    <w:rsid w:val="7D844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3"/>
    <w:link w:val="4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2"/>
    </w:rPr>
  </w:style>
  <w:style w:type="character" w:customStyle="1" w:styleId="20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before"/>
    <w:basedOn w:val="13"/>
    <w:qFormat/>
    <w:uiPriority w:val="0"/>
  </w:style>
  <w:style w:type="character" w:customStyle="1" w:styleId="22">
    <w:name w:val="progress-green"/>
    <w:basedOn w:val="13"/>
    <w:qFormat/>
    <w:uiPriority w:val="0"/>
    <w:rPr>
      <w:bdr w:val="single" w:color="5C9425" w:sz="2" w:space="0"/>
      <w:shd w:val="clear" w:fill="77AF3F"/>
    </w:rPr>
  </w:style>
  <w:style w:type="character" w:customStyle="1" w:styleId="23">
    <w:name w:val="progress-yellow"/>
    <w:basedOn w:val="13"/>
    <w:qFormat/>
    <w:uiPriority w:val="0"/>
    <w:rPr>
      <w:bdr w:val="single" w:color="A92C2C" w:sz="2" w:space="0"/>
      <w:shd w:val="clear" w:fill="FFFF00"/>
    </w:rPr>
  </w:style>
  <w:style w:type="character" w:customStyle="1" w:styleId="24">
    <w:name w:val="at"/>
    <w:basedOn w:val="13"/>
    <w:qFormat/>
    <w:uiPriority w:val="0"/>
    <w:rPr>
      <w:color w:val="333333"/>
    </w:rPr>
  </w:style>
  <w:style w:type="character" w:customStyle="1" w:styleId="25">
    <w:name w:val="l-btn-left"/>
    <w:basedOn w:val="13"/>
    <w:qFormat/>
    <w:uiPriority w:val="0"/>
  </w:style>
  <w:style w:type="character" w:customStyle="1" w:styleId="26">
    <w:name w:val="l-btn-left1"/>
    <w:basedOn w:val="13"/>
    <w:qFormat/>
    <w:uiPriority w:val="0"/>
  </w:style>
  <w:style w:type="character" w:customStyle="1" w:styleId="27">
    <w:name w:val="l-btn-left2"/>
    <w:basedOn w:val="13"/>
    <w:qFormat/>
    <w:uiPriority w:val="0"/>
    <w:rPr>
      <w:color w:val="FFFFFF"/>
      <w:shd w:val="clear" w:fill="EDA024"/>
    </w:rPr>
  </w:style>
  <w:style w:type="character" w:customStyle="1" w:styleId="28">
    <w:name w:val="l-btn-left3"/>
    <w:basedOn w:val="13"/>
    <w:qFormat/>
    <w:uiPriority w:val="0"/>
  </w:style>
  <w:style w:type="character" w:customStyle="1" w:styleId="29">
    <w:name w:val="progress-blue"/>
    <w:basedOn w:val="13"/>
    <w:qFormat/>
    <w:uiPriority w:val="0"/>
    <w:rPr>
      <w:bdr w:val="single" w:color="0078A5" w:sz="2" w:space="0"/>
      <w:shd w:val="clear" w:fill="5C9ADE"/>
    </w:rPr>
  </w:style>
  <w:style w:type="character" w:customStyle="1" w:styleId="30">
    <w:name w:val="progress-orange"/>
    <w:basedOn w:val="13"/>
    <w:qFormat/>
    <w:uiPriority w:val="0"/>
    <w:rPr>
      <w:bdr w:val="single" w:color="F47A20" w:sz="2" w:space="0"/>
      <w:shd w:val="clear" w:fill="FAA51A"/>
    </w:rPr>
  </w:style>
  <w:style w:type="character" w:customStyle="1" w:styleId="31">
    <w:name w:val="progress-red"/>
    <w:basedOn w:val="13"/>
    <w:qFormat/>
    <w:uiPriority w:val="0"/>
    <w:rPr>
      <w:bdr w:val="single" w:color="A92C2C" w:sz="2" w:space="0"/>
      <w:shd w:val="clear" w:fill="C44747"/>
    </w:rPr>
  </w:style>
  <w:style w:type="character" w:customStyle="1" w:styleId="32">
    <w:name w:val="l-btn-empty"/>
    <w:basedOn w:val="13"/>
    <w:qFormat/>
    <w:uiPriority w:val="0"/>
  </w:style>
  <w:style w:type="character" w:customStyle="1" w:styleId="33">
    <w:name w:val="l-btn-text"/>
    <w:basedOn w:val="13"/>
    <w:qFormat/>
    <w:uiPriority w:val="0"/>
  </w:style>
  <w:style w:type="character" w:customStyle="1" w:styleId="34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35">
    <w:name w:val="first-chil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714</Words>
  <Characters>4073</Characters>
  <Lines>33</Lines>
  <Paragraphs>9</Paragraphs>
  <TotalTime>26</TotalTime>
  <ScaleCrop>false</ScaleCrop>
  <LinksUpToDate>false</LinksUpToDate>
  <CharactersWithSpaces>4778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2020-12-10T01:20:00Z</dcterms:created>
  <dc:creator>郭胜霖</dc:creator>
  <cp:lastModifiedBy>小丸子挖小白菜</cp:lastModifiedBy>
  <dcterms:modified xsi:type="dcterms:W3CDTF">2021-03-04T07:20:53Z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