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32"/>
          <w:szCs w:val="32"/>
        </w:rPr>
      </w:pPr>
      <w:r>
        <w:rPr>
          <w:rFonts w:hint="eastAsia" w:ascii="宋体" w:hAnsi="宋体" w:eastAsia="宋体"/>
          <w:b/>
          <w:sz w:val="32"/>
          <w:szCs w:val="32"/>
        </w:rPr>
        <w:t>驻场监管人员更换说明</w:t>
      </w:r>
    </w:p>
    <w:p>
      <w:pPr>
        <w:jc w:val="center"/>
        <w:rPr>
          <w:rFonts w:hint="eastAsia" w:ascii="宋体" w:hAnsi="宋体" w:eastAsia="宋体"/>
          <w:b/>
          <w:sz w:val="32"/>
          <w:szCs w:val="32"/>
          <w:lang w:eastAsia="zh-CN"/>
        </w:rPr>
      </w:pPr>
      <w:r>
        <w:rPr>
          <w:rFonts w:hint="eastAsia" w:ascii="宋体" w:hAnsi="宋体" w:eastAsia="宋体"/>
          <w:b/>
          <w:sz w:val="32"/>
          <w:szCs w:val="32"/>
          <w:lang w:eastAsia="zh-CN"/>
        </w:rPr>
        <w:t>（既新的授权委托书）</w:t>
      </w:r>
    </w:p>
    <w:p>
      <w:pPr>
        <w:jc w:val="center"/>
        <w:rPr>
          <w:rFonts w:ascii="宋体" w:hAnsi="宋体" w:eastAsia="宋体"/>
        </w:rPr>
      </w:pPr>
    </w:p>
    <w:p>
      <w:pPr>
        <w:spacing w:line="480" w:lineRule="auto"/>
        <w:jc w:val="left"/>
        <w:rPr>
          <w:rFonts w:ascii="宋体" w:hAnsi="宋体" w:eastAsia="宋体" w:cs="Arial"/>
          <w:sz w:val="24"/>
          <w:szCs w:val="24"/>
        </w:rPr>
      </w:pPr>
      <w:r>
        <w:rPr>
          <w:rFonts w:ascii="宋体" w:hAnsi="宋体" w:eastAsia="宋体" w:cs="Arial"/>
          <w:sz w:val="24"/>
          <w:szCs w:val="24"/>
        </w:rPr>
        <w:t>致：</w:t>
      </w:r>
      <w:r>
        <w:rPr>
          <w:rFonts w:hint="eastAsia" w:ascii="宋体" w:hAnsi="宋体" w:eastAsia="宋体" w:cs="Arial"/>
          <w:sz w:val="24"/>
          <w:szCs w:val="24"/>
        </w:rPr>
        <w:t>中诚信托有限责任公司、重庆华诚投资有限公司</w:t>
      </w:r>
    </w:p>
    <w:p>
      <w:pPr>
        <w:spacing w:line="480" w:lineRule="auto"/>
        <w:ind w:firstLine="480" w:firstLineChars="200"/>
        <w:rPr>
          <w:rFonts w:ascii="宋体" w:hAnsi="宋体" w:eastAsia="宋体" w:cs="Arial"/>
          <w:sz w:val="24"/>
          <w:szCs w:val="24"/>
        </w:rPr>
      </w:pPr>
      <w:r>
        <w:rPr>
          <w:rFonts w:hint="eastAsia" w:ascii="宋体" w:hAnsi="宋体" w:eastAsia="宋体" w:cs="Arial"/>
          <w:sz w:val="24"/>
          <w:szCs w:val="24"/>
        </w:rPr>
        <w:t>我司已派驻监管人员冯望（身份证号：42052119870626183X）、吕承杰（身份证号：500103198605174417）进驻重庆华诚投资有限公司，对“2017年中诚信托重庆隆鑫中心集合资金信托计划”项目进行现场监管。</w:t>
      </w:r>
    </w:p>
    <w:p>
      <w:pPr>
        <w:spacing w:line="480" w:lineRule="auto"/>
        <w:ind w:firstLine="480" w:firstLineChars="200"/>
        <w:rPr>
          <w:rFonts w:ascii="宋体" w:hAnsi="宋体" w:eastAsia="宋体" w:cs="Arial"/>
          <w:sz w:val="24"/>
          <w:szCs w:val="24"/>
        </w:rPr>
      </w:pPr>
      <w:r>
        <w:rPr>
          <w:rFonts w:hint="eastAsia" w:ascii="宋体" w:hAnsi="宋体" w:eastAsia="宋体" w:cs="Arial"/>
          <w:sz w:val="24"/>
          <w:szCs w:val="24"/>
        </w:rPr>
        <w:t>现我司结合项目进展情况，委派本单位员工雍毅（身份证号：</w:t>
      </w:r>
      <w:r>
        <w:rPr>
          <w:rFonts w:ascii="宋体" w:hAnsi="宋体" w:eastAsia="宋体" w:cs="Arial"/>
          <w:sz w:val="24"/>
          <w:szCs w:val="24"/>
        </w:rPr>
        <w:t>510724199611035510</w:t>
      </w:r>
      <w:r>
        <w:rPr>
          <w:rFonts w:hint="eastAsia" w:ascii="宋体" w:hAnsi="宋体" w:eastAsia="宋体" w:cs="Arial"/>
          <w:sz w:val="24"/>
          <w:szCs w:val="24"/>
        </w:rPr>
        <w:t>）接替冯望在本项目的驻场监管工作</w:t>
      </w:r>
      <w:r>
        <w:rPr>
          <w:rFonts w:ascii="宋体" w:hAnsi="宋体" w:eastAsia="宋体" w:cs="Arial"/>
          <w:sz w:val="24"/>
          <w:szCs w:val="24"/>
        </w:rPr>
        <w:t>，对</w:t>
      </w:r>
      <w:r>
        <w:rPr>
          <w:rFonts w:hint="eastAsia" w:ascii="宋体" w:hAnsi="宋体" w:eastAsia="宋体" w:cs="Arial"/>
          <w:sz w:val="24"/>
          <w:szCs w:val="24"/>
        </w:rPr>
        <w:t>雍毅、吕承杰</w:t>
      </w:r>
      <w:r>
        <w:rPr>
          <w:rFonts w:ascii="宋体" w:hAnsi="宋体" w:eastAsia="宋体" w:cs="Arial"/>
          <w:sz w:val="24"/>
          <w:szCs w:val="24"/>
        </w:rPr>
        <w:t>在监管过程中签署的有关文件，我司均予以认可，并承担相应的法律责任！</w:t>
      </w:r>
    </w:p>
    <w:p>
      <w:pPr>
        <w:spacing w:line="480" w:lineRule="auto"/>
        <w:ind w:firstLine="480" w:firstLineChars="200"/>
        <w:rPr>
          <w:rFonts w:hint="eastAsia" w:ascii="宋体" w:hAnsi="宋体" w:eastAsia="宋体" w:cs="Arial"/>
          <w:sz w:val="24"/>
          <w:szCs w:val="24"/>
        </w:rPr>
      </w:pPr>
      <w:r>
        <w:rPr>
          <w:rFonts w:hint="eastAsia" w:ascii="宋体" w:hAnsi="宋体" w:eastAsia="宋体" w:cs="Arial"/>
          <w:sz w:val="24"/>
          <w:szCs w:val="24"/>
        </w:rPr>
        <w:t>我司对两位被委托驻场人员可能涉及到签字的权限效力约定如下：</w:t>
      </w:r>
    </w:p>
    <w:p>
      <w:pPr>
        <w:spacing w:line="48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1、对重庆华诚投资有限公司编制的项目成本测算进行审核。（吕承杰签字有效）</w:t>
      </w:r>
    </w:p>
    <w:p>
      <w:pPr>
        <w:spacing w:line="480" w:lineRule="auto"/>
        <w:ind w:firstLine="480" w:firstLineChars="200"/>
        <w:rPr>
          <w:rFonts w:hint="eastAsia" w:ascii="宋体" w:hAnsi="宋体" w:eastAsia="宋体" w:cs="Arial"/>
          <w:sz w:val="24"/>
          <w:szCs w:val="24"/>
        </w:rPr>
      </w:pPr>
      <w:r>
        <w:rPr>
          <w:rFonts w:hint="eastAsia" w:ascii="宋体" w:hAnsi="宋体" w:eastAsia="宋体" w:cs="Arial"/>
          <w:sz w:val="24"/>
          <w:szCs w:val="24"/>
        </w:rPr>
        <w:t>2、根据项目建设的实际进度和资金需求并结合工程合同内的付款比例要求，对工程类付款进行审核。（雍毅或吕承杰签字有效）</w:t>
      </w:r>
    </w:p>
    <w:p>
      <w:pPr>
        <w:spacing w:line="480" w:lineRule="auto"/>
        <w:ind w:firstLine="480" w:firstLineChars="200"/>
        <w:rPr>
          <w:rFonts w:hint="eastAsia" w:ascii="宋体" w:hAnsi="宋体" w:eastAsia="宋体" w:cs="Arial"/>
          <w:sz w:val="24"/>
          <w:szCs w:val="24"/>
        </w:rPr>
      </w:pPr>
      <w:r>
        <w:rPr>
          <w:rFonts w:hint="eastAsia" w:ascii="宋体" w:hAnsi="宋体" w:eastAsia="宋体" w:cs="Arial"/>
          <w:sz w:val="24"/>
          <w:szCs w:val="24"/>
        </w:rPr>
        <w:t>3、对项目进度计划与项目实际进度偏差分析。（雍毅或吕承杰签字有效）</w:t>
      </w:r>
    </w:p>
    <w:p>
      <w:pPr>
        <w:spacing w:line="480" w:lineRule="auto"/>
        <w:ind w:firstLine="480" w:firstLineChars="200"/>
        <w:rPr>
          <w:rFonts w:hint="eastAsia" w:ascii="宋体" w:hAnsi="宋体" w:eastAsia="宋体" w:cs="Arial"/>
          <w:sz w:val="24"/>
          <w:szCs w:val="24"/>
        </w:rPr>
      </w:pPr>
      <w:r>
        <w:rPr>
          <w:rFonts w:hint="eastAsia" w:ascii="宋体" w:hAnsi="宋体" w:eastAsia="宋体" w:cs="Arial"/>
          <w:sz w:val="24"/>
          <w:szCs w:val="24"/>
        </w:rPr>
        <w:t>4、工程类合同、营销类合同审核。（雍毅或吕承杰签字有效）</w:t>
      </w:r>
    </w:p>
    <w:p>
      <w:pPr>
        <w:spacing w:line="480" w:lineRule="auto"/>
        <w:ind w:firstLine="480" w:firstLineChars="200"/>
        <w:rPr>
          <w:rFonts w:hint="eastAsia" w:ascii="宋体" w:hAnsi="宋体" w:eastAsia="宋体" w:cs="Arial"/>
          <w:sz w:val="24"/>
          <w:szCs w:val="24"/>
        </w:rPr>
      </w:pPr>
      <w:r>
        <w:rPr>
          <w:rFonts w:hint="eastAsia" w:ascii="宋体" w:hAnsi="宋体" w:eastAsia="宋体" w:cs="Arial"/>
          <w:sz w:val="24"/>
          <w:szCs w:val="24"/>
        </w:rPr>
        <w:t>5、营销费用、日常费用付款资料审核。（雍毅或吕承杰签字有效）</w:t>
      </w:r>
    </w:p>
    <w:p>
      <w:pPr>
        <w:spacing w:line="480" w:lineRule="auto"/>
        <w:ind w:firstLine="480" w:firstLineChars="200"/>
        <w:rPr>
          <w:rFonts w:hint="eastAsia" w:ascii="宋体" w:hAnsi="宋体" w:eastAsia="宋体" w:cs="Arial"/>
          <w:sz w:val="24"/>
          <w:szCs w:val="24"/>
        </w:rPr>
      </w:pPr>
      <w:r>
        <w:rPr>
          <w:rFonts w:hint="eastAsia" w:ascii="宋体" w:hAnsi="宋体" w:eastAsia="宋体" w:cs="Arial"/>
          <w:sz w:val="24"/>
          <w:szCs w:val="24"/>
        </w:rPr>
        <w:t>6、其他需要审核的文件或资料。（雍毅或吕承杰签字有效）</w:t>
      </w:r>
    </w:p>
    <w:p>
      <w:pPr>
        <w:spacing w:line="480" w:lineRule="auto"/>
        <w:ind w:firstLine="600" w:firstLineChars="250"/>
        <w:rPr>
          <w:rFonts w:ascii="宋体" w:hAnsi="宋体" w:eastAsia="宋体" w:cs="Arial"/>
          <w:sz w:val="24"/>
          <w:szCs w:val="24"/>
        </w:rPr>
      </w:pPr>
      <w:r>
        <w:rPr>
          <w:rFonts w:ascii="宋体" w:hAnsi="宋体" w:eastAsia="宋体" w:cs="Arial"/>
          <w:sz w:val="24"/>
          <w:szCs w:val="24"/>
        </w:rPr>
        <w:t>委托期限：即日起至监管协议结束日止。</w:t>
      </w:r>
    </w:p>
    <w:p>
      <w:pPr>
        <w:spacing w:line="480" w:lineRule="auto"/>
        <w:ind w:firstLine="600" w:firstLineChars="250"/>
        <w:rPr>
          <w:rFonts w:ascii="宋体" w:hAnsi="宋体" w:eastAsia="宋体" w:cs="Arial"/>
          <w:sz w:val="24"/>
          <w:szCs w:val="24"/>
        </w:rPr>
      </w:pPr>
      <w:r>
        <w:rPr>
          <w:rFonts w:hint="eastAsia" w:ascii="宋体" w:hAnsi="宋体" w:eastAsia="宋体" w:cs="Arial"/>
          <w:sz w:val="24"/>
          <w:szCs w:val="24"/>
        </w:rPr>
        <w:t>雍毅 签字样板：</w:t>
      </w:r>
    </w:p>
    <w:p>
      <w:pPr>
        <w:spacing w:line="480" w:lineRule="auto"/>
        <w:ind w:firstLine="600" w:firstLineChars="250"/>
        <w:rPr>
          <w:rFonts w:ascii="宋体" w:hAnsi="宋体" w:eastAsia="宋体" w:cs="Arial"/>
          <w:sz w:val="24"/>
          <w:szCs w:val="24"/>
        </w:rPr>
      </w:pPr>
      <w:r>
        <w:rPr>
          <w:rFonts w:hint="eastAsia" w:ascii="宋体" w:hAnsi="宋体" w:eastAsia="宋体" w:cs="Arial"/>
          <w:sz w:val="24"/>
          <w:szCs w:val="24"/>
        </w:rPr>
        <w:t>吕承杰 签字样板：</w:t>
      </w:r>
    </w:p>
    <w:p>
      <w:pPr>
        <w:spacing w:line="360" w:lineRule="auto"/>
        <w:ind w:firstLine="420"/>
        <w:jc w:val="right"/>
        <w:rPr>
          <w:rFonts w:ascii="宋体" w:hAnsi="宋体" w:eastAsia="宋体" w:cs="Arial"/>
          <w:sz w:val="24"/>
          <w:szCs w:val="24"/>
        </w:rPr>
      </w:pPr>
      <w:bookmarkStart w:id="0" w:name="_GoBack"/>
      <w:bookmarkEnd w:id="0"/>
      <w:r>
        <w:rPr>
          <w:rFonts w:ascii="宋体" w:hAnsi="宋体" w:eastAsia="宋体" w:cs="Arial"/>
          <w:sz w:val="24"/>
          <w:szCs w:val="24"/>
        </w:rPr>
        <w:t xml:space="preserve">                委托人：</w:t>
      </w:r>
      <w:r>
        <w:rPr>
          <w:rFonts w:hint="eastAsia" w:ascii="宋体" w:hAnsi="宋体" w:eastAsia="宋体" w:cs="Arial"/>
          <w:sz w:val="24"/>
          <w:szCs w:val="24"/>
        </w:rPr>
        <w:t>北京康正国际资产评估有限公司</w:t>
      </w:r>
    </w:p>
    <w:p>
      <w:pPr>
        <w:spacing w:line="480" w:lineRule="auto"/>
        <w:ind w:firstLine="3720" w:firstLineChars="1550"/>
        <w:jc w:val="right"/>
        <w:rPr>
          <w:rFonts w:ascii="宋体" w:hAnsi="宋体" w:eastAsia="宋体" w:cs="Arial"/>
          <w:sz w:val="24"/>
          <w:szCs w:val="24"/>
        </w:rPr>
      </w:pPr>
      <w:r>
        <w:rPr>
          <w:rFonts w:hint="eastAsia" w:ascii="宋体" w:hAnsi="宋体" w:eastAsia="宋体" w:cs="Arial"/>
          <w:sz w:val="24"/>
          <w:szCs w:val="24"/>
        </w:rPr>
        <w:t>2020年</w:t>
      </w:r>
      <w:r>
        <w:rPr>
          <w:rFonts w:ascii="宋体" w:hAnsi="宋体" w:eastAsia="宋体" w:cs="Arial"/>
          <w:sz w:val="24"/>
          <w:szCs w:val="24"/>
        </w:rPr>
        <w:t>8</w:t>
      </w:r>
      <w:r>
        <w:rPr>
          <w:rFonts w:hint="eastAsia" w:ascii="宋体" w:hAnsi="宋体" w:eastAsia="宋体" w:cs="Arial"/>
          <w:sz w:val="24"/>
          <w:szCs w:val="24"/>
        </w:rPr>
        <w:t>月</w:t>
      </w:r>
      <w:r>
        <w:rPr>
          <w:rFonts w:ascii="宋体" w:hAnsi="宋体" w:eastAsia="宋体" w:cs="Arial"/>
          <w:sz w:val="24"/>
          <w:szCs w:val="24"/>
        </w:rPr>
        <w:t>19</w:t>
      </w:r>
      <w:r>
        <w:rPr>
          <w:rFonts w:hint="eastAsia" w:ascii="宋体" w:hAnsi="宋体" w:eastAsia="宋体" w:cs="Arial"/>
          <w:sz w:val="24"/>
          <w:szCs w:val="24"/>
        </w:rPr>
        <w:t>日</w:t>
      </w:r>
    </w:p>
    <w:p>
      <w:pPr>
        <w:spacing w:line="480" w:lineRule="auto"/>
        <w:ind w:firstLine="420"/>
        <w:jc w:val="right"/>
        <w:rPr>
          <w:rFonts w:ascii="宋体" w:hAnsi="宋体" w:eastAsia="宋体" w:cs="Arial"/>
          <w:sz w:val="24"/>
          <w:szCs w:val="24"/>
        </w:rPr>
      </w:pPr>
      <w:r>
        <w:rPr>
          <w:rFonts w:ascii="宋体" w:hAnsi="宋体" w:eastAsia="宋体" w:cs="Arial"/>
          <w:sz w:val="24"/>
          <w:szCs w:val="24"/>
        </w:rPr>
        <w:t xml:space="preserve">    </w:t>
      </w: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ascii="Arial" w:hAnsi="Arial"/>
        <w:b/>
        <w:i/>
        <w:sz w:val="22"/>
      </w:rPr>
      <w:t xml:space="preserve"> </w:t>
    </w:r>
    <w:r>
      <w:rPr>
        <w:rFonts w:ascii="Arial" w:hAnsi="Arial"/>
        <w:b/>
        <w:i/>
        <w:sz w:val="22"/>
      </w:rPr>
      <w:t xml:space="preserve">          </w:t>
    </w:r>
    <w:r>
      <w:rPr>
        <w:rFonts w:ascii="Arial" w:hAnsi="Arial"/>
        <w:b/>
        <w:i/>
        <w:sz w:val="22"/>
      </w:rPr>
      <w:ptab w:relativeTo="margin" w:alignment="right" w:leader="none"/>
    </w:r>
    <w:r>
      <w:rPr>
        <w:rFonts w:hint="eastAsia"/>
        <w:color w:val="FFC000"/>
      </w:rPr>
      <w:t xml:space="preserve"> </w:t>
    </w:r>
    <w:r>
      <w:rPr>
        <w:color w:val="FFC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D4"/>
    <w:rsid w:val="00016811"/>
    <w:rsid w:val="000904B4"/>
    <w:rsid w:val="000B371A"/>
    <w:rsid w:val="00131C72"/>
    <w:rsid w:val="001470F6"/>
    <w:rsid w:val="001A14AF"/>
    <w:rsid w:val="001B464D"/>
    <w:rsid w:val="00203303"/>
    <w:rsid w:val="002347F6"/>
    <w:rsid w:val="00244006"/>
    <w:rsid w:val="00310D49"/>
    <w:rsid w:val="00326580"/>
    <w:rsid w:val="00345A58"/>
    <w:rsid w:val="003D5C72"/>
    <w:rsid w:val="003F0FB4"/>
    <w:rsid w:val="004751F8"/>
    <w:rsid w:val="00497AE2"/>
    <w:rsid w:val="004A6840"/>
    <w:rsid w:val="004B6F3F"/>
    <w:rsid w:val="00533CF5"/>
    <w:rsid w:val="00666CAF"/>
    <w:rsid w:val="00732414"/>
    <w:rsid w:val="00742B70"/>
    <w:rsid w:val="00850567"/>
    <w:rsid w:val="00872A36"/>
    <w:rsid w:val="00937150"/>
    <w:rsid w:val="0095620C"/>
    <w:rsid w:val="00991B35"/>
    <w:rsid w:val="009B1338"/>
    <w:rsid w:val="00A34A34"/>
    <w:rsid w:val="00A608D4"/>
    <w:rsid w:val="00A6323B"/>
    <w:rsid w:val="00AC35B8"/>
    <w:rsid w:val="00AC50EA"/>
    <w:rsid w:val="00B025A4"/>
    <w:rsid w:val="00B338F0"/>
    <w:rsid w:val="00BA524E"/>
    <w:rsid w:val="00C35D98"/>
    <w:rsid w:val="00CC5154"/>
    <w:rsid w:val="00D55D5F"/>
    <w:rsid w:val="00D9101A"/>
    <w:rsid w:val="00DE40B7"/>
    <w:rsid w:val="00E13755"/>
    <w:rsid w:val="00E46085"/>
    <w:rsid w:val="00E97F78"/>
    <w:rsid w:val="00EB0C0F"/>
    <w:rsid w:val="00EF238E"/>
    <w:rsid w:val="00F0774D"/>
    <w:rsid w:val="00F410F5"/>
    <w:rsid w:val="00F51A8D"/>
    <w:rsid w:val="00FB3A1C"/>
    <w:rsid w:val="00FB7A9A"/>
    <w:rsid w:val="00FE0E03"/>
    <w:rsid w:val="00FE5A1B"/>
    <w:rsid w:val="069C3C77"/>
    <w:rsid w:val="14E40D22"/>
    <w:rsid w:val="677712FA"/>
    <w:rsid w:val="7DC33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sz w:val="18"/>
      <w:szCs w:val="18"/>
    </w:rPr>
  </w:style>
  <w:style w:type="character" w:customStyle="1" w:styleId="10">
    <w:name w:val="标题 #1 + SimHei"/>
    <w:uiPriority w:val="0"/>
    <w:rPr>
      <w:rFonts w:ascii="黑体" w:hAnsi="黑体" w:eastAsia="黑体" w:cs="黑体"/>
      <w:b/>
      <w:bCs/>
      <w:spacing w:val="-10"/>
      <w:sz w:val="30"/>
      <w:szCs w:val="30"/>
    </w:rPr>
  </w:style>
  <w:style w:type="paragraph" w:customStyle="1" w:styleId="11">
    <w:name w:val="标题 #1"/>
    <w:basedOn w:val="1"/>
    <w:uiPriority w:val="0"/>
    <w:pPr>
      <w:shd w:val="clear" w:color="auto" w:fill="FFFFFF"/>
      <w:spacing w:before="960" w:after="300" w:line="240" w:lineRule="atLeast"/>
      <w:outlineLvl w:val="0"/>
    </w:pPr>
    <w:rPr>
      <w:rFonts w:ascii="宋体" w:hAnsi="Times New Roman" w:eastAsia="宋体" w:cs="Times New Roman"/>
      <w:b/>
      <w:bCs/>
      <w:spacing w:val="-10"/>
      <w:sz w:val="30"/>
      <w:szCs w:val="30"/>
    </w:rPr>
  </w:style>
  <w:style w:type="character" w:customStyle="1" w:styleId="12">
    <w:name w:val="正文文本 (3) + SimHei"/>
    <w:uiPriority w:val="0"/>
    <w:rPr>
      <w:rFonts w:ascii="黑体" w:hAnsi="黑体" w:eastAsia="黑体" w:cs="黑体"/>
      <w:spacing w:val="-10"/>
      <w:sz w:val="32"/>
      <w:szCs w:val="32"/>
    </w:rPr>
  </w:style>
  <w:style w:type="character" w:customStyle="1" w:styleId="13">
    <w:name w:val="正文文本 (2) + SimHei2"/>
    <w:uiPriority w:val="0"/>
    <w:rPr>
      <w:rFonts w:ascii="黑体" w:hAnsi="黑体" w:eastAsia="黑体" w:cs="黑体"/>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15413-A8F5-48B4-95FE-52D097EEB4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88</Words>
  <Characters>502</Characters>
  <Lines>4</Lines>
  <Paragraphs>1</Paragraphs>
  <TotalTime>1015</TotalTime>
  <ScaleCrop>false</ScaleCrop>
  <LinksUpToDate>false</LinksUpToDate>
  <CharactersWithSpaces>589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2019-12-24T06:25:00Z</dcterms:created>
  <dc:creator>yfeifei</dc:creator>
  <cp:lastModifiedBy>Administrator</cp:lastModifiedBy>
  <dcterms:modified xsi:type="dcterms:W3CDTF">2020-08-20T08:23:36Z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