
<file path=[Content_Types].xml><?xml version="1.0" encoding="utf-8"?>
<Types xmlns="http://schemas.openxmlformats.org/package/2006/content-types">
  <Default Extension="xml" ContentType="application/xml"/>
  <Default Extension="jpeg" ContentType="image/jpeg"/>
  <Default Extension="JPG" ContentType="image/.jp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jc w:val="center"/>
        <w:rPr>
          <w:rFonts w:asciiTheme="majorEastAsia" w:hAnsiTheme="majorEastAsia" w:eastAsiaTheme="majorEastAsia" w:cstheme="majorEastAsia"/>
          <w:b/>
          <w:sz w:val="36"/>
        </w:rPr>
      </w:pPr>
    </w:p>
    <w:p>
      <w:pPr>
        <w:spacing w:line="480" w:lineRule="auto"/>
        <w:jc w:val="center"/>
        <w:rPr>
          <w:rFonts w:asciiTheme="majorEastAsia" w:hAnsiTheme="majorEastAsia" w:eastAsiaTheme="majorEastAsia" w:cstheme="majorEastAsia"/>
          <w:b/>
          <w:sz w:val="36"/>
        </w:rPr>
      </w:pPr>
    </w:p>
    <w:p>
      <w:pPr>
        <w:spacing w:line="480" w:lineRule="auto"/>
        <w:jc w:val="center"/>
        <w:rPr>
          <w:rFonts w:asciiTheme="majorEastAsia" w:hAnsiTheme="majorEastAsia" w:eastAsiaTheme="majorEastAsia" w:cstheme="majorEastAsia"/>
          <w:b/>
          <w:sz w:val="36"/>
        </w:rPr>
      </w:pPr>
    </w:p>
    <w:p>
      <w:pPr>
        <w:spacing w:line="480" w:lineRule="auto"/>
        <w:jc w:val="center"/>
        <w:rPr>
          <w:rFonts w:asciiTheme="majorEastAsia" w:hAnsiTheme="majorEastAsia" w:eastAsiaTheme="majorEastAsia" w:cstheme="majorEastAsia"/>
          <w:b/>
          <w:sz w:val="36"/>
        </w:rPr>
      </w:pPr>
    </w:p>
    <w:p>
      <w:pPr>
        <w:widowControl/>
        <w:spacing w:line="480" w:lineRule="auto"/>
        <w:jc w:val="center"/>
        <w:rPr>
          <w:rFonts w:ascii="Arial" w:hAnsi="Arial" w:cs="Arial"/>
          <w:b/>
          <w:bCs/>
          <w:kern w:val="0"/>
          <w:sz w:val="36"/>
          <w:szCs w:val="36"/>
        </w:rPr>
      </w:pPr>
      <w:r>
        <w:rPr>
          <w:rFonts w:ascii="Arial" w:hAnsi="Arial" w:cs="Arial"/>
          <w:b/>
          <w:bCs/>
          <w:kern w:val="0"/>
          <w:sz w:val="36"/>
          <w:szCs w:val="36"/>
        </w:rPr>
        <w:t>2020年中诚信托安康2号集合资金信托计划</w:t>
      </w:r>
    </w:p>
    <w:p>
      <w:pPr>
        <w:widowControl/>
        <w:spacing w:line="480" w:lineRule="auto"/>
        <w:jc w:val="center"/>
        <w:rPr>
          <w:rFonts w:ascii="Arial" w:hAnsi="Arial" w:cs="Arial"/>
          <w:b/>
          <w:bCs/>
          <w:kern w:val="0"/>
          <w:sz w:val="36"/>
          <w:szCs w:val="36"/>
        </w:rPr>
      </w:pPr>
      <w:r>
        <w:rPr>
          <w:rFonts w:ascii="Arial" w:hAnsi="Arial" w:cs="Arial"/>
          <w:b/>
          <w:bCs/>
          <w:kern w:val="0"/>
          <w:sz w:val="36"/>
          <w:szCs w:val="36"/>
        </w:rPr>
        <w:t>2021年5月监管月报</w:t>
      </w:r>
    </w:p>
    <w:p>
      <w:pPr>
        <w:spacing w:line="480" w:lineRule="auto"/>
        <w:jc w:val="left"/>
        <w:rPr>
          <w:rFonts w:ascii="Arial" w:hAnsi="Arial"/>
          <w:b/>
          <w:color w:val="000000"/>
          <w:sz w:val="24"/>
        </w:rPr>
      </w:pPr>
    </w:p>
    <w:p>
      <w:pPr>
        <w:spacing w:line="480" w:lineRule="auto"/>
        <w:jc w:val="left"/>
        <w:rPr>
          <w:rFonts w:ascii="Arial" w:hAnsi="Arial"/>
          <w:b/>
          <w:color w:val="000000"/>
          <w:sz w:val="24"/>
        </w:rPr>
      </w:pPr>
    </w:p>
    <w:p>
      <w:pPr>
        <w:spacing w:line="480" w:lineRule="auto"/>
        <w:jc w:val="left"/>
        <w:rPr>
          <w:rFonts w:ascii="Arial" w:hAnsi="Arial"/>
          <w:b/>
          <w:color w:val="000000"/>
          <w:sz w:val="44"/>
          <w:szCs w:val="44"/>
        </w:rPr>
      </w:pPr>
    </w:p>
    <w:p>
      <w:pPr>
        <w:spacing w:line="480" w:lineRule="auto"/>
        <w:jc w:val="left"/>
        <w:rPr>
          <w:rFonts w:ascii="Arial" w:hAnsi="Arial"/>
          <w:b/>
          <w:color w:val="000000"/>
          <w:sz w:val="24"/>
        </w:rPr>
      </w:pPr>
    </w:p>
    <w:p>
      <w:pPr>
        <w:spacing w:line="480" w:lineRule="auto"/>
        <w:jc w:val="left"/>
        <w:rPr>
          <w:rFonts w:ascii="Arial" w:hAnsi="Arial"/>
          <w:b/>
          <w:color w:val="FF0000"/>
          <w:sz w:val="24"/>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p>
    <w:p>
      <w:pPr>
        <w:spacing w:line="480" w:lineRule="auto"/>
        <w:jc w:val="left"/>
        <w:rPr>
          <w:rFonts w:asciiTheme="minorEastAsia" w:hAnsiTheme="minorEastAsia" w:eastAsiaTheme="minorEastAsia" w:cstheme="minorEastAsia"/>
          <w:b/>
          <w:color w:val="000000"/>
          <w:szCs w:val="21"/>
        </w:rPr>
      </w:pPr>
    </w:p>
    <w:p>
      <w:pPr>
        <w:widowControl/>
        <w:spacing w:line="480" w:lineRule="auto"/>
        <w:jc w:val="left"/>
        <w:rPr>
          <w:rFonts w:ascii="Arial" w:hAnsi="Arial" w:cs="Arial"/>
          <w:b/>
          <w:bCs/>
          <w:kern w:val="0"/>
          <w:szCs w:val="21"/>
        </w:rPr>
      </w:pPr>
      <w:r>
        <w:rPr>
          <w:rFonts w:hint="eastAsia" w:ascii="Arial" w:hAnsi="Arial" w:cs="Arial"/>
          <w:b/>
          <w:bCs/>
          <w:kern w:val="0"/>
          <w:szCs w:val="21"/>
        </w:rPr>
        <w:t>项目名称：中诚信托-成都恒大云锦华庭项目</w:t>
      </w:r>
    </w:p>
    <w:p>
      <w:pPr>
        <w:widowControl/>
        <w:spacing w:line="480" w:lineRule="auto"/>
        <w:jc w:val="left"/>
        <w:rPr>
          <w:rFonts w:ascii="Arial" w:hAnsi="Arial" w:cs="Arial"/>
          <w:b/>
          <w:bCs/>
          <w:kern w:val="0"/>
          <w:szCs w:val="21"/>
        </w:rPr>
      </w:pPr>
      <w:r>
        <w:rPr>
          <w:rFonts w:hint="eastAsia" w:ascii="Arial" w:hAnsi="Arial" w:cs="Arial"/>
          <w:b/>
          <w:bCs/>
          <w:kern w:val="0"/>
          <w:szCs w:val="21"/>
        </w:rPr>
        <w:t>委托方：中诚信托有限责任公司</w:t>
      </w:r>
    </w:p>
    <w:p>
      <w:pPr>
        <w:widowControl/>
        <w:spacing w:line="480" w:lineRule="auto"/>
        <w:jc w:val="left"/>
        <w:rPr>
          <w:rFonts w:ascii="Arial" w:hAnsi="Arial" w:cs="Arial"/>
          <w:b/>
          <w:bCs/>
          <w:kern w:val="0"/>
          <w:szCs w:val="21"/>
        </w:rPr>
      </w:pPr>
      <w:r>
        <w:rPr>
          <w:rFonts w:hint="eastAsia" w:ascii="Arial" w:hAnsi="Arial" w:cs="Arial"/>
          <w:b/>
          <w:bCs/>
          <w:kern w:val="0"/>
          <w:szCs w:val="21"/>
        </w:rPr>
        <w:t>受托方：北京康信君安资产管理有限公司</w:t>
      </w:r>
    </w:p>
    <w:p>
      <w:pPr>
        <w:widowControl/>
        <w:spacing w:line="480" w:lineRule="auto"/>
        <w:jc w:val="left"/>
        <w:rPr>
          <w:rFonts w:ascii="Arial" w:hAnsi="Arial" w:cs="Arial"/>
          <w:b/>
          <w:bCs/>
          <w:kern w:val="0"/>
          <w:szCs w:val="21"/>
        </w:rPr>
      </w:pPr>
      <w:r>
        <w:rPr>
          <w:rFonts w:hint="eastAsia" w:ascii="Arial" w:hAnsi="Arial" w:cs="Arial"/>
          <w:b/>
          <w:bCs/>
          <w:kern w:val="0"/>
          <w:szCs w:val="21"/>
        </w:rPr>
        <w:t>监管人员：张霞</w:t>
      </w:r>
    </w:p>
    <w:p>
      <w:pPr>
        <w:widowControl/>
        <w:spacing w:line="480" w:lineRule="auto"/>
        <w:jc w:val="left"/>
        <w:rPr>
          <w:rFonts w:ascii="Arial" w:hAnsi="Arial" w:cs="Arial"/>
          <w:b/>
          <w:bCs/>
          <w:kern w:val="0"/>
          <w:szCs w:val="21"/>
        </w:rPr>
      </w:pPr>
      <w:r>
        <w:rPr>
          <w:rFonts w:hint="eastAsia" w:ascii="Arial" w:hAnsi="Arial" w:cs="Arial"/>
          <w:b/>
          <w:bCs/>
          <w:kern w:val="0"/>
          <w:szCs w:val="21"/>
        </w:rPr>
        <w:t>月报日期：2</w:t>
      </w:r>
      <w:r>
        <w:rPr>
          <w:rFonts w:ascii="Arial" w:hAnsi="Arial" w:cs="Arial"/>
          <w:b/>
          <w:bCs/>
          <w:kern w:val="0"/>
          <w:szCs w:val="21"/>
        </w:rPr>
        <w:t>021</w:t>
      </w:r>
      <w:r>
        <w:rPr>
          <w:rFonts w:hint="eastAsia" w:ascii="Arial" w:hAnsi="Arial" w:cs="Arial"/>
          <w:b/>
          <w:bCs/>
          <w:kern w:val="0"/>
          <w:szCs w:val="21"/>
        </w:rPr>
        <w:t>年4月1</w:t>
      </w:r>
      <w:r>
        <w:rPr>
          <w:rFonts w:ascii="Arial" w:hAnsi="Arial" w:cs="Arial"/>
          <w:b/>
          <w:bCs/>
          <w:kern w:val="0"/>
          <w:szCs w:val="21"/>
        </w:rPr>
        <w:t>4</w:t>
      </w:r>
      <w:r>
        <w:rPr>
          <w:rFonts w:hint="eastAsia" w:ascii="Arial" w:hAnsi="Arial" w:cs="Arial"/>
          <w:b/>
          <w:bCs/>
          <w:kern w:val="0"/>
          <w:szCs w:val="21"/>
        </w:rPr>
        <w:t>日-</w:t>
      </w:r>
      <w:r>
        <w:rPr>
          <w:rFonts w:ascii="Arial" w:hAnsi="Arial" w:cs="Arial"/>
          <w:b/>
          <w:bCs/>
          <w:kern w:val="0"/>
          <w:szCs w:val="21"/>
        </w:rPr>
        <w:t>2021</w:t>
      </w:r>
      <w:r>
        <w:rPr>
          <w:rFonts w:hint="eastAsia" w:ascii="Arial" w:hAnsi="Arial" w:cs="Arial"/>
          <w:b/>
          <w:bCs/>
          <w:kern w:val="0"/>
          <w:szCs w:val="21"/>
        </w:rPr>
        <w:t>年5月3</w:t>
      </w:r>
      <w:r>
        <w:rPr>
          <w:rFonts w:ascii="Arial" w:hAnsi="Arial" w:cs="Arial"/>
          <w:b/>
          <w:bCs/>
          <w:kern w:val="0"/>
          <w:szCs w:val="21"/>
        </w:rPr>
        <w:t>1</w:t>
      </w:r>
      <w:r>
        <w:rPr>
          <w:rFonts w:hint="eastAsia" w:ascii="Arial" w:hAnsi="Arial" w:cs="Arial"/>
          <w:b/>
          <w:bCs/>
          <w:kern w:val="0"/>
          <w:szCs w:val="21"/>
        </w:rPr>
        <w:t>日</w:t>
      </w:r>
    </w:p>
    <w:p>
      <w:pPr>
        <w:rPr>
          <w:rFonts w:asciiTheme="minorEastAsia" w:hAnsiTheme="minorEastAsia" w:eastAsiaTheme="minorEastAsia" w:cstheme="minorEastAsia"/>
          <w:b/>
          <w:color w:val="000000"/>
          <w:szCs w:val="21"/>
        </w:rPr>
      </w:pPr>
    </w:p>
    <w:p>
      <w:pPr>
        <w:widowControl/>
        <w:jc w:val="left"/>
        <w:rPr>
          <w:rFonts w:asciiTheme="minorEastAsia" w:hAnsiTheme="minorEastAsia" w:eastAsiaTheme="minorEastAsia" w:cstheme="minorEastAsia"/>
          <w:b/>
          <w:color w:val="000000"/>
          <w:szCs w:val="21"/>
        </w:rPr>
      </w:pPr>
    </w:p>
    <w:p>
      <w:pPr>
        <w:widowControl/>
        <w:jc w:val="left"/>
        <w:rPr>
          <w:rFonts w:asciiTheme="minorEastAsia" w:hAnsiTheme="minorEastAsia" w:eastAsiaTheme="minorEastAsia" w:cstheme="minorEastAsia"/>
          <w:b/>
          <w:color w:val="000000"/>
          <w:szCs w:val="21"/>
        </w:rPr>
      </w:pPr>
    </w:p>
    <w:p>
      <w:pPr>
        <w:widowControl/>
        <w:jc w:val="left"/>
        <w:rPr>
          <w:rFonts w:asciiTheme="minorEastAsia" w:hAnsiTheme="minorEastAsia" w:eastAsiaTheme="minorEastAsia" w:cstheme="minorEastAsia"/>
          <w:b/>
          <w:color w:val="000000"/>
          <w:szCs w:val="21"/>
        </w:rPr>
      </w:pPr>
    </w:p>
    <w:sdt>
      <w:sdtPr>
        <w:rPr>
          <w:lang w:val="zh-CN"/>
        </w:rPr>
        <w:id w:val="-1400434363"/>
        <w:docPartObj>
          <w:docPartGallery w:val="Table of Contents"/>
          <w:docPartUnique/>
        </w:docPartObj>
      </w:sdtPr>
      <w:sdtEndPr>
        <w:rPr>
          <w:b/>
          <w:bCs/>
          <w:lang w:val="zh-CN"/>
        </w:rPr>
      </w:sdtEndPr>
      <w:sdtContent>
        <w:p>
          <w:pPr>
            <w:widowControl/>
            <w:spacing w:line="360" w:lineRule="auto"/>
            <w:jc w:val="center"/>
            <w:rPr>
              <w:rFonts w:ascii="宋体" w:hAnsi="宋体" w:cs="宋体"/>
              <w:b/>
              <w:bCs/>
              <w:kern w:val="0"/>
              <w:sz w:val="28"/>
              <w:szCs w:val="28"/>
            </w:rPr>
          </w:pPr>
          <w:r>
            <w:rPr>
              <w:rFonts w:ascii="宋体" w:hAnsi="宋体" w:cs="宋体"/>
              <w:b/>
              <w:bCs/>
              <w:kern w:val="0"/>
              <w:sz w:val="28"/>
              <w:szCs w:val="28"/>
            </w:rPr>
            <w:t>目录</w:t>
          </w:r>
        </w:p>
        <w:p>
          <w:pPr>
            <w:pStyle w:val="11"/>
            <w:rPr>
              <w:rFonts w:ascii="Arial" w:hAnsi="Arial" w:cs="Arial"/>
              <w:szCs w:val="21"/>
            </w:rPr>
          </w:pPr>
          <w:r>
            <w:rPr>
              <w:rFonts w:ascii="Arial" w:hAnsi="Arial" w:cs="Arial"/>
              <w:szCs w:val="21"/>
            </w:rPr>
            <w:fldChar w:fldCharType="begin"/>
          </w:r>
          <w:r>
            <w:rPr>
              <w:rFonts w:ascii="Arial" w:hAnsi="Arial" w:cs="Arial"/>
              <w:szCs w:val="21"/>
            </w:rPr>
            <w:instrText xml:space="preserve"> TOC \o "1-3" \h \z \u </w:instrText>
          </w:r>
          <w:r>
            <w:rPr>
              <w:rFonts w:ascii="Arial" w:hAnsi="Arial" w:cs="Arial"/>
              <w:szCs w:val="21"/>
            </w:rPr>
            <w:fldChar w:fldCharType="separate"/>
          </w:r>
          <w:r>
            <w:fldChar w:fldCharType="begin"/>
          </w:r>
          <w:r>
            <w:instrText xml:space="preserve"> HYPERLINK \l "_Toc73692201" </w:instrText>
          </w:r>
          <w:r>
            <w:fldChar w:fldCharType="separate"/>
          </w:r>
          <w:r>
            <w:rPr>
              <w:rStyle w:val="15"/>
              <w:rFonts w:ascii="Arial" w:hAnsi="Arial" w:cs="Arial"/>
              <w:szCs w:val="21"/>
            </w:rPr>
            <w:t>1项目基本情况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_Toc73692201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"_Toc73692202" </w:instrText>
          </w:r>
          <w:r>
            <w:fldChar w:fldCharType="separate"/>
          </w:r>
          <w:r>
            <w:rPr>
              <w:rStyle w:val="15"/>
              <w:rFonts w:ascii="Arial" w:hAnsi="Arial" w:cs="Arial"/>
              <w:szCs w:val="21"/>
            </w:rPr>
            <w:t>1.1项目情况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_Toc73692202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"_Toc73692203" </w:instrText>
          </w:r>
          <w:r>
            <w:fldChar w:fldCharType="separate"/>
          </w:r>
          <w:r>
            <w:rPr>
              <w:rStyle w:val="15"/>
              <w:rFonts w:ascii="Arial" w:hAnsi="Arial" w:cs="Arial"/>
              <w:szCs w:val="21"/>
            </w:rPr>
            <w:t>1.2项目各项经济指标</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_Toc73692203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"_Toc73692204" </w:instrText>
          </w:r>
          <w:r>
            <w:fldChar w:fldCharType="separate"/>
          </w:r>
          <w:r>
            <w:rPr>
              <w:rStyle w:val="15"/>
              <w:rFonts w:ascii="Arial" w:hAnsi="Arial" w:cs="Arial"/>
              <w:szCs w:val="21"/>
            </w:rPr>
            <w:t>2重大事件披露</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_Toc73692204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"_Toc73692205" </w:instrText>
          </w:r>
          <w:r>
            <w:fldChar w:fldCharType="separate"/>
          </w:r>
          <w:r>
            <w:rPr>
              <w:rStyle w:val="15"/>
              <w:rFonts w:ascii="Arial" w:hAnsi="Arial" w:cs="Arial"/>
              <w:szCs w:val="21"/>
            </w:rPr>
            <w:t>3项目五证办理及施工进度情况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_Toc73692205 \h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"_Toc73692206" </w:instrText>
          </w:r>
          <w:r>
            <w:fldChar w:fldCharType="separate"/>
          </w:r>
          <w:r>
            <w:rPr>
              <w:rStyle w:val="15"/>
              <w:rFonts w:ascii="Arial" w:hAnsi="Arial" w:cs="Arial"/>
              <w:szCs w:val="21"/>
            </w:rPr>
            <w:t>3.1项目五证办理情况说明</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_Toc73692206 \h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"_Toc73692207" </w:instrText>
          </w:r>
          <w:r>
            <w:fldChar w:fldCharType="separate"/>
          </w:r>
          <w:r>
            <w:rPr>
              <w:rStyle w:val="15"/>
              <w:rFonts w:ascii="Arial" w:hAnsi="Arial" w:cs="Arial"/>
              <w:szCs w:val="21"/>
            </w:rPr>
            <w:t>3.2项目施工进度情况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_Toc73692207 \h </w:instrText>
          </w:r>
          <w:r>
            <w:rPr>
              <w:rFonts w:ascii="Arial" w:hAnsi="Arial" w:cs="Arial"/>
              <w:szCs w:val="21"/>
            </w:rPr>
            <w:fldChar w:fldCharType="separate"/>
          </w:r>
          <w:r>
            <w:rPr>
              <w:rFonts w:ascii="Arial" w:hAnsi="Arial" w:cs="Arial"/>
              <w:szCs w:val="21"/>
            </w:rPr>
            <w:t>5</w:t>
          </w:r>
          <w:r>
            <w:rPr>
              <w:rFonts w:ascii="Arial" w:hAnsi="Arial" w:cs="Arial"/>
              <w:szCs w:val="21"/>
            </w:rPr>
            <w:fldChar w:fldCharType="end"/>
          </w:r>
          <w:r>
            <w:rPr>
              <w:rFonts w:ascii="Arial" w:hAnsi="Arial" w:cs="Arial"/>
              <w:szCs w:val="21"/>
            </w:rPr>
            <w:fldChar w:fldCharType="end"/>
          </w:r>
        </w:p>
        <w:p>
          <w:pPr>
            <w:pStyle w:val="11"/>
            <w:rPr>
              <w:rFonts w:ascii="Arial" w:hAnsi="Arial" w:cs="Arial"/>
              <w:szCs w:val="21"/>
            </w:rPr>
          </w:pPr>
          <w:r>
            <w:fldChar w:fldCharType="begin"/>
          </w:r>
          <w:r>
            <w:instrText xml:space="preserve"> HYPERLINK \l "_Toc73692208" </w:instrText>
          </w:r>
          <w:r>
            <w:fldChar w:fldCharType="separate"/>
          </w:r>
          <w:r>
            <w:rPr>
              <w:rStyle w:val="15"/>
              <w:rFonts w:ascii="Arial" w:hAnsi="Arial" w:cs="Arial"/>
              <w:szCs w:val="21"/>
            </w:rPr>
            <w:t>3.3项目施工计划</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_Toc73692208 \h </w:instrText>
          </w:r>
          <w:r>
            <w:rPr>
              <w:rFonts w:ascii="Arial" w:hAnsi="Arial" w:cs="Arial"/>
              <w:szCs w:val="21"/>
            </w:rPr>
            <w:fldChar w:fldCharType="separate"/>
          </w:r>
          <w:r>
            <w:rPr>
              <w:rFonts w:ascii="Arial" w:hAnsi="Arial" w:cs="Arial"/>
              <w:szCs w:val="21"/>
            </w:rPr>
            <w:t>7</w:t>
          </w:r>
          <w:r>
            <w:rPr>
              <w:rFonts w:ascii="Arial" w:hAnsi="Arial" w:cs="Arial"/>
              <w:szCs w:val="21"/>
            </w:rPr>
            <w:fldChar w:fldCharType="end"/>
          </w:r>
          <w:r>
            <w:rPr>
              <w:rFonts w:ascii="Arial" w:hAnsi="Arial" w:cs="Arial"/>
              <w:szCs w:val="21"/>
            </w:rPr>
            <w:fldChar w:fldCharType="end"/>
          </w:r>
        </w:p>
        <w:p>
          <w:pPr>
            <w:pStyle w:val="11"/>
            <w:rPr>
              <w:rFonts w:hint="eastAsia" w:ascii="Arial" w:hAnsi="Arial" w:eastAsia="宋体" w:cs="Arial"/>
              <w:szCs w:val="21"/>
              <w:lang w:eastAsia="zh-CN"/>
            </w:rPr>
          </w:pPr>
          <w:r>
            <w:fldChar w:fldCharType="begin"/>
          </w:r>
          <w:r>
            <w:instrText xml:space="preserve"> HYPERLINK \l "_Toc73692209" </w:instrText>
          </w:r>
          <w:r>
            <w:fldChar w:fldCharType="separate"/>
          </w:r>
          <w:r>
            <w:rPr>
              <w:rStyle w:val="15"/>
              <w:rFonts w:ascii="Arial" w:hAnsi="Arial" w:cs="Arial"/>
              <w:szCs w:val="21"/>
            </w:rPr>
            <w:t>4印鉴使用情况</w:t>
          </w:r>
          <w:r>
            <w:rPr>
              <w:rFonts w:ascii="Arial" w:hAnsi="Arial" w:cs="Arial"/>
              <w:szCs w:val="21"/>
            </w:rPr>
            <w:tab/>
          </w:r>
          <w:r>
            <w:rPr>
              <w:rFonts w:ascii="Arial" w:hAnsi="Arial" w:cs="Arial"/>
              <w:szCs w:val="21"/>
            </w:rPr>
            <w:fldChar w:fldCharType="end"/>
          </w:r>
          <w:r>
            <w:rPr>
              <w:rFonts w:hint="eastAsia" w:ascii="Arial" w:hAnsi="Arial" w:cs="Arial"/>
              <w:szCs w:val="21"/>
              <w:lang w:val="en-US" w:eastAsia="zh-CN"/>
            </w:rPr>
            <w:t>8</w:t>
          </w:r>
        </w:p>
        <w:p>
          <w:pPr>
            <w:pStyle w:val="11"/>
            <w:rPr>
              <w:rFonts w:hint="eastAsia" w:ascii="Arial" w:hAnsi="Arial" w:eastAsia="宋体" w:cs="Arial"/>
              <w:szCs w:val="21"/>
              <w:lang w:eastAsia="zh-CN"/>
            </w:rPr>
          </w:pPr>
          <w:r>
            <w:fldChar w:fldCharType="begin"/>
          </w:r>
          <w:r>
            <w:instrText xml:space="preserve"> HYPERLINK \l "_Toc73692210" </w:instrText>
          </w:r>
          <w:r>
            <w:fldChar w:fldCharType="separate"/>
          </w:r>
          <w:r>
            <w:rPr>
              <w:rStyle w:val="15"/>
              <w:rFonts w:ascii="Arial" w:hAnsi="Arial" w:cs="Arial"/>
              <w:szCs w:val="21"/>
            </w:rPr>
            <w:t>5合同签订情况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_Toc73692210 \h </w:instrText>
          </w:r>
          <w:r>
            <w:rPr>
              <w:rFonts w:ascii="Arial" w:hAnsi="Arial" w:cs="Arial"/>
              <w:szCs w:val="21"/>
            </w:rPr>
            <w:fldChar w:fldCharType="separate"/>
          </w:r>
          <w:r>
            <w:rPr>
              <w:rFonts w:ascii="Arial" w:hAnsi="Arial" w:cs="Arial"/>
              <w:szCs w:val="21"/>
            </w:rPr>
            <w:t>16</w:t>
          </w:r>
          <w:r>
            <w:rPr>
              <w:rFonts w:ascii="Arial" w:hAnsi="Arial" w:cs="Arial"/>
              <w:szCs w:val="21"/>
            </w:rPr>
            <w:fldChar w:fldCharType="end"/>
          </w:r>
          <w:r>
            <w:rPr>
              <w:rFonts w:ascii="Arial" w:hAnsi="Arial" w:cs="Arial"/>
              <w:szCs w:val="21"/>
            </w:rPr>
            <w:fldChar w:fldCharType="end"/>
          </w:r>
        </w:p>
        <w:p>
          <w:pPr>
            <w:pStyle w:val="11"/>
            <w:rPr>
              <w:rFonts w:hint="eastAsia" w:ascii="Arial" w:hAnsi="Arial" w:eastAsia="宋体" w:cs="Arial"/>
              <w:szCs w:val="21"/>
              <w:lang w:eastAsia="zh-CN"/>
            </w:rPr>
          </w:pPr>
          <w:r>
            <w:fldChar w:fldCharType="begin"/>
          </w:r>
          <w:r>
            <w:instrText xml:space="preserve"> HYPERLINK \l "_Toc73692211" </w:instrText>
          </w:r>
          <w:r>
            <w:fldChar w:fldCharType="separate"/>
          </w:r>
          <w:r>
            <w:rPr>
              <w:rStyle w:val="15"/>
              <w:rFonts w:ascii="Arial" w:hAnsi="Arial" w:cs="Arial"/>
              <w:kern w:val="44"/>
              <w:szCs w:val="21"/>
            </w:rPr>
            <w:t>6项目销售情况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_Toc73692211 \h </w:instrText>
          </w:r>
          <w:r>
            <w:rPr>
              <w:rFonts w:ascii="Arial" w:hAnsi="Arial" w:cs="Arial"/>
              <w:szCs w:val="21"/>
            </w:rPr>
            <w:fldChar w:fldCharType="separate"/>
          </w:r>
          <w:r>
            <w:rPr>
              <w:rFonts w:ascii="Arial" w:hAnsi="Arial" w:cs="Arial"/>
              <w:szCs w:val="21"/>
            </w:rPr>
            <w:t>2</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7</w:t>
          </w:r>
        </w:p>
        <w:p>
          <w:pPr>
            <w:pStyle w:val="11"/>
            <w:rPr>
              <w:rFonts w:hint="eastAsia" w:ascii="Arial" w:hAnsi="Arial" w:eastAsia="宋体" w:cs="Arial"/>
              <w:szCs w:val="21"/>
              <w:lang w:eastAsia="zh-CN"/>
            </w:rPr>
          </w:pPr>
          <w:r>
            <w:fldChar w:fldCharType="begin"/>
          </w:r>
          <w:r>
            <w:instrText xml:space="preserve"> HYPERLINK \l "_Toc73692212" </w:instrText>
          </w:r>
          <w:r>
            <w:fldChar w:fldCharType="separate"/>
          </w:r>
          <w:r>
            <w:rPr>
              <w:rStyle w:val="15"/>
              <w:rFonts w:ascii="Arial" w:hAnsi="Arial" w:cs="Arial"/>
              <w:kern w:val="44"/>
              <w:szCs w:val="21"/>
            </w:rPr>
            <w:t>6.1当地预售政策、限购政策描述</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_Toc73692212 \h </w:instrText>
          </w:r>
          <w:r>
            <w:rPr>
              <w:rFonts w:ascii="Arial" w:hAnsi="Arial" w:cs="Arial"/>
              <w:szCs w:val="21"/>
            </w:rPr>
            <w:fldChar w:fldCharType="separate"/>
          </w:r>
          <w:r>
            <w:rPr>
              <w:rFonts w:ascii="Arial" w:hAnsi="Arial" w:cs="Arial"/>
              <w:szCs w:val="21"/>
            </w:rPr>
            <w:t>2</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7</w:t>
          </w:r>
        </w:p>
        <w:p>
          <w:pPr>
            <w:pStyle w:val="11"/>
            <w:rPr>
              <w:rFonts w:hint="eastAsia" w:ascii="Arial" w:hAnsi="Arial" w:eastAsia="宋体" w:cs="Arial"/>
              <w:szCs w:val="21"/>
              <w:lang w:eastAsia="zh-CN"/>
            </w:rPr>
          </w:pPr>
          <w:r>
            <w:fldChar w:fldCharType="begin"/>
          </w:r>
          <w:r>
            <w:instrText xml:space="preserve"> HYPERLINK \l "_Toc73692213" </w:instrText>
          </w:r>
          <w:r>
            <w:fldChar w:fldCharType="separate"/>
          </w:r>
          <w:r>
            <w:rPr>
              <w:rStyle w:val="15"/>
              <w:rFonts w:ascii="Arial" w:hAnsi="Arial" w:cs="Arial"/>
              <w:szCs w:val="21"/>
            </w:rPr>
            <w:t>6.2周边竞品楼盘情况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_Toc73692213 \h </w:instrText>
          </w:r>
          <w:r>
            <w:rPr>
              <w:rFonts w:ascii="Arial" w:hAnsi="Arial" w:cs="Arial"/>
              <w:szCs w:val="21"/>
            </w:rPr>
            <w:fldChar w:fldCharType="separate"/>
          </w:r>
          <w:r>
            <w:rPr>
              <w:rFonts w:ascii="Arial" w:hAnsi="Arial" w:cs="Arial"/>
              <w:szCs w:val="21"/>
            </w:rPr>
            <w:t>2</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7</w:t>
          </w:r>
        </w:p>
        <w:p>
          <w:pPr>
            <w:pStyle w:val="11"/>
            <w:rPr>
              <w:rFonts w:hint="eastAsia" w:ascii="Arial" w:hAnsi="Arial" w:eastAsia="宋体" w:cs="Arial"/>
              <w:szCs w:val="21"/>
              <w:lang w:eastAsia="zh-CN"/>
            </w:rPr>
          </w:pPr>
          <w:r>
            <w:fldChar w:fldCharType="begin"/>
          </w:r>
          <w:r>
            <w:instrText xml:space="preserve"> HYPERLINK \l "_Toc73692214" </w:instrText>
          </w:r>
          <w:r>
            <w:fldChar w:fldCharType="separate"/>
          </w:r>
          <w:r>
            <w:rPr>
              <w:rStyle w:val="15"/>
              <w:rFonts w:ascii="Arial" w:hAnsi="Arial" w:cs="Arial"/>
              <w:kern w:val="44"/>
              <w:szCs w:val="21"/>
            </w:rPr>
            <w:t>6.3项目推盘计划</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_Toc73692214 \h </w:instrText>
          </w:r>
          <w:r>
            <w:rPr>
              <w:rFonts w:ascii="Arial" w:hAnsi="Arial" w:cs="Arial"/>
              <w:szCs w:val="21"/>
            </w:rPr>
            <w:fldChar w:fldCharType="separate"/>
          </w:r>
          <w:r>
            <w:rPr>
              <w:rFonts w:ascii="Arial" w:hAnsi="Arial" w:cs="Arial"/>
              <w:szCs w:val="21"/>
            </w:rPr>
            <w:t>2</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7</w:t>
          </w:r>
        </w:p>
        <w:p>
          <w:pPr>
            <w:pStyle w:val="11"/>
            <w:rPr>
              <w:rFonts w:hint="eastAsia" w:ascii="Arial" w:hAnsi="Arial" w:eastAsia="宋体" w:cs="Arial"/>
              <w:szCs w:val="21"/>
              <w:lang w:eastAsia="zh-CN"/>
            </w:rPr>
          </w:pPr>
          <w:r>
            <w:fldChar w:fldCharType="begin"/>
          </w:r>
          <w:r>
            <w:instrText xml:space="preserve"> HYPERLINK \l "_Toc73692215" </w:instrText>
          </w:r>
          <w:r>
            <w:fldChar w:fldCharType="separate"/>
          </w:r>
          <w:r>
            <w:rPr>
              <w:rStyle w:val="15"/>
              <w:rFonts w:ascii="Arial" w:hAnsi="Arial" w:cs="Arial"/>
              <w:kern w:val="44"/>
              <w:szCs w:val="21"/>
            </w:rPr>
            <w:t>6.4项目销售及回款情况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_Toc73692215 \h </w:instrText>
          </w:r>
          <w:r>
            <w:rPr>
              <w:rFonts w:ascii="Arial" w:hAnsi="Arial" w:cs="Arial"/>
              <w:szCs w:val="21"/>
            </w:rPr>
            <w:fldChar w:fldCharType="separate"/>
          </w:r>
          <w:r>
            <w:rPr>
              <w:rFonts w:ascii="Arial" w:hAnsi="Arial" w:cs="Arial"/>
              <w:szCs w:val="21"/>
            </w:rPr>
            <w:t>2</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8</w:t>
          </w:r>
        </w:p>
        <w:p>
          <w:pPr>
            <w:pStyle w:val="11"/>
            <w:rPr>
              <w:rFonts w:hint="eastAsia" w:ascii="Arial" w:hAnsi="Arial" w:eastAsia="宋体" w:cs="Arial"/>
              <w:szCs w:val="21"/>
              <w:lang w:eastAsia="zh-CN"/>
            </w:rPr>
          </w:pPr>
          <w:r>
            <w:fldChar w:fldCharType="begin"/>
          </w:r>
          <w:r>
            <w:instrText xml:space="preserve"> HYPERLINK \l "_Toc73692216" </w:instrText>
          </w:r>
          <w:r>
            <w:fldChar w:fldCharType="separate"/>
          </w:r>
          <w:r>
            <w:rPr>
              <w:rStyle w:val="15"/>
              <w:rFonts w:ascii="Arial" w:hAnsi="Arial" w:cs="Arial"/>
              <w:szCs w:val="21"/>
            </w:rPr>
            <w:t>7资金情况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_Toc73692216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0</w:t>
          </w:r>
        </w:p>
        <w:p>
          <w:pPr>
            <w:pStyle w:val="11"/>
            <w:rPr>
              <w:rFonts w:hint="eastAsia" w:ascii="Arial" w:hAnsi="Arial" w:eastAsia="宋体" w:cs="Arial"/>
              <w:szCs w:val="21"/>
              <w:lang w:eastAsia="zh-CN"/>
            </w:rPr>
          </w:pPr>
          <w:r>
            <w:fldChar w:fldCharType="begin"/>
          </w:r>
          <w:r>
            <w:instrText xml:space="preserve"> HYPERLINK \l "_Toc73692217" </w:instrText>
          </w:r>
          <w:r>
            <w:fldChar w:fldCharType="separate"/>
          </w:r>
          <w:r>
            <w:rPr>
              <w:rStyle w:val="15"/>
              <w:rFonts w:ascii="Arial" w:hAnsi="Arial" w:cs="Arial"/>
              <w:szCs w:val="21"/>
            </w:rPr>
            <w:t>7.1资金流入情况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_Toc73692217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0</w:t>
          </w:r>
        </w:p>
        <w:p>
          <w:pPr>
            <w:pStyle w:val="11"/>
            <w:rPr>
              <w:rFonts w:hint="eastAsia" w:ascii="Arial" w:hAnsi="Arial" w:eastAsia="宋体" w:cs="Arial"/>
              <w:szCs w:val="21"/>
              <w:lang w:eastAsia="zh-CN"/>
            </w:rPr>
          </w:pPr>
          <w:r>
            <w:fldChar w:fldCharType="begin"/>
          </w:r>
          <w:r>
            <w:instrText xml:space="preserve"> HYPERLINK \l "_Toc73692218" </w:instrText>
          </w:r>
          <w:r>
            <w:fldChar w:fldCharType="separate"/>
          </w:r>
          <w:r>
            <w:rPr>
              <w:rStyle w:val="15"/>
              <w:rFonts w:ascii="Arial" w:hAnsi="Arial" w:cs="Arial"/>
              <w:szCs w:val="21"/>
            </w:rPr>
            <w:t>7.2资金流出情况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_Toc73692218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1</w:t>
          </w:r>
        </w:p>
        <w:p>
          <w:pPr>
            <w:pStyle w:val="11"/>
            <w:rPr>
              <w:rFonts w:hint="eastAsia" w:ascii="Arial" w:hAnsi="Arial" w:eastAsia="宋体" w:cs="Arial"/>
              <w:szCs w:val="21"/>
              <w:lang w:eastAsia="zh-CN"/>
            </w:rPr>
          </w:pPr>
          <w:r>
            <w:fldChar w:fldCharType="begin"/>
          </w:r>
          <w:r>
            <w:instrText xml:space="preserve"> HYPERLINK \l "_Toc73692219" </w:instrText>
          </w:r>
          <w:r>
            <w:fldChar w:fldCharType="separate"/>
          </w:r>
          <w:r>
            <w:rPr>
              <w:rStyle w:val="15"/>
              <w:rFonts w:ascii="Arial" w:hAnsi="Arial" w:cs="Arial"/>
              <w:szCs w:val="21"/>
            </w:rPr>
            <w:t>7.3资金余额</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_Toc73692219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7</w:t>
          </w:r>
        </w:p>
        <w:p>
          <w:pPr>
            <w:pStyle w:val="11"/>
            <w:rPr>
              <w:rFonts w:hint="eastAsia" w:ascii="Arial" w:hAnsi="Arial" w:eastAsia="宋体" w:cs="Arial"/>
              <w:szCs w:val="21"/>
              <w:lang w:eastAsia="zh-CN"/>
            </w:rPr>
          </w:pPr>
          <w:r>
            <w:fldChar w:fldCharType="begin"/>
          </w:r>
          <w:r>
            <w:instrText xml:space="preserve"> HYPERLINK \l "_Toc73692220" </w:instrText>
          </w:r>
          <w:r>
            <w:fldChar w:fldCharType="separate"/>
          </w:r>
          <w:r>
            <w:rPr>
              <w:rStyle w:val="15"/>
              <w:rFonts w:ascii="Arial" w:hAnsi="Arial" w:cs="Arial"/>
              <w:szCs w:val="21"/>
            </w:rPr>
            <w:t>8项目成本执行情况</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_Toc73692220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7</w:t>
          </w:r>
        </w:p>
        <w:p>
          <w:pPr>
            <w:pStyle w:val="11"/>
            <w:rPr>
              <w:rFonts w:hint="eastAsia" w:ascii="Arial" w:hAnsi="Arial" w:eastAsia="宋体" w:cs="Arial"/>
              <w:szCs w:val="21"/>
              <w:lang w:eastAsia="zh-CN"/>
            </w:rPr>
          </w:pPr>
          <w:r>
            <w:fldChar w:fldCharType="begin"/>
          </w:r>
          <w:r>
            <w:instrText xml:space="preserve"> HYPERLINK \l "_Toc73692221" </w:instrText>
          </w:r>
          <w:r>
            <w:fldChar w:fldCharType="separate"/>
          </w:r>
          <w:r>
            <w:rPr>
              <w:rStyle w:val="15"/>
              <w:rFonts w:ascii="Arial" w:hAnsi="Arial" w:cs="Arial"/>
              <w:szCs w:val="21"/>
            </w:rPr>
            <w:t>附件</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_Toc73692221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8</w:t>
          </w:r>
        </w:p>
        <w:p>
          <w:pPr>
            <w:pStyle w:val="11"/>
            <w:rPr>
              <w:rFonts w:hint="eastAsia" w:ascii="Arial" w:hAnsi="Arial" w:eastAsia="宋体" w:cs="Arial"/>
              <w:szCs w:val="21"/>
              <w:lang w:eastAsia="zh-CN"/>
            </w:rPr>
          </w:pPr>
          <w:r>
            <w:fldChar w:fldCharType="begin"/>
          </w:r>
          <w:r>
            <w:instrText xml:space="preserve"> HYPERLINK \l "_Toc73692222" </w:instrText>
          </w:r>
          <w:r>
            <w:fldChar w:fldCharType="separate"/>
          </w:r>
          <w:r>
            <w:rPr>
              <w:rStyle w:val="15"/>
              <w:rFonts w:ascii="Arial" w:hAnsi="Arial" w:cs="Arial"/>
              <w:szCs w:val="21"/>
            </w:rPr>
            <w:t>附件一 银行对账单</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_Toc73692222 \h </w:instrText>
          </w:r>
          <w:r>
            <w:rPr>
              <w:rFonts w:ascii="Arial" w:hAnsi="Arial" w:cs="Arial"/>
              <w:szCs w:val="21"/>
            </w:rPr>
            <w:fldChar w:fldCharType="separate"/>
          </w:r>
          <w:r>
            <w:rPr>
              <w:rFonts w:ascii="Arial" w:hAnsi="Arial" w:cs="Arial"/>
              <w:szCs w:val="21"/>
            </w:rPr>
            <w:t>3</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8</w:t>
          </w:r>
        </w:p>
        <w:p>
          <w:pPr>
            <w:pStyle w:val="11"/>
            <w:rPr>
              <w:rFonts w:hint="eastAsia" w:ascii="Arial" w:hAnsi="Arial" w:eastAsia="宋体" w:cs="Arial"/>
              <w:szCs w:val="21"/>
              <w:lang w:eastAsia="zh-CN"/>
            </w:rPr>
          </w:pPr>
          <w:r>
            <w:fldChar w:fldCharType="begin"/>
          </w:r>
          <w:r>
            <w:instrText xml:space="preserve"> HYPERLINK \l "_Toc73692223" </w:instrText>
          </w:r>
          <w:r>
            <w:fldChar w:fldCharType="separate"/>
          </w:r>
          <w:r>
            <w:rPr>
              <w:rStyle w:val="15"/>
              <w:rFonts w:ascii="Arial" w:hAnsi="Arial" w:cs="Arial"/>
              <w:szCs w:val="21"/>
            </w:rPr>
            <w:t>附件二 印章使用纸质版台账</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_Toc73692223 \h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1</w:t>
          </w:r>
        </w:p>
        <w:p>
          <w:pPr>
            <w:pStyle w:val="11"/>
            <w:rPr>
              <w:rFonts w:hint="eastAsia" w:eastAsia="宋体" w:asciiTheme="minorHAnsi" w:hAnsiTheme="minorHAnsi" w:cstheme="minorBidi"/>
              <w:szCs w:val="22"/>
              <w:lang w:eastAsia="zh-CN"/>
            </w:rPr>
          </w:pPr>
          <w:r>
            <w:fldChar w:fldCharType="begin"/>
          </w:r>
          <w:r>
            <w:instrText xml:space="preserve"> HYPERLINK \l "_Toc73692224" </w:instrText>
          </w:r>
          <w:r>
            <w:fldChar w:fldCharType="separate"/>
          </w:r>
          <w:r>
            <w:rPr>
              <w:rStyle w:val="15"/>
              <w:rFonts w:ascii="Arial" w:hAnsi="Arial" w:cs="Arial"/>
              <w:szCs w:val="21"/>
            </w:rPr>
            <w:t>附件三 共管资料移交清单</w:t>
          </w:r>
          <w:r>
            <w:rPr>
              <w:rFonts w:ascii="Arial" w:hAnsi="Arial" w:cs="Arial"/>
              <w:szCs w:val="21"/>
            </w:rPr>
            <w:tab/>
          </w:r>
          <w:r>
            <w:rPr>
              <w:rFonts w:ascii="Arial" w:hAnsi="Arial" w:cs="Arial"/>
              <w:szCs w:val="21"/>
            </w:rPr>
            <w:fldChar w:fldCharType="begin"/>
          </w:r>
          <w:r>
            <w:rPr>
              <w:rFonts w:ascii="Arial" w:hAnsi="Arial" w:cs="Arial"/>
              <w:szCs w:val="21"/>
            </w:rPr>
            <w:instrText xml:space="preserve"> PAGEREF _Toc73692224 \h </w:instrText>
          </w:r>
          <w:r>
            <w:rPr>
              <w:rFonts w:ascii="Arial" w:hAnsi="Arial" w:cs="Arial"/>
              <w:szCs w:val="21"/>
            </w:rPr>
            <w:fldChar w:fldCharType="separate"/>
          </w:r>
          <w:r>
            <w:rPr>
              <w:rFonts w:ascii="Arial" w:hAnsi="Arial" w:cs="Arial"/>
              <w:szCs w:val="21"/>
            </w:rPr>
            <w:t>4</w:t>
          </w:r>
          <w:r>
            <w:rPr>
              <w:rFonts w:ascii="Arial" w:hAnsi="Arial" w:cs="Arial"/>
              <w:szCs w:val="21"/>
            </w:rPr>
            <w:fldChar w:fldCharType="end"/>
          </w:r>
          <w:r>
            <w:rPr>
              <w:rFonts w:ascii="Arial" w:hAnsi="Arial" w:cs="Arial"/>
              <w:szCs w:val="21"/>
            </w:rPr>
            <w:fldChar w:fldCharType="end"/>
          </w:r>
          <w:r>
            <w:rPr>
              <w:rFonts w:hint="eastAsia" w:ascii="Arial" w:hAnsi="Arial" w:cs="Arial"/>
              <w:szCs w:val="21"/>
              <w:lang w:val="en-US" w:eastAsia="zh-CN"/>
            </w:rPr>
            <w:t>5</w:t>
          </w:r>
        </w:p>
        <w:p>
          <w:pPr>
            <w:spacing w:line="360" w:lineRule="auto"/>
            <w:jc w:val="center"/>
          </w:pPr>
          <w:r>
            <w:rPr>
              <w:rFonts w:ascii="Arial" w:hAnsi="Arial" w:cs="Arial"/>
              <w:szCs w:val="21"/>
              <w:lang w:val="zh-CN"/>
            </w:rPr>
            <w:fldChar w:fldCharType="end"/>
          </w:r>
        </w:p>
      </w:sdtContent>
    </w:sdt>
    <w:p>
      <w:pPr>
        <w:widowControl/>
        <w:spacing w:line="360" w:lineRule="auto"/>
        <w:ind w:firstLine="420" w:firstLineChars="200"/>
        <w:jc w:val="left"/>
        <w:rPr>
          <w:rFonts w:ascii="Arial" w:hAnsi="Arial" w:cs="Arial"/>
          <w:bCs/>
          <w:kern w:val="44"/>
          <w:szCs w:val="21"/>
        </w:rPr>
      </w:pPr>
    </w:p>
    <w:p>
      <w:pPr>
        <w:widowControl/>
        <w:spacing w:line="360" w:lineRule="auto"/>
        <w:ind w:firstLine="420" w:firstLineChars="200"/>
        <w:jc w:val="left"/>
        <w:rPr>
          <w:rFonts w:ascii="Arial" w:hAnsi="Arial" w:cs="Arial"/>
          <w:bCs/>
          <w:kern w:val="44"/>
          <w:szCs w:val="21"/>
        </w:rPr>
      </w:pPr>
    </w:p>
    <w:p>
      <w:pPr>
        <w:widowControl/>
        <w:spacing w:line="360" w:lineRule="auto"/>
        <w:ind w:firstLine="420" w:firstLineChars="200"/>
        <w:jc w:val="left"/>
        <w:rPr>
          <w:rFonts w:ascii="Arial" w:hAnsi="Arial" w:cs="Arial"/>
          <w:bCs/>
          <w:kern w:val="44"/>
          <w:szCs w:val="21"/>
        </w:rPr>
      </w:pP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为了方便阅读之目的，本报告中将部分名称简写为：</w:t>
      </w: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·项目公司：成都青凌亘心房地产开发有限责任公司</w:t>
      </w: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·中诚信托：中诚信托有限责任公司</w:t>
      </w:r>
    </w:p>
    <w:p>
      <w:pPr>
        <w:widowControl/>
        <w:spacing w:line="360" w:lineRule="auto"/>
        <w:ind w:firstLine="420" w:firstLineChars="200"/>
        <w:jc w:val="left"/>
        <w:rPr>
          <w:rFonts w:ascii="Arial" w:hAnsi="Arial" w:cs="Arial"/>
          <w:bCs/>
          <w:kern w:val="44"/>
          <w:szCs w:val="21"/>
        </w:rPr>
      </w:pPr>
      <w:r>
        <w:rPr>
          <w:rFonts w:hint="eastAsia" w:ascii="Arial" w:hAnsi="Arial" w:cs="Arial"/>
          <w:bCs/>
          <w:kern w:val="44"/>
          <w:szCs w:val="21"/>
        </w:rPr>
        <w:t>·康信：北京康信君安资产管理有限公司</w:t>
      </w:r>
    </w:p>
    <w:p>
      <w:pPr>
        <w:widowControl/>
        <w:spacing w:before="300" w:after="300" w:line="360" w:lineRule="exact"/>
        <w:jc w:val="left"/>
        <w:outlineLvl w:val="1"/>
        <w:rPr>
          <w:rFonts w:ascii="Arial" w:hAnsi="Arial" w:cs="Arial"/>
          <w:b/>
          <w:bCs/>
          <w:sz w:val="24"/>
        </w:rPr>
      </w:pPr>
      <w:bookmarkStart w:id="0" w:name="_Toc12448"/>
      <w:bookmarkStart w:id="1" w:name="_Toc3311"/>
      <w:bookmarkStart w:id="2" w:name="_Toc73692201"/>
      <w:r>
        <w:rPr>
          <w:rFonts w:hint="eastAsia" w:ascii="Arial" w:hAnsi="Arial" w:cs="Arial"/>
          <w:b/>
          <w:bCs/>
          <w:sz w:val="24"/>
        </w:rPr>
        <w:t>1项目基本情况</w:t>
      </w:r>
      <w:bookmarkEnd w:id="0"/>
      <w:bookmarkEnd w:id="1"/>
      <w:bookmarkEnd w:id="2"/>
    </w:p>
    <w:p>
      <w:pPr>
        <w:widowControl/>
        <w:spacing w:before="300" w:after="300" w:line="360" w:lineRule="exact"/>
        <w:jc w:val="left"/>
        <w:outlineLvl w:val="1"/>
        <w:rPr>
          <w:rFonts w:ascii="Arial" w:hAnsi="Arial" w:cs="Arial"/>
          <w:b/>
          <w:bCs/>
          <w:sz w:val="24"/>
        </w:rPr>
      </w:pPr>
      <w:bookmarkStart w:id="3" w:name="_Toc73692202"/>
      <w:r>
        <w:rPr>
          <w:rFonts w:hint="eastAsia" w:ascii="Arial" w:hAnsi="Arial" w:cs="Arial"/>
          <w:b/>
          <w:bCs/>
          <w:sz w:val="24"/>
        </w:rPr>
        <w:t>1</w:t>
      </w:r>
      <w:r>
        <w:rPr>
          <w:rFonts w:ascii="Arial" w:hAnsi="Arial" w:cs="Arial"/>
          <w:b/>
          <w:bCs/>
          <w:sz w:val="24"/>
        </w:rPr>
        <w:t>.1</w:t>
      </w:r>
      <w:r>
        <w:rPr>
          <w:rFonts w:hint="eastAsia" w:ascii="Arial" w:hAnsi="Arial" w:cs="Arial"/>
          <w:b/>
          <w:bCs/>
          <w:sz w:val="24"/>
        </w:rPr>
        <w:t>项目情况</w:t>
      </w:r>
      <w:bookmarkEnd w:id="3"/>
    </w:p>
    <w:p>
      <w:pPr>
        <w:spacing w:line="480" w:lineRule="auto"/>
        <w:ind w:firstLine="420" w:firstLineChars="200"/>
        <w:rPr>
          <w:rFonts w:ascii="Arial" w:hAnsi="Arial" w:cs="Arial"/>
          <w:bCs/>
          <w:kern w:val="44"/>
          <w:szCs w:val="21"/>
        </w:rPr>
      </w:pPr>
      <w:r>
        <w:rPr>
          <w:rFonts w:ascii="Arial" w:hAnsi="Arial" w:cs="Arial"/>
          <w:bCs/>
          <w:kern w:val="44"/>
          <w:szCs w:val="21"/>
        </w:rPr>
        <w:t>成都恒大云锦华庭首期主体及配套建设工程位于四川省成都市青白江区，西侧为凤凰东四路，南侧为正在市政施工的大同路，东侧为在建市政道路，北侧为项目规划二期场地。项目总建筑面积约36.46万㎡，首期建筑面积约25.4万㎡（地上建筑面积184614.26㎡，地下建筑面积69397.50㎡）。主要包括8栋高层（1-8#楼）、6栋商业楼（17、18、19、20、21、23#楼）、1栋综合楼（22#楼）、大门、地下室。</w:t>
      </w:r>
    </w:p>
    <w:p>
      <w:pPr>
        <w:spacing w:line="480" w:lineRule="auto"/>
        <w:ind w:firstLine="420" w:firstLineChars="200"/>
        <w:rPr>
          <w:rFonts w:ascii="Arial" w:hAnsi="Arial" w:cs="Arial"/>
          <w:bCs/>
          <w:kern w:val="44"/>
          <w:szCs w:val="21"/>
        </w:rPr>
      </w:pPr>
      <w:r>
        <w:rPr>
          <w:rFonts w:ascii="Arial" w:hAnsi="Arial" w:cs="Arial"/>
          <w:bCs/>
          <w:kern w:val="44"/>
          <w:szCs w:val="21"/>
        </w:rPr>
        <w:t>施工总承包：中铁二局集团有限公司</w:t>
      </w:r>
    </w:p>
    <w:p>
      <w:pPr>
        <w:spacing w:line="480" w:lineRule="auto"/>
        <w:ind w:firstLine="420" w:firstLineChars="200"/>
        <w:rPr>
          <w:rFonts w:ascii="Arial" w:hAnsi="Arial" w:cs="Arial"/>
          <w:bCs/>
          <w:kern w:val="44"/>
          <w:szCs w:val="21"/>
        </w:rPr>
      </w:pPr>
      <w:r>
        <w:rPr>
          <w:rFonts w:ascii="Arial" w:hAnsi="Arial" w:cs="Arial"/>
          <w:bCs/>
          <w:kern w:val="44"/>
          <w:szCs w:val="21"/>
        </w:rPr>
        <w:t>监理单位：广州市恒合工程监理有限公司</w:t>
      </w:r>
    </w:p>
    <w:p>
      <w:pPr>
        <w:widowControl/>
        <w:spacing w:before="300" w:after="300" w:line="360" w:lineRule="exact"/>
        <w:jc w:val="left"/>
        <w:outlineLvl w:val="1"/>
        <w:rPr>
          <w:rFonts w:ascii="Arial" w:hAnsi="Arial" w:cs="Arial"/>
          <w:b/>
          <w:bCs/>
          <w:sz w:val="24"/>
        </w:rPr>
      </w:pPr>
      <w:bookmarkStart w:id="4" w:name="_Toc73692203"/>
      <w:r>
        <w:rPr>
          <w:rFonts w:hint="eastAsia" w:ascii="Arial" w:hAnsi="Arial" w:cs="Arial"/>
          <w:b/>
          <w:bCs/>
          <w:sz w:val="24"/>
        </w:rPr>
        <w:t>1</w:t>
      </w:r>
      <w:r>
        <w:rPr>
          <w:rFonts w:ascii="Arial" w:hAnsi="Arial" w:cs="Arial"/>
          <w:b/>
          <w:bCs/>
          <w:sz w:val="24"/>
        </w:rPr>
        <w:t>.2项目各项经济指标</w:t>
      </w:r>
      <w:bookmarkEnd w:id="4"/>
    </w:p>
    <w:tbl>
      <w:tblPr>
        <w:tblStyle w:val="13"/>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20"/>
        <w:gridCol w:w="1167"/>
        <w:gridCol w:w="1298"/>
        <w:gridCol w:w="1165"/>
        <w:gridCol w:w="1165"/>
        <w:gridCol w:w="1297"/>
        <w:gridCol w:w="1167"/>
        <w:gridCol w:w="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366" w:type="pct"/>
            <w:vMerge w:val="restar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668" w:type="pct"/>
            <w:vMerge w:val="restar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单位工程</w:t>
            </w:r>
          </w:p>
        </w:tc>
        <w:tc>
          <w:tcPr>
            <w:tcW w:w="764"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用地面积</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建筑面积</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计容面积</w:t>
            </w:r>
          </w:p>
        </w:tc>
        <w:tc>
          <w:tcPr>
            <w:tcW w:w="763"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可售面积</w:t>
            </w:r>
          </w:p>
        </w:tc>
        <w:tc>
          <w:tcPr>
            <w:tcW w:w="687"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总货值</w:t>
            </w:r>
          </w:p>
        </w:tc>
        <w:tc>
          <w:tcPr>
            <w:tcW w:w="379" w:type="pct"/>
            <w:vMerge w:val="restar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366" w:type="pct"/>
            <w:vMerge w:val="continue"/>
            <w:vAlign w:val="center"/>
          </w:tcPr>
          <w:p>
            <w:pPr>
              <w:widowControl/>
              <w:jc w:val="center"/>
              <w:rPr>
                <w:rFonts w:ascii="Arial" w:hAnsi="Arial" w:cs="Arial"/>
                <w:b/>
                <w:bCs/>
                <w:color w:val="000000"/>
                <w:kern w:val="0"/>
                <w:sz w:val="18"/>
                <w:szCs w:val="18"/>
              </w:rPr>
            </w:pPr>
          </w:p>
        </w:tc>
        <w:tc>
          <w:tcPr>
            <w:tcW w:w="668" w:type="pct"/>
            <w:vMerge w:val="continue"/>
            <w:vAlign w:val="center"/>
          </w:tcPr>
          <w:p>
            <w:pPr>
              <w:widowControl/>
              <w:jc w:val="center"/>
              <w:rPr>
                <w:rFonts w:ascii="Arial" w:hAnsi="Arial" w:cs="Arial"/>
                <w:b/>
                <w:bCs/>
                <w:color w:val="000000"/>
                <w:kern w:val="0"/>
                <w:sz w:val="18"/>
                <w:szCs w:val="18"/>
              </w:rPr>
            </w:pPr>
          </w:p>
        </w:tc>
        <w:tc>
          <w:tcPr>
            <w:tcW w:w="764"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6"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763"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（万平米）</w:t>
            </w:r>
          </w:p>
        </w:tc>
        <w:tc>
          <w:tcPr>
            <w:tcW w:w="687"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（亿元）</w:t>
            </w:r>
          </w:p>
        </w:tc>
        <w:tc>
          <w:tcPr>
            <w:tcW w:w="379" w:type="pct"/>
            <w:vMerge w:val="continue"/>
            <w:vAlign w:val="center"/>
          </w:tcPr>
          <w:p>
            <w:pPr>
              <w:widowControl/>
              <w:jc w:val="center"/>
              <w:rPr>
                <w:rFonts w:ascii="Arial" w:hAnsi="Arial" w:cs="Arial"/>
                <w:b/>
                <w:bCs/>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668" w:type="pct"/>
            <w:shd w:val="clear" w:color="auto" w:fill="auto"/>
            <w:vAlign w:val="center"/>
          </w:tcPr>
          <w:p>
            <w:pPr>
              <w:widowControl/>
              <w:ind w:firstLine="180" w:firstLineChars="100"/>
              <w:jc w:val="center"/>
              <w:rPr>
                <w:rFonts w:ascii="Arial" w:hAnsi="Arial" w:cs="Arial"/>
                <w:color w:val="000000"/>
                <w:kern w:val="0"/>
                <w:sz w:val="18"/>
                <w:szCs w:val="18"/>
              </w:rPr>
            </w:pPr>
            <w:r>
              <w:rPr>
                <w:rFonts w:ascii="Arial" w:hAnsi="Arial" w:cs="Arial"/>
                <w:color w:val="000000"/>
                <w:kern w:val="0"/>
                <w:sz w:val="18"/>
                <w:szCs w:val="18"/>
              </w:rPr>
              <w:t>整期住宅</w:t>
            </w:r>
          </w:p>
          <w:p>
            <w:pPr>
              <w:widowControl/>
              <w:ind w:firstLine="180" w:firstLineChars="100"/>
              <w:jc w:val="center"/>
              <w:rPr>
                <w:rFonts w:ascii="Arial" w:hAnsi="Arial" w:cs="Arial"/>
                <w:color w:val="000000"/>
                <w:kern w:val="0"/>
                <w:sz w:val="18"/>
                <w:szCs w:val="18"/>
              </w:rPr>
            </w:pPr>
            <w:r>
              <w:rPr>
                <w:rFonts w:ascii="Arial" w:hAnsi="Arial" w:cs="Arial"/>
                <w:color w:val="000000"/>
                <w:kern w:val="0"/>
                <w:sz w:val="18"/>
                <w:szCs w:val="18"/>
              </w:rPr>
              <w:t>1#-16#）</w:t>
            </w:r>
          </w:p>
        </w:tc>
        <w:tc>
          <w:tcPr>
            <w:tcW w:w="764" w:type="pct"/>
            <w:vMerge w:val="restar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10.419303</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35.420713</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31.88</w:t>
            </w:r>
          </w:p>
        </w:tc>
        <w:tc>
          <w:tcPr>
            <w:tcW w:w="379" w:type="pct"/>
            <w:shd w:val="clear" w:color="auto" w:fill="auto"/>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66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商业</w:t>
            </w:r>
          </w:p>
        </w:tc>
        <w:tc>
          <w:tcPr>
            <w:tcW w:w="764" w:type="pct"/>
            <w:vMerge w:val="continue"/>
            <w:shd w:val="clear" w:color="auto" w:fill="auto"/>
            <w:vAlign w:val="center"/>
          </w:tcPr>
          <w:p>
            <w:pPr>
              <w:widowControl/>
              <w:jc w:val="center"/>
              <w:rPr>
                <w:rFonts w:ascii="Arial" w:hAnsi="Arial" w:cs="Arial"/>
                <w:color w:val="000000"/>
                <w:kern w:val="0"/>
                <w:sz w:val="18"/>
                <w:szCs w:val="18"/>
              </w:rPr>
            </w:pP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0.973609</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0.973609</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0.973609</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1.95</w:t>
            </w:r>
          </w:p>
        </w:tc>
        <w:tc>
          <w:tcPr>
            <w:tcW w:w="379" w:type="pct"/>
            <w:shd w:val="clear" w:color="auto" w:fill="auto"/>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66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车位</w:t>
            </w:r>
          </w:p>
        </w:tc>
        <w:tc>
          <w:tcPr>
            <w:tcW w:w="764" w:type="pct"/>
            <w:vMerge w:val="continue"/>
            <w:shd w:val="clear" w:color="auto" w:fill="auto"/>
            <w:vAlign w:val="center"/>
          </w:tcPr>
          <w:p>
            <w:pPr>
              <w:widowControl/>
              <w:jc w:val="center"/>
              <w:rPr>
                <w:rFonts w:ascii="Arial" w:hAnsi="Arial" w:cs="Arial"/>
                <w:color w:val="000000"/>
                <w:kern w:val="0"/>
                <w:sz w:val="18"/>
                <w:szCs w:val="18"/>
              </w:rPr>
            </w:pP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13.632962</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4540个</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4.99</w:t>
            </w:r>
          </w:p>
        </w:tc>
        <w:tc>
          <w:tcPr>
            <w:tcW w:w="379" w:type="pct"/>
            <w:shd w:val="clear" w:color="auto" w:fill="auto"/>
            <w:vAlign w:val="center"/>
          </w:tcPr>
          <w:p>
            <w:pPr>
              <w:widowControl/>
              <w:jc w:val="center"/>
              <w:rPr>
                <w:rFonts w:ascii="Arial" w:hAnsi="Arial" w:cs="Arial"/>
                <w:color w:val="00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66" w:type="pct"/>
            <w:shd w:val="clear" w:color="auto" w:fill="auto"/>
            <w:vAlign w:val="center"/>
          </w:tcPr>
          <w:p>
            <w:pPr>
              <w:widowControl/>
              <w:jc w:val="center"/>
              <w:rPr>
                <w:rFonts w:ascii="Arial" w:hAnsi="Arial" w:cs="Arial"/>
                <w:color w:val="000000"/>
                <w:kern w:val="0"/>
                <w:sz w:val="18"/>
                <w:szCs w:val="18"/>
              </w:rPr>
            </w:pPr>
          </w:p>
        </w:tc>
        <w:tc>
          <w:tcPr>
            <w:tcW w:w="66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764" w:type="pct"/>
            <w:shd w:val="clear" w:color="auto" w:fill="auto"/>
            <w:vAlign w:val="center"/>
          </w:tcPr>
          <w:p>
            <w:pPr>
              <w:widowControl/>
              <w:jc w:val="center"/>
              <w:rPr>
                <w:rFonts w:ascii="Arial" w:hAnsi="Arial" w:cs="Arial"/>
                <w:color w:val="000000"/>
                <w:kern w:val="0"/>
                <w:sz w:val="18"/>
                <w:szCs w:val="18"/>
              </w:rPr>
            </w:pP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50.027284</w:t>
            </w:r>
          </w:p>
        </w:tc>
        <w:tc>
          <w:tcPr>
            <w:tcW w:w="686"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36.394322</w:t>
            </w:r>
          </w:p>
        </w:tc>
        <w:tc>
          <w:tcPr>
            <w:tcW w:w="763"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87"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38.82</w:t>
            </w:r>
          </w:p>
        </w:tc>
        <w:tc>
          <w:tcPr>
            <w:tcW w:w="379" w:type="pct"/>
            <w:shd w:val="clear" w:color="auto" w:fill="auto"/>
            <w:vAlign w:val="center"/>
          </w:tcPr>
          <w:p>
            <w:pPr>
              <w:widowControl/>
              <w:jc w:val="center"/>
              <w:rPr>
                <w:rFonts w:ascii="Arial" w:hAnsi="Arial" w:cs="Arial"/>
                <w:color w:val="000000"/>
                <w:kern w:val="0"/>
                <w:sz w:val="18"/>
                <w:szCs w:val="18"/>
              </w:rPr>
            </w:pPr>
          </w:p>
        </w:tc>
      </w:tr>
    </w:tbl>
    <w:p>
      <w:pPr>
        <w:widowControl/>
        <w:spacing w:before="300" w:after="300" w:line="360" w:lineRule="exact"/>
        <w:jc w:val="left"/>
        <w:outlineLvl w:val="1"/>
        <w:rPr>
          <w:rFonts w:ascii="Arial" w:hAnsi="Arial" w:cs="Arial"/>
          <w:b/>
          <w:bCs/>
          <w:sz w:val="24"/>
        </w:rPr>
      </w:pPr>
      <w:bookmarkStart w:id="5" w:name="_Toc28560"/>
      <w:bookmarkStart w:id="6" w:name="_Toc73692204"/>
      <w:bookmarkStart w:id="7" w:name="_Toc12352"/>
      <w:r>
        <w:rPr>
          <w:rFonts w:hint="eastAsia" w:ascii="Arial" w:hAnsi="Arial" w:cs="Arial"/>
          <w:b/>
          <w:bCs/>
          <w:sz w:val="24"/>
        </w:rPr>
        <w:t>2重大事件披露</w:t>
      </w:r>
      <w:bookmarkEnd w:id="5"/>
      <w:bookmarkEnd w:id="6"/>
      <w:bookmarkEnd w:id="7"/>
    </w:p>
    <w:p>
      <w:pPr>
        <w:spacing w:line="480" w:lineRule="auto"/>
        <w:ind w:firstLine="420" w:firstLineChars="200"/>
        <w:rPr>
          <w:rFonts w:ascii="Arial" w:hAnsi="Arial" w:cs="Arial"/>
          <w:bCs/>
          <w:kern w:val="44"/>
          <w:szCs w:val="21"/>
        </w:rPr>
      </w:pPr>
      <w:r>
        <w:rPr>
          <w:rFonts w:ascii="Arial" w:hAnsi="Arial" w:cs="Arial"/>
          <w:bCs/>
          <w:kern w:val="44"/>
          <w:szCs w:val="21"/>
        </w:rPr>
        <w:t>2021年4月13日康信与项目公司有关人员进行了标的项目共管资料的交接工作，主要的共管资料有：公章、财务专用章、发票专用章、法人名章、（无合同专用章，情况说明见附件二）、出纳章、《营业执照》91510113MA6CACRH7R（正副本）、《中华人民共和国房地产开发企业暂定资质证书》510113DK44341036Z（正副本）、《不动产权证》、《建设用地规划许可证》、《建设工程规划许可证》（3本）、《建筑工程施工许可证》（正副本）（各三本）、《基本存款账户信息》[J6510103111502]、网银U盾（4个）、转账支票、业务委托书/申请书、电汇，共管资料清单详见附件二</w:t>
      </w:r>
      <w:r>
        <w:rPr>
          <w:rFonts w:hint="eastAsia" w:ascii="Arial" w:hAnsi="Arial" w:cs="Arial"/>
          <w:bCs/>
          <w:kern w:val="44"/>
          <w:szCs w:val="21"/>
        </w:rPr>
        <w:t>；</w:t>
      </w:r>
    </w:p>
    <w:p>
      <w:pPr>
        <w:spacing w:line="480" w:lineRule="auto"/>
        <w:ind w:firstLine="420" w:firstLineChars="200"/>
        <w:rPr>
          <w:rFonts w:ascii="Arial" w:hAnsi="Arial" w:cs="Arial"/>
          <w:bCs/>
          <w:kern w:val="44"/>
          <w:szCs w:val="21"/>
        </w:rPr>
      </w:pPr>
      <w:r>
        <w:rPr>
          <w:rFonts w:hint="eastAsia" w:ascii="Arial" w:hAnsi="Arial" w:cs="Arial"/>
          <w:bCs/>
          <w:kern w:val="44"/>
          <w:szCs w:val="21"/>
        </w:rPr>
        <w:t>2</w:t>
      </w:r>
      <w:r>
        <w:rPr>
          <w:rFonts w:ascii="Arial" w:hAnsi="Arial" w:cs="Arial"/>
          <w:bCs/>
          <w:kern w:val="44"/>
          <w:szCs w:val="21"/>
        </w:rPr>
        <w:t>021</w:t>
      </w:r>
      <w:r>
        <w:rPr>
          <w:rFonts w:hint="eastAsia" w:ascii="Arial" w:hAnsi="Arial" w:cs="Arial"/>
          <w:bCs/>
          <w:kern w:val="44"/>
          <w:szCs w:val="21"/>
        </w:rPr>
        <w:t>年4月3</w:t>
      </w:r>
      <w:r>
        <w:rPr>
          <w:rFonts w:ascii="Arial" w:hAnsi="Arial" w:cs="Arial"/>
          <w:bCs/>
          <w:kern w:val="44"/>
          <w:szCs w:val="21"/>
        </w:rPr>
        <w:t>0</w:t>
      </w:r>
      <w:r>
        <w:rPr>
          <w:rFonts w:hint="eastAsia" w:ascii="Arial" w:hAnsi="Arial" w:cs="Arial"/>
          <w:bCs/>
          <w:kern w:val="44"/>
          <w:szCs w:val="21"/>
        </w:rPr>
        <w:t>日由于原资质到期，旧资质项目公司已交给住建委，新资质证书</w:t>
      </w:r>
      <w:r>
        <w:rPr>
          <w:rFonts w:ascii="Arial" w:hAnsi="Arial" w:cs="Arial"/>
          <w:bCs/>
          <w:kern w:val="44"/>
          <w:szCs w:val="21"/>
        </w:rPr>
        <w:t>康信与项目公司有关人员进行了共管资料的交接工作</w:t>
      </w:r>
      <w:r>
        <w:rPr>
          <w:rFonts w:hint="eastAsia" w:ascii="Arial" w:hAnsi="Arial" w:cs="Arial"/>
          <w:bCs/>
          <w:kern w:val="44"/>
          <w:szCs w:val="21"/>
        </w:rPr>
        <w:t>，</w:t>
      </w:r>
      <w:r>
        <w:rPr>
          <w:rFonts w:ascii="Arial" w:hAnsi="Arial" w:cs="Arial"/>
          <w:bCs/>
          <w:kern w:val="44"/>
          <w:szCs w:val="21"/>
        </w:rPr>
        <w:t>共管资料清单详见附件二</w:t>
      </w:r>
      <w:r>
        <w:rPr>
          <w:rFonts w:hint="eastAsia" w:ascii="Arial" w:hAnsi="Arial" w:cs="Arial"/>
          <w:bCs/>
          <w:kern w:val="44"/>
          <w:szCs w:val="21"/>
        </w:rPr>
        <w:t>；</w:t>
      </w:r>
    </w:p>
    <w:p>
      <w:pPr>
        <w:spacing w:line="480" w:lineRule="auto"/>
        <w:ind w:firstLine="420" w:firstLineChars="200"/>
        <w:rPr>
          <w:rFonts w:ascii="Arial" w:hAnsi="Arial" w:cs="Arial"/>
          <w:bCs/>
          <w:kern w:val="44"/>
          <w:szCs w:val="21"/>
        </w:rPr>
      </w:pPr>
      <w:r>
        <w:rPr>
          <w:rFonts w:ascii="Arial" w:hAnsi="Arial" w:cs="Arial"/>
          <w:bCs/>
          <w:kern w:val="44"/>
          <w:szCs w:val="21"/>
        </w:rPr>
        <w:t>2021年5月7日康信与项目公司有关人员进行了</w:t>
      </w:r>
      <w:r>
        <w:rPr>
          <w:rFonts w:hint="eastAsia" w:ascii="Arial" w:hAnsi="Arial" w:cs="Arial"/>
          <w:bCs/>
          <w:kern w:val="44"/>
          <w:szCs w:val="21"/>
        </w:rPr>
        <w:t>新增</w:t>
      </w:r>
      <w:r>
        <w:rPr>
          <w:rFonts w:ascii="Arial" w:hAnsi="Arial" w:cs="Arial"/>
          <w:bCs/>
          <w:kern w:val="44"/>
          <w:szCs w:val="21"/>
        </w:rPr>
        <w:t>标的项目共管资料的交接工作，主要的共管资料有：</w:t>
      </w:r>
      <w:r>
        <w:rPr>
          <w:rFonts w:hint="eastAsia" w:ascii="Arial" w:hAnsi="Arial" w:cs="Arial"/>
          <w:bCs/>
          <w:kern w:val="44"/>
          <w:szCs w:val="21"/>
        </w:rPr>
        <w:t>中国银行3</w:t>
      </w:r>
      <w:r>
        <w:rPr>
          <w:rFonts w:ascii="Arial" w:hAnsi="Arial" w:cs="Arial"/>
          <w:bCs/>
          <w:kern w:val="44"/>
          <w:szCs w:val="21"/>
        </w:rPr>
        <w:t>590</w:t>
      </w:r>
      <w:r>
        <w:rPr>
          <w:rFonts w:hint="eastAsia" w:ascii="Arial" w:hAnsi="Arial" w:cs="Arial"/>
          <w:bCs/>
          <w:kern w:val="44"/>
          <w:szCs w:val="21"/>
        </w:rPr>
        <w:t>和民生银行3</w:t>
      </w:r>
      <w:r>
        <w:rPr>
          <w:rFonts w:ascii="Arial" w:hAnsi="Arial" w:cs="Arial"/>
          <w:bCs/>
          <w:kern w:val="44"/>
          <w:szCs w:val="21"/>
        </w:rPr>
        <w:t>800</w:t>
      </w:r>
      <w:r>
        <w:rPr>
          <w:rFonts w:hint="eastAsia" w:ascii="Arial" w:hAnsi="Arial" w:cs="Arial"/>
          <w:bCs/>
          <w:kern w:val="44"/>
          <w:szCs w:val="21"/>
        </w:rPr>
        <w:t>账户、1</w:t>
      </w:r>
      <w:r>
        <w:rPr>
          <w:rFonts w:ascii="Arial" w:hAnsi="Arial" w:cs="Arial"/>
          <w:bCs/>
          <w:kern w:val="44"/>
          <w:szCs w:val="21"/>
        </w:rPr>
        <w:t>161</w:t>
      </w:r>
      <w:r>
        <w:rPr>
          <w:rFonts w:hint="eastAsia" w:ascii="Arial" w:hAnsi="Arial" w:cs="Arial"/>
          <w:bCs/>
          <w:kern w:val="44"/>
          <w:szCs w:val="21"/>
        </w:rPr>
        <w:t>账户账号及密码的交接，</w:t>
      </w:r>
      <w:r>
        <w:rPr>
          <w:rFonts w:ascii="Arial" w:hAnsi="Arial" w:cs="Arial"/>
          <w:bCs/>
          <w:kern w:val="44"/>
          <w:szCs w:val="21"/>
        </w:rPr>
        <w:t>共管资料清单详见附件二。</w:t>
      </w:r>
    </w:p>
    <w:p>
      <w:pPr>
        <w:widowControl/>
        <w:spacing w:before="300" w:after="300" w:line="360" w:lineRule="exact"/>
        <w:jc w:val="left"/>
        <w:outlineLvl w:val="1"/>
        <w:rPr>
          <w:rFonts w:ascii="Arial" w:hAnsi="Arial" w:cs="Arial"/>
          <w:b/>
          <w:bCs/>
          <w:sz w:val="24"/>
        </w:rPr>
      </w:pPr>
      <w:bookmarkStart w:id="8" w:name="_Toc30664"/>
      <w:bookmarkStart w:id="9" w:name="_Toc23969"/>
      <w:bookmarkStart w:id="10" w:name="_Toc73692205"/>
      <w:r>
        <w:rPr>
          <w:rFonts w:hint="eastAsia" w:ascii="Arial" w:hAnsi="Arial" w:cs="Arial"/>
          <w:b/>
          <w:bCs/>
          <w:sz w:val="24"/>
        </w:rPr>
        <w:t>3项目五证办理及施工进度情况</w:t>
      </w:r>
      <w:bookmarkEnd w:id="8"/>
      <w:bookmarkEnd w:id="9"/>
      <w:bookmarkEnd w:id="10"/>
    </w:p>
    <w:p>
      <w:pPr>
        <w:widowControl/>
        <w:spacing w:before="300" w:after="300" w:line="360" w:lineRule="exact"/>
        <w:jc w:val="left"/>
        <w:outlineLvl w:val="1"/>
        <w:rPr>
          <w:rFonts w:ascii="Arial" w:hAnsi="Arial" w:cs="Arial"/>
          <w:b/>
          <w:bCs/>
          <w:sz w:val="24"/>
        </w:rPr>
      </w:pPr>
      <w:bookmarkStart w:id="11" w:name="_Toc532281657"/>
      <w:bookmarkStart w:id="12" w:name="_Toc535580091"/>
      <w:bookmarkStart w:id="13" w:name="_Toc29893"/>
      <w:bookmarkStart w:id="14" w:name="_Toc30300"/>
      <w:bookmarkStart w:id="15" w:name="_Toc535508636"/>
      <w:bookmarkStart w:id="16" w:name="_Toc535570750"/>
      <w:bookmarkStart w:id="17" w:name="_Toc535580023"/>
      <w:bookmarkStart w:id="18" w:name="_Toc37668493"/>
      <w:bookmarkStart w:id="19" w:name="_Toc73692206"/>
      <w:r>
        <w:rPr>
          <w:rFonts w:hint="eastAsia" w:ascii="Arial" w:hAnsi="Arial" w:cs="Arial"/>
          <w:b/>
          <w:bCs/>
          <w:sz w:val="24"/>
        </w:rPr>
        <w:t>3.1项目五证办理情况说明</w:t>
      </w:r>
      <w:bookmarkEnd w:id="11"/>
      <w:bookmarkEnd w:id="12"/>
      <w:bookmarkEnd w:id="13"/>
      <w:bookmarkEnd w:id="14"/>
      <w:bookmarkEnd w:id="15"/>
      <w:bookmarkEnd w:id="16"/>
      <w:bookmarkEnd w:id="17"/>
      <w:bookmarkEnd w:id="18"/>
      <w:bookmarkEnd w:id="19"/>
    </w:p>
    <w:tbl>
      <w:tblPr>
        <w:tblStyle w:val="13"/>
        <w:tblW w:w="0" w:type="auto"/>
        <w:jc w:val="center"/>
        <w:tblLayout w:type="autofit"/>
        <w:tblCellMar>
          <w:top w:w="0" w:type="dxa"/>
          <w:left w:w="108" w:type="dxa"/>
          <w:bottom w:w="0" w:type="dxa"/>
          <w:right w:w="108" w:type="dxa"/>
        </w:tblCellMar>
      </w:tblPr>
      <w:tblGrid>
        <w:gridCol w:w="1413"/>
        <w:gridCol w:w="4961"/>
        <w:gridCol w:w="1922"/>
      </w:tblGrid>
      <w:tr>
        <w:tblPrEx>
          <w:tblCellMar>
            <w:top w:w="0" w:type="dxa"/>
            <w:left w:w="108" w:type="dxa"/>
            <w:bottom w:w="0" w:type="dxa"/>
            <w:right w:w="108" w:type="dxa"/>
          </w:tblCellMar>
        </w:tblPrEx>
        <w:trPr>
          <w:trHeight w:val="542" w:hRule="atLeast"/>
          <w:tblHeader/>
          <w:jc w:val="center"/>
        </w:trPr>
        <w:tc>
          <w:tcPr>
            <w:tcW w:w="141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五证</w:t>
            </w: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b/>
                <w:color w:val="000000"/>
                <w:sz w:val="18"/>
                <w:szCs w:val="18"/>
              </w:rPr>
            </w:pPr>
            <w:r>
              <w:rPr>
                <w:rFonts w:ascii="Arial" w:hAnsi="Arial" w:cs="Arial"/>
                <w:b/>
                <w:color w:val="000000"/>
                <w:sz w:val="18"/>
                <w:szCs w:val="18"/>
              </w:rPr>
              <w:t>考核取得时间点</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b/>
                <w:color w:val="000000"/>
                <w:sz w:val="18"/>
                <w:szCs w:val="18"/>
              </w:rPr>
            </w:pPr>
            <w:r>
              <w:rPr>
                <w:rFonts w:ascii="Arial" w:hAnsi="Arial" w:cs="Arial"/>
                <w:b/>
                <w:color w:val="000000"/>
                <w:sz w:val="18"/>
                <w:szCs w:val="18"/>
              </w:rPr>
              <w:t>实际进度</w:t>
            </w:r>
          </w:p>
        </w:tc>
      </w:tr>
      <w:tr>
        <w:tblPrEx>
          <w:tblCellMar>
            <w:top w:w="0" w:type="dxa"/>
            <w:left w:w="108" w:type="dxa"/>
            <w:bottom w:w="0" w:type="dxa"/>
            <w:right w:w="108" w:type="dxa"/>
          </w:tblCellMar>
        </w:tblPrEx>
        <w:trPr>
          <w:trHeight w:val="542"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不动产权证书</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2021年4月12日</w:t>
            </w:r>
          </w:p>
        </w:tc>
      </w:tr>
      <w:tr>
        <w:tblPrEx>
          <w:tblCellMar>
            <w:top w:w="0" w:type="dxa"/>
            <w:left w:w="108" w:type="dxa"/>
            <w:bottom w:w="0" w:type="dxa"/>
            <w:right w:w="108" w:type="dxa"/>
          </w:tblCellMar>
        </w:tblPrEx>
        <w:trPr>
          <w:trHeight w:val="542"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建设用地规划许可证</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2018年4月4日</w:t>
            </w:r>
          </w:p>
        </w:tc>
      </w:tr>
      <w:tr>
        <w:tblPrEx>
          <w:tblCellMar>
            <w:top w:w="0" w:type="dxa"/>
            <w:left w:w="108" w:type="dxa"/>
            <w:bottom w:w="0" w:type="dxa"/>
            <w:right w:w="108" w:type="dxa"/>
          </w:tblCellMar>
        </w:tblPrEx>
        <w:trPr>
          <w:trHeight w:val="564"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建设工程规划许可证</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2018年4月25日</w:t>
            </w:r>
          </w:p>
        </w:tc>
      </w:tr>
      <w:tr>
        <w:tblPrEx>
          <w:tblCellMar>
            <w:top w:w="0" w:type="dxa"/>
            <w:left w:w="108" w:type="dxa"/>
            <w:bottom w:w="0" w:type="dxa"/>
            <w:right w:w="108" w:type="dxa"/>
          </w:tblCellMar>
        </w:tblPrEx>
        <w:trPr>
          <w:trHeight w:val="542" w:hRule="atLeast"/>
          <w:jc w:val="center"/>
        </w:trPr>
        <w:tc>
          <w:tcPr>
            <w:tcW w:w="1413" w:type="dxa"/>
            <w:tcBorders>
              <w:top w:val="nil"/>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建筑工程施工许可证</w:t>
            </w:r>
          </w:p>
        </w:tc>
        <w:tc>
          <w:tcPr>
            <w:tcW w:w="4961" w:type="dxa"/>
            <w:tcBorders>
              <w:top w:val="nil"/>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color w:val="000000"/>
                <w:sz w:val="18"/>
                <w:szCs w:val="18"/>
              </w:rPr>
              <w:t>-</w:t>
            </w:r>
          </w:p>
        </w:tc>
        <w:tc>
          <w:tcPr>
            <w:tcW w:w="1922" w:type="dxa"/>
            <w:tcBorders>
              <w:top w:val="nil"/>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2018年4月28日、2019年9月11日</w:t>
            </w:r>
          </w:p>
        </w:tc>
      </w:tr>
      <w:tr>
        <w:tblPrEx>
          <w:tblCellMar>
            <w:top w:w="0" w:type="dxa"/>
            <w:left w:w="108" w:type="dxa"/>
            <w:bottom w:w="0" w:type="dxa"/>
            <w:right w:w="108" w:type="dxa"/>
          </w:tblCellMar>
        </w:tblPrEx>
        <w:trPr>
          <w:trHeight w:val="542" w:hRule="atLeast"/>
          <w:jc w:val="center"/>
        </w:trPr>
        <w:tc>
          <w:tcPr>
            <w:tcW w:w="1413" w:type="dxa"/>
            <w:vMerge w:val="restart"/>
            <w:tcBorders>
              <w:top w:val="single" w:color="auto" w:sz="4" w:space="0"/>
              <w:left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预售许可证</w:t>
            </w: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抵押物首批预售许可证自信托计划成立之日起满4个月之日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2021年4月29日</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抵押物开盘销售自信托计划成立之日起满6个月之日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hint="eastAsia" w:ascii="Arial" w:hAnsi="Arial" w:cs="Arial"/>
                <w:color w:val="000000"/>
                <w:sz w:val="18"/>
                <w:szCs w:val="18"/>
              </w:rPr>
              <w:t>2</w:t>
            </w:r>
            <w:r>
              <w:rPr>
                <w:rFonts w:ascii="Arial" w:hAnsi="Arial" w:cs="Arial"/>
                <w:color w:val="000000"/>
                <w:sz w:val="18"/>
                <w:szCs w:val="18"/>
              </w:rPr>
              <w:t>021</w:t>
            </w:r>
            <w:r>
              <w:rPr>
                <w:rFonts w:hint="eastAsia" w:ascii="Arial" w:hAnsi="Arial" w:cs="Arial"/>
                <w:color w:val="000000"/>
                <w:sz w:val="18"/>
                <w:szCs w:val="18"/>
              </w:rPr>
              <w:t>年5月1</w:t>
            </w:r>
            <w:r>
              <w:rPr>
                <w:rFonts w:ascii="Arial" w:hAnsi="Arial" w:cs="Arial"/>
                <w:color w:val="000000"/>
                <w:sz w:val="18"/>
                <w:szCs w:val="18"/>
              </w:rPr>
              <w:t>0</w:t>
            </w:r>
            <w:r>
              <w:rPr>
                <w:rFonts w:hint="eastAsia" w:ascii="Arial" w:hAnsi="Arial" w:cs="Arial"/>
                <w:color w:val="000000"/>
                <w:sz w:val="18"/>
                <w:szCs w:val="18"/>
              </w:rPr>
              <w:t>日</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抵押物项目累计销售面积12万</w:t>
            </w:r>
            <w:r>
              <w:rPr>
                <w:rFonts w:ascii="Arial" w:hAnsi="Arial" w:cs="Arial"/>
                <w:color w:val="000000"/>
                <w:sz w:val="18"/>
                <w:szCs w:val="18"/>
              </w:rPr>
              <w:t>㎡</w:t>
            </w:r>
            <w:r>
              <w:rPr>
                <w:rFonts w:ascii="Arial" w:hAnsi="Arial" w:cs="Arial"/>
                <w:sz w:val="18"/>
                <w:szCs w:val="18"/>
              </w:rPr>
              <w:t>自信托计划成立之日起满13个月之日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抵押物项目累计销售面积16万</w:t>
            </w:r>
            <w:r>
              <w:rPr>
                <w:rFonts w:ascii="Arial" w:hAnsi="Arial" w:cs="Arial"/>
                <w:color w:val="000000"/>
                <w:sz w:val="18"/>
                <w:szCs w:val="18"/>
              </w:rPr>
              <w:t>㎡</w:t>
            </w:r>
            <w:r>
              <w:rPr>
                <w:rFonts w:ascii="Arial" w:hAnsi="Arial" w:cs="Arial"/>
                <w:sz w:val="18"/>
                <w:szCs w:val="18"/>
              </w:rPr>
              <w:t>自信托计划成立之日起满16个月之日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r>
      <w:tr>
        <w:tblPrEx>
          <w:tblCellMar>
            <w:top w:w="0" w:type="dxa"/>
            <w:left w:w="108" w:type="dxa"/>
            <w:bottom w:w="0" w:type="dxa"/>
            <w:right w:w="108" w:type="dxa"/>
          </w:tblCellMar>
        </w:tblPrEx>
        <w:trPr>
          <w:trHeight w:val="542" w:hRule="atLeast"/>
          <w:jc w:val="center"/>
        </w:trPr>
        <w:tc>
          <w:tcPr>
            <w:tcW w:w="1413" w:type="dxa"/>
            <w:vMerge w:val="continue"/>
            <w:tcBorders>
              <w:left w:val="single" w:color="auto" w:sz="4" w:space="0"/>
              <w:bottom w:val="single" w:color="auto" w:sz="4" w:space="0"/>
              <w:right w:val="single" w:color="auto" w:sz="4" w:space="0"/>
            </w:tcBorders>
            <w:vAlign w:val="center"/>
          </w:tcPr>
          <w:p>
            <w:pPr>
              <w:jc w:val="center"/>
              <w:rPr>
                <w:rFonts w:ascii="Arial" w:hAnsi="Arial" w:cs="Arial"/>
                <w:color w:val="000000"/>
                <w:sz w:val="18"/>
                <w:szCs w:val="18"/>
              </w:rPr>
            </w:pPr>
          </w:p>
        </w:tc>
        <w:tc>
          <w:tcPr>
            <w:tcW w:w="4961" w:type="dxa"/>
            <w:tcBorders>
              <w:top w:val="single" w:color="auto" w:sz="4" w:space="0"/>
              <w:left w:val="nil"/>
              <w:bottom w:val="single" w:color="auto" w:sz="4" w:space="0"/>
              <w:right w:val="single" w:color="auto" w:sz="4" w:space="0"/>
            </w:tcBorders>
            <w:noWrap/>
            <w:vAlign w:val="center"/>
          </w:tcPr>
          <w:p>
            <w:pPr>
              <w:jc w:val="center"/>
              <w:rPr>
                <w:rFonts w:ascii="Arial" w:hAnsi="Arial" w:cs="Arial"/>
                <w:color w:val="000000"/>
                <w:sz w:val="18"/>
                <w:szCs w:val="18"/>
              </w:rPr>
            </w:pPr>
            <w:r>
              <w:rPr>
                <w:rFonts w:ascii="Arial" w:hAnsi="Arial" w:cs="Arial"/>
                <w:sz w:val="18"/>
                <w:szCs w:val="18"/>
              </w:rPr>
              <w:t>抵押物项目累计销售面积16万</w:t>
            </w:r>
            <w:r>
              <w:rPr>
                <w:rFonts w:ascii="Arial" w:hAnsi="Arial" w:cs="Arial"/>
                <w:color w:val="000000"/>
                <w:sz w:val="18"/>
                <w:szCs w:val="18"/>
              </w:rPr>
              <w:t>㎡</w:t>
            </w:r>
            <w:r>
              <w:rPr>
                <w:rFonts w:ascii="Arial" w:hAnsi="Arial" w:cs="Arial"/>
                <w:sz w:val="18"/>
                <w:szCs w:val="18"/>
              </w:rPr>
              <w:t>自信托计划成立之日起满22个月之日</w:t>
            </w:r>
          </w:p>
        </w:tc>
        <w:tc>
          <w:tcPr>
            <w:tcW w:w="1922" w:type="dxa"/>
            <w:tcBorders>
              <w:top w:val="single" w:color="auto" w:sz="4" w:space="0"/>
              <w:left w:val="nil"/>
              <w:bottom w:val="single" w:color="auto" w:sz="4" w:space="0"/>
              <w:right w:val="single" w:color="auto" w:sz="4" w:space="0"/>
            </w:tcBorders>
            <w:vAlign w:val="center"/>
          </w:tcPr>
          <w:p>
            <w:pPr>
              <w:jc w:val="center"/>
              <w:rPr>
                <w:rFonts w:ascii="Arial" w:hAnsi="Arial" w:cs="Arial"/>
                <w:color w:val="000000"/>
                <w:sz w:val="18"/>
                <w:szCs w:val="18"/>
              </w:rPr>
            </w:pPr>
            <w:r>
              <w:rPr>
                <w:rFonts w:ascii="Arial" w:hAnsi="Arial" w:cs="Arial"/>
                <w:color w:val="000000"/>
                <w:sz w:val="18"/>
                <w:szCs w:val="18"/>
              </w:rPr>
              <w:t>-</w:t>
            </w:r>
          </w:p>
        </w:tc>
      </w:tr>
    </w:tbl>
    <w:p>
      <w:pPr>
        <w:widowControl/>
        <w:spacing w:before="300" w:after="300" w:line="360" w:lineRule="exact"/>
        <w:jc w:val="left"/>
        <w:outlineLvl w:val="1"/>
        <w:rPr>
          <w:rFonts w:ascii="Arial" w:hAnsi="Arial" w:cs="Arial"/>
          <w:b/>
          <w:bCs/>
          <w:sz w:val="24"/>
        </w:rPr>
      </w:pPr>
      <w:bookmarkStart w:id="20" w:name="_Toc535580092"/>
      <w:bookmarkStart w:id="21" w:name="_Toc13215"/>
      <w:bookmarkStart w:id="22" w:name="_Toc535508637"/>
      <w:bookmarkStart w:id="23" w:name="_Toc532281658"/>
      <w:bookmarkStart w:id="24" w:name="_Toc37668494"/>
      <w:bookmarkStart w:id="25" w:name="_Toc535570751"/>
      <w:bookmarkStart w:id="26" w:name="_Toc535580024"/>
      <w:bookmarkStart w:id="27" w:name="_Toc27618"/>
      <w:r>
        <w:rPr>
          <w:rFonts w:hint="eastAsia" w:ascii="Arial" w:hAnsi="Arial" w:cs="Arial"/>
          <w:b/>
          <w:bCs/>
          <w:sz w:val="24"/>
        </w:rPr>
        <w:t xml:space="preserve"> </w:t>
      </w:r>
      <w:bookmarkStart w:id="28" w:name="_Toc73692207"/>
      <w:r>
        <w:rPr>
          <w:rFonts w:hint="eastAsia" w:ascii="Arial" w:hAnsi="Arial" w:cs="Arial"/>
          <w:b/>
          <w:bCs/>
          <w:sz w:val="24"/>
        </w:rPr>
        <w:t>3.2项目施工进度情况</w:t>
      </w:r>
      <w:bookmarkEnd w:id="20"/>
      <w:bookmarkEnd w:id="21"/>
      <w:bookmarkEnd w:id="22"/>
      <w:bookmarkEnd w:id="23"/>
      <w:bookmarkEnd w:id="24"/>
      <w:bookmarkEnd w:id="25"/>
      <w:bookmarkEnd w:id="26"/>
      <w:bookmarkEnd w:id="27"/>
      <w:bookmarkEnd w:id="28"/>
    </w:p>
    <w:tbl>
      <w:tblPr>
        <w:tblStyle w:val="13"/>
        <w:tblW w:w="5000" w:type="pct"/>
        <w:tblInd w:w="0" w:type="dxa"/>
        <w:tblLayout w:type="fixed"/>
        <w:tblCellMar>
          <w:top w:w="0" w:type="dxa"/>
          <w:left w:w="108" w:type="dxa"/>
          <w:bottom w:w="0" w:type="dxa"/>
          <w:right w:w="108" w:type="dxa"/>
        </w:tblCellMar>
      </w:tblPr>
      <w:tblGrid>
        <w:gridCol w:w="468"/>
        <w:gridCol w:w="468"/>
        <w:gridCol w:w="593"/>
        <w:gridCol w:w="592"/>
        <w:gridCol w:w="961"/>
        <w:gridCol w:w="1135"/>
        <w:gridCol w:w="2040"/>
        <w:gridCol w:w="1797"/>
        <w:gridCol w:w="467"/>
      </w:tblGrid>
      <w:tr>
        <w:tblPrEx>
          <w:tblCellMar>
            <w:top w:w="0" w:type="dxa"/>
            <w:left w:w="108" w:type="dxa"/>
            <w:bottom w:w="0" w:type="dxa"/>
            <w:right w:w="108" w:type="dxa"/>
          </w:tblCellMar>
        </w:tblPrEx>
        <w:trPr>
          <w:trHeight w:val="360" w:hRule="atLeast"/>
          <w:tblHeader/>
        </w:trPr>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期数</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楼栋号</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业态</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套型</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建筑面积</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形象进度</w:t>
            </w:r>
          </w:p>
        </w:tc>
        <w:tc>
          <w:tcPr>
            <w:tcW w:w="105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合同交楼时间</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备注</w:t>
            </w:r>
          </w:p>
        </w:tc>
      </w:tr>
      <w:tr>
        <w:tblPrEx>
          <w:tblCellMar>
            <w:top w:w="0" w:type="dxa"/>
            <w:left w:w="108" w:type="dxa"/>
            <w:bottom w:w="0" w:type="dxa"/>
            <w:right w:w="108" w:type="dxa"/>
          </w:tblCellMar>
        </w:tblPrEx>
        <w:trPr>
          <w:trHeight w:val="360" w:hRule="atLeast"/>
        </w:trPr>
        <w:tc>
          <w:tcPr>
            <w:tcW w:w="275"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一期</w:t>
            </w: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21745.24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8#楼已售，合同交楼时间2023.6.30，其余未售</w:t>
            </w: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18743.67</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39261.73</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15540.18</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主体33层施工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13646.99</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三室二厅二卫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13663.04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34822.94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高层</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三室二厅一卫</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15492.64</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主体封顶，屋面层施工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17#</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933.17</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10</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18#</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576.70</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11</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19#</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576.70</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一二面二次结构施工</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629.78</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21#</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960.15</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36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综合楼</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2900</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外立面完成，装修完成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r>
        <w:tblPrEx>
          <w:tblCellMar>
            <w:top w:w="0" w:type="dxa"/>
            <w:left w:w="108" w:type="dxa"/>
            <w:bottom w:w="0" w:type="dxa"/>
            <w:right w:w="108" w:type="dxa"/>
          </w:tblCellMar>
        </w:tblPrEx>
        <w:trPr>
          <w:trHeight w:val="270" w:hRule="atLeast"/>
        </w:trPr>
        <w:tc>
          <w:tcPr>
            <w:tcW w:w="275"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15</w:t>
            </w:r>
          </w:p>
        </w:tc>
        <w:tc>
          <w:tcPr>
            <w:tcW w:w="34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23#</w:t>
            </w:r>
          </w:p>
        </w:tc>
        <w:tc>
          <w:tcPr>
            <w:tcW w:w="34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商业</w:t>
            </w:r>
          </w:p>
        </w:tc>
        <w:tc>
          <w:tcPr>
            <w:tcW w:w="56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1-2层</w:t>
            </w:r>
          </w:p>
        </w:tc>
        <w:tc>
          <w:tcPr>
            <w:tcW w:w="66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1468.35</w:t>
            </w:r>
          </w:p>
        </w:tc>
        <w:tc>
          <w:tcPr>
            <w:tcW w:w="1197"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外立面完成</w:t>
            </w:r>
          </w:p>
        </w:tc>
        <w:tc>
          <w:tcPr>
            <w:tcW w:w="1054"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27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tbl>
    <w:p>
      <w:pPr>
        <w:rPr>
          <w:rFonts w:ascii="Arial" w:hAnsi="Arial" w:cs="Arial"/>
          <w:bCs/>
          <w:kern w:val="44"/>
          <w:szCs w:val="21"/>
        </w:rPr>
      </w:pPr>
    </w:p>
    <w:p>
      <w:pPr>
        <w:rPr>
          <w:rFonts w:ascii="Arial" w:hAnsi="Arial" w:cs="Arial"/>
          <w:bCs/>
          <w:kern w:val="44"/>
          <w:szCs w:val="21"/>
        </w:rPr>
      </w:pPr>
    </w:p>
    <w:p>
      <w:pPr>
        <w:rPr>
          <w:rFonts w:ascii="Arial" w:hAnsi="Arial" w:cs="Arial"/>
          <w:bCs/>
          <w:kern w:val="44"/>
          <w:szCs w:val="21"/>
        </w:rPr>
      </w:pPr>
    </w:p>
    <w:p>
      <w:pPr>
        <w:rPr>
          <w:rFonts w:ascii="Arial" w:hAnsi="Arial" w:cs="Arial"/>
          <w:bCs/>
          <w:kern w:val="44"/>
          <w:szCs w:val="21"/>
        </w:rPr>
      </w:pPr>
    </w:p>
    <w:p>
      <w:pPr>
        <w:rPr>
          <w:rFonts w:ascii="Arial" w:hAnsi="Arial" w:cs="Arial"/>
          <w:bCs/>
          <w:kern w:val="44"/>
          <w:szCs w:val="21"/>
        </w:rPr>
      </w:pPr>
    </w:p>
    <w:p>
      <w:pPr>
        <w:rPr>
          <w:rFonts w:ascii="Arial" w:hAnsi="Arial" w:cs="Arial"/>
          <w:bCs/>
          <w:kern w:val="44"/>
          <w:szCs w:val="21"/>
        </w:rPr>
      </w:pPr>
    </w:p>
    <w:p>
      <w:pPr>
        <w:rPr>
          <w:rFonts w:ascii="Arial" w:hAnsi="Arial" w:cs="Arial"/>
          <w:bCs/>
          <w:kern w:val="44"/>
          <w:szCs w:val="21"/>
        </w:rPr>
      </w:pPr>
    </w:p>
    <w:p>
      <w:pPr>
        <w:rPr>
          <w:rFonts w:ascii="Arial" w:hAnsi="Arial" w:cs="Arial"/>
          <w:bCs/>
          <w:kern w:val="44"/>
          <w:szCs w:val="21"/>
        </w:rPr>
      </w:pPr>
    </w:p>
    <w:p>
      <w:pPr>
        <w:rPr>
          <w:rFonts w:ascii="Arial" w:hAnsi="Arial" w:cs="Arial"/>
          <w:bCs/>
          <w:kern w:val="44"/>
          <w:szCs w:val="21"/>
        </w:rPr>
      </w:pPr>
    </w:p>
    <w:p>
      <w:pPr>
        <w:widowControl/>
        <w:spacing w:line="360" w:lineRule="auto"/>
        <w:jc w:val="left"/>
        <w:rPr>
          <w:rFonts w:ascii="Arial" w:hAnsi="Arial" w:cs="Arial"/>
          <w:b/>
          <w:bCs/>
          <w:kern w:val="0"/>
          <w:szCs w:val="21"/>
        </w:rPr>
      </w:pPr>
      <w:r>
        <w:rPr>
          <w:rFonts w:hint="eastAsia" w:ascii="Arial" w:hAnsi="Arial" w:cs="Arial"/>
          <w:b/>
          <w:bCs/>
          <w:kern w:val="0"/>
          <w:szCs w:val="21"/>
        </w:rPr>
        <w:t>标的项目现场照片（202</w:t>
      </w:r>
      <w:r>
        <w:rPr>
          <w:rFonts w:ascii="Arial" w:hAnsi="Arial" w:cs="Arial"/>
          <w:b/>
          <w:bCs/>
          <w:kern w:val="0"/>
          <w:szCs w:val="21"/>
        </w:rPr>
        <w:t>1</w:t>
      </w:r>
      <w:r>
        <w:rPr>
          <w:rFonts w:hint="eastAsia" w:ascii="Arial" w:hAnsi="Arial" w:cs="Arial"/>
          <w:b/>
          <w:bCs/>
          <w:kern w:val="0"/>
          <w:szCs w:val="21"/>
        </w:rPr>
        <w:t>年</w:t>
      </w:r>
      <w:r>
        <w:rPr>
          <w:rFonts w:ascii="Arial" w:hAnsi="Arial" w:cs="Arial"/>
          <w:b/>
          <w:bCs/>
          <w:kern w:val="0"/>
          <w:szCs w:val="21"/>
        </w:rPr>
        <w:t>5</w:t>
      </w:r>
      <w:r>
        <w:rPr>
          <w:rFonts w:hint="eastAsia" w:ascii="Arial" w:hAnsi="Arial" w:cs="Arial"/>
          <w:b/>
          <w:bCs/>
          <w:kern w:val="0"/>
          <w:szCs w:val="21"/>
        </w:rPr>
        <w:t>月）</w:t>
      </w:r>
    </w:p>
    <w:p>
      <w:r>
        <w:rPr>
          <w:rFonts w:ascii="Arial" w:hAnsi="Arial" w:cs="Arial"/>
        </w:rPr>
        <mc:AlternateContent>
          <mc:Choice Requires="wps">
            <w:drawing>
              <wp:inline distT="0" distB="0" distL="0" distR="0">
                <wp:extent cx="2592705" cy="2253615"/>
                <wp:effectExtent l="0" t="0" r="17145" b="13335"/>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2592705" cy="2253615"/>
                        </a:xfrm>
                        <a:prstGeom prst="rect">
                          <a:avLst/>
                        </a:prstGeom>
                        <a:solidFill>
                          <a:srgbClr val="FFFFFF"/>
                        </a:solidFill>
                        <a:ln w="9525">
                          <a:solidFill>
                            <a:srgbClr val="000000"/>
                          </a:solidFill>
                          <a:miter lim="800000"/>
                        </a:ln>
                      </wps:spPr>
                      <wps:txbx>
                        <w:txbxContent>
                          <w:p>
                            <w:pPr>
                              <w:jc w:val="center"/>
                            </w:pPr>
                            <w:r>
                              <w:drawing>
                                <wp:inline distT="0" distB="0" distL="0" distR="0">
                                  <wp:extent cx="2400935" cy="2063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00935" cy="20637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7.45pt;width:204.15pt;v-text-anchor:middle;" fillcolor="#FFFFFF" filled="t" stroked="t" coordsize="21600,21600" o:gfxdata="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&#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hEDBrTAAAABQEAAA8AAAAAAAAAAQAgAAAAIgAAAGRy&#10;cy9kb3ducmV2LnhtbFBLAQIUABQAAAAIAIdO4kAV/69dQwIAAIwEAAAOAAAAAAAAAAEAIAAAACIB&#10;AABkcnMvZTJvRG9jLnhtbFBLBQYAAAAABgAGAFkBAADXBQAAAAA=&#10;">
                <v:fill on="t" focussize="0,0"/>
                <v:stroke color="#000000" miterlimit="8" joinstyle="miter"/>
                <v:imagedata o:title=""/>
                <o:lock v:ext="edit" aspectratio="f"/>
                <v:textbox>
                  <w:txbxContent>
                    <w:p>
                      <w:pPr>
                        <w:jc w:val="center"/>
                      </w:pPr>
                      <w:r>
                        <w:drawing>
                          <wp:inline distT="0" distB="0" distL="0" distR="0">
                            <wp:extent cx="2400935" cy="20637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00935" cy="20637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51710"/>
                <wp:effectExtent l="0" t="0" r="19050" b="15240"/>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628900" cy="2251710"/>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208280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37130" cy="20828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7.3pt;width:207pt;v-text-anchor:middle;" fillcolor="#FFFFFF" filled="t" stroked="t" coordsize="21600,21600" o:gfxdata="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&#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CpGfntIAAAAFAQAADwAAAAAAAAABACAAAAAiAAAAZHJz&#10;L2Rvd25yZXYueG1sUEsBAhQAFAAAAAgAh07iQCJgghNDAgAAig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37130" cy="2082800"/>
                            <wp:effectExtent l="0" t="0" r="127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37130" cy="20828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54605" cy="2221865"/>
                <wp:effectExtent l="0" t="0" r="17145" b="26035"/>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2554605"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362835" cy="2038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62835"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1.15pt;v-text-anchor:middle;" fillcolor="#FFFFFF" filled="t" stroked="t" coordsize="21600,21600" o:gfxdata="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&#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QbZUW9MAAAAFAQAADwAAAAAAAAABACAAAAAiAAAAZHJz&#10;L2Rvd25yZXYueG1sUEsBAhQAFAAAAAgAh07iQNn1i75CAgAAigQAAA4AAAAAAAAAAQAgAAAAIg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362835" cy="203835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362835"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32660"/>
                <wp:effectExtent l="0" t="0" r="19050" b="15240"/>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20447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37130" cy="20447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5.8pt;width:207pt;v-text-anchor:middle;" fillcolor="#FFFFFF" filled="t" stroked="t" coordsize="21600,21600" o:gfxdata="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FUEVtdIAAAAFAQAADwAAAAAAAAABACAAAAAiAAAAZHJz&#10;L2Rvd25yZXYueG1sUEsBAhQAFAAAAAgAh07iQFs15jJDAgAAjA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37130" cy="2044700"/>
                            <wp:effectExtent l="0" t="0" r="127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2437130" cy="20447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46350" cy="2215515"/>
                <wp:effectExtent l="0" t="0" r="25400" b="13335"/>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2546350" cy="2215515"/>
                        </a:xfrm>
                        <a:prstGeom prst="rect">
                          <a:avLst/>
                        </a:prstGeom>
                        <a:solidFill>
                          <a:srgbClr val="FFFFFF"/>
                        </a:solidFill>
                        <a:ln w="9525">
                          <a:solidFill>
                            <a:srgbClr val="000000"/>
                          </a:solidFill>
                          <a:miter lim="800000"/>
                        </a:ln>
                      </wps:spPr>
                      <wps:txbx>
                        <w:txbxContent>
                          <w:p>
                            <w:pPr>
                              <w:jc w:val="center"/>
                            </w:pPr>
                            <w:r>
                              <w:drawing>
                                <wp:inline distT="0" distB="0" distL="0" distR="0">
                                  <wp:extent cx="2354580" cy="200660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54580" cy="20066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45pt;width:200.5pt;v-text-anchor:middle;" fillcolor="#FFFFFF" filled="t" stroked="t" coordsize="21600,21600" o:gfxdata="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M4eWZ0gAAAAUBAAAPAAAAAAAAAAEAIAAAACIAAABkcnMv&#10;ZG93bnJldi54bWxQSwECFAAUAAAACACHTuJAUqDMn0ICAACMBAAADgAAAAAAAAABACAAAAAhAQAA&#10;ZHJzL2Uyb0RvYy54bWxQSwUGAAAAAAYABgBZAQAA1QUAAAAA&#10;">
                <v:fill on="t" focussize="0,0"/>
                <v:stroke color="#000000" miterlimit="8" joinstyle="miter"/>
                <v:imagedata o:title=""/>
                <o:lock v:ext="edit" aspectratio="f"/>
                <v:textbox>
                  <w:txbxContent>
                    <w:p>
                      <w:pPr>
                        <w:jc w:val="center"/>
                      </w:pPr>
                      <w:r>
                        <w:drawing>
                          <wp:inline distT="0" distB="0" distL="0" distR="0">
                            <wp:extent cx="2354580" cy="2006600"/>
                            <wp:effectExtent l="0" t="0" r="762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354580" cy="20066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21865"/>
                <wp:effectExtent l="4445" t="4445" r="8255" b="8890"/>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204470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37130" cy="20447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7pt;v-text-anchor:middle;" fillcolor="#FFFFFF" filled="t" stroked="t" coordsize="21600,21600" o:gfxdata="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4KL9NIAAAAFAQAADwAAAAAAAAABACAAAAAiAAAAZHJz&#10;L2Rvd25yZXYueG1sUEsBAhQAFAAAAAgAh07iQPp7zM9DAgAAjA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37130" cy="2044700"/>
                            <wp:effectExtent l="0" t="0" r="127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437130" cy="20447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86355" cy="2215515"/>
                <wp:effectExtent l="0" t="0" r="23495" b="13335"/>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2586355" cy="2215515"/>
                        </a:xfrm>
                        <a:prstGeom prst="rect">
                          <a:avLst/>
                        </a:prstGeom>
                        <a:solidFill>
                          <a:srgbClr val="FFFFFF"/>
                        </a:solidFill>
                        <a:ln w="9525">
                          <a:solidFill>
                            <a:srgbClr val="000000"/>
                          </a:solidFill>
                          <a:miter lim="800000"/>
                        </a:ln>
                      </wps:spPr>
                      <wps:txbx>
                        <w:txbxContent>
                          <w:p>
                            <w:pPr>
                              <w:jc w:val="center"/>
                            </w:pPr>
                            <w:r>
                              <w:drawing>
                                <wp:inline distT="0" distB="0" distL="0" distR="0">
                                  <wp:extent cx="2394585" cy="203835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94585"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45pt;width:203.65pt;v-text-anchor:middle;" fillcolor="#FFFFFF" filled="t" stroked="t" coordsize="21600,21600" o:gfxdata="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I2WgrTAAAABQEAAA8AAAAAAAAAAQAgAAAAIgAAAGRy&#10;cy9kb3ducmV2LnhtbFBLAQIUABQAAAAIAIdO4kCmV837QwIAAIwEAAAOAAAAAAAAAAEAIAAAACIB&#10;AABkcnMvZTJvRG9jLnhtbFBLBQYAAAAABgAGAFkBAADXBQAAAAA=&#10;">
                <v:fill on="t" focussize="0,0"/>
                <v:stroke color="#000000" miterlimit="8" joinstyle="miter"/>
                <v:imagedata o:title=""/>
                <o:lock v:ext="edit" aspectratio="f"/>
                <v:textbox>
                  <w:txbxContent>
                    <w:p>
                      <w:pPr>
                        <w:jc w:val="center"/>
                      </w:pPr>
                      <w:r>
                        <w:drawing>
                          <wp:inline distT="0" distB="0" distL="0" distR="0">
                            <wp:extent cx="2394585" cy="2038350"/>
                            <wp:effectExtent l="0" t="0" r="5715"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394585"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21865"/>
                <wp:effectExtent l="4445" t="4445" r="8255" b="8890"/>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2628900"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2038350"/>
                                  <wp:effectExtent l="0" t="0" r="127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3713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7pt;v-text-anchor:middle;" fillcolor="#FFFFFF" filled="t" stroked="t" coordsize="21600,21600" o:gfxdata="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&#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94KL9NIAAAAFAQAADwAAAAAAAAABACAAAAAiAAAAZHJz&#10;L2Rvd25yZXYueG1sUEsBAhQAFAAAAAgAh07iQO/B3rtDAgAAjAQAAA4AAAAAAAAAAQAgAAAAIQEA&#10;AGRycy9lMm9Eb2MueG1sUEsFBgAAAAAGAAYAWQEAANYFAAAAAA==&#10;">
                <v:fill on="t" focussize="0,0"/>
                <v:stroke color="#000000" miterlimit="8" joinstyle="miter"/>
                <v:imagedata o:title=""/>
                <o:lock v:ext="edit" aspectratio="f"/>
                <v:textbox>
                  <w:txbxContent>
                    <w:p>
                      <w:pPr>
                        <w:jc w:val="center"/>
                      </w:pPr>
                      <w:r>
                        <w:drawing>
                          <wp:inline distT="0" distB="0" distL="0" distR="0">
                            <wp:extent cx="2437130" cy="2038350"/>
                            <wp:effectExtent l="0" t="0" r="1270"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43713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86355" cy="2221865"/>
                <wp:effectExtent l="0" t="0" r="23495" b="26035"/>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394585" cy="2057400"/>
                                  <wp:effectExtent l="0" t="0" r="571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94585" cy="20574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3.65pt;v-text-anchor:middle;" fillcolor="#FFFFFF" filled="t" stroked="t" coordsize="21600,21600" o:gfxdata="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&#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0DT1v0wAAAAUBAAAPAAAAAAAAAAEAIAAAACIAAABk&#10;cnMvZG93bnJldi54bWxQSwECFAAUAAAACACHTuJAsomWkUQCAACMBAAADgAAAAAAAAABACAAAAAi&#10;AQAAZHJzL2Uyb0RvYy54bWxQSwUGAAAAAAYABgBZAQAA2AUAAAAA&#10;">
                <v:fill on="t" focussize="0,0"/>
                <v:stroke color="#000000" miterlimit="8" joinstyle="miter"/>
                <v:imagedata o:title=""/>
                <o:lock v:ext="edit" aspectratio="f"/>
                <v:textbox>
                  <w:txbxContent>
                    <w:p>
                      <w:pPr>
                        <w:jc w:val="center"/>
                      </w:pPr>
                      <w:r>
                        <w:drawing>
                          <wp:inline distT="0" distB="0" distL="0" distR="0">
                            <wp:extent cx="2394585" cy="2057400"/>
                            <wp:effectExtent l="0" t="0" r="5715" b="0"/>
                            <wp:docPr id="199" name="图片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图片 19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394585" cy="20574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32660"/>
                <wp:effectExtent l="0" t="0" r="19050" b="15240"/>
                <wp:docPr id="25" name="文本框 25"/>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pPr>
                              <w:jc w:val="center"/>
                            </w:pPr>
                            <w:r>
                              <w:drawing>
                                <wp:inline distT="0" distB="0" distL="0" distR="0">
                                  <wp:extent cx="2393950" cy="2038350"/>
                                  <wp:effectExtent l="0" t="0" r="635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9395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5.8pt;width:207pt;v-text-anchor:middle;" fillcolor="#FFFFFF" filled="t" stroked="t" coordsize="21600,21600" o:gfxdata="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AVQRW10gAAAAUBAAAPAAAAAAAAAAEAIAAAACIAAABkcnMv&#10;ZG93bnJldi54bWxQSwECFAAUAAAACACHTuJATo/0RkICAACMBAAADgAAAAAAAAABACAAAAAhAQAA&#10;ZHJzL2Uyb0RvYy54bWxQSwUGAAAAAAYABgBZAQAA1QUAAAAA&#10;">
                <v:fill on="t" focussize="0,0"/>
                <v:stroke color="#000000" miterlimit="8" joinstyle="miter"/>
                <v:imagedata o:title=""/>
                <o:lock v:ext="edit" aspectratio="f"/>
                <v:textbox>
                  <w:txbxContent>
                    <w:p>
                      <w:pPr>
                        <w:jc w:val="center"/>
                      </w:pPr>
                      <w:r>
                        <w:drawing>
                          <wp:inline distT="0" distB="0" distL="0" distR="0">
                            <wp:extent cx="2393950" cy="2038350"/>
                            <wp:effectExtent l="0" t="0" r="6350" b="0"/>
                            <wp:docPr id="200" name="图片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图片 20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393950" cy="203835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r>
        <w:rPr>
          <w:rFonts w:ascii="Arial" w:hAnsi="Arial" w:cs="Arial"/>
        </w:rPr>
        <mc:AlternateContent>
          <mc:Choice Requires="wps">
            <w:drawing>
              <wp:inline distT="0" distB="0" distL="0" distR="0">
                <wp:extent cx="2586355" cy="2221865"/>
                <wp:effectExtent l="0" t="0" r="23495" b="26035"/>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2586355" cy="2221865"/>
                        </a:xfrm>
                        <a:prstGeom prst="rect">
                          <a:avLst/>
                        </a:prstGeom>
                        <a:solidFill>
                          <a:srgbClr val="FFFFFF"/>
                        </a:solidFill>
                        <a:ln w="9525">
                          <a:solidFill>
                            <a:srgbClr val="000000"/>
                          </a:solidFill>
                          <a:miter lim="800000"/>
                        </a:ln>
                      </wps:spPr>
                      <wps:txbx>
                        <w:txbxContent>
                          <w:p>
                            <w:pPr>
                              <w:jc w:val="center"/>
                            </w:pPr>
                            <w:r>
                              <w:drawing>
                                <wp:inline distT="0" distB="0" distL="0" distR="0">
                                  <wp:extent cx="2394585" cy="2082800"/>
                                  <wp:effectExtent l="0" t="0" r="571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94585" cy="20828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4.95pt;width:203.65pt;v-text-anchor:middle;" fillcolor="#FFFFFF" filled="t" stroked="t" coordsize="21600,21600" o:gfxdata="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0DT1v0wAAAAUBAAAPAAAAAAAAAAEAIAAAACIAAABk&#10;cnMvZG93bnJldi54bWxQSwECFAAUAAAACACHTuJAo6WvrUQCAACMBAAADgAAAAAAAAABACAAAAAi&#10;AQAAZHJzL2Uyb0RvYy54bWxQSwUGAAAAAAYABgBZAQAA2AUAAAAA&#10;">
                <v:fill on="t" focussize="0,0"/>
                <v:stroke color="#000000" miterlimit="8" joinstyle="miter"/>
                <v:imagedata o:title=""/>
                <o:lock v:ext="edit" aspectratio="f"/>
                <v:textbox>
                  <w:txbxContent>
                    <w:p>
                      <w:pPr>
                        <w:jc w:val="center"/>
                      </w:pPr>
                      <w:r>
                        <w:drawing>
                          <wp:inline distT="0" distB="0" distL="0" distR="0">
                            <wp:extent cx="2394585" cy="2082800"/>
                            <wp:effectExtent l="0" t="0" r="5715" b="0"/>
                            <wp:docPr id="201" name="图片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图片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394585" cy="20828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r>
        <w:rPr>
          <w:rFonts w:ascii="Arial" w:hAnsi="Arial" w:cs="Arial"/>
        </w:rPr>
        <mc:AlternateContent>
          <mc:Choice Requires="wps">
            <w:drawing>
              <wp:inline distT="0" distB="0" distL="0" distR="0">
                <wp:extent cx="2628900" cy="2232660"/>
                <wp:effectExtent l="0" t="0" r="19050" b="15240"/>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2628900" cy="2232660"/>
                        </a:xfrm>
                        <a:prstGeom prst="rect">
                          <a:avLst/>
                        </a:prstGeom>
                        <a:solidFill>
                          <a:srgbClr val="FFFFFF"/>
                        </a:solidFill>
                        <a:ln w="9525">
                          <a:solidFill>
                            <a:srgbClr val="000000"/>
                          </a:solidFill>
                          <a:miter lim="800000"/>
                        </a:ln>
                      </wps:spPr>
                      <wps:txbx>
                        <w:txbxContent>
                          <w:p>
                            <w:pPr>
                              <w:jc w:val="center"/>
                            </w:pPr>
                            <w:r>
                              <w:drawing>
                                <wp:inline distT="0" distB="0" distL="0" distR="0">
                                  <wp:extent cx="2437130" cy="2095500"/>
                                  <wp:effectExtent l="0" t="0" r="127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37130" cy="20955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wps:txbx>
                      <wps:bodyPr rot="0" vert="horz" wrap="square" lIns="91440" tIns="45720" rIns="91440" bIns="45720" anchor="ctr" anchorCtr="0" upright="1">
                        <a:noAutofit/>
                      </wps:bodyPr>
                    </wps:wsp>
                  </a:graphicData>
                </a:graphic>
              </wp:inline>
            </w:drawing>
          </mc:Choice>
          <mc:Fallback>
            <w:pict>
              <v:shape id="_x0000_s1026" o:spid="_x0000_s1026" o:spt="202" type="#_x0000_t202" style="height:175.8pt;width:207pt;v-text-anchor:middle;" fillcolor="#FFFFFF" filled="t" stroked="t" coordsize="21600,21600" o:gfxdata="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VBFbXSAAAABQEAAA8AAAAAAAAAAQAgAAAAIgAAAGRy&#10;cy9kb3ducmV2LnhtbFBLAQIUABQAAAAIAIdO4kB9+78CRAIAAIwEAAAOAAAAAAAAAAEAIAAAACEB&#10;AABkcnMvZTJvRG9jLnhtbFBLBQYAAAAABgAGAFkBAADXBQAAAAA=&#10;">
                <v:fill on="t" focussize="0,0"/>
                <v:stroke color="#000000" miterlimit="8" joinstyle="miter"/>
                <v:imagedata o:title=""/>
                <o:lock v:ext="edit" aspectratio="f"/>
                <v:textbox>
                  <w:txbxContent>
                    <w:p>
                      <w:pPr>
                        <w:jc w:val="center"/>
                      </w:pPr>
                      <w:r>
                        <w:drawing>
                          <wp:inline distT="0" distB="0" distL="0" distR="0">
                            <wp:extent cx="2437130" cy="2095500"/>
                            <wp:effectExtent l="0" t="0" r="1270" b="0"/>
                            <wp:docPr id="221" name="图片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图片 2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37130" cy="2095500"/>
                                    </a:xfrm>
                                    <a:prstGeom prst="rect">
                                      <a:avLst/>
                                    </a:prstGeom>
                                    <a:noFill/>
                                    <a:ln>
                                      <a:noFill/>
                                    </a:ln>
                                  </pic:spPr>
                                </pic:pic>
                              </a:graphicData>
                            </a:graphic>
                          </wp:inline>
                        </w:drawing>
                      </w:r>
                      <w:r>
                        <w:t xml:space="preserve"> </w:t>
                      </w:r>
                    </w:p>
                    <w:p>
                      <w:pPr>
                        <w:ind w:firstLine="1170" w:firstLineChars="650"/>
                        <w:rPr>
                          <w:rFonts w:ascii="Arial" w:hAnsi="Arial" w:cs="Arial"/>
                          <w:color w:val="000000"/>
                          <w:sz w:val="18"/>
                          <w:szCs w:val="18"/>
                        </w:rPr>
                      </w:pPr>
                    </w:p>
                  </w:txbxContent>
                </v:textbox>
                <w10:wrap type="none"/>
                <w10:anchorlock/>
              </v:shape>
            </w:pict>
          </mc:Fallback>
        </mc:AlternateContent>
      </w:r>
    </w:p>
    <w:p>
      <w:pPr>
        <w:widowControl/>
        <w:spacing w:before="300" w:after="300" w:line="360" w:lineRule="exact"/>
        <w:jc w:val="left"/>
        <w:outlineLvl w:val="1"/>
        <w:rPr>
          <w:rFonts w:ascii="Arial" w:hAnsi="Arial" w:cs="Arial"/>
          <w:b/>
          <w:bCs/>
          <w:sz w:val="24"/>
        </w:rPr>
      </w:pPr>
      <w:bookmarkStart w:id="29" w:name="_Toc37668495"/>
      <w:bookmarkStart w:id="30" w:name="_Toc8909"/>
      <w:bookmarkStart w:id="31" w:name="_Toc32671"/>
      <w:bookmarkStart w:id="32" w:name="_Toc73692208"/>
      <w:r>
        <w:rPr>
          <w:rFonts w:hint="eastAsia" w:ascii="Arial" w:hAnsi="Arial" w:cs="Arial"/>
          <w:b/>
          <w:bCs/>
          <w:sz w:val="24"/>
        </w:rPr>
        <w:t>3.3项目施工计划</w:t>
      </w:r>
      <w:bookmarkEnd w:id="29"/>
      <w:bookmarkEnd w:id="30"/>
      <w:bookmarkEnd w:id="31"/>
      <w:bookmarkEnd w:id="32"/>
    </w:p>
    <w:p>
      <w:pPr>
        <w:spacing w:line="480" w:lineRule="auto"/>
        <w:ind w:firstLine="420" w:firstLineChars="200"/>
        <w:rPr>
          <w:rFonts w:ascii="Arial" w:hAnsi="Arial" w:cs="Arial"/>
          <w:bCs/>
          <w:kern w:val="44"/>
          <w:szCs w:val="21"/>
        </w:rPr>
      </w:pPr>
      <w:r>
        <w:rPr>
          <w:rFonts w:hint="eastAsia" w:ascii="Arial" w:hAnsi="Arial" w:cs="Arial"/>
          <w:bCs/>
          <w:kern w:val="44"/>
          <w:szCs w:val="21"/>
        </w:rPr>
        <w:t>六月施工计划：4#楼计划修至主体封顶，住宅1-3#、5-8#楼继续屋面层施工，着重施工园林剩余地下车库结构</w:t>
      </w:r>
      <w:r>
        <w:rPr>
          <w:rFonts w:ascii="Arial" w:hAnsi="Arial" w:cs="Arial"/>
          <w:bCs/>
          <w:kern w:val="44"/>
          <w:szCs w:val="21"/>
        </w:rPr>
        <w:t>。</w:t>
      </w:r>
    </w:p>
    <w:p>
      <w:pPr>
        <w:spacing w:line="480" w:lineRule="auto"/>
        <w:ind w:firstLine="420" w:firstLineChars="200"/>
        <w:rPr>
          <w:rFonts w:ascii="Arial" w:hAnsi="Arial" w:cs="Arial"/>
          <w:bCs/>
          <w:kern w:val="44"/>
          <w:szCs w:val="21"/>
        </w:rPr>
      </w:pPr>
    </w:p>
    <w:p>
      <w:pPr>
        <w:sectPr>
          <w:headerReference r:id="rId3" w:type="default"/>
          <w:footerReference r:id="rId4" w:type="default"/>
          <w:pgSz w:w="11906" w:h="16838"/>
          <w:pgMar w:top="1440" w:right="1800" w:bottom="1440" w:left="1800" w:header="851" w:footer="992" w:gutter="0"/>
          <w:cols w:space="425" w:num="1"/>
          <w:titlePg/>
          <w:docGrid w:type="lines" w:linePitch="312" w:charSpace="0"/>
        </w:sectPr>
      </w:pPr>
    </w:p>
    <w:p>
      <w:pPr>
        <w:widowControl/>
        <w:spacing w:before="300" w:after="300" w:line="360" w:lineRule="exact"/>
        <w:jc w:val="left"/>
        <w:outlineLvl w:val="1"/>
        <w:rPr>
          <w:rFonts w:ascii="Arial" w:hAnsi="Arial" w:cs="Arial"/>
          <w:b/>
          <w:bCs/>
          <w:sz w:val="24"/>
        </w:rPr>
      </w:pPr>
      <w:bookmarkStart w:id="33" w:name="_Toc73692209"/>
      <w:bookmarkStart w:id="34" w:name="_Toc10880"/>
      <w:bookmarkStart w:id="35" w:name="_Toc3374"/>
      <w:r>
        <w:rPr>
          <w:rFonts w:hint="eastAsia" w:ascii="Arial" w:hAnsi="Arial" w:cs="Arial"/>
          <w:b/>
          <w:bCs/>
          <w:sz w:val="24"/>
        </w:rPr>
        <w:t>4印鉴使用情况</w:t>
      </w:r>
      <w:bookmarkEnd w:id="33"/>
      <w:bookmarkEnd w:id="34"/>
      <w:bookmarkEnd w:id="35"/>
    </w:p>
    <w:p>
      <w:pPr>
        <w:pStyle w:val="12"/>
        <w:spacing w:after="0" w:line="480" w:lineRule="auto"/>
        <w:ind w:firstLineChars="200"/>
        <w:rPr>
          <w:rFonts w:ascii="Arial" w:hAnsi="Arial" w:cs="Arial"/>
          <w:bCs/>
          <w:kern w:val="44"/>
          <w:szCs w:val="21"/>
        </w:rPr>
      </w:pPr>
      <w:r>
        <w:rPr>
          <w:rFonts w:hint="eastAsia" w:ascii="Arial" w:hAnsi="Arial" w:cs="Arial"/>
          <w:bCs/>
          <w:kern w:val="44"/>
          <w:szCs w:val="21"/>
        </w:rPr>
        <w:t>对于印章的使用，项目公司人员按照监管协议规定，履行印章使用流程，填写印章使用登记表，康信监管人员了解用印事由，根据相应权限审核用印并同时登记电子版和纸质台账（纸质台账见附件三）。使用情况详见下表：</w:t>
      </w:r>
    </w:p>
    <w:p>
      <w:pPr>
        <w:spacing w:before="312" w:beforeLines="100"/>
        <w:jc w:val="center"/>
        <w:rPr>
          <w:rFonts w:ascii="Arial" w:hAnsi="Arial" w:cs="Arial"/>
          <w:b/>
          <w:bCs/>
          <w:kern w:val="44"/>
          <w:sz w:val="24"/>
        </w:rPr>
      </w:pPr>
      <w:r>
        <w:rPr>
          <w:rFonts w:hint="eastAsia" w:ascii="Arial" w:hAnsi="Arial" w:cs="Arial"/>
          <w:b/>
          <w:bCs/>
          <w:kern w:val="44"/>
          <w:sz w:val="24"/>
        </w:rPr>
        <w:t>202</w:t>
      </w:r>
      <w:r>
        <w:rPr>
          <w:rFonts w:ascii="Arial" w:hAnsi="Arial" w:cs="Arial"/>
          <w:b/>
          <w:bCs/>
          <w:kern w:val="44"/>
          <w:sz w:val="24"/>
        </w:rPr>
        <w:t>1</w:t>
      </w:r>
      <w:r>
        <w:rPr>
          <w:rFonts w:hint="eastAsia" w:ascii="Arial" w:hAnsi="Arial" w:cs="Arial"/>
          <w:b/>
          <w:bCs/>
          <w:kern w:val="44"/>
          <w:sz w:val="24"/>
        </w:rPr>
        <w:t>年</w:t>
      </w:r>
      <w:r>
        <w:rPr>
          <w:rFonts w:ascii="Arial" w:hAnsi="Arial" w:cs="Arial"/>
          <w:b/>
          <w:bCs/>
          <w:kern w:val="44"/>
          <w:sz w:val="24"/>
        </w:rPr>
        <w:t>4-5</w:t>
      </w:r>
      <w:r>
        <w:rPr>
          <w:rFonts w:hint="eastAsia" w:ascii="Arial" w:hAnsi="Arial" w:cs="Arial"/>
          <w:b/>
          <w:bCs/>
          <w:kern w:val="44"/>
          <w:sz w:val="24"/>
        </w:rPr>
        <w:t>月印鉴使用情况</w:t>
      </w:r>
    </w:p>
    <w:tbl>
      <w:tblPr>
        <w:tblStyle w:val="13"/>
        <w:tblW w:w="5000" w:type="pct"/>
        <w:tblInd w:w="0" w:type="dxa"/>
        <w:tblLayout w:type="autofit"/>
        <w:tblCellMar>
          <w:top w:w="0" w:type="dxa"/>
          <w:left w:w="108" w:type="dxa"/>
          <w:bottom w:w="0" w:type="dxa"/>
          <w:right w:w="108" w:type="dxa"/>
        </w:tblCellMar>
      </w:tblPr>
      <w:tblGrid>
        <w:gridCol w:w="628"/>
        <w:gridCol w:w="1293"/>
        <w:gridCol w:w="1072"/>
        <w:gridCol w:w="3660"/>
        <w:gridCol w:w="5681"/>
        <w:gridCol w:w="992"/>
        <w:gridCol w:w="848"/>
      </w:tblGrid>
      <w:tr>
        <w:tblPrEx>
          <w:tblCellMar>
            <w:top w:w="0" w:type="dxa"/>
            <w:left w:w="108" w:type="dxa"/>
            <w:bottom w:w="0" w:type="dxa"/>
            <w:right w:w="108" w:type="dxa"/>
          </w:tblCellMar>
        </w:tblPrEx>
        <w:trPr>
          <w:trHeight w:val="373" w:hRule="atLeast"/>
          <w:tblHeader/>
        </w:trPr>
        <w:tc>
          <w:tcPr>
            <w:tcW w:w="2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45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用印日期</w:t>
            </w:r>
          </w:p>
        </w:tc>
        <w:tc>
          <w:tcPr>
            <w:tcW w:w="37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印鉴名称</w:t>
            </w:r>
          </w:p>
        </w:tc>
        <w:tc>
          <w:tcPr>
            <w:tcW w:w="129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用印事由</w:t>
            </w:r>
          </w:p>
        </w:tc>
        <w:tc>
          <w:tcPr>
            <w:tcW w:w="200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用印材料及份数</w:t>
            </w:r>
          </w:p>
        </w:tc>
        <w:tc>
          <w:tcPr>
            <w:tcW w:w="35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经办部门</w:t>
            </w:r>
          </w:p>
        </w:tc>
        <w:tc>
          <w:tcPr>
            <w:tcW w:w="300"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经办人</w:t>
            </w:r>
          </w:p>
        </w:tc>
      </w:tr>
      <w:tr>
        <w:tblPrEx>
          <w:tblCellMar>
            <w:top w:w="0" w:type="dxa"/>
            <w:left w:w="108" w:type="dxa"/>
            <w:bottom w:w="0" w:type="dxa"/>
            <w:right w:w="108" w:type="dxa"/>
          </w:tblCellMar>
        </w:tblPrEx>
        <w:trPr>
          <w:trHeight w:val="78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中国银行按揭立项</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营业执照复印件（2份）、法人身份证复印件（2份）、成都青凌亘心房地产开发有限责任公司股东决定（2份）、准予变更登记通知书（2份）、林芝恒大旅游发展有限公司（2份）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吕平</w:t>
            </w:r>
          </w:p>
        </w:tc>
      </w:tr>
      <w:tr>
        <w:tblPrEx>
          <w:tblCellMar>
            <w:top w:w="0" w:type="dxa"/>
            <w:left w:w="108" w:type="dxa"/>
            <w:bottom w:w="0" w:type="dxa"/>
            <w:right w:w="108" w:type="dxa"/>
          </w:tblCellMar>
        </w:tblPrEx>
        <w:trPr>
          <w:trHeight w:val="104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公积金立项资料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成都市湾白江区规划和自然资源局关于尽快缴纳土地出让价款的通知（2份）、土地款缴纳凭证（2份)、2021年3月资产负债表（2份）、2021年3月利润表（2份）、2021年3月现金流量表（2份）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曳引驱动电梯安全备案资料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曳引驱动电梯施工自检报告（2份）、质量技术监督员证复印件（2份)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刘仁伟</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申请确认函(修改与中诚合作协议）</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申请确认函（2份）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r>
      <w:tr>
        <w:tblPrEx>
          <w:tblCellMar>
            <w:top w:w="0" w:type="dxa"/>
            <w:left w:w="108" w:type="dxa"/>
            <w:bottom w:w="0" w:type="dxa"/>
            <w:right w:w="108" w:type="dxa"/>
          </w:tblCellMar>
        </w:tblPrEx>
        <w:trPr>
          <w:trHeight w:val="15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预售资料及网签权限开通申请资料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介绍信（3份）、总平图（3份）、国有建设用地项目履约协议书复印件（3份）、销售人员资格证书（4份）、商品方预售方案附件（3份）、房屋建筑面积测绘成果报告复印件（3份）、房屋建筑面积计算（1份）、工程建设及资金使用计划表（1份）、恒大云锦华庭项目1#、3#、6#、8#号楼预售申请（3份）、成都市商品房预售许可申请表（3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董绍飞</w:t>
            </w:r>
          </w:p>
        </w:tc>
      </w:tr>
      <w:tr>
        <w:tblPrEx>
          <w:tblCellMar>
            <w:top w:w="0" w:type="dxa"/>
            <w:left w:w="108" w:type="dxa"/>
            <w:bottom w:w="0" w:type="dxa"/>
            <w:right w:w="108" w:type="dxa"/>
          </w:tblCellMar>
        </w:tblPrEx>
        <w:trPr>
          <w:trHeight w:val="15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建设银行立项资料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2018年12月资产负债表（2份）、2018年12月利润表（2份）、2018年12月现金流量表（2份）、2019年12月资产负债表（2份）、2019年12月利润表（2份）、2019年12月现金流量表（2份）、2020年12月资产负债表（2份）、2020年12月利润表（2份）、2020年12月现金流量表（2份）、土地款缴纳凭证（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杨玲</w:t>
            </w:r>
          </w:p>
        </w:tc>
      </w:tr>
      <w:tr>
        <w:tblPrEx>
          <w:tblCellMar>
            <w:top w:w="0" w:type="dxa"/>
            <w:left w:w="108" w:type="dxa"/>
            <w:bottom w:w="0" w:type="dxa"/>
            <w:right w:w="108" w:type="dxa"/>
          </w:tblCellMar>
        </w:tblPrEx>
        <w:trPr>
          <w:trHeight w:val="78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农行按揭立项资料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印章说明（1份）、公司预留印鉴（1份）、饶丹丹简历（1份）、饶丹丹身份证复印件（1份）、法人简历（张阳）（1份）、中国农业银行按揭楼盘合作申请书（1份）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王睿</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信用诚信承诺书</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信用诚信承诺书（1份）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林霄</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成都恒大云锦华庭项目证明函（营销广告代投放）</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成都恒大云锦华庭项目证明函（营销广告代投放）（1份）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苗亚娟</w:t>
            </w:r>
          </w:p>
        </w:tc>
      </w:tr>
      <w:tr>
        <w:tblPrEx>
          <w:tblCellMar>
            <w:top w:w="0" w:type="dxa"/>
            <w:left w:w="108" w:type="dxa"/>
            <w:bottom w:w="0" w:type="dxa"/>
            <w:right w:w="108" w:type="dxa"/>
          </w:tblCellMar>
        </w:tblPrEx>
        <w:trPr>
          <w:trHeight w:val="104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土地款缴款凭证复印件及项目情况说明（公积金立项资料）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情况说明（1份）、成都市青白江区规划和自然资源局关于尽快缴纳土地出让价款的通知（1份）、成都市拍卖出让国有建设用地使用权成交确认书（1份）、土地款缴纳凭证（5份）、拍卖土地交易发票（1份）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3#楼预售许可证办理资料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恒大云锦华庭项目3#号楼预售申请（1份）、成都市预售许可申请表（价格备案申请）（1份）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董绍飞</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公积金立项资料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抵押合同复印件（1份）、债务确认协议复印件（1份）、土地估价报告（1份）、委托书（2份）、不动产权证复印件（1份）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pos机办理用印资料（监管户民生银行3800账户）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中国民生银行特约商户终端增减/功能变更申请表（1份）、情况说明（1份）、中国民生银行乐收银业务申请表（1份）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李瑶瑶</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按揭贷款企业征信查询</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企业征信授权书（2份）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杨刚</w:t>
            </w:r>
          </w:p>
        </w:tc>
      </w:tr>
      <w:tr>
        <w:tblPrEx>
          <w:tblCellMar>
            <w:top w:w="0" w:type="dxa"/>
            <w:left w:w="108" w:type="dxa"/>
            <w:bottom w:w="0" w:type="dxa"/>
            <w:right w:w="108" w:type="dxa"/>
          </w:tblCellMar>
        </w:tblPrEx>
        <w:trPr>
          <w:trHeight w:val="130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2021-4-19</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关于申请中诚信托出具同意预售函的申请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关于办理成都恒大云锦华庭项目首期住宅楼预售许可证的申请  （2份）、成都恒大云锦华庭监理月报复印件（2份） 、成都恒大云锦华庭不动产权证复印件（2份） 、建设用地许可证复印件（2份）、建设工程规划许可证（2份）、建设工程施工许可证（2份）、关于开具发票的申请 （2份）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办理8#楼预售及资质延期</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介绍信（1份） 、8号楼预售证申请表 （1份） 、成都市商品房预售许可申请表（1份）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董绍飞</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工行银行3194账户对账单</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对账单（1份）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林玉清</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兴业银行按揭协议及公积金网上贷款服务平台使用协议</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兴业银行按揭协议（2份）、公积金网上贷款服务平台使用协议（2份）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2021-4-21</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云锦华庭项目地址情况说明</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情况说明（1份）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李瑶遥</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2021-4-21</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工商银行春熙支行网银权限设置</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授权委托书（2份）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赵勤</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土地款滞纳金中级人民法院结案通知书</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结案通知书（10份）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一手房贷款业务银企合作协议</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一手房贷款业务银企合作协议（4份）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王睿</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成都恒大云锦华庭项目抖音认证公函</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企业认证公函（1份）、营业执照复印件（1份）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何双秀</w:t>
            </w:r>
          </w:p>
        </w:tc>
      </w:tr>
      <w:tr>
        <w:tblPrEx>
          <w:tblCellMar>
            <w:top w:w="0" w:type="dxa"/>
            <w:left w:w="108" w:type="dxa"/>
            <w:bottom w:w="0" w:type="dxa"/>
            <w:right w:w="108" w:type="dxa"/>
          </w:tblCellMar>
        </w:tblPrEx>
        <w:trPr>
          <w:trHeight w:val="78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预售证公建配套资料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恒大云锦华庭项目情况说明（1份）、自持等房屋明细表（1份）、法人身份证复印件（1份）、建设工程施工许可证（1份）、授权委托书（1份）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林霄</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POS机办理资料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营业执照复印件（1份)、法人身份证复印件(1份）、开户许可证（1份)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孙晴</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单位用户业务办理委托书（电信业务）</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单位用户业务办理委托书（1份）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何双秀</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云锦华庭项目房车宝营销服务合作协议</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房车宝营销服务合作协议</w:t>
            </w:r>
            <w:r>
              <w:rPr>
                <w:rFonts w:hint="eastAsia" w:ascii="Arial" w:hAnsi="Arial" w:cs="Arial"/>
                <w:color w:val="000000"/>
                <w:kern w:val="0"/>
                <w:sz w:val="18"/>
                <w:szCs w:val="18"/>
              </w:rPr>
              <w:t>（4份）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张兴强</w:t>
            </w:r>
          </w:p>
        </w:tc>
      </w:tr>
      <w:tr>
        <w:tblPrEx>
          <w:tblCellMar>
            <w:top w:w="0" w:type="dxa"/>
            <w:left w:w="108" w:type="dxa"/>
            <w:bottom w:w="0" w:type="dxa"/>
            <w:right w:w="108" w:type="dxa"/>
          </w:tblCellMar>
        </w:tblPrEx>
        <w:trPr>
          <w:trHeight w:val="130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预售证及资质资料、公建配套延期交付申请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市商品房预售许可申请表（2份）、施工合同及资金投入承诺书（1份）、地下机动车位租售方案（1份）、担保承诺书（1份）、关于恒大云锦华庭地下公共停车位延期交付的申请（1份）、关于恒大云锦华庭开闭所延期交付的申请（1份）、关于恒大云锦华庭公共绿地延期交付的申请（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董绍飞</w:t>
            </w:r>
          </w:p>
        </w:tc>
      </w:tr>
      <w:tr>
        <w:tblPrEx>
          <w:tblCellMar>
            <w:top w:w="0" w:type="dxa"/>
            <w:left w:w="108" w:type="dxa"/>
            <w:bottom w:w="0" w:type="dxa"/>
            <w:right w:w="108" w:type="dxa"/>
          </w:tblCellMar>
        </w:tblPrEx>
        <w:trPr>
          <w:trHeight w:val="130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2021-4-26</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办理预售证</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号楼测绘报告封面及面积页（6份）、1号楼房屋估价委托书（2份）、6号楼房屋估价委托书（2份）、8号楼房屋估价委托书（2份）、1号楼关于房屋交付标准的说明（2份）、6号楼关于房屋交付标准的说明（2份）、8号楼关于房屋交付标准的说明（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高大钧</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2021-4-26</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收据500份（3324001-3324500）</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收据（500份）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张丽</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2021-4-26</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关于恒大云锦华庭配建公共配套设施延期交付的申请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关于恒大云锦华庭配建公共配套设施延期交付的申请（2份）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高大钧</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2021-4-26</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办理POS机器的地址情况说明</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情况说明</w:t>
            </w:r>
            <w:r>
              <w:rPr>
                <w:rFonts w:hint="eastAsia" w:ascii="Arial" w:hAnsi="Arial" w:cs="Arial"/>
                <w:color w:val="000000"/>
                <w:kern w:val="0"/>
                <w:sz w:val="18"/>
                <w:szCs w:val="18"/>
              </w:rPr>
              <w:t>（1份）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r>
      <w:tr>
        <w:tblPrEx>
          <w:tblCellMar>
            <w:top w:w="0" w:type="dxa"/>
            <w:left w:w="108" w:type="dxa"/>
            <w:bottom w:w="0" w:type="dxa"/>
            <w:right w:w="108" w:type="dxa"/>
          </w:tblCellMar>
        </w:tblPrEx>
        <w:trPr>
          <w:trHeight w:val="78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33</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2021-4-27</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成都市商品房预售款三方监管协议、青白江区《商品房预售款三方监管协议》审核表</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成都市商品房预售款三方监管协议（3份）、青白江区《商品房预售款三方监管协议》审核表（3份）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高大钧</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34</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2021-4-27</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预售许可申请表及项目情况说明</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云锦华庭预收申请情况说明20210104(2份)、情况说明（2份）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2021-4-28</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深基坑施工许可证复印件</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深基坑施工许可证复印件</w:t>
            </w:r>
            <w:r>
              <w:rPr>
                <w:rFonts w:hint="eastAsia" w:ascii="Arial" w:hAnsi="Arial" w:cs="Arial"/>
                <w:color w:val="000000"/>
                <w:kern w:val="0"/>
                <w:sz w:val="18"/>
                <w:szCs w:val="18"/>
              </w:rPr>
              <w:t>（1份）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林霄</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36</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2021-4-28</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资质复印件</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资质证正副本复印件（20份）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潘文斐</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37</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2021-4-29</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开盘摇公证、开盘活动报备、酒店协议签订资料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营业执照副本（3份）、摇号公证委托书（1份）、法人身份证复印件（1份）、委托人身份证复印件（1份）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何双秀</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38</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2021-4-30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个人住房（商业用房）借款业务协议</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个人住房（商业用房）借款业务协议(3份）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杨玲</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2021-4-30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个人住房（商业用房）借款最高额保证合同</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个人住房（商业用房）借款最高额保证合同(3份）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杨玲</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2021-4-30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收据（3326901-3327400）</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收据（500份）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章丽</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2021-4-30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nil"/>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成都市住房公积金个人住房贷款合作协议</w:t>
            </w:r>
          </w:p>
        </w:tc>
        <w:tc>
          <w:tcPr>
            <w:tcW w:w="2004" w:type="pct"/>
            <w:tcBorders>
              <w:top w:val="nil"/>
              <w:left w:val="nil"/>
              <w:bottom w:val="nil"/>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成都市住房公积金个人住房贷款合作协议（4份）</w:t>
            </w:r>
          </w:p>
        </w:tc>
        <w:tc>
          <w:tcPr>
            <w:tcW w:w="35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42</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2021-4-30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财务章</w:t>
            </w:r>
          </w:p>
        </w:tc>
        <w:tc>
          <w:tcPr>
            <w:tcW w:w="129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成都住房公积金贷款合作项目申请审批表及销售回款账户确认书</w:t>
            </w:r>
          </w:p>
        </w:tc>
        <w:tc>
          <w:tcPr>
            <w:tcW w:w="200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成都住房公积金贷款合作项目申请审批表（6份）、销售回款账户确认书（6份）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2021-4-30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关于网签导入相关按揭合作银行的申请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关于网签导入相关按揭合作银行的申请（1份）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程洁</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2021-4-30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成都住房公积金管理中心名单内开发企业所属公司认定表</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成都住房公积金管理中心名单内开发企业所属公司认定表（2份）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程洁</w:t>
            </w:r>
          </w:p>
        </w:tc>
      </w:tr>
      <w:tr>
        <w:tblPrEx>
          <w:tblCellMar>
            <w:top w:w="0" w:type="dxa"/>
            <w:left w:w="108" w:type="dxa"/>
            <w:bottom w:w="0" w:type="dxa"/>
            <w:right w:w="108" w:type="dxa"/>
          </w:tblCellMar>
        </w:tblPrEx>
        <w:trPr>
          <w:trHeight w:val="78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45</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2021-5-7</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1-7#号楼预售许可证资料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1-7#恒大云锦华庭项目预售申请（14份）、1-7#项目形象情况说明（14份）、恒大云锦华庭项目情况说明及自持等房屋明细表（14份）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46</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2021-5-7</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都恒大云锦华庭分中心调查情况说明（公积金立项）</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分中心调查情况说明（1份）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r>
      <w:tr>
        <w:tblPrEx>
          <w:tblCellMar>
            <w:top w:w="0" w:type="dxa"/>
            <w:left w:w="108" w:type="dxa"/>
            <w:bottom w:w="0" w:type="dxa"/>
            <w:right w:w="108" w:type="dxa"/>
          </w:tblCellMar>
        </w:tblPrEx>
        <w:trPr>
          <w:trHeight w:val="130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2021-5-7</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公建配套延期交付申请书、土地查档、1-7#预售许可申请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许可申请表（3份）、公建配套延期交付申请书（8份）、云锦华庭滞纳金判决书（2份）、土地成交确认书（4份）、项目名称备案表（4份)、门牌地址证明（4份）、图审报告（4份）、介绍信（4份）、云锦华庭1-8#预测报告、土地查档介绍信（4份）、1#、6#、7#预售申请表（9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r>
      <w:tr>
        <w:tblPrEx>
          <w:tblCellMar>
            <w:top w:w="0" w:type="dxa"/>
            <w:left w:w="108" w:type="dxa"/>
            <w:bottom w:w="0" w:type="dxa"/>
            <w:right w:w="108" w:type="dxa"/>
          </w:tblCellMar>
        </w:tblPrEx>
        <w:trPr>
          <w:trHeight w:val="104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2021-5-8</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民生银行POS机办理资料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成都分行pos设备现场装机验收及培训工作单（2份)、成都分行收单商户巡检维护登记表（2份）、成都分行风险培训告知书（2份）、特约商户信息表（2份）、现场图片（3份）、收银机领用表（2份）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孙晴</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2021-5-8</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施工合同及资金投入承诺书、担保承诺书</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施工合同及资金投入承诺书（21份）、担保承诺书（成都豪骏房地产开发有限公司为本项目做质量担保）（21份）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8#项目销售价格明细表</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8#项目销售价格明细表（2份）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2021-5-10</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按揭贷款业务合作协议</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按揭贷款业务合作协议(2份）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罗亚倩</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2021-5-11</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按揭贷款合同26户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按揭贷款合同26户（26份）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王睿</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53</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2021-5-12</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5月资金计划</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5月资金计划（1份）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2021-5-12</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按揭合同27户及预售许可证复印件</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按揭合同27户（27份）、预售许可证复印件（2份）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罗亚倩</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商品买卖合同14户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商品买卖合同14户（28份）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2021-5-13</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成都恒大云锦华庭首期基坑支护及降排水工程施工合同补充协议6</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成都恒大云锦华庭首期基坑支护及降排水工程施工合同补充协议6（4份）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招采部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王强</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57</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2021-5-14</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成都恒大云锦华庭首期防水卷材供货工程采购合同赶工奖支付协议</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成都恒大云锦华庭首期防水卷材供货工程采购合同赶工奖支付协议（4份）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招采部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王强</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58</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2021-5-17</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2021年4月财务报表</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资产负债表（1份）、利润表（1份）、现金流量表（1份）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杨柳</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2021-5-17</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商品买卖合同10户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商品买卖合同10户（20份）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2021-5-17</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房车宝服务费结算标准单</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房车宝服务费结算标准单（2份）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陈云婷</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61</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2021-5-17</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r>
              <w:rPr>
                <w:rFonts w:ascii="Arial" w:hAnsi="Arial" w:cs="Arial"/>
                <w:color w:val="000000"/>
                <w:kern w:val="0"/>
                <w:sz w:val="18"/>
                <w:szCs w:val="18"/>
              </w:rPr>
              <w:br w:type="textWrapping"/>
            </w:r>
            <w:r>
              <w:rPr>
                <w:rFonts w:ascii="Arial" w:hAnsi="Arial" w:cs="Arial"/>
                <w:color w:val="000000"/>
                <w:kern w:val="0"/>
                <w:sz w:val="18"/>
                <w:szCs w:val="18"/>
              </w:rPr>
              <w:t>法人章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资金使用申请表（支付中铁二局工程款400万）</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资金使用申请表（2份）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62</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2021-5-18</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按揭贷款合同2户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按揭贷款合同2户（10份）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王睿</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2021-5-18</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商品买卖合同1户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商品买卖合同1户（2份）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2021-5-18</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云锦华庭预售情况说明</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情况说明（3份）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65</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2021-5-18</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项目地址情况说明及民生银行POS机增加子账号申请资料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情况说明（2份）、民生银行收银业务申请表（2份）、商户终端增加/变更申请表（2份）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李瑶遥</w:t>
            </w:r>
          </w:p>
        </w:tc>
      </w:tr>
      <w:tr>
        <w:tblPrEx>
          <w:tblCellMar>
            <w:top w:w="0" w:type="dxa"/>
            <w:left w:w="108" w:type="dxa"/>
            <w:bottom w:w="0" w:type="dxa"/>
            <w:right w:w="108" w:type="dxa"/>
          </w:tblCellMar>
        </w:tblPrEx>
        <w:trPr>
          <w:trHeight w:val="104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66</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2021-5-19</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《成都恒大云锦华庭首期（1-8#、17-23#楼）消防工程施工合同》补充协议（二）及《成都恒大云锦华庭综合楼泳池设备安装工程施工合同》补充协议2</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《成都恒大云锦华庭首期（1-8#、17-23#楼）消防工程施工合同》补充协议（二）（4份）、《成都恒大云锦华庭综合楼泳池设备安装工程施工合同》补充协议2（4份）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招采部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包广畅</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2021-5-19</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云锦华庭项目抵押情况说明</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情况说明（1份)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2021-5-19</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《成都恒大云锦华庭首期主体及配套建设工程施工合同》补充 协议(六)</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《成都恒大云锦华庭首期主体及配套建设工程施工合同》补充 协议(六)（4份）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招采部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王强</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69</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2021-5-21</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商品买卖合同1户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商品买卖合同（15份）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潘译娴</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2021-5-21</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兴业银行按揭合同23户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按揭合同（69份）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2021-5-24</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成都恒大云锦华庭项目首期基坑支护BCDE段现状安全性技术鉴定工程</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成都恒大云锦华庭项目首期基坑支护BCDE段现状安全性技术鉴定工程(4份）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招采部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王强</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72</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2021-5-24</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电信业务增值税发票委托书及开票信息</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电信业务增值税发票委托书（1份)、开票信息表（1份)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行政部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陈林</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73</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云锦华庭预售监管情况表和在售项目自查表</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云锦华庭预售监管情况表（1份）、在售项目自查表（1份）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云锦华庭临时样板房支付协议</w:t>
            </w:r>
          </w:p>
        </w:tc>
        <w:tc>
          <w:tcPr>
            <w:tcW w:w="2004" w:type="pct"/>
            <w:tcBorders>
              <w:top w:val="nil"/>
              <w:left w:val="nil"/>
              <w:bottom w:val="nil"/>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关于《成都恒大云锦华庭临时样板房装修工程施工合同》的赶 工奖支付协议（一）(4份）</w:t>
            </w:r>
          </w:p>
        </w:tc>
        <w:tc>
          <w:tcPr>
            <w:tcW w:w="350"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招采部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蒲丽娟</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云锦华庭首期铝合金门窗安装工程施工合同</w:t>
            </w:r>
          </w:p>
        </w:tc>
        <w:tc>
          <w:tcPr>
            <w:tcW w:w="200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云锦华庭首期铝合金门窗安装工程施工合同(4份）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招采部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张莉</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76</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云锦华庭首期铝合金门窗安装工程施工合同补充协议1</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云锦华庭首期铝合金门窗安装工程施工合同补充协议1(4份）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招采部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张莉</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成都恒大云锦华庭首期铝合金门窗购销合同</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成都恒大云锦华庭首期铝合金门窗购销合同(4份）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招采部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张莉</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成都恒大云锦华庭首期铝合金门窗购销合同补充协议1</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成都恒大云锦华庭首期铝合金门窗购销合同补充协议1（4份）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招采部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张莉</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79</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成都恒大云锦华庭中心园林围墙包装项目美陈包装制作及安装合同</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成都恒大云锦华庭中心园林围墙包装项目美陈包装制作及安装合同(4份）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廖强</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2021-5-25</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公积金预抵押资料</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预购商品房预告登记约定（400份）、委托书（400份）、营业执照复印件（200份）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郭利君</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81</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2021-5-27</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销售台账、6月资金计划、应付未付说明函</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销售台账（2份）、6月资金计划（2份）、应付未付说明函（2份）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资金部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黄登清</w:t>
            </w:r>
          </w:p>
        </w:tc>
      </w:tr>
      <w:tr>
        <w:tblPrEx>
          <w:tblCellMar>
            <w:top w:w="0" w:type="dxa"/>
            <w:left w:w="108" w:type="dxa"/>
            <w:bottom w:w="0" w:type="dxa"/>
            <w:right w:w="108" w:type="dxa"/>
          </w:tblCellMar>
        </w:tblPrEx>
        <w:trPr>
          <w:trHeight w:val="26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82</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2021-5-28</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商品买卖合同4户</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商品买卖合同（60份）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李丹</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83</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2021-5-28</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筑市场信息系统密码找回申请及工程委托书</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筑市场信息系统密码找回申请情况说明（2份）、工程委托书（3份)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工程部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郑杰</w:t>
            </w:r>
          </w:p>
        </w:tc>
      </w:tr>
      <w:tr>
        <w:tblPrEx>
          <w:tblCellMar>
            <w:top w:w="0" w:type="dxa"/>
            <w:left w:w="108" w:type="dxa"/>
            <w:bottom w:w="0" w:type="dxa"/>
            <w:right w:w="108" w:type="dxa"/>
          </w:tblCellMar>
        </w:tblPrEx>
        <w:trPr>
          <w:trHeight w:val="78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84</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2021-5-31</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发建委预售监管资金支取用于支付民工专户申请表及预售监管资金不明入账说明</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发建委预售监管资金支取用于支付民工专户申请表（2份）、预售监管资金不明入账说明（2份）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开发部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董少飞</w:t>
            </w:r>
          </w:p>
        </w:tc>
      </w:tr>
      <w:tr>
        <w:tblPrEx>
          <w:tblCellMar>
            <w:top w:w="0" w:type="dxa"/>
            <w:left w:w="108" w:type="dxa"/>
            <w:bottom w:w="0" w:type="dxa"/>
            <w:right w:w="108" w:type="dxa"/>
          </w:tblCellMar>
        </w:tblPrEx>
        <w:trPr>
          <w:trHeight w:val="520" w:hRule="atLeast"/>
        </w:trPr>
        <w:tc>
          <w:tcPr>
            <w:tcW w:w="2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85</w:t>
            </w:r>
          </w:p>
        </w:tc>
        <w:tc>
          <w:tcPr>
            <w:tcW w:w="45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2021-5-31</w:t>
            </w:r>
          </w:p>
        </w:tc>
        <w:tc>
          <w:tcPr>
            <w:tcW w:w="3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公章</w:t>
            </w:r>
          </w:p>
        </w:tc>
        <w:tc>
          <w:tcPr>
            <w:tcW w:w="12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成都恒大云锦华庭奇幻魔术节活动执行合同</w:t>
            </w:r>
          </w:p>
        </w:tc>
        <w:tc>
          <w:tcPr>
            <w:tcW w:w="200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成都恒大云锦华庭奇幻魔术节活动执行合同(4份）</w:t>
            </w:r>
          </w:p>
        </w:tc>
        <w:tc>
          <w:tcPr>
            <w:tcW w:w="35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营销部</w:t>
            </w:r>
          </w:p>
        </w:tc>
        <w:tc>
          <w:tcPr>
            <w:tcW w:w="300"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何双秀</w:t>
            </w:r>
          </w:p>
        </w:tc>
      </w:tr>
    </w:tbl>
    <w:p>
      <w:p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Fonts w:ascii="Arial" w:hAnsi="Arial" w:cs="Arial"/>
          <w:b/>
          <w:bCs/>
          <w:sz w:val="24"/>
        </w:rPr>
      </w:pPr>
      <w:bookmarkStart w:id="36" w:name="_Toc19039"/>
      <w:bookmarkStart w:id="37" w:name="_Toc532281661"/>
      <w:bookmarkStart w:id="38" w:name="_Toc22811"/>
      <w:bookmarkStart w:id="39" w:name="_Toc535580095"/>
      <w:bookmarkStart w:id="40" w:name="_Toc535508640"/>
      <w:bookmarkStart w:id="41" w:name="_Toc535580027"/>
      <w:bookmarkStart w:id="42" w:name="_Toc535570754"/>
      <w:bookmarkStart w:id="43" w:name="_Toc37668497"/>
      <w:bookmarkStart w:id="44" w:name="_Toc73692210"/>
      <w:r>
        <w:rPr>
          <w:rFonts w:hint="eastAsia" w:ascii="Arial" w:hAnsi="Arial" w:cs="Arial"/>
          <w:b/>
          <w:bCs/>
          <w:sz w:val="24"/>
        </w:rPr>
        <w:t>5合同签订情况</w:t>
      </w:r>
      <w:bookmarkEnd w:id="36"/>
      <w:bookmarkEnd w:id="37"/>
      <w:bookmarkEnd w:id="38"/>
      <w:bookmarkEnd w:id="39"/>
      <w:bookmarkEnd w:id="40"/>
      <w:bookmarkEnd w:id="41"/>
      <w:bookmarkEnd w:id="42"/>
      <w:bookmarkEnd w:id="43"/>
      <w:bookmarkEnd w:id="44"/>
    </w:p>
    <w:p>
      <w:pPr>
        <w:pStyle w:val="12"/>
        <w:spacing w:after="0" w:line="480" w:lineRule="auto"/>
        <w:ind w:firstLineChars="200"/>
        <w:rPr>
          <w:rFonts w:ascii="Arial" w:hAnsi="Arial" w:cs="Arial"/>
          <w:bCs/>
          <w:kern w:val="44"/>
          <w:szCs w:val="21"/>
        </w:rPr>
      </w:pPr>
      <w:r>
        <w:rPr>
          <w:rFonts w:hint="eastAsia" w:ascii="Arial" w:hAnsi="Arial" w:cs="Arial"/>
          <w:bCs/>
          <w:kern w:val="44"/>
          <w:szCs w:val="21"/>
        </w:rPr>
        <w:t>截至202</w:t>
      </w:r>
      <w:r>
        <w:rPr>
          <w:rFonts w:ascii="Arial" w:hAnsi="Arial" w:cs="Arial"/>
          <w:bCs/>
          <w:kern w:val="44"/>
          <w:szCs w:val="21"/>
        </w:rPr>
        <w:t>1</w:t>
      </w:r>
      <w:r>
        <w:rPr>
          <w:rFonts w:hint="eastAsia" w:ascii="Arial" w:hAnsi="Arial" w:cs="Arial"/>
          <w:bCs/>
          <w:kern w:val="44"/>
          <w:szCs w:val="21"/>
        </w:rPr>
        <w:t>年</w:t>
      </w:r>
      <w:r>
        <w:rPr>
          <w:rFonts w:ascii="Arial" w:hAnsi="Arial" w:cs="Arial"/>
          <w:bCs/>
          <w:kern w:val="44"/>
          <w:szCs w:val="21"/>
        </w:rPr>
        <w:t>5</w:t>
      </w:r>
      <w:r>
        <w:rPr>
          <w:rFonts w:hint="eastAsia" w:ascii="Arial" w:hAnsi="Arial" w:cs="Arial"/>
          <w:bCs/>
          <w:kern w:val="44"/>
          <w:szCs w:val="21"/>
        </w:rPr>
        <w:t>月3</w:t>
      </w:r>
      <w:r>
        <w:rPr>
          <w:rFonts w:ascii="Arial" w:hAnsi="Arial" w:cs="Arial"/>
          <w:bCs/>
          <w:kern w:val="44"/>
          <w:szCs w:val="21"/>
        </w:rPr>
        <w:t>1</w:t>
      </w:r>
      <w:r>
        <w:rPr>
          <w:rFonts w:hint="eastAsia" w:ascii="Arial" w:hAnsi="Arial" w:cs="Arial"/>
          <w:bCs/>
          <w:kern w:val="44"/>
          <w:szCs w:val="21"/>
        </w:rPr>
        <w:t>日，项目公司共签订合同</w:t>
      </w:r>
      <w:r>
        <w:rPr>
          <w:rFonts w:ascii="Arial" w:hAnsi="Arial" w:cs="Arial"/>
          <w:bCs/>
          <w:kern w:val="44"/>
          <w:szCs w:val="21"/>
        </w:rPr>
        <w:t>15</w:t>
      </w:r>
      <w:r>
        <w:rPr>
          <w:rFonts w:hint="eastAsia" w:ascii="Arial" w:hAnsi="Arial" w:cs="Arial"/>
          <w:bCs/>
          <w:kern w:val="44"/>
          <w:szCs w:val="21"/>
        </w:rPr>
        <w:t>份，详见合同</w:t>
      </w:r>
      <w:bookmarkStart w:id="45" w:name="_Hlk40046665"/>
      <w:r>
        <w:rPr>
          <w:rFonts w:hint="eastAsia" w:ascii="Arial" w:hAnsi="Arial" w:cs="Arial"/>
          <w:bCs/>
          <w:kern w:val="44"/>
          <w:szCs w:val="21"/>
        </w:rPr>
        <w:t>签订情况</w:t>
      </w:r>
      <w:bookmarkEnd w:id="45"/>
      <w:r>
        <w:rPr>
          <w:rFonts w:hint="eastAsia" w:ascii="Arial" w:hAnsi="Arial" w:cs="Arial"/>
          <w:bCs/>
          <w:kern w:val="44"/>
          <w:szCs w:val="21"/>
        </w:rPr>
        <w:t>表：</w:t>
      </w:r>
    </w:p>
    <w:p>
      <w:pPr>
        <w:spacing w:before="312" w:beforeLines="100"/>
        <w:jc w:val="center"/>
        <w:rPr>
          <w:rFonts w:ascii="Arial" w:hAnsi="Arial" w:cs="Arial"/>
          <w:b/>
          <w:bCs/>
          <w:kern w:val="44"/>
          <w:sz w:val="24"/>
        </w:rPr>
      </w:pPr>
      <w:r>
        <w:rPr>
          <w:rFonts w:hint="eastAsia" w:ascii="Arial" w:hAnsi="Arial" w:cs="Arial"/>
          <w:b/>
          <w:bCs/>
          <w:kern w:val="44"/>
          <w:sz w:val="24"/>
        </w:rPr>
        <w:t>202</w:t>
      </w:r>
      <w:r>
        <w:rPr>
          <w:rFonts w:ascii="Arial" w:hAnsi="Arial" w:cs="Arial"/>
          <w:b/>
          <w:bCs/>
          <w:kern w:val="44"/>
          <w:sz w:val="24"/>
        </w:rPr>
        <w:t>1</w:t>
      </w:r>
      <w:r>
        <w:rPr>
          <w:rFonts w:hint="eastAsia" w:ascii="Arial" w:hAnsi="Arial" w:cs="Arial"/>
          <w:b/>
          <w:bCs/>
          <w:kern w:val="44"/>
          <w:sz w:val="24"/>
        </w:rPr>
        <w:t>年</w:t>
      </w:r>
      <w:r>
        <w:rPr>
          <w:rFonts w:ascii="Arial" w:hAnsi="Arial" w:cs="Arial"/>
          <w:b/>
          <w:bCs/>
          <w:kern w:val="44"/>
          <w:sz w:val="24"/>
        </w:rPr>
        <w:t>4-5</w:t>
      </w:r>
      <w:r>
        <w:rPr>
          <w:rFonts w:hint="eastAsia" w:ascii="Arial" w:hAnsi="Arial" w:cs="Arial"/>
          <w:b/>
          <w:bCs/>
          <w:kern w:val="44"/>
          <w:sz w:val="24"/>
        </w:rPr>
        <w:t>月合同签订情况</w:t>
      </w:r>
    </w:p>
    <w:tbl>
      <w:tblPr>
        <w:tblStyle w:val="13"/>
        <w:tblW w:w="5000" w:type="pct"/>
        <w:tblInd w:w="0" w:type="dxa"/>
        <w:tblLayout w:type="autofit"/>
        <w:tblCellMar>
          <w:top w:w="0" w:type="dxa"/>
          <w:left w:w="108" w:type="dxa"/>
          <w:bottom w:w="0" w:type="dxa"/>
          <w:right w:w="108" w:type="dxa"/>
        </w:tblCellMar>
      </w:tblPr>
      <w:tblGrid>
        <w:gridCol w:w="417"/>
        <w:gridCol w:w="1037"/>
        <w:gridCol w:w="1838"/>
        <w:gridCol w:w="1017"/>
        <w:gridCol w:w="1617"/>
        <w:gridCol w:w="1523"/>
        <w:gridCol w:w="2539"/>
        <w:gridCol w:w="2817"/>
        <w:gridCol w:w="1369"/>
      </w:tblGrid>
      <w:tr>
        <w:tblPrEx>
          <w:tblCellMar>
            <w:top w:w="0" w:type="dxa"/>
            <w:left w:w="108" w:type="dxa"/>
            <w:bottom w:w="0" w:type="dxa"/>
            <w:right w:w="108" w:type="dxa"/>
          </w:tblCellMar>
        </w:tblPrEx>
        <w:trPr>
          <w:trHeight w:val="360" w:hRule="atLeast"/>
          <w:tblHeader/>
        </w:trPr>
        <w:tc>
          <w:tcPr>
            <w:tcW w:w="147"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65"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用印日期</w:t>
            </w:r>
          </w:p>
        </w:tc>
        <w:tc>
          <w:tcPr>
            <w:tcW w:w="64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合同编号</w:t>
            </w:r>
          </w:p>
        </w:tc>
        <w:tc>
          <w:tcPr>
            <w:tcW w:w="35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签约日期</w:t>
            </w:r>
          </w:p>
        </w:tc>
        <w:tc>
          <w:tcPr>
            <w:tcW w:w="57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对方单位</w:t>
            </w:r>
          </w:p>
        </w:tc>
        <w:tc>
          <w:tcPr>
            <w:tcW w:w="538"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合同文件名称</w:t>
            </w:r>
          </w:p>
        </w:tc>
        <w:tc>
          <w:tcPr>
            <w:tcW w:w="896"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合同内容</w:t>
            </w:r>
          </w:p>
        </w:tc>
        <w:tc>
          <w:tcPr>
            <w:tcW w:w="99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付款节点</w:t>
            </w:r>
          </w:p>
        </w:tc>
        <w:tc>
          <w:tcPr>
            <w:tcW w:w="482"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合同金额（元）</w:t>
            </w:r>
          </w:p>
        </w:tc>
      </w:tr>
      <w:tr>
        <w:tblPrEx>
          <w:tblCellMar>
            <w:top w:w="0" w:type="dxa"/>
            <w:left w:w="108" w:type="dxa"/>
            <w:bottom w:w="0" w:type="dxa"/>
            <w:right w:w="108" w:type="dxa"/>
          </w:tblCellMar>
        </w:tblPrEx>
        <w:trPr>
          <w:trHeight w:val="364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2021/4/20</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恒川蓉租合字21[0.22-76]001</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2021/4/16</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洪建良、洪秀志</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房屋租赁合同</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甲方将位于成都市青白江区凤凰东四路222号恒大雅苑6栋2803号房，建筑面积约121.49m的房屋及附属设施、设备(以下简称“房屋”)出租给乙方用于日常使用、居住用途（自2021年3月20日交付对方，租赁期为一年）</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1、房屋含税月租金为1</w:t>
            </w:r>
            <w:r>
              <w:rPr>
                <w:rFonts w:hint="eastAsia" w:ascii="Arial" w:hAnsi="Arial" w:cs="Arial"/>
                <w:kern w:val="0"/>
                <w:sz w:val="18"/>
                <w:szCs w:val="18"/>
                <w:lang w:val="en-US" w:eastAsia="zh-CN"/>
              </w:rPr>
              <w:t>,</w:t>
            </w:r>
            <w:r>
              <w:rPr>
                <w:rFonts w:ascii="Arial" w:hAnsi="Arial" w:cs="Arial"/>
                <w:kern w:val="0"/>
                <w:sz w:val="18"/>
                <w:szCs w:val="18"/>
              </w:rPr>
              <w:t>752.5元，合同总额为21</w:t>
            </w:r>
            <w:r>
              <w:rPr>
                <w:rFonts w:hint="eastAsia" w:ascii="Arial" w:hAnsi="Arial" w:cs="Arial"/>
                <w:kern w:val="0"/>
                <w:sz w:val="18"/>
                <w:szCs w:val="18"/>
                <w:lang w:val="en-US" w:eastAsia="zh-CN"/>
              </w:rPr>
              <w:t>,</w:t>
            </w:r>
            <w:r>
              <w:rPr>
                <w:rFonts w:ascii="Arial" w:hAnsi="Arial" w:cs="Arial"/>
                <w:kern w:val="0"/>
                <w:sz w:val="18"/>
                <w:szCs w:val="18"/>
              </w:rPr>
              <w:t>030</w:t>
            </w:r>
            <w:r>
              <w:rPr>
                <w:rFonts w:hint="eastAsia" w:ascii="Arial" w:hAnsi="Arial" w:cs="Arial"/>
                <w:kern w:val="0"/>
                <w:sz w:val="18"/>
                <w:szCs w:val="18"/>
                <w:lang w:val="en-US" w:eastAsia="zh-CN"/>
              </w:rPr>
              <w:t>.00</w:t>
            </w:r>
            <w:r>
              <w:rPr>
                <w:rFonts w:ascii="Arial" w:hAnsi="Arial" w:cs="Arial"/>
                <w:kern w:val="0"/>
                <w:sz w:val="18"/>
                <w:szCs w:val="18"/>
              </w:rPr>
              <w:t>，大写人民币贰万壹仟零叁拾元整。押金1</w:t>
            </w:r>
            <w:r>
              <w:rPr>
                <w:rFonts w:hint="eastAsia" w:ascii="Arial" w:hAnsi="Arial" w:cs="Arial"/>
                <w:kern w:val="0"/>
                <w:sz w:val="18"/>
                <w:szCs w:val="18"/>
                <w:lang w:val="en-US" w:eastAsia="zh-CN"/>
              </w:rPr>
              <w:t>,</w:t>
            </w:r>
            <w:r>
              <w:rPr>
                <w:rFonts w:ascii="Arial" w:hAnsi="Arial" w:cs="Arial"/>
                <w:kern w:val="0"/>
                <w:sz w:val="18"/>
                <w:szCs w:val="18"/>
              </w:rPr>
              <w:t>789.5</w:t>
            </w:r>
            <w:r>
              <w:rPr>
                <w:rFonts w:hint="eastAsia" w:ascii="Arial" w:hAnsi="Arial" w:cs="Arial"/>
                <w:kern w:val="0"/>
                <w:sz w:val="18"/>
                <w:szCs w:val="18"/>
                <w:lang w:val="en-US" w:eastAsia="zh-CN"/>
              </w:rPr>
              <w:t>0</w:t>
            </w:r>
            <w:r>
              <w:rPr>
                <w:rFonts w:ascii="Arial" w:hAnsi="Arial" w:cs="Arial"/>
                <w:kern w:val="0"/>
                <w:sz w:val="18"/>
                <w:szCs w:val="18"/>
              </w:rPr>
              <w:t>元(该房屋为续租，押金已支付)。房屋租金分2次支付第一次支付时间为2021年4月30日，支付金额为10</w:t>
            </w:r>
            <w:r>
              <w:rPr>
                <w:rFonts w:hint="eastAsia" w:ascii="Arial" w:hAnsi="Arial" w:cs="Arial"/>
                <w:kern w:val="0"/>
                <w:sz w:val="18"/>
                <w:szCs w:val="18"/>
                <w:lang w:val="en-US" w:eastAsia="zh-CN"/>
              </w:rPr>
              <w:t>,</w:t>
            </w:r>
            <w:r>
              <w:rPr>
                <w:rFonts w:ascii="Arial" w:hAnsi="Arial" w:cs="Arial"/>
                <w:kern w:val="0"/>
                <w:sz w:val="18"/>
                <w:szCs w:val="18"/>
              </w:rPr>
              <w:t>515</w:t>
            </w:r>
            <w:r>
              <w:rPr>
                <w:rFonts w:hint="eastAsia" w:ascii="Arial" w:hAnsi="Arial" w:cs="Arial"/>
                <w:kern w:val="0"/>
                <w:sz w:val="18"/>
                <w:szCs w:val="18"/>
                <w:lang w:val="en-US" w:eastAsia="zh-CN"/>
              </w:rPr>
              <w:t>.00</w:t>
            </w:r>
            <w:r>
              <w:rPr>
                <w:rFonts w:ascii="Arial" w:hAnsi="Arial" w:cs="Arial"/>
                <w:kern w:val="0"/>
                <w:sz w:val="18"/>
                <w:szCs w:val="18"/>
              </w:rPr>
              <w:t>元:第二次支付时间为2021年9月19日，支付金额为10</w:t>
            </w:r>
            <w:r>
              <w:rPr>
                <w:rFonts w:hint="eastAsia" w:ascii="Arial" w:hAnsi="Arial" w:cs="Arial"/>
                <w:kern w:val="0"/>
                <w:sz w:val="18"/>
                <w:szCs w:val="18"/>
                <w:lang w:val="en-US" w:eastAsia="zh-CN"/>
              </w:rPr>
              <w:t>,</w:t>
            </w:r>
            <w:r>
              <w:rPr>
                <w:rFonts w:ascii="Arial" w:hAnsi="Arial" w:cs="Arial"/>
                <w:kern w:val="0"/>
                <w:sz w:val="18"/>
                <w:szCs w:val="18"/>
              </w:rPr>
              <w:t>515</w:t>
            </w:r>
            <w:r>
              <w:rPr>
                <w:rFonts w:hint="eastAsia" w:ascii="Arial" w:hAnsi="Arial" w:cs="Arial"/>
                <w:kern w:val="0"/>
                <w:sz w:val="18"/>
                <w:szCs w:val="18"/>
                <w:lang w:val="en-US" w:eastAsia="zh-CN"/>
              </w:rPr>
              <w:t>.00</w:t>
            </w:r>
            <w:r>
              <w:rPr>
                <w:rFonts w:ascii="Arial" w:hAnsi="Arial" w:cs="Arial"/>
                <w:kern w:val="0"/>
                <w:sz w:val="18"/>
                <w:szCs w:val="18"/>
              </w:rPr>
              <w:t>元。</w:t>
            </w:r>
            <w:r>
              <w:rPr>
                <w:rFonts w:ascii="Arial" w:hAnsi="Arial" w:cs="Arial"/>
                <w:kern w:val="0"/>
                <w:sz w:val="18"/>
                <w:szCs w:val="18"/>
              </w:rPr>
              <w:br w:type="textWrapping"/>
            </w:r>
            <w:r>
              <w:rPr>
                <w:rFonts w:ascii="Arial" w:hAnsi="Arial" w:cs="Arial"/>
                <w:kern w:val="0"/>
                <w:sz w:val="18"/>
                <w:szCs w:val="18"/>
              </w:rPr>
              <w:t>2、租金中不包含租赁期间的水电气费，前述费用由乙方自行承担。</w:t>
            </w:r>
            <w:r>
              <w:rPr>
                <w:rFonts w:ascii="Arial" w:hAnsi="Arial" w:cs="Arial"/>
                <w:kern w:val="0"/>
                <w:sz w:val="18"/>
                <w:szCs w:val="18"/>
              </w:rPr>
              <w:br w:type="textWrapping"/>
            </w:r>
            <w:r>
              <w:rPr>
                <w:rFonts w:ascii="Arial" w:hAnsi="Arial" w:cs="Arial"/>
                <w:kern w:val="0"/>
                <w:sz w:val="18"/>
                <w:szCs w:val="18"/>
              </w:rPr>
              <w:t>3、合同期满，乙方交还房屋后三日内，甲方将押金无息全额退还给乙方。如双方协商一致同意续签合同，押金退还时间顺延至续签合同期满乙方交还房屋时。</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21,030.00</w:t>
            </w:r>
          </w:p>
        </w:tc>
      </w:tr>
      <w:tr>
        <w:tblPrEx>
          <w:tblCellMar>
            <w:top w:w="0" w:type="dxa"/>
            <w:left w:w="108" w:type="dxa"/>
            <w:bottom w:w="0" w:type="dxa"/>
            <w:right w:w="108" w:type="dxa"/>
          </w:tblCellMar>
        </w:tblPrEx>
        <w:trPr>
          <w:trHeight w:val="494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2021/4/23</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恒川蓉广合字21[0.22-76]004</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2021/4/1</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四川房车宝信息科技有限公司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房车宝营销服务合作协议</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甲方针对目前正在开发建设的 成都恒大云锦华庭 项目（以下简称 “本项目”），指定乙方作为其营销服务提供方，服务期限为为 2021 年 4 月 1 日至 2021 年 12 月 31 日</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甲方于每月1日支付上个月11日至25日完成的《项目成功销售服务费确认单》的服务费，乙方应在26日提报甲方审核，甲方应于2日内完成审核工作，并由授权代表人签字或盖章，逾期未提出书面异议的，视为甲方已确认；同时乙方需开具等额有效的增值税发票，甲方在收到乙方开具的等额有效的增值税发票后应每月1日向乙方支付服务费。</w:t>
            </w:r>
            <w:r>
              <w:rPr>
                <w:rFonts w:ascii="Arial" w:hAnsi="Arial" w:cs="Arial"/>
                <w:kern w:val="0"/>
                <w:sz w:val="18"/>
                <w:szCs w:val="18"/>
              </w:rPr>
              <w:br w:type="textWrapping"/>
            </w:r>
            <w:r>
              <w:rPr>
                <w:rFonts w:ascii="Arial" w:hAnsi="Arial" w:cs="Arial"/>
                <w:kern w:val="0"/>
                <w:sz w:val="18"/>
                <w:szCs w:val="18"/>
              </w:rPr>
              <w:t>2.甲方于每月16日支付上个月26日至本月10日完成的《项目成功销售服务费确认单》的服务费，乙方应在11日提报甲方审核，甲方应于两日内完成审核工作，并由授权代表人签字或盖章，逾期未提出书面异议的，视为甲方已确认；同时乙方需开具等额有效的增值税发票，甲方在收到乙方开具的等额有效的增值税发票后应每月16日向乙方支付服务费。</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服务费=成交总价* 3.2%</w:t>
            </w:r>
          </w:p>
        </w:tc>
      </w:tr>
      <w:tr>
        <w:tblPrEx>
          <w:tblCellMar>
            <w:top w:w="0" w:type="dxa"/>
            <w:left w:w="108" w:type="dxa"/>
            <w:bottom w:w="0" w:type="dxa"/>
            <w:right w:w="108" w:type="dxa"/>
          </w:tblCellMar>
        </w:tblPrEx>
        <w:trPr>
          <w:trHeight w:val="130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3</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2021-5-13</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恒川蓉工合字21[0.22-76]18.003-6</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2021年5月11日</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四川科建地基基础工程有限公司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成都恒大云锦华庭首期基坑支护及降排水工程施工合同补充协议6</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乙方承接的《成都恒大云锦华庭首期基坑支护及降排水工程》的施工进度达到甲方设定的目标进度，甲方同意支付乙方赶工奖，具体赶工奖金额为：13162.14</w:t>
            </w:r>
            <w:r>
              <w:rPr>
                <w:rFonts w:hint="eastAsia" w:ascii="Arial" w:hAnsi="Arial" w:cs="Arial"/>
                <w:kern w:val="0"/>
                <w:sz w:val="18"/>
                <w:szCs w:val="18"/>
              </w:rPr>
              <w:t>元</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赶工奖随当期应付的工程款一次性支付给乙方</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13,162.14</w:t>
            </w:r>
          </w:p>
        </w:tc>
      </w:tr>
      <w:tr>
        <w:tblPrEx>
          <w:tblCellMar>
            <w:top w:w="0" w:type="dxa"/>
            <w:left w:w="108" w:type="dxa"/>
            <w:bottom w:w="0" w:type="dxa"/>
            <w:right w:w="108" w:type="dxa"/>
          </w:tblCellMar>
        </w:tblPrEx>
        <w:trPr>
          <w:trHeight w:val="130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4</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2021-5-14</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恒川蓉购合字21[0.22-76]003</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2021年5月14日</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北京市建国伟业防水材料有限公司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成都恒大云锦华庭首期防水卷材供货工程采购合同赶工奖支付协议</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乙方承接的《成都恒大云锦华庭首期防水卷材供货工程》的施工进度达到甲方设定的目标进度，甲方同意支付乙方赶工奖，具体赶工奖金额为：11420.92</w:t>
            </w:r>
            <w:r>
              <w:rPr>
                <w:rFonts w:hint="eastAsia" w:ascii="Arial" w:hAnsi="Arial" w:cs="Arial"/>
                <w:kern w:val="0"/>
                <w:sz w:val="18"/>
                <w:szCs w:val="18"/>
              </w:rPr>
              <w:t>元</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赶工奖随当期应付的工程款一次性支付给乙方</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11,420.92</w:t>
            </w:r>
          </w:p>
        </w:tc>
      </w:tr>
      <w:tr>
        <w:tblPrEx>
          <w:tblCellMar>
            <w:top w:w="0" w:type="dxa"/>
            <w:left w:w="108" w:type="dxa"/>
            <w:bottom w:w="0" w:type="dxa"/>
            <w:right w:w="108" w:type="dxa"/>
          </w:tblCellMar>
        </w:tblPrEx>
        <w:trPr>
          <w:trHeight w:val="130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5</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2021/5/17</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2021年5月6日</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四川房车宝信息科技有限公司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服务费结算标准单</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甲方对经乙方推荐的所有成功销售的房源按照实际成交总价的 3.2%向乙方支付服务费（含税）,结算标准有效期限自【2021】年【5 】月【6】日起至</w:t>
            </w:r>
            <w:r>
              <w:rPr>
                <w:rFonts w:ascii="Arial" w:hAnsi="Arial" w:cs="Arial"/>
                <w:kern w:val="0"/>
                <w:sz w:val="18"/>
                <w:szCs w:val="18"/>
              </w:rPr>
              <w:br w:type="textWrapping"/>
            </w:r>
            <w:r>
              <w:rPr>
                <w:rFonts w:ascii="Arial" w:hAnsi="Arial" w:cs="Arial"/>
                <w:kern w:val="0"/>
                <w:sz w:val="18"/>
                <w:szCs w:val="18"/>
              </w:rPr>
              <w:t>【2021】年【5】月【31】日止</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按月结算</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服务费=成交总价* 3.2%</w:t>
            </w:r>
          </w:p>
        </w:tc>
      </w:tr>
      <w:tr>
        <w:tblPrEx>
          <w:tblCellMar>
            <w:top w:w="0" w:type="dxa"/>
            <w:left w:w="108" w:type="dxa"/>
            <w:bottom w:w="0" w:type="dxa"/>
            <w:right w:w="108" w:type="dxa"/>
          </w:tblCellMar>
        </w:tblPrEx>
        <w:trPr>
          <w:trHeight w:val="130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6</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2021/5/19</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2021年5月12日</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四川成安消防工程有限公司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成都恒大云锦华庭首期（1-8#、17-23#楼）消防工程施工合同》补充协议（二 )</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鉴于乙方承接的《成都恒大云锦华庭首期（1-8#、17-23#楼）消防工程》的施工进度达到甲方设定的目标进度，甲方同意支付乙方赶工奖，具体赶工奖金额为：23,601.69</w:t>
            </w:r>
            <w:r>
              <w:rPr>
                <w:rFonts w:hint="eastAsia" w:ascii="Arial" w:hAnsi="Arial" w:cs="Arial"/>
                <w:kern w:val="0"/>
                <w:sz w:val="18"/>
                <w:szCs w:val="18"/>
              </w:rPr>
              <w:t>元</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赶工奖随当期应付的工程款一次性支付给乙方</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23,601.69</w:t>
            </w:r>
          </w:p>
        </w:tc>
      </w:tr>
      <w:tr>
        <w:tblPrEx>
          <w:tblCellMar>
            <w:top w:w="0" w:type="dxa"/>
            <w:left w:w="108" w:type="dxa"/>
            <w:bottom w:w="0" w:type="dxa"/>
            <w:right w:w="108" w:type="dxa"/>
          </w:tblCellMar>
        </w:tblPrEx>
        <w:trPr>
          <w:trHeight w:val="130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7</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2021/5/19</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2021年5月14日</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成都泳盛康体休闲设备工程有限公司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《成都恒大云锦华庭综合楼泳池设备安装工程施工合同》补充协议（二）</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乙方承接的《成都恒大云锦华庭综合楼泳池设备安装工程》的施工进度达到甲方设定的目标进度，甲方同意支付乙方赶工奖，具体赶工奖金额为：¥12,317.17</w:t>
            </w:r>
            <w:r>
              <w:rPr>
                <w:rFonts w:hint="eastAsia" w:ascii="Arial" w:hAnsi="Arial" w:cs="Arial"/>
                <w:kern w:val="0"/>
                <w:sz w:val="18"/>
                <w:szCs w:val="18"/>
              </w:rPr>
              <w:t>元</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赶工奖随当期应付的工程款一次性支付给乙方</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12,317.17</w:t>
            </w:r>
          </w:p>
        </w:tc>
      </w:tr>
      <w:tr>
        <w:tblPrEx>
          <w:tblCellMar>
            <w:top w:w="0" w:type="dxa"/>
            <w:left w:w="108" w:type="dxa"/>
            <w:bottom w:w="0" w:type="dxa"/>
            <w:right w:w="108" w:type="dxa"/>
          </w:tblCellMar>
        </w:tblPrEx>
        <w:trPr>
          <w:trHeight w:val="130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8</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2021/5/19</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2021年5月18日</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中铁二局集团有限公司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 成都恒大云锦华庭首期主体及配套建设工程施工合同》补充协议（六）</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鉴于乙方承接的《成都恒大云锦华庭首期主体及配套建设工程》的施工进度达到甲方设定的目标进度，甲方同意支付乙方赶工奖，具体赶工奖金额为：9438225.64 元</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赶工奖随当期应付的工程款一次性支付给乙方</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9,438,225.64</w:t>
            </w:r>
          </w:p>
        </w:tc>
      </w:tr>
      <w:tr>
        <w:tblPrEx>
          <w:tblCellMar>
            <w:top w:w="0" w:type="dxa"/>
            <w:left w:w="108" w:type="dxa"/>
            <w:bottom w:w="0" w:type="dxa"/>
            <w:right w:w="108" w:type="dxa"/>
          </w:tblCellMar>
        </w:tblPrEx>
        <w:trPr>
          <w:trHeight w:val="520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9</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2021/5/25</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恒川蓉购合字21[0.22-76]006</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2021/5/24</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山东万和中盛幕墙有限公司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成都恒大云锦华庭首期铝合金门窗安装工程施工合同</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成都恒大云锦华庭首期1#楼~8#楼、19#楼~20#楼23#楼铝合金门窗、百页工程施工图及相关的补充图、设计变更图等所涵盖的铝合金门窗、百页的安装，暂定于2021年5月20日开工</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1、合同签订乙方进场施工后10天内，甲方支付乙方合同暂定总价的10%作为工程预付款。若工程分期分批施工，甲方按分期分批施工部分合同暂定价的10%支付给乙方作为工程预付款。</w:t>
            </w:r>
            <w:r>
              <w:rPr>
                <w:rFonts w:ascii="Arial" w:hAnsi="Arial" w:cs="Arial"/>
                <w:kern w:val="0"/>
                <w:sz w:val="18"/>
                <w:szCs w:val="18"/>
              </w:rPr>
              <w:br w:type="textWrapping"/>
            </w:r>
            <w:r>
              <w:rPr>
                <w:rFonts w:ascii="Arial" w:hAnsi="Arial" w:cs="Arial"/>
                <w:kern w:val="0"/>
                <w:sz w:val="18"/>
                <w:szCs w:val="18"/>
              </w:rPr>
              <w:t>2、乙方进场施工后，每月申报一次进度款，经核实后7天内甲方支付乙方实际完成工程量乘以相应安装包干单价金额的70%作为工程进度款进度款应扣除水电费。(其中框占相应造价的40%，扇及固定玻璃各占相应造价的30%，各分期分批施工阶段铝合金门窗的面积均按铝合金外边框所围平面面积计算。以此作为每月进度款申报的计算依据)。</w:t>
            </w:r>
            <w:r>
              <w:rPr>
                <w:rFonts w:ascii="Arial" w:hAnsi="Arial" w:cs="Arial"/>
                <w:kern w:val="0"/>
                <w:sz w:val="18"/>
                <w:szCs w:val="18"/>
              </w:rPr>
              <w:br w:type="textWrapping"/>
            </w:r>
            <w:r>
              <w:rPr>
                <w:rFonts w:ascii="Arial" w:hAnsi="Arial" w:cs="Arial"/>
                <w:kern w:val="0"/>
                <w:sz w:val="18"/>
                <w:szCs w:val="18"/>
              </w:rPr>
              <w:t>3、工程竣工验收合格并办理结算后30天内，甲方累计付款至工程结算款的97%。</w:t>
            </w:r>
            <w:r>
              <w:rPr>
                <w:rFonts w:ascii="Arial" w:hAnsi="Arial" w:cs="Arial"/>
                <w:kern w:val="0"/>
                <w:sz w:val="18"/>
                <w:szCs w:val="18"/>
              </w:rPr>
              <w:br w:type="textWrapping"/>
            </w:r>
            <w:r>
              <w:rPr>
                <w:rFonts w:ascii="Arial" w:hAnsi="Arial" w:cs="Arial"/>
                <w:kern w:val="0"/>
                <w:sz w:val="18"/>
                <w:szCs w:val="18"/>
              </w:rPr>
              <w:t>4、剩余3%工程结算款作为质保金,待质保期满后工程如无质量问题无发生甲方代扣代付维修费用，则甲方在30天内无息付清质保金。</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5,079,854.83</w:t>
            </w:r>
          </w:p>
        </w:tc>
      </w:tr>
      <w:tr>
        <w:tblPrEx>
          <w:tblCellMar>
            <w:top w:w="0" w:type="dxa"/>
            <w:left w:w="108" w:type="dxa"/>
            <w:bottom w:w="0" w:type="dxa"/>
            <w:right w:w="108" w:type="dxa"/>
          </w:tblCellMar>
        </w:tblPrEx>
        <w:trPr>
          <w:trHeight w:val="676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10</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2021/5/25</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恒川蓉购合字21[0.22-76]002</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2021/5/24</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青岛万和装饰门窗工程有限公司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成都恒大云锦华庭首期铝合金门窗购销合同</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乙方负责成都恒大云锦华庭首期1#楼~8#楼、19#楼~20#楼、23#楼铝合金门窗、百页工程施工图及相关的补充图、设计变更图等所涵盖的铝合金门窗的设计与制作</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1、合同签订后，铝合金门窗安装单位进场施工后10天内，甲方支付乙方合同暂定总价的10%作为材料预付款。若工程分期分批施工，甲方按分期分批施工部分合同暂定价的10%支付给乙方作为材料预付款。</w:t>
            </w:r>
            <w:r>
              <w:rPr>
                <w:rFonts w:ascii="Arial" w:hAnsi="Arial" w:cs="Arial"/>
                <w:kern w:val="0"/>
                <w:sz w:val="18"/>
                <w:szCs w:val="18"/>
              </w:rPr>
              <w:br w:type="textWrapping"/>
            </w:r>
            <w:r>
              <w:rPr>
                <w:rFonts w:ascii="Arial" w:hAnsi="Arial" w:cs="Arial"/>
                <w:kern w:val="0"/>
                <w:sz w:val="18"/>
                <w:szCs w:val="18"/>
              </w:rPr>
              <w:t>2、乙方供货后，每月申报一次材料进度款，经核实后7天内甲方按照铝合金门窗安装单位当期实际完成工程量乘以相应材料包干单价的金额的70%支付乙方材料进度款(其中框占相应造价的40%，扇及固定玻璃各占相应造价的30%，各分期分批施工阶段铝合金门窗的面积均按铝合金外边框所围平面面积计算，以此作为每月进度款申报的计算依据)。</w:t>
            </w:r>
            <w:r>
              <w:rPr>
                <w:rFonts w:ascii="Arial" w:hAnsi="Arial" w:cs="Arial"/>
                <w:kern w:val="0"/>
                <w:sz w:val="18"/>
                <w:szCs w:val="18"/>
              </w:rPr>
              <w:br w:type="textWrapping"/>
            </w:r>
            <w:r>
              <w:rPr>
                <w:rFonts w:ascii="Arial" w:hAnsi="Arial" w:cs="Arial"/>
                <w:kern w:val="0"/>
                <w:sz w:val="18"/>
                <w:szCs w:val="18"/>
              </w:rPr>
              <w:t>3、工程竣工验收合格并办理结算后30天内，甲方累计付款至材料结算款的95%。</w:t>
            </w:r>
            <w:r>
              <w:rPr>
                <w:rFonts w:ascii="Arial" w:hAnsi="Arial" w:cs="Arial"/>
                <w:kern w:val="0"/>
                <w:sz w:val="18"/>
                <w:szCs w:val="18"/>
              </w:rPr>
              <w:br w:type="textWrapping"/>
            </w:r>
            <w:r>
              <w:rPr>
                <w:rFonts w:ascii="Arial" w:hAnsi="Arial" w:cs="Arial"/>
                <w:kern w:val="0"/>
                <w:sz w:val="18"/>
                <w:szCs w:val="18"/>
              </w:rPr>
              <w:t>4、剩余5%材料结算款作为质保金，第一年材料如无质量问题，甲方支付乙方材料结算款的2%;待质保期满后材料如无质量问题、无发生甲方代扣代付维修费用，则甲方在30天内无息付清质保金。</w:t>
            </w:r>
            <w:r>
              <w:rPr>
                <w:rFonts w:ascii="Arial" w:hAnsi="Arial" w:cs="Arial"/>
                <w:kern w:val="0"/>
                <w:sz w:val="18"/>
                <w:szCs w:val="18"/>
              </w:rPr>
              <w:br w:type="textWrapping"/>
            </w:r>
            <w:r>
              <w:rPr>
                <w:rFonts w:ascii="Arial" w:hAnsi="Arial" w:cs="Arial"/>
                <w:kern w:val="0"/>
                <w:sz w:val="18"/>
                <w:szCs w:val="18"/>
              </w:rPr>
              <w:t>5、分期分批供货的，后一批次开工日期晚于前一批次工程完工日期超过6个月以上的，已施工完毕部分验收合格的，可分段办理结算。</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24,179,940.79</w:t>
            </w:r>
          </w:p>
        </w:tc>
      </w:tr>
      <w:tr>
        <w:tblPrEx>
          <w:tblCellMar>
            <w:top w:w="0" w:type="dxa"/>
            <w:left w:w="108" w:type="dxa"/>
            <w:bottom w:w="0" w:type="dxa"/>
            <w:right w:w="108" w:type="dxa"/>
          </w:tblCellMar>
        </w:tblPrEx>
        <w:trPr>
          <w:trHeight w:val="1491"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11</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2021/5/25</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四川中节能工程检测中心有限公司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成都恒大云锦华庭项目首期基坑支护BCDE段结构鉴定工程服务合同</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甲方总工室盖章确认的鉴定方案对成都恒大云锦华庭项目首期基坑支护BCDE段进行鉴定并出具鉴定报告</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本次鉴定为一个批次鉴定完成的，整个鉴定任务完成且乙方向甲方提交完全部正式鉴定报告后60日内,甲方向乙方支付合同总价(合同暂定总价)的60%作为进度款。本次鉴定为多个批次鉴定完成的，当批次鉴定任务完成且乙方向甲方提交完当批次正式鉴定报告后60日内，甲方向乙方支付当批次鉴定总金额的60%作为进度款。</w:t>
            </w:r>
            <w:r>
              <w:rPr>
                <w:rFonts w:ascii="Arial" w:hAnsi="Arial" w:cs="Arial"/>
                <w:kern w:val="0"/>
                <w:sz w:val="18"/>
                <w:szCs w:val="18"/>
              </w:rPr>
              <w:br w:type="textWrapping"/>
            </w:r>
            <w:r>
              <w:rPr>
                <w:rFonts w:ascii="Arial" w:hAnsi="Arial" w:cs="Arial"/>
                <w:kern w:val="0"/>
                <w:sz w:val="18"/>
                <w:szCs w:val="18"/>
              </w:rPr>
              <w:t>2、乙方向甲方提交完全部正式鉴定报告，且鉴定报告满足建设主管部门职能部门要求后，乙方可向甲方提出结算申请，双方办理完结算后60日内甲方向乙方累计支付至结算总价的100%。</w:t>
            </w:r>
            <w:r>
              <w:rPr>
                <w:rFonts w:ascii="Arial" w:hAnsi="Arial" w:cs="Arial"/>
                <w:kern w:val="0"/>
                <w:sz w:val="18"/>
                <w:szCs w:val="18"/>
              </w:rPr>
              <w:br w:type="textWrapping"/>
            </w:r>
            <w:r>
              <w:rPr>
                <w:rFonts w:ascii="Arial" w:hAnsi="Arial" w:cs="Arial"/>
                <w:kern w:val="0"/>
                <w:sz w:val="18"/>
                <w:szCs w:val="18"/>
              </w:rPr>
              <w:t>3、在检测鉴定过程中，若因非乙方原因导致鉴定工作中断且经甲方确认不能继续进行后续鉴定工作的，乙方已出具正式鉴定报告且鉴定报告满足建设主管部门职能部门要求240天后，乙方可向甲方提出结算申请，双方同意按照已完成鉴定项目部分的除增值税包干单价的80%进行结算，双方结算完成后60日内甲方向乙方累计支付至结算总价的100%</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10,000.04</w:t>
            </w:r>
          </w:p>
        </w:tc>
      </w:tr>
      <w:tr>
        <w:tblPrEx>
          <w:tblCellMar>
            <w:top w:w="0" w:type="dxa"/>
            <w:left w:w="108" w:type="dxa"/>
            <w:bottom w:w="0" w:type="dxa"/>
            <w:right w:w="108" w:type="dxa"/>
          </w:tblCellMar>
        </w:tblPrEx>
        <w:trPr>
          <w:trHeight w:val="104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12</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2021/5/25</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恒川蓉它合字21[0.22-76]004</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2021/5/24</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青岛海骊住居科技股份有限公司成都分公司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关于《成都恒大云锦华庭临时样板房装修工程施工合同》的赶 工奖支付协议（一）</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鉴于乙方承接的“成都恒大云锦华庭临时样板房装修工程”部分施工进度达到甲方设定的目标进度，甲方同意支付乙方赶工奖</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赶工奖随当期应付的工程款一次性支付给乙方</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5,229.20</w:t>
            </w:r>
          </w:p>
        </w:tc>
      </w:tr>
      <w:tr>
        <w:tblPrEx>
          <w:tblCellMar>
            <w:top w:w="0" w:type="dxa"/>
            <w:left w:w="108" w:type="dxa"/>
            <w:bottom w:w="0" w:type="dxa"/>
            <w:right w:w="108" w:type="dxa"/>
          </w:tblCellMar>
        </w:tblPrEx>
        <w:trPr>
          <w:trHeight w:val="78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13</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2021/5/25</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恒川蓉它合字21[0.22-76]010</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2021/4/30</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四川华信（集团）会计师事务所（特殊普通合伙）</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委托审计服务合同</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对青凌亘心2020年12月财务报表进行审计</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甲方收到正式审计报告后3个月内一次性付清合同款项</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10,000.00</w:t>
            </w:r>
          </w:p>
        </w:tc>
      </w:tr>
      <w:tr>
        <w:tblPrEx>
          <w:tblCellMar>
            <w:top w:w="0" w:type="dxa"/>
            <w:left w:w="108" w:type="dxa"/>
            <w:bottom w:w="0" w:type="dxa"/>
            <w:right w:w="108" w:type="dxa"/>
          </w:tblCellMar>
        </w:tblPrEx>
        <w:trPr>
          <w:trHeight w:val="208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14</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2021/5/25</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2021/5/7</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四川墨夏空间艺术设计有限公司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成都恒大云锦华庭中心园林围墙包装项目美陈包装制作及安装合同</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乙方负责美陈的设计工作，根据甲方确认的美陈方案及甲方现场指令进行成都恒大云锦华庭中心园林围墙包装项目美陈包装的制作、安装、维护及日后期拆除工作</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合同签订后10个工作日内，甲方向乙方支付合 同总价的44%作为预付款；乙方安装完毕甲方 对工程进行全面验收合格后30个工作日内支付 至合同总价的95%；余合同总价的5%作为质保 金，待质保期满后，乙方完全履行维护维修义 务，且经甲方验收确认合格后7个工作日内甲方 无息支付</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227,835.12</w:t>
            </w:r>
          </w:p>
        </w:tc>
      </w:tr>
      <w:tr>
        <w:tblPrEx>
          <w:tblCellMar>
            <w:top w:w="0" w:type="dxa"/>
            <w:left w:w="108" w:type="dxa"/>
            <w:bottom w:w="0" w:type="dxa"/>
            <w:right w:w="108" w:type="dxa"/>
          </w:tblCellMar>
        </w:tblPrEx>
        <w:trPr>
          <w:trHeight w:val="780" w:hRule="atLeast"/>
        </w:trPr>
        <w:tc>
          <w:tcPr>
            <w:tcW w:w="147"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15</w:t>
            </w:r>
          </w:p>
        </w:tc>
        <w:tc>
          <w:tcPr>
            <w:tcW w:w="365"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2021/5/31</w:t>
            </w:r>
          </w:p>
        </w:tc>
        <w:tc>
          <w:tcPr>
            <w:tcW w:w="64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恒川蓉广合字21[0.22-76]006</w:t>
            </w:r>
          </w:p>
        </w:tc>
        <w:tc>
          <w:tcPr>
            <w:tcW w:w="35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2021/5/31</w:t>
            </w:r>
          </w:p>
        </w:tc>
        <w:tc>
          <w:tcPr>
            <w:tcW w:w="5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成都吉思图文化传播有限公司</w:t>
            </w:r>
          </w:p>
        </w:tc>
        <w:tc>
          <w:tcPr>
            <w:tcW w:w="53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成都恒大云锦华庭奇幻魔术节活动执行合同</w:t>
            </w:r>
          </w:p>
        </w:tc>
        <w:tc>
          <w:tcPr>
            <w:tcW w:w="89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2021年4月3日至4月5日乙方负责策划、执行，并提供活动所需的设备及人员，具体按甲乙双方确认的方案执行</w:t>
            </w:r>
          </w:p>
        </w:tc>
        <w:tc>
          <w:tcPr>
            <w:tcW w:w="99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合同签订且活动举办完毕，经甲方验收合格后90个工作日内支付全部结算款项</w:t>
            </w:r>
          </w:p>
        </w:tc>
        <w:tc>
          <w:tcPr>
            <w:tcW w:w="482" w:type="pct"/>
            <w:tcBorders>
              <w:top w:val="nil"/>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270,000.00</w:t>
            </w:r>
          </w:p>
        </w:tc>
      </w:tr>
      <w:tr>
        <w:tblPrEx>
          <w:tblCellMar>
            <w:top w:w="0" w:type="dxa"/>
            <w:left w:w="108" w:type="dxa"/>
            <w:bottom w:w="0" w:type="dxa"/>
            <w:right w:w="108" w:type="dxa"/>
          </w:tblCellMar>
        </w:tblPrEx>
        <w:trPr>
          <w:trHeight w:val="780" w:hRule="atLeast"/>
        </w:trPr>
        <w:tc>
          <w:tcPr>
            <w:tcW w:w="4517" w:type="pct"/>
            <w:gridSpan w:val="8"/>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hint="eastAsia" w:ascii="Arial" w:hAnsi="Arial" w:cs="Arial"/>
                <w:kern w:val="0"/>
                <w:sz w:val="18"/>
                <w:szCs w:val="18"/>
              </w:rPr>
              <w:t>合计</w:t>
            </w:r>
          </w:p>
        </w:tc>
        <w:tc>
          <w:tcPr>
            <w:tcW w:w="482" w:type="pct"/>
            <w:tcBorders>
              <w:top w:val="single" w:color="auto" w:sz="4" w:space="0"/>
              <w:left w:val="nil"/>
              <w:bottom w:val="single" w:color="auto" w:sz="4" w:space="0"/>
              <w:right w:val="single" w:color="auto" w:sz="4" w:space="0"/>
            </w:tcBorders>
            <w:shd w:val="clear" w:color="auto" w:fill="auto"/>
            <w:vAlign w:val="center"/>
          </w:tcPr>
          <w:p>
            <w:pPr>
              <w:widowControl/>
              <w:jc w:val="right"/>
              <w:rPr>
                <w:rFonts w:ascii="Arial" w:hAnsi="Arial" w:cs="Arial"/>
                <w:kern w:val="0"/>
                <w:sz w:val="18"/>
                <w:szCs w:val="18"/>
              </w:rPr>
            </w:pPr>
            <w:r>
              <w:rPr>
                <w:rFonts w:ascii="Arial" w:hAnsi="Arial" w:cs="Arial"/>
                <w:kern w:val="0"/>
                <w:sz w:val="18"/>
                <w:szCs w:val="18"/>
              </w:rPr>
              <w:t>39,302,617.54</w:t>
            </w:r>
          </w:p>
        </w:tc>
      </w:tr>
    </w:tbl>
    <w:p/>
    <w:p>
      <w:p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Style w:val="18"/>
          <w:rFonts w:ascii="Arial" w:hAnsi="Arial" w:cs="Arial"/>
          <w:bCs/>
          <w:sz w:val="24"/>
        </w:rPr>
      </w:pPr>
      <w:bookmarkStart w:id="46" w:name="_Toc73692211"/>
      <w:r>
        <w:rPr>
          <w:rStyle w:val="18"/>
          <w:rFonts w:hint="eastAsia" w:ascii="Arial" w:hAnsi="Arial" w:cs="Arial"/>
          <w:bCs/>
          <w:sz w:val="24"/>
        </w:rPr>
        <w:t>6项目销售情况</w:t>
      </w:r>
      <w:bookmarkEnd w:id="46"/>
    </w:p>
    <w:p>
      <w:pPr>
        <w:widowControl/>
        <w:spacing w:before="300" w:after="300" w:line="360" w:lineRule="exact"/>
        <w:jc w:val="left"/>
        <w:outlineLvl w:val="1"/>
        <w:rPr>
          <w:rStyle w:val="18"/>
          <w:rFonts w:ascii="Arial" w:hAnsi="Arial" w:cs="Arial"/>
          <w:bCs/>
          <w:sz w:val="24"/>
        </w:rPr>
      </w:pPr>
      <w:bookmarkStart w:id="47" w:name="_Toc73692212"/>
      <w:r>
        <w:rPr>
          <w:rStyle w:val="18"/>
          <w:rFonts w:hint="eastAsia" w:ascii="Arial" w:hAnsi="Arial" w:cs="Arial"/>
          <w:bCs/>
          <w:sz w:val="24"/>
        </w:rPr>
        <w:t>6</w:t>
      </w:r>
      <w:r>
        <w:rPr>
          <w:rStyle w:val="18"/>
          <w:rFonts w:ascii="Arial" w:hAnsi="Arial" w:cs="Arial"/>
          <w:bCs/>
          <w:sz w:val="24"/>
        </w:rPr>
        <w:t>.1</w:t>
      </w:r>
      <w:r>
        <w:rPr>
          <w:rStyle w:val="18"/>
          <w:rFonts w:hint="eastAsia" w:ascii="Arial" w:hAnsi="Arial" w:cs="Arial"/>
          <w:bCs/>
          <w:sz w:val="24"/>
        </w:rPr>
        <w:t>当地预售政策、限购政策描述</w:t>
      </w:r>
      <w:bookmarkEnd w:id="47"/>
    </w:p>
    <w:p>
      <w:pPr>
        <w:spacing w:line="480" w:lineRule="auto"/>
        <w:ind w:firstLine="420" w:firstLineChars="200"/>
        <w:rPr>
          <w:rFonts w:ascii="Arial" w:hAnsi="Arial" w:cs="Arial"/>
          <w:bCs/>
          <w:kern w:val="44"/>
          <w:szCs w:val="21"/>
        </w:rPr>
      </w:pPr>
      <w:r>
        <w:rPr>
          <w:rFonts w:hint="eastAsia" w:ascii="Arial" w:hAnsi="Arial" w:cs="Arial"/>
          <w:bCs/>
          <w:kern w:val="44"/>
          <w:szCs w:val="21"/>
        </w:rPr>
        <w:t>预售政策：商品房取得预售许可证需该楼栋完成楼栋总层数的二分之一。</w:t>
      </w:r>
    </w:p>
    <w:p>
      <w:pPr>
        <w:spacing w:line="480" w:lineRule="auto"/>
        <w:ind w:firstLine="420" w:firstLineChars="200"/>
        <w:rPr>
          <w:rFonts w:ascii="Arial" w:hAnsi="Arial" w:cs="Arial"/>
          <w:bCs/>
          <w:kern w:val="44"/>
          <w:szCs w:val="21"/>
        </w:rPr>
      </w:pPr>
      <w:r>
        <w:rPr>
          <w:rFonts w:hint="eastAsia" w:ascii="Arial" w:hAnsi="Arial" w:cs="Arial"/>
          <w:bCs/>
          <w:kern w:val="44"/>
          <w:szCs w:val="21"/>
        </w:rPr>
        <w:t xml:space="preserve">限购限售政策：(1)新购买第二套商品住房需取得不动产权属证书满三年后方可转让。 </w:t>
      </w:r>
    </w:p>
    <w:p>
      <w:pPr>
        <w:spacing w:line="480" w:lineRule="auto"/>
        <w:ind w:firstLine="1890" w:firstLineChars="900"/>
        <w:rPr>
          <w:rFonts w:ascii="Arial" w:hAnsi="Arial" w:cs="Arial"/>
          <w:bCs/>
          <w:kern w:val="44"/>
          <w:szCs w:val="21"/>
        </w:rPr>
      </w:pPr>
      <w:r>
        <w:rPr>
          <w:rFonts w:hint="eastAsia" w:ascii="Arial" w:hAnsi="Arial" w:cs="Arial"/>
          <w:bCs/>
          <w:kern w:val="44"/>
          <w:szCs w:val="21"/>
        </w:rPr>
        <w:t>(2)本市户籍的居民或在成都市范围内连续缴纳一年以上的职工社保。</w:t>
      </w:r>
    </w:p>
    <w:p>
      <w:pPr>
        <w:widowControl/>
        <w:spacing w:before="300" w:after="300" w:line="360" w:lineRule="exact"/>
        <w:jc w:val="left"/>
        <w:outlineLvl w:val="1"/>
        <w:rPr>
          <w:rFonts w:ascii="Arial" w:hAnsi="Arial" w:cs="Arial"/>
          <w:b/>
          <w:bCs/>
          <w:sz w:val="24"/>
        </w:rPr>
      </w:pPr>
      <w:bookmarkStart w:id="48" w:name="_Toc73692213"/>
      <w:r>
        <w:rPr>
          <w:rFonts w:hint="eastAsia" w:ascii="Arial" w:hAnsi="Arial" w:cs="Arial"/>
          <w:b/>
          <w:bCs/>
          <w:sz w:val="24"/>
        </w:rPr>
        <w:t>6</w:t>
      </w:r>
      <w:r>
        <w:rPr>
          <w:rFonts w:ascii="Arial" w:hAnsi="Arial" w:cs="Arial"/>
          <w:b/>
          <w:bCs/>
          <w:sz w:val="24"/>
        </w:rPr>
        <w:t>.2</w:t>
      </w:r>
      <w:r>
        <w:rPr>
          <w:rFonts w:hint="eastAsia" w:ascii="Arial" w:hAnsi="Arial" w:cs="Arial"/>
          <w:b/>
          <w:bCs/>
          <w:sz w:val="24"/>
        </w:rPr>
        <w:t>周边竞品楼盘情况</w:t>
      </w:r>
      <w:bookmarkEnd w:id="48"/>
    </w:p>
    <w:tbl>
      <w:tblPr>
        <w:tblStyle w:val="13"/>
        <w:tblW w:w="5000" w:type="pct"/>
        <w:tblInd w:w="0" w:type="dxa"/>
        <w:tblLayout w:type="autofit"/>
        <w:tblCellMar>
          <w:top w:w="0" w:type="dxa"/>
          <w:left w:w="108" w:type="dxa"/>
          <w:bottom w:w="0" w:type="dxa"/>
          <w:right w:w="108" w:type="dxa"/>
        </w:tblCellMar>
      </w:tblPr>
      <w:tblGrid>
        <w:gridCol w:w="1127"/>
        <w:gridCol w:w="990"/>
        <w:gridCol w:w="1132"/>
        <w:gridCol w:w="1132"/>
        <w:gridCol w:w="1271"/>
        <w:gridCol w:w="1740"/>
        <w:gridCol w:w="1130"/>
      </w:tblGrid>
      <w:tr>
        <w:tblPrEx>
          <w:tblCellMar>
            <w:top w:w="0" w:type="dxa"/>
            <w:left w:w="108" w:type="dxa"/>
            <w:bottom w:w="0" w:type="dxa"/>
            <w:right w:w="108" w:type="dxa"/>
          </w:tblCellMar>
        </w:tblPrEx>
        <w:trPr>
          <w:trHeight w:val="449" w:hRule="atLeast"/>
          <w:tblHeader/>
        </w:trPr>
        <w:tc>
          <w:tcPr>
            <w:tcW w:w="66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项目</w:t>
            </w:r>
          </w:p>
        </w:tc>
        <w:tc>
          <w:tcPr>
            <w:tcW w:w="581"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占地</w:t>
            </w:r>
          </w:p>
        </w:tc>
        <w:tc>
          <w:tcPr>
            <w:tcW w:w="664"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体量</w:t>
            </w:r>
          </w:p>
        </w:tc>
        <w:tc>
          <w:tcPr>
            <w:tcW w:w="664"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住宅形态</w:t>
            </w:r>
          </w:p>
        </w:tc>
        <w:tc>
          <w:tcPr>
            <w:tcW w:w="746"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面积区间</w:t>
            </w:r>
          </w:p>
        </w:tc>
        <w:tc>
          <w:tcPr>
            <w:tcW w:w="1021"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成交（或拟定）均价（元/㎡）</w:t>
            </w:r>
          </w:p>
        </w:tc>
        <w:tc>
          <w:tcPr>
            <w:tcW w:w="663" w:type="pct"/>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月均去化</w:t>
            </w:r>
          </w:p>
        </w:tc>
      </w:tr>
      <w:tr>
        <w:tblPrEx>
          <w:tblCellMar>
            <w:top w:w="0" w:type="dxa"/>
            <w:left w:w="108" w:type="dxa"/>
            <w:bottom w:w="0" w:type="dxa"/>
            <w:right w:w="108" w:type="dxa"/>
          </w:tblCellMar>
        </w:tblPrEx>
        <w:trPr>
          <w:trHeight w:val="149" w:hRule="atLeast"/>
          <w:tblHeader/>
        </w:trPr>
        <w:tc>
          <w:tcPr>
            <w:tcW w:w="66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（亩）</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（万㎡）</w:t>
            </w:r>
          </w:p>
        </w:tc>
        <w:tc>
          <w:tcPr>
            <w:tcW w:w="664"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w:t>
            </w:r>
          </w:p>
        </w:tc>
        <w:tc>
          <w:tcPr>
            <w:tcW w:w="1021" w:type="pct"/>
            <w:vMerge w:val="continue"/>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sz w:val="18"/>
                <w:szCs w:val="18"/>
              </w:rPr>
            </w:pP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b/>
                <w:bCs/>
                <w:color w:val="000000"/>
                <w:sz w:val="18"/>
                <w:szCs w:val="18"/>
              </w:rPr>
            </w:pPr>
            <w:r>
              <w:rPr>
                <w:rFonts w:ascii="Arial" w:hAnsi="Arial" w:cs="Arial"/>
                <w:b/>
                <w:bCs/>
                <w:color w:val="000000"/>
                <w:sz w:val="18"/>
                <w:szCs w:val="18"/>
              </w:rPr>
              <w:t>（套）</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花样年江山</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197</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46</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95-138</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9160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107</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万科公园大道</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156</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22</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86-98</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7550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201</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万科时代之光</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95</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25</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97-118</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7830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107</w:t>
            </w:r>
          </w:p>
        </w:tc>
      </w:tr>
      <w:tr>
        <w:tblPrEx>
          <w:tblCellMar>
            <w:top w:w="0" w:type="dxa"/>
            <w:left w:w="108" w:type="dxa"/>
            <w:bottom w:w="0" w:type="dxa"/>
            <w:right w:w="108" w:type="dxa"/>
          </w:tblCellMar>
        </w:tblPrEx>
        <w:trPr>
          <w:trHeight w:val="588" w:hRule="atLeast"/>
        </w:trPr>
        <w:tc>
          <w:tcPr>
            <w:tcW w:w="661" w:type="pct"/>
            <w:tcBorders>
              <w:top w:val="nil"/>
              <w:left w:val="single" w:color="auto" w:sz="4" w:space="0"/>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新城悦隽盛世</w:t>
            </w:r>
          </w:p>
        </w:tc>
        <w:tc>
          <w:tcPr>
            <w:tcW w:w="58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186</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31</w:t>
            </w:r>
          </w:p>
        </w:tc>
        <w:tc>
          <w:tcPr>
            <w:tcW w:w="664"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高层</w:t>
            </w:r>
          </w:p>
        </w:tc>
        <w:tc>
          <w:tcPr>
            <w:tcW w:w="746"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94-105</w:t>
            </w:r>
          </w:p>
        </w:tc>
        <w:tc>
          <w:tcPr>
            <w:tcW w:w="1021"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7860</w:t>
            </w:r>
          </w:p>
        </w:tc>
        <w:tc>
          <w:tcPr>
            <w:tcW w:w="663" w:type="pct"/>
            <w:tcBorders>
              <w:top w:val="nil"/>
              <w:left w:val="nil"/>
              <w:bottom w:val="single" w:color="auto" w:sz="4" w:space="0"/>
              <w:right w:val="single" w:color="auto" w:sz="4" w:space="0"/>
            </w:tcBorders>
            <w:shd w:val="clear" w:color="auto" w:fill="auto"/>
            <w:vAlign w:val="center"/>
          </w:tcPr>
          <w:p>
            <w:pPr>
              <w:jc w:val="center"/>
              <w:rPr>
                <w:rFonts w:ascii="Arial" w:hAnsi="Arial" w:cs="Arial"/>
                <w:color w:val="000000"/>
                <w:sz w:val="18"/>
                <w:szCs w:val="18"/>
              </w:rPr>
            </w:pPr>
            <w:r>
              <w:rPr>
                <w:rFonts w:ascii="Arial" w:hAnsi="Arial" w:cs="Arial"/>
                <w:color w:val="000000"/>
                <w:sz w:val="18"/>
                <w:szCs w:val="18"/>
              </w:rPr>
              <w:t>40</w:t>
            </w:r>
          </w:p>
        </w:tc>
      </w:tr>
    </w:tbl>
    <w:p>
      <w:pPr>
        <w:spacing w:line="480" w:lineRule="auto"/>
        <w:rPr>
          <w:rStyle w:val="18"/>
          <w:rFonts w:ascii="Arial" w:hAnsi="Arial" w:cs="Arial"/>
          <w:b w:val="0"/>
          <w:bCs/>
          <w:sz w:val="21"/>
          <w:szCs w:val="21"/>
        </w:rPr>
      </w:pPr>
    </w:p>
    <w:p>
      <w:pPr>
        <w:widowControl/>
        <w:spacing w:before="300" w:after="300" w:line="360" w:lineRule="exact"/>
        <w:jc w:val="left"/>
        <w:outlineLvl w:val="1"/>
        <w:rPr>
          <w:rStyle w:val="18"/>
          <w:rFonts w:ascii="Arial" w:hAnsi="Arial" w:cs="Arial"/>
          <w:bCs/>
          <w:sz w:val="24"/>
        </w:rPr>
      </w:pPr>
      <w:bookmarkStart w:id="49" w:name="_Toc73692214"/>
      <w:r>
        <w:rPr>
          <w:rStyle w:val="18"/>
          <w:rFonts w:hint="eastAsia" w:ascii="Arial" w:hAnsi="Arial" w:cs="Arial"/>
          <w:bCs/>
          <w:sz w:val="24"/>
        </w:rPr>
        <w:t>6</w:t>
      </w:r>
      <w:r>
        <w:rPr>
          <w:rStyle w:val="18"/>
          <w:rFonts w:ascii="Arial" w:hAnsi="Arial" w:cs="Arial"/>
          <w:bCs/>
          <w:sz w:val="24"/>
        </w:rPr>
        <w:t>.3</w:t>
      </w:r>
      <w:r>
        <w:rPr>
          <w:rStyle w:val="18"/>
          <w:rFonts w:hint="eastAsia" w:ascii="Arial" w:hAnsi="Arial" w:cs="Arial"/>
          <w:bCs/>
          <w:sz w:val="24"/>
        </w:rPr>
        <w:t>项目推盘计划</w:t>
      </w:r>
      <w:bookmarkEnd w:id="49"/>
    </w:p>
    <w:p>
      <w:pPr>
        <w:spacing w:before="312" w:beforeLines="100"/>
        <w:jc w:val="center"/>
        <w:rPr>
          <w:rFonts w:ascii="Arial" w:hAnsi="Arial" w:cs="Arial"/>
          <w:b/>
          <w:bCs/>
          <w:kern w:val="0"/>
          <w:sz w:val="24"/>
        </w:rPr>
      </w:pPr>
      <w:r>
        <w:rPr>
          <w:rFonts w:ascii="Arial" w:hAnsi="Arial" w:cs="Arial"/>
          <w:b/>
          <w:bCs/>
          <w:kern w:val="0"/>
          <w:sz w:val="24"/>
        </w:rPr>
        <w:t>项目推盘计划</w:t>
      </w:r>
      <w:r>
        <w:rPr>
          <w:rFonts w:hint="eastAsia" w:ascii="Arial" w:hAnsi="Arial" w:cs="Arial"/>
          <w:b/>
          <w:bCs/>
          <w:kern w:val="0"/>
          <w:sz w:val="24"/>
        </w:rPr>
        <w:t>表</w:t>
      </w:r>
    </w:p>
    <w:tbl>
      <w:tblPr>
        <w:tblStyle w:val="13"/>
        <w:tblW w:w="5000" w:type="pct"/>
        <w:tblInd w:w="0" w:type="dxa"/>
        <w:tblLayout w:type="autofit"/>
        <w:tblCellMar>
          <w:top w:w="0" w:type="dxa"/>
          <w:left w:w="108" w:type="dxa"/>
          <w:bottom w:w="0" w:type="dxa"/>
          <w:right w:w="108" w:type="dxa"/>
        </w:tblCellMar>
      </w:tblPr>
      <w:tblGrid>
        <w:gridCol w:w="691"/>
        <w:gridCol w:w="1113"/>
        <w:gridCol w:w="1541"/>
        <w:gridCol w:w="1113"/>
        <w:gridCol w:w="1923"/>
        <w:gridCol w:w="2141"/>
      </w:tblGrid>
      <w:tr>
        <w:tblPrEx>
          <w:tblCellMar>
            <w:top w:w="0" w:type="dxa"/>
            <w:left w:w="108" w:type="dxa"/>
            <w:bottom w:w="0" w:type="dxa"/>
            <w:right w:w="108" w:type="dxa"/>
          </w:tblCellMar>
        </w:tblPrEx>
        <w:trPr>
          <w:trHeight w:val="360" w:hRule="atLeast"/>
        </w:trPr>
        <w:tc>
          <w:tcPr>
            <w:tcW w:w="40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bookmarkStart w:id="50" w:name="_Hlk73605996"/>
            <w:r>
              <w:rPr>
                <w:rFonts w:ascii="Arial" w:hAnsi="Arial" w:cs="Arial"/>
                <w:b/>
                <w:bCs/>
                <w:color w:val="000000"/>
                <w:kern w:val="0"/>
                <w:sz w:val="18"/>
                <w:szCs w:val="18"/>
                <w:lang w:bidi="ar"/>
              </w:rPr>
              <w:t>期数</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栋号</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建筑面积</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套数</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预计货值（亿元）</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预计推盘时间</w:t>
            </w:r>
          </w:p>
        </w:tc>
      </w:tr>
      <w:tr>
        <w:tblPrEx>
          <w:tblCellMar>
            <w:top w:w="0" w:type="dxa"/>
            <w:left w:w="108" w:type="dxa"/>
            <w:bottom w:w="0" w:type="dxa"/>
            <w:right w:w="108" w:type="dxa"/>
          </w:tblCellMar>
        </w:tblPrEx>
        <w:trPr>
          <w:trHeight w:val="360" w:hRule="atLeast"/>
        </w:trPr>
        <w:tc>
          <w:tcPr>
            <w:tcW w:w="406" w:type="pct"/>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一期</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21212.8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224</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1.96</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2021.10</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18235.68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192</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1.69</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2021.8</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38194.24</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336</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3.53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2021.11</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15201.76</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128</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1.40</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2021.9</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13320.12</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112</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2021.7</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6#</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13319</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112</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1.23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2021.6</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7#</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33957.76</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320</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3.13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2021.12</w:t>
            </w:r>
          </w:p>
        </w:tc>
      </w:tr>
      <w:tr>
        <w:tblPrEx>
          <w:tblCellMar>
            <w:top w:w="0" w:type="dxa"/>
            <w:left w:w="108" w:type="dxa"/>
            <w:bottom w:w="0" w:type="dxa"/>
            <w:right w:w="108" w:type="dxa"/>
          </w:tblCellMar>
        </w:tblPrEx>
        <w:trPr>
          <w:trHeight w:val="360" w:hRule="atLeast"/>
        </w:trPr>
        <w:tc>
          <w:tcPr>
            <w:tcW w:w="406" w:type="pct"/>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8#</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15076.88</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140</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1.3</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color w:val="000000"/>
                <w:sz w:val="18"/>
                <w:szCs w:val="18"/>
              </w:rPr>
              <w:t>2021.5.10已开盘</w:t>
            </w:r>
          </w:p>
        </w:tc>
      </w:tr>
      <w:tr>
        <w:tblPrEx>
          <w:tblCellMar>
            <w:top w:w="0" w:type="dxa"/>
            <w:left w:w="108" w:type="dxa"/>
            <w:bottom w:w="0" w:type="dxa"/>
            <w:right w:w="108" w:type="dxa"/>
          </w:tblCellMar>
        </w:tblPrEx>
        <w:trPr>
          <w:trHeight w:val="360" w:hRule="atLeast"/>
        </w:trPr>
        <w:tc>
          <w:tcPr>
            <w:tcW w:w="1059"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合计</w:t>
            </w:r>
          </w:p>
        </w:tc>
        <w:tc>
          <w:tcPr>
            <w:tcW w:w="90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168518.24</w:t>
            </w:r>
          </w:p>
        </w:tc>
        <w:tc>
          <w:tcPr>
            <w:tcW w:w="65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1564</w:t>
            </w:r>
          </w:p>
        </w:tc>
        <w:tc>
          <w:tcPr>
            <w:tcW w:w="1128"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r>
              <w:rPr>
                <w:rFonts w:ascii="Arial" w:hAnsi="Arial" w:cs="Arial"/>
                <w:sz w:val="18"/>
                <w:szCs w:val="18"/>
              </w:rPr>
              <w:t>15.47</w:t>
            </w:r>
          </w:p>
        </w:tc>
        <w:tc>
          <w:tcPr>
            <w:tcW w:w="12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ascii="Arial" w:hAnsi="Arial" w:cs="Arial"/>
                <w:color w:val="000000"/>
                <w:sz w:val="18"/>
                <w:szCs w:val="18"/>
              </w:rPr>
            </w:pPr>
          </w:p>
        </w:tc>
      </w:tr>
      <w:bookmarkEnd w:id="50"/>
    </w:tbl>
    <w:p>
      <w:pPr>
        <w:widowControl/>
        <w:spacing w:before="300" w:after="300" w:line="360" w:lineRule="exact"/>
        <w:jc w:val="left"/>
        <w:outlineLvl w:val="1"/>
        <w:rPr>
          <w:rStyle w:val="18"/>
          <w:rFonts w:ascii="Arial" w:hAnsi="Arial" w:cs="Arial"/>
          <w:bCs/>
          <w:sz w:val="24"/>
        </w:rPr>
        <w:sectPr>
          <w:pgSz w:w="11906" w:h="16838"/>
          <w:pgMar w:top="1440" w:right="1800" w:bottom="1440" w:left="1800" w:header="851" w:footer="992" w:gutter="0"/>
          <w:cols w:space="425" w:num="1"/>
          <w:docGrid w:type="lines" w:linePitch="312" w:charSpace="0"/>
        </w:sectPr>
      </w:pPr>
    </w:p>
    <w:p>
      <w:pPr>
        <w:widowControl/>
        <w:spacing w:before="300" w:after="300" w:line="360" w:lineRule="exact"/>
        <w:jc w:val="left"/>
        <w:outlineLvl w:val="1"/>
        <w:rPr>
          <w:rStyle w:val="18"/>
          <w:rFonts w:ascii="Arial" w:hAnsi="Arial" w:cs="Arial"/>
          <w:bCs/>
          <w:sz w:val="24"/>
        </w:rPr>
      </w:pPr>
      <w:bookmarkStart w:id="51" w:name="_Toc73692215"/>
      <w:r>
        <w:rPr>
          <w:rStyle w:val="18"/>
          <w:rFonts w:hint="eastAsia" w:ascii="Arial" w:hAnsi="Arial" w:cs="Arial"/>
          <w:bCs/>
          <w:sz w:val="24"/>
        </w:rPr>
        <w:t>6</w:t>
      </w:r>
      <w:r>
        <w:rPr>
          <w:rStyle w:val="18"/>
          <w:rFonts w:ascii="Arial" w:hAnsi="Arial" w:cs="Arial"/>
          <w:bCs/>
          <w:sz w:val="24"/>
        </w:rPr>
        <w:t>.4项目销售</w:t>
      </w:r>
      <w:r>
        <w:rPr>
          <w:rStyle w:val="18"/>
          <w:rFonts w:hint="eastAsia" w:ascii="Arial" w:hAnsi="Arial" w:cs="Arial"/>
          <w:bCs/>
          <w:sz w:val="24"/>
        </w:rPr>
        <w:t>及回款</w:t>
      </w:r>
      <w:r>
        <w:rPr>
          <w:rStyle w:val="18"/>
          <w:rFonts w:ascii="Arial" w:hAnsi="Arial" w:cs="Arial"/>
          <w:bCs/>
          <w:sz w:val="24"/>
        </w:rPr>
        <w:t>情况</w:t>
      </w:r>
      <w:bookmarkEnd w:id="51"/>
    </w:p>
    <w:p>
      <w:pPr>
        <w:pStyle w:val="25"/>
        <w:spacing w:line="520" w:lineRule="exact"/>
        <w:ind w:firstLine="482"/>
        <w:jc w:val="left"/>
        <w:rPr>
          <w:rFonts w:ascii="Arial" w:hAnsi="Arial" w:cs="Arial"/>
          <w:bCs/>
          <w:kern w:val="44"/>
          <w:szCs w:val="21"/>
        </w:rPr>
      </w:pPr>
      <w:r>
        <w:rPr>
          <w:rStyle w:val="18"/>
          <w:rFonts w:hint="eastAsia" w:ascii="Arial" w:hAnsi="Arial" w:cs="Arial"/>
          <w:bCs/>
          <w:sz w:val="24"/>
        </w:rPr>
        <w:t xml:space="preserve"> </w:t>
      </w:r>
      <w:r>
        <w:rPr>
          <w:b/>
          <w:kern w:val="0"/>
          <w:szCs w:val="21"/>
        </w:rPr>
        <w:t xml:space="preserve">  </w:t>
      </w:r>
      <w:r>
        <w:rPr>
          <w:rFonts w:hint="eastAsia" w:ascii="Arial" w:hAnsi="Arial" w:cs="Arial"/>
          <w:bCs/>
          <w:kern w:val="44"/>
          <w:szCs w:val="21"/>
        </w:rPr>
        <w:t>成都恒大云锦华庭项目于2021年5月10日开盘，目前已推出房源套数140套，面积约15076.88㎡，预计总货值约1.3亿，截至2021年5月31日累计已售132套，面积14210.07㎡，金额1.21亿元，其中累计已签约房屋22套、面积2383㎡、金额0.21亿元， 5月11日至5月31日监管户累计销售回款0.51亿元，取得预售证（推货）剩余货值0.09亿元、剩余套数8套、剩余面积866.81㎡未销售，去化率15.81%（（已签约面积/已推出面积)*100%），详情参见下表：</w:t>
      </w:r>
    </w:p>
    <w:p>
      <w:pPr>
        <w:spacing w:before="312" w:beforeLines="100"/>
        <w:jc w:val="center"/>
        <w:rPr>
          <w:rFonts w:ascii="Arial" w:hAnsi="Arial" w:cs="Arial"/>
          <w:b/>
          <w:bCs/>
          <w:kern w:val="0"/>
          <w:sz w:val="24"/>
        </w:rPr>
      </w:pPr>
      <w:r>
        <w:rPr>
          <w:rFonts w:hint="eastAsia" w:ascii="Arial" w:hAnsi="Arial" w:cs="Arial"/>
          <w:b/>
          <w:bCs/>
          <w:kern w:val="0"/>
          <w:sz w:val="24"/>
        </w:rPr>
        <w:t>恒大云锦华庭项目销售情况表(8#）</w:t>
      </w:r>
    </w:p>
    <w:tbl>
      <w:tblPr>
        <w:tblStyle w:val="13"/>
        <w:tblW w:w="5000" w:type="pct"/>
        <w:jc w:val="center"/>
        <w:tblLayout w:type="autofit"/>
        <w:tblCellMar>
          <w:top w:w="0" w:type="dxa"/>
          <w:left w:w="108" w:type="dxa"/>
          <w:bottom w:w="0" w:type="dxa"/>
          <w:right w:w="108" w:type="dxa"/>
        </w:tblCellMar>
      </w:tblPr>
      <w:tblGrid>
        <w:gridCol w:w="1378"/>
        <w:gridCol w:w="2772"/>
        <w:gridCol w:w="1755"/>
        <w:gridCol w:w="1233"/>
        <w:gridCol w:w="1213"/>
        <w:gridCol w:w="1199"/>
        <w:gridCol w:w="1315"/>
        <w:gridCol w:w="1519"/>
        <w:gridCol w:w="1565"/>
        <w:gridCol w:w="225"/>
      </w:tblGrid>
      <w:tr>
        <w:tblPrEx>
          <w:tblCellMar>
            <w:top w:w="0" w:type="dxa"/>
            <w:left w:w="108" w:type="dxa"/>
            <w:bottom w:w="0" w:type="dxa"/>
            <w:right w:w="108" w:type="dxa"/>
          </w:tblCellMar>
        </w:tblPrEx>
        <w:trPr>
          <w:gridAfter w:val="1"/>
          <w:wAfter w:w="80" w:type="pct"/>
          <w:trHeight w:val="440" w:hRule="atLeast"/>
          <w:tblHeader/>
          <w:jc w:val="center"/>
        </w:trPr>
        <w:tc>
          <w:tcPr>
            <w:tcW w:w="486"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日期</w:t>
            </w:r>
          </w:p>
        </w:tc>
        <w:tc>
          <w:tcPr>
            <w:tcW w:w="97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销售金额（万元）</w:t>
            </w:r>
          </w:p>
        </w:tc>
        <w:tc>
          <w:tcPr>
            <w:tcW w:w="619"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销售面积（㎡）</w:t>
            </w:r>
          </w:p>
        </w:tc>
        <w:tc>
          <w:tcPr>
            <w:tcW w:w="435"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销售套数</w:t>
            </w:r>
          </w:p>
        </w:tc>
        <w:tc>
          <w:tcPr>
            <w:tcW w:w="42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签约金额（万元）</w:t>
            </w:r>
          </w:p>
        </w:tc>
        <w:tc>
          <w:tcPr>
            <w:tcW w:w="42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签约面积（㎡）</w:t>
            </w:r>
          </w:p>
        </w:tc>
        <w:tc>
          <w:tcPr>
            <w:tcW w:w="464"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签约套数</w:t>
            </w:r>
          </w:p>
        </w:tc>
        <w:tc>
          <w:tcPr>
            <w:tcW w:w="536"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去化率（已签约面积/已推出面积*100%）</w:t>
            </w:r>
          </w:p>
        </w:tc>
        <w:tc>
          <w:tcPr>
            <w:tcW w:w="55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实际回款（监管户实际收款）</w:t>
            </w:r>
          </w:p>
        </w:tc>
      </w:tr>
      <w:tr>
        <w:tblPrEx>
          <w:tblCellMar>
            <w:top w:w="0" w:type="dxa"/>
            <w:left w:w="108" w:type="dxa"/>
            <w:bottom w:w="0" w:type="dxa"/>
            <w:right w:w="108" w:type="dxa"/>
          </w:tblCellMar>
        </w:tblPrEx>
        <w:trPr>
          <w:trHeight w:val="420" w:hRule="atLeast"/>
          <w:tblHeader/>
          <w:jc w:val="center"/>
        </w:trPr>
        <w:tc>
          <w:tcPr>
            <w:tcW w:w="48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978"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619"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435"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428"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423"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464"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536"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552" w:type="pct"/>
            <w:vMerge w:val="continue"/>
            <w:tcBorders>
              <w:top w:val="single" w:color="auto" w:sz="4" w:space="0"/>
              <w:left w:val="single" w:color="auto" w:sz="4" w:space="0"/>
              <w:bottom w:val="single" w:color="auto" w:sz="4" w:space="0"/>
              <w:right w:val="single" w:color="auto" w:sz="4" w:space="0"/>
            </w:tcBorders>
            <w:vAlign w:val="center"/>
          </w:tcPr>
          <w:p>
            <w:pPr>
              <w:widowControl/>
              <w:jc w:val="center"/>
              <w:rPr>
                <w:rFonts w:ascii="Arial" w:hAnsi="Arial" w:cs="Arial"/>
                <w:color w:val="000000"/>
                <w:kern w:val="0"/>
                <w:sz w:val="18"/>
                <w:szCs w:val="18"/>
              </w:rPr>
            </w:pPr>
          </w:p>
        </w:tc>
        <w:tc>
          <w:tcPr>
            <w:tcW w:w="80" w:type="pct"/>
            <w:tcBorders>
              <w:top w:val="nil"/>
              <w:left w:val="nil"/>
              <w:bottom w:val="nil"/>
              <w:right w:val="nil"/>
            </w:tcBorders>
            <w:shd w:val="clear" w:color="auto" w:fill="auto"/>
            <w:noWrap/>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2021-5-9</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12,076.10</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14099.92</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131</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55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2021-5-11</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4,115.84</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2021-5-12</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59.22</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2021-5-13</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146.00</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2021-5-14</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92.47</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110.15</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282.47</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2021-5-17</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48.01</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2021-5-18</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47.00</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2021-5-19</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0.00%</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19.60</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2021-5-20</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194.98</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216.48</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1.44%</w:t>
            </w:r>
          </w:p>
        </w:tc>
        <w:tc>
          <w:tcPr>
            <w:tcW w:w="55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2021-5-21</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682.71</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757.68</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6.46%</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2021-5-22</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292.20</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324.72</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8.62%</w:t>
            </w:r>
          </w:p>
        </w:tc>
        <w:tc>
          <w:tcPr>
            <w:tcW w:w="55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2021-5-23</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291.66</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324.72</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10.77%</w:t>
            </w:r>
          </w:p>
        </w:tc>
        <w:tc>
          <w:tcPr>
            <w:tcW w:w="552"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2021-5-24</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292.75</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324.72</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12.92%</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77.46</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2021-5-26</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287.18</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326.44</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15.09%</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40.00</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2021-5-27</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97.22</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108.24</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203.00</w:t>
            </w:r>
          </w:p>
        </w:tc>
        <w:tc>
          <w:tcPr>
            <w:tcW w:w="80" w:type="pct"/>
            <w:vAlign w:val="center"/>
          </w:tcPr>
          <w:p>
            <w:pPr>
              <w:widowControl/>
              <w:jc w:val="center"/>
              <w:rPr>
                <w:rFonts w:ascii="Arial" w:hAnsi="Arial" w:cs="Arial"/>
                <w:kern w:val="0"/>
                <w:sz w:val="18"/>
                <w:szCs w:val="18"/>
              </w:rPr>
            </w:pPr>
          </w:p>
        </w:tc>
      </w:tr>
      <w:tr>
        <w:tblPrEx>
          <w:tblCellMar>
            <w:top w:w="0" w:type="dxa"/>
            <w:left w:w="108" w:type="dxa"/>
            <w:bottom w:w="0" w:type="dxa"/>
            <w:right w:w="108" w:type="dxa"/>
          </w:tblCellMar>
        </w:tblPrEx>
        <w:trPr>
          <w:trHeight w:val="42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2021-5-28</w:t>
            </w:r>
          </w:p>
        </w:tc>
        <w:tc>
          <w:tcPr>
            <w:tcW w:w="97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619"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8"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23"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59.94</w:t>
            </w:r>
          </w:p>
        </w:tc>
        <w:tc>
          <w:tcPr>
            <w:tcW w:w="80" w:type="pct"/>
            <w:vAlign w:val="center"/>
          </w:tcPr>
          <w:p>
            <w:pPr>
              <w:widowControl/>
              <w:jc w:val="center"/>
              <w:rPr>
                <w:rFonts w:ascii="Arial" w:hAnsi="Arial" w:cs="Arial"/>
                <w:kern w:val="0"/>
                <w:sz w:val="18"/>
                <w:szCs w:val="18"/>
              </w:rPr>
            </w:pPr>
            <w:r>
              <w:rPr>
                <w:rFonts w:hint="eastAsia" w:ascii="Arial" w:hAnsi="Arial" w:cs="Arial"/>
                <w:kern w:val="0"/>
                <w:sz w:val="18"/>
                <w:szCs w:val="18"/>
              </w:rPr>
              <w:t xml:space="preserve"> </w:t>
            </w:r>
            <w:r>
              <w:rPr>
                <w:kern w:val="0"/>
                <w:sz w:val="18"/>
                <w:szCs w:val="18"/>
              </w:rPr>
              <w:t xml:space="preserve">       </w:t>
            </w:r>
          </w:p>
        </w:tc>
      </w:tr>
      <w:tr>
        <w:tblPrEx>
          <w:tblCellMar>
            <w:top w:w="0" w:type="dxa"/>
            <w:left w:w="108" w:type="dxa"/>
            <w:bottom w:w="0" w:type="dxa"/>
            <w:right w:w="108" w:type="dxa"/>
          </w:tblCellMar>
        </w:tblPrEx>
        <w:trPr>
          <w:trHeight w:val="340" w:hRule="atLeast"/>
          <w:jc w:val="center"/>
        </w:trPr>
        <w:tc>
          <w:tcPr>
            <w:tcW w:w="486"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97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12,168.57</w:t>
            </w:r>
          </w:p>
        </w:tc>
        <w:tc>
          <w:tcPr>
            <w:tcW w:w="619"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14,210.07</w:t>
            </w:r>
          </w:p>
        </w:tc>
        <w:tc>
          <w:tcPr>
            <w:tcW w:w="435"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132</w:t>
            </w:r>
          </w:p>
        </w:tc>
        <w:tc>
          <w:tcPr>
            <w:tcW w:w="42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1,754.31</w:t>
            </w:r>
          </w:p>
        </w:tc>
        <w:tc>
          <w:tcPr>
            <w:tcW w:w="42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1948.32</w:t>
            </w:r>
          </w:p>
        </w:tc>
        <w:tc>
          <w:tcPr>
            <w:tcW w:w="4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w:t>
            </w:r>
          </w:p>
        </w:tc>
        <w:tc>
          <w:tcPr>
            <w:tcW w:w="536"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15.81%</w:t>
            </w:r>
          </w:p>
        </w:tc>
        <w:tc>
          <w:tcPr>
            <w:tcW w:w="55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5,100.54</w:t>
            </w:r>
          </w:p>
        </w:tc>
        <w:tc>
          <w:tcPr>
            <w:tcW w:w="80" w:type="pct"/>
            <w:vAlign w:val="center"/>
          </w:tcPr>
          <w:p>
            <w:pPr>
              <w:widowControl/>
              <w:jc w:val="center"/>
              <w:rPr>
                <w:rFonts w:ascii="Arial" w:hAnsi="Arial" w:cs="Arial"/>
                <w:kern w:val="0"/>
                <w:sz w:val="18"/>
                <w:szCs w:val="18"/>
              </w:rPr>
            </w:pPr>
          </w:p>
        </w:tc>
      </w:tr>
    </w:tbl>
    <w:p>
      <w:pPr>
        <w:widowControl/>
        <w:spacing w:before="300" w:after="300" w:line="360" w:lineRule="exact"/>
        <w:jc w:val="left"/>
        <w:outlineLvl w:val="1"/>
        <w:rPr>
          <w:rFonts w:ascii="Arial" w:hAnsi="Arial" w:cs="Arial"/>
          <w:b/>
          <w:bCs/>
          <w:sz w:val="24"/>
        </w:rPr>
      </w:pPr>
    </w:p>
    <w:p>
      <w:pPr>
        <w:widowControl/>
        <w:spacing w:before="300" w:after="300" w:line="360" w:lineRule="exact"/>
        <w:jc w:val="left"/>
        <w:outlineLvl w:val="1"/>
        <w:rPr>
          <w:rFonts w:ascii="Arial" w:hAnsi="Arial" w:cs="Arial"/>
          <w:b/>
          <w:bCs/>
          <w:sz w:val="24"/>
        </w:r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Fonts w:ascii="Arial" w:hAnsi="Arial" w:cs="Arial"/>
          <w:b/>
          <w:bCs/>
          <w:sz w:val="24"/>
        </w:rPr>
      </w:pPr>
      <w:bookmarkStart w:id="52" w:name="_Toc73692216"/>
      <w:r>
        <w:rPr>
          <w:rFonts w:hint="eastAsia" w:ascii="Arial" w:hAnsi="Arial" w:cs="Arial"/>
          <w:b/>
          <w:bCs/>
          <w:sz w:val="24"/>
        </w:rPr>
        <w:t>7资金情况</w:t>
      </w:r>
      <w:bookmarkEnd w:id="52"/>
    </w:p>
    <w:p>
      <w:pPr>
        <w:widowControl/>
        <w:spacing w:before="300" w:after="300" w:line="360" w:lineRule="exact"/>
        <w:jc w:val="left"/>
        <w:outlineLvl w:val="1"/>
        <w:rPr>
          <w:rFonts w:ascii="Arial" w:hAnsi="Arial" w:cs="Arial"/>
          <w:b/>
          <w:bCs/>
          <w:sz w:val="24"/>
        </w:rPr>
      </w:pPr>
      <w:bookmarkStart w:id="53" w:name="_Toc73692217"/>
      <w:bookmarkStart w:id="54" w:name="_Toc535580030"/>
      <w:bookmarkStart w:id="55" w:name="_Toc535570757"/>
      <w:bookmarkStart w:id="56" w:name="_Toc37668500"/>
      <w:bookmarkStart w:id="57" w:name="_Toc535508643"/>
      <w:bookmarkStart w:id="58" w:name="_Toc535580098"/>
      <w:bookmarkStart w:id="59" w:name="_Toc18106"/>
      <w:bookmarkStart w:id="60" w:name="_Toc16727"/>
      <w:r>
        <w:rPr>
          <w:rFonts w:hint="eastAsia" w:ascii="Arial" w:hAnsi="Arial" w:cs="Arial"/>
          <w:b/>
          <w:bCs/>
          <w:sz w:val="24"/>
        </w:rPr>
        <w:t>7</w:t>
      </w:r>
      <w:r>
        <w:rPr>
          <w:rFonts w:ascii="Arial" w:hAnsi="Arial" w:cs="Arial"/>
          <w:b/>
          <w:bCs/>
          <w:sz w:val="24"/>
        </w:rPr>
        <w:t>.1</w:t>
      </w:r>
      <w:r>
        <w:rPr>
          <w:rFonts w:hint="eastAsia" w:ascii="Arial" w:hAnsi="Arial" w:cs="Arial"/>
          <w:b/>
          <w:bCs/>
          <w:sz w:val="24"/>
        </w:rPr>
        <w:t>资金流入情况</w:t>
      </w:r>
      <w:bookmarkEnd w:id="53"/>
    </w:p>
    <w:tbl>
      <w:tblPr>
        <w:tblStyle w:val="13"/>
        <w:tblW w:w="5000" w:type="pct"/>
        <w:tblInd w:w="0" w:type="dxa"/>
        <w:tblLayout w:type="autofit"/>
        <w:tblCellMar>
          <w:top w:w="0" w:type="dxa"/>
          <w:left w:w="108" w:type="dxa"/>
          <w:bottom w:w="0" w:type="dxa"/>
          <w:right w:w="108" w:type="dxa"/>
        </w:tblCellMar>
      </w:tblPr>
      <w:tblGrid>
        <w:gridCol w:w="587"/>
        <w:gridCol w:w="1568"/>
        <w:gridCol w:w="3603"/>
        <w:gridCol w:w="3745"/>
        <w:gridCol w:w="2449"/>
        <w:gridCol w:w="2222"/>
      </w:tblGrid>
      <w:tr>
        <w:tblPrEx>
          <w:tblCellMar>
            <w:top w:w="0" w:type="dxa"/>
            <w:left w:w="108" w:type="dxa"/>
            <w:bottom w:w="0" w:type="dxa"/>
            <w:right w:w="108" w:type="dxa"/>
          </w:tblCellMar>
        </w:tblPrEx>
        <w:trPr>
          <w:trHeight w:val="408" w:hRule="atLeast"/>
          <w:tblHeader/>
        </w:trPr>
        <w:tc>
          <w:tcPr>
            <w:tcW w:w="2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55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收款时间</w:t>
            </w:r>
          </w:p>
        </w:tc>
        <w:tc>
          <w:tcPr>
            <w:tcW w:w="1271" w:type="pct"/>
            <w:tcBorders>
              <w:top w:val="single" w:color="auto" w:sz="4" w:space="0"/>
              <w:left w:val="nil"/>
              <w:bottom w:val="single" w:color="auto" w:sz="4" w:space="0"/>
              <w:right w:val="nil"/>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付款方</w:t>
            </w:r>
          </w:p>
        </w:tc>
        <w:tc>
          <w:tcPr>
            <w:tcW w:w="1321"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86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784"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收款行</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1271"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2021-4-19</w:t>
            </w:r>
          </w:p>
        </w:tc>
        <w:tc>
          <w:tcPr>
            <w:tcW w:w="1271"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2021-4-22</w:t>
            </w:r>
          </w:p>
        </w:tc>
        <w:tc>
          <w:tcPr>
            <w:tcW w:w="1271"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2021-4-27</w:t>
            </w:r>
          </w:p>
        </w:tc>
        <w:tc>
          <w:tcPr>
            <w:tcW w:w="1271"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2021-4-28</w:t>
            </w:r>
          </w:p>
        </w:tc>
        <w:tc>
          <w:tcPr>
            <w:tcW w:w="1271"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2021-4-30</w:t>
            </w:r>
          </w:p>
        </w:tc>
        <w:tc>
          <w:tcPr>
            <w:tcW w:w="1271"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恒大鑫丰(彭山)置业有限公司</w:t>
            </w:r>
          </w:p>
        </w:tc>
        <w:tc>
          <w:tcPr>
            <w:tcW w:w="1321"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往来款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建行2577账户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2021-4-30</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意向金</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540,000.00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意向金</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意向金</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2021-5-3</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意向金</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2021-5-4</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意向金</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2021-5-5</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意向金</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2021-5-6</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意向金</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4,134,220.07</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2021-5-7</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意向金</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399,457.00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2021-5-8</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意向金</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199,743.00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16</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2021-5-10</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意向金</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2,815,689.00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2021-5-11</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41,158,384.00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18</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2021-5-12</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592,209.00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2021-5-13</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1,460,000.00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2021-5-14</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2,824,732.00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2021-05-17</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480,120.00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2021-05-18</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470,000.00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2021-05-19</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195,993.00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24</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2021-05-21</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2021-05-24</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774,568.00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26</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2021-05-26</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2021-05-27</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2,030,000.00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28</w:t>
            </w:r>
          </w:p>
        </w:tc>
        <w:tc>
          <w:tcPr>
            <w:tcW w:w="55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2021-05-28</w:t>
            </w:r>
          </w:p>
        </w:tc>
        <w:tc>
          <w:tcPr>
            <w:tcW w:w="127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w:t>
            </w:r>
          </w:p>
        </w:tc>
        <w:tc>
          <w:tcPr>
            <w:tcW w:w="132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房款</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599,412.00</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民生银行3800账户</w:t>
            </w:r>
          </w:p>
        </w:tc>
      </w:tr>
      <w:tr>
        <w:tblPrEx>
          <w:tblCellMar>
            <w:top w:w="0" w:type="dxa"/>
            <w:left w:w="108" w:type="dxa"/>
            <w:bottom w:w="0" w:type="dxa"/>
            <w:right w:w="108" w:type="dxa"/>
          </w:tblCellMar>
        </w:tblPrEx>
        <w:trPr>
          <w:trHeight w:val="408" w:hRule="atLeast"/>
        </w:trPr>
        <w:tc>
          <w:tcPr>
            <w:tcW w:w="3352" w:type="pct"/>
            <w:gridSpan w:val="4"/>
            <w:tcBorders>
              <w:top w:val="single" w:color="auto" w:sz="4" w:space="0"/>
              <w:left w:val="single" w:color="auto" w:sz="4" w:space="0"/>
              <w:bottom w:val="single" w:color="auto" w:sz="4" w:space="0"/>
              <w:right w:val="single" w:color="000000"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86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60,124,527.07</w:t>
            </w:r>
          </w:p>
        </w:tc>
        <w:tc>
          <w:tcPr>
            <w:tcW w:w="78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r>
    </w:tbl>
    <w:p>
      <w:pPr>
        <w:widowControl/>
        <w:spacing w:before="300" w:after="300" w:line="360" w:lineRule="exact"/>
        <w:jc w:val="left"/>
        <w:outlineLvl w:val="1"/>
        <w:rPr>
          <w:rFonts w:ascii="Arial" w:hAnsi="Arial" w:cs="Arial"/>
          <w:b/>
          <w:bCs/>
          <w:sz w:val="24"/>
        </w:rPr>
      </w:pPr>
      <w:bookmarkStart w:id="61" w:name="_Toc73692218"/>
      <w:r>
        <w:rPr>
          <w:rFonts w:hint="eastAsia" w:ascii="Arial" w:hAnsi="Arial" w:cs="Arial"/>
          <w:b/>
          <w:bCs/>
          <w:sz w:val="24"/>
        </w:rPr>
        <w:t>7.</w:t>
      </w:r>
      <w:r>
        <w:rPr>
          <w:rFonts w:ascii="Arial" w:hAnsi="Arial" w:cs="Arial"/>
          <w:b/>
          <w:bCs/>
          <w:sz w:val="24"/>
        </w:rPr>
        <w:t>2</w:t>
      </w:r>
      <w:r>
        <w:rPr>
          <w:rFonts w:hint="eastAsia" w:ascii="Arial" w:hAnsi="Arial" w:cs="Arial"/>
          <w:b/>
          <w:bCs/>
          <w:sz w:val="24"/>
        </w:rPr>
        <w:t>资金流出情况</w:t>
      </w:r>
      <w:bookmarkEnd w:id="54"/>
      <w:bookmarkEnd w:id="55"/>
      <w:bookmarkEnd w:id="56"/>
      <w:bookmarkEnd w:id="57"/>
      <w:bookmarkEnd w:id="58"/>
      <w:bookmarkEnd w:id="59"/>
      <w:bookmarkEnd w:id="60"/>
      <w:bookmarkEnd w:id="61"/>
    </w:p>
    <w:p>
      <w:pPr>
        <w:spacing w:line="360" w:lineRule="auto"/>
        <w:ind w:firstLine="420"/>
        <w:rPr>
          <w:rFonts w:ascii="Arial" w:hAnsi="Arial" w:cs="Arial"/>
          <w:bCs/>
          <w:kern w:val="44"/>
          <w:szCs w:val="21"/>
        </w:rPr>
      </w:pPr>
      <w:bookmarkStart w:id="62" w:name="_Toc27251"/>
      <w:r>
        <w:rPr>
          <w:rFonts w:hint="eastAsia" w:ascii="Arial" w:hAnsi="Arial" w:cs="Arial"/>
          <w:bCs/>
          <w:kern w:val="44"/>
          <w:szCs w:val="21"/>
        </w:rPr>
        <w:t>2021年4月14日—5月14日前，因信托计划未成立，资金使用经与中诚信托业务组沟通后，按沟通结果允许企业使用，各账户使用情况如下：</w:t>
      </w:r>
    </w:p>
    <w:p>
      <w:pPr>
        <w:spacing w:line="360" w:lineRule="auto"/>
        <w:ind w:firstLine="420"/>
        <w:rPr>
          <w:rFonts w:ascii="Arial" w:hAnsi="Arial" w:cs="Arial"/>
          <w:bCs/>
          <w:kern w:val="44"/>
          <w:szCs w:val="21"/>
        </w:rPr>
      </w:pPr>
      <w:r>
        <w:rPr>
          <w:rFonts w:hint="eastAsia" w:ascii="Arial" w:hAnsi="Arial" w:cs="Arial"/>
          <w:bCs/>
          <w:kern w:val="44"/>
          <w:szCs w:val="21"/>
        </w:rPr>
        <w:t>账户名称：成都青凌亘心房地产开发有限责任公司，开户行：中国建设银行股份有限公司成都岷江支行，账号：51050186083600002577 ，账户性质：基本户，自2021年4月14日至2021年5月13日导出银行流水显示:</w:t>
      </w:r>
    </w:p>
    <w:p>
      <w:pPr>
        <w:spacing w:line="360" w:lineRule="auto"/>
        <w:ind w:firstLine="420"/>
        <w:rPr>
          <w:rFonts w:ascii="Arial" w:hAnsi="Arial" w:cs="Arial"/>
          <w:bCs/>
          <w:kern w:val="44"/>
          <w:szCs w:val="21"/>
        </w:rPr>
      </w:pPr>
      <w:r>
        <w:rPr>
          <w:rFonts w:hint="eastAsia" w:ascii="Arial" w:hAnsi="Arial" w:cs="Arial"/>
          <w:bCs/>
          <w:kern w:val="44"/>
          <w:szCs w:val="21"/>
        </w:rPr>
        <w:t>现金支付合计金额：1,728,555.69元（除往来款、银行收费等）；</w:t>
      </w:r>
    </w:p>
    <w:p>
      <w:pPr>
        <w:spacing w:line="360" w:lineRule="auto"/>
        <w:ind w:firstLine="420"/>
        <w:rPr>
          <w:rFonts w:ascii="Arial" w:hAnsi="Arial" w:cs="Arial"/>
          <w:bCs/>
          <w:kern w:val="44"/>
          <w:szCs w:val="21"/>
        </w:rPr>
      </w:pPr>
      <w:r>
        <w:rPr>
          <w:rFonts w:hint="eastAsia" w:ascii="Arial" w:hAnsi="Arial" w:cs="Arial"/>
          <w:bCs/>
          <w:kern w:val="44"/>
          <w:szCs w:val="21"/>
        </w:rPr>
        <w:t>商票支付合计金额：170,359.16元。2021年4月14日至2021年5月13日合计支付1,898,914.85元，参见以下附表：</w:t>
      </w:r>
    </w:p>
    <w:bookmarkEnd w:id="62"/>
    <w:p>
      <w:pPr>
        <w:spacing w:line="360" w:lineRule="auto"/>
        <w:ind w:firstLine="420"/>
        <w:jc w:val="center"/>
        <w:rPr>
          <w:rFonts w:ascii="Arial" w:hAnsi="Arial" w:cs="Arial"/>
          <w:b/>
          <w:bCs/>
          <w:kern w:val="44"/>
          <w:sz w:val="24"/>
        </w:rPr>
      </w:pPr>
      <w:r>
        <w:rPr>
          <w:rFonts w:hint="eastAsia" w:ascii="Arial" w:hAnsi="Arial" w:cs="Arial"/>
          <w:b/>
          <w:bCs/>
          <w:kern w:val="44"/>
          <w:sz w:val="24"/>
        </w:rPr>
        <w:t>2577账户2021年4月14日-5月13日现金支出明细表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055"/>
        <w:gridCol w:w="2529"/>
        <w:gridCol w:w="3586"/>
        <w:gridCol w:w="1423"/>
        <w:gridCol w:w="1817"/>
        <w:gridCol w:w="1318"/>
        <w:gridCol w:w="952"/>
        <w:gridCol w:w="9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20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7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支付时间</w:t>
            </w:r>
          </w:p>
        </w:tc>
        <w:tc>
          <w:tcPr>
            <w:tcW w:w="892"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收款方</w:t>
            </w:r>
          </w:p>
        </w:tc>
        <w:tc>
          <w:tcPr>
            <w:tcW w:w="1265" w:type="pct"/>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50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641"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出款行</w:t>
            </w:r>
          </w:p>
        </w:tc>
        <w:tc>
          <w:tcPr>
            <w:tcW w:w="465"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用款类型</w:t>
            </w:r>
          </w:p>
        </w:tc>
        <w:tc>
          <w:tcPr>
            <w:tcW w:w="336"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备注1</w:t>
            </w:r>
          </w:p>
        </w:tc>
        <w:tc>
          <w:tcPr>
            <w:tcW w:w="320"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成都浚川工程设计咨询有限公司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支付成都凌川工程设计咨询水土编制方案费6万元</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60,000.00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2021-4-16</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深圳瑞和建筑装饰股份有限公司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商承到期兑付（2020.03.30-2021.3.29）</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273,124.28</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2021-4-19</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中国电信股份有限公司成都分公司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云锦华庭项目2021年2-3月通信费</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6,789.50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2021-4-19</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湖南美致空间设计工程有限公司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商承到期兑付（2020.03.31-2021.330）</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355,263.30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2021-4-21</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金碧物业有限公司成都分公司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商承到期兑付（2021.01.20-2021.04.19)</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27,057.01</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2021-4-21</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赵勤</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支付员工代垫银行印鉴变更手续费50元</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2021-4-22</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四川皓友兴食品有限公司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支付四川皓友食品公司3月食材费52000元</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52,000.00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2021-4-22</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四川省建筑科学研究院有限公司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商承到期兑付(2020.04.23-2021.04.22)</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550,000.00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2021-4-23</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成都市特种设备检验院</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支付1#楼2台电梯验收费1485元</w:t>
            </w:r>
          </w:p>
        </w:tc>
        <w:tc>
          <w:tcPr>
            <w:tcW w:w="502" w:type="pct"/>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1,485.00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建筑工程费用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2021-4-25</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成都逸勇建筑工程有限公司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商承到期兑付(2020.04.24-2021.04.23)</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31,680.00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2021-4-27</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成都京东世纪贸易有限公司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支付云锦华庭案场家电采购款</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239,682.00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2021-4-28</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金碧物业有限公司成都分公司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支付云锦华庭项目35F楼12月物业服务费</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40,112.30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2021-4-29</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金碧物业有限公司成都分公司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支付云锦华庭项目35F楼11月物业服务费</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40,112.30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14</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2021-4-29</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中国建设银行股份有限公司岷江支行</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支付银行一季度网银服务费</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1,200.00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15</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2021-4-30</w:t>
            </w:r>
          </w:p>
        </w:tc>
        <w:tc>
          <w:tcPr>
            <w:tcW w:w="892"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成都青白江水业股份有限公司</w:t>
            </w:r>
          </w:p>
        </w:tc>
        <w:tc>
          <w:tcPr>
            <w:tcW w:w="1265"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支付云锦华庭项目2-4月水费</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50,000.00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736" w:type="pct"/>
            <w:gridSpan w:val="4"/>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50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1,728,555.69</w:t>
            </w:r>
          </w:p>
        </w:tc>
        <w:tc>
          <w:tcPr>
            <w:tcW w:w="641" w:type="pct"/>
            <w:shd w:val="clear" w:color="auto" w:fill="auto"/>
            <w:noWrap/>
            <w:vAlign w:val="center"/>
          </w:tcPr>
          <w:p>
            <w:pPr>
              <w:widowControl/>
              <w:jc w:val="center"/>
              <w:rPr>
                <w:rFonts w:ascii="Arial" w:hAnsi="Arial" w:cs="Arial"/>
                <w:color w:val="000000"/>
                <w:kern w:val="0"/>
                <w:sz w:val="18"/>
                <w:szCs w:val="18"/>
              </w:rPr>
            </w:pPr>
          </w:p>
        </w:tc>
        <w:tc>
          <w:tcPr>
            <w:tcW w:w="465" w:type="pct"/>
            <w:shd w:val="clear" w:color="auto" w:fill="auto"/>
            <w:noWrap/>
            <w:vAlign w:val="center"/>
          </w:tcPr>
          <w:p>
            <w:pPr>
              <w:widowControl/>
              <w:jc w:val="center"/>
              <w:rPr>
                <w:rFonts w:ascii="Arial" w:hAnsi="Arial" w:cs="Arial"/>
                <w:color w:val="000000"/>
                <w:kern w:val="0"/>
                <w:sz w:val="18"/>
                <w:szCs w:val="18"/>
              </w:rPr>
            </w:pPr>
          </w:p>
        </w:tc>
        <w:tc>
          <w:tcPr>
            <w:tcW w:w="336" w:type="pct"/>
            <w:shd w:val="clear" w:color="auto" w:fill="auto"/>
            <w:noWrap/>
            <w:vAlign w:val="center"/>
          </w:tcPr>
          <w:p>
            <w:pPr>
              <w:widowControl/>
              <w:jc w:val="center"/>
              <w:rPr>
                <w:rFonts w:ascii="Arial" w:hAnsi="Arial" w:cs="Arial"/>
                <w:color w:val="000000"/>
                <w:kern w:val="0"/>
                <w:sz w:val="18"/>
                <w:szCs w:val="18"/>
              </w:rPr>
            </w:pPr>
          </w:p>
        </w:tc>
        <w:tc>
          <w:tcPr>
            <w:tcW w:w="320" w:type="pct"/>
            <w:shd w:val="clear" w:color="auto" w:fill="auto"/>
            <w:noWrap/>
            <w:vAlign w:val="center"/>
          </w:tcPr>
          <w:p>
            <w:pPr>
              <w:widowControl/>
              <w:jc w:val="center"/>
              <w:rPr>
                <w:rFonts w:ascii="Arial" w:hAnsi="Arial" w:cs="Arial"/>
                <w:color w:val="000000"/>
                <w:kern w:val="0"/>
                <w:sz w:val="18"/>
                <w:szCs w:val="18"/>
              </w:rPr>
            </w:pPr>
          </w:p>
        </w:tc>
      </w:tr>
    </w:tbl>
    <w:p>
      <w:pPr>
        <w:jc w:val="center"/>
        <w:rPr>
          <w:rFonts w:ascii="仿宋" w:hAnsi="仿宋" w:eastAsia="仿宋" w:cs="仿宋"/>
          <w:b/>
          <w:bCs/>
          <w:sz w:val="24"/>
        </w:rPr>
      </w:pPr>
    </w:p>
    <w:p>
      <w:pPr>
        <w:jc w:val="center"/>
        <w:rPr>
          <w:rFonts w:ascii="仿宋" w:hAnsi="仿宋" w:eastAsia="仿宋" w:cs="仿宋"/>
          <w:b/>
          <w:bCs/>
          <w:sz w:val="24"/>
        </w:rPr>
      </w:pPr>
    </w:p>
    <w:p>
      <w:pPr>
        <w:jc w:val="center"/>
        <w:rPr>
          <w:rFonts w:ascii="仿宋" w:hAnsi="仿宋" w:eastAsia="仿宋" w:cs="仿宋"/>
          <w:b/>
          <w:bCs/>
          <w:sz w:val="24"/>
        </w:rPr>
      </w:pPr>
    </w:p>
    <w:p>
      <w:pPr>
        <w:jc w:val="center"/>
        <w:rPr>
          <w:rFonts w:ascii="仿宋" w:hAnsi="仿宋" w:eastAsia="仿宋" w:cs="仿宋"/>
          <w:b/>
          <w:bCs/>
          <w:sz w:val="24"/>
        </w:rPr>
      </w:pPr>
      <w:r>
        <w:rPr>
          <w:rFonts w:ascii="仿宋" w:hAnsi="仿宋" w:eastAsia="仿宋" w:cs="仿宋"/>
          <w:b/>
          <w:bCs/>
          <w:sz w:val="24"/>
        </w:rPr>
        <w:t>2577</w:t>
      </w:r>
      <w:r>
        <w:rPr>
          <w:rFonts w:hint="eastAsia" w:ascii="仿宋" w:hAnsi="仿宋" w:eastAsia="仿宋" w:cs="仿宋"/>
          <w:b/>
          <w:bCs/>
          <w:sz w:val="24"/>
        </w:rPr>
        <w:t>账户2021年4月1</w:t>
      </w:r>
      <w:r>
        <w:rPr>
          <w:rFonts w:ascii="仿宋" w:hAnsi="仿宋" w:eastAsia="仿宋" w:cs="仿宋"/>
          <w:b/>
          <w:bCs/>
          <w:sz w:val="24"/>
        </w:rPr>
        <w:t>4</w:t>
      </w:r>
      <w:r>
        <w:rPr>
          <w:rFonts w:hint="eastAsia" w:ascii="仿宋" w:hAnsi="仿宋" w:eastAsia="仿宋" w:cs="仿宋"/>
          <w:b/>
          <w:bCs/>
          <w:sz w:val="24"/>
        </w:rPr>
        <w:t>日-</w:t>
      </w:r>
      <w:r>
        <w:rPr>
          <w:rFonts w:ascii="仿宋" w:hAnsi="仿宋" w:eastAsia="仿宋" w:cs="仿宋"/>
          <w:b/>
          <w:bCs/>
          <w:sz w:val="24"/>
        </w:rPr>
        <w:t>5</w:t>
      </w:r>
      <w:r>
        <w:rPr>
          <w:rFonts w:hint="eastAsia" w:ascii="仿宋" w:hAnsi="仿宋" w:eastAsia="仿宋" w:cs="仿宋"/>
          <w:b/>
          <w:bCs/>
          <w:sz w:val="24"/>
        </w:rPr>
        <w:t>月1</w:t>
      </w:r>
      <w:r>
        <w:rPr>
          <w:rFonts w:ascii="仿宋" w:hAnsi="仿宋" w:eastAsia="仿宋" w:cs="仿宋"/>
          <w:b/>
          <w:bCs/>
          <w:sz w:val="24"/>
        </w:rPr>
        <w:t>3</w:t>
      </w:r>
      <w:r>
        <w:rPr>
          <w:rFonts w:hint="eastAsia" w:ascii="仿宋" w:hAnsi="仿宋" w:eastAsia="仿宋" w:cs="仿宋"/>
          <w:b/>
          <w:bCs/>
          <w:sz w:val="24"/>
        </w:rPr>
        <w:t>日商票支出明细表</w:t>
      </w:r>
    </w:p>
    <w:tbl>
      <w:tblPr>
        <w:tblStyle w:val="13"/>
        <w:tblW w:w="5000" w:type="pct"/>
        <w:tblInd w:w="0" w:type="dxa"/>
        <w:tblLayout w:type="autofit"/>
        <w:tblCellMar>
          <w:top w:w="0" w:type="dxa"/>
          <w:left w:w="108" w:type="dxa"/>
          <w:bottom w:w="0" w:type="dxa"/>
          <w:right w:w="108" w:type="dxa"/>
        </w:tblCellMar>
      </w:tblPr>
      <w:tblGrid>
        <w:gridCol w:w="586"/>
        <w:gridCol w:w="1055"/>
        <w:gridCol w:w="1055"/>
        <w:gridCol w:w="2648"/>
        <w:gridCol w:w="3634"/>
        <w:gridCol w:w="1440"/>
        <w:gridCol w:w="1817"/>
        <w:gridCol w:w="972"/>
        <w:gridCol w:w="967"/>
      </w:tblGrid>
      <w:tr>
        <w:tblPrEx>
          <w:tblCellMar>
            <w:top w:w="0" w:type="dxa"/>
            <w:left w:w="108" w:type="dxa"/>
            <w:bottom w:w="0" w:type="dxa"/>
            <w:right w:w="108" w:type="dxa"/>
          </w:tblCellMar>
        </w:tblPrEx>
        <w:trPr>
          <w:trHeight w:val="408" w:hRule="atLeast"/>
        </w:trPr>
        <w:tc>
          <w:tcPr>
            <w:tcW w:w="207" w:type="pct"/>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72"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出票时间</w:t>
            </w:r>
          </w:p>
        </w:tc>
        <w:tc>
          <w:tcPr>
            <w:tcW w:w="372" w:type="pct"/>
            <w:tcBorders>
              <w:top w:val="single" w:color="auto" w:sz="4" w:space="0"/>
              <w:left w:val="nil"/>
              <w:bottom w:val="single" w:color="auto" w:sz="4" w:space="0"/>
              <w:right w:val="nil"/>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承兑时间</w:t>
            </w:r>
          </w:p>
        </w:tc>
        <w:tc>
          <w:tcPr>
            <w:tcW w:w="934" w:type="pct"/>
            <w:tcBorders>
              <w:top w:val="single" w:color="auto" w:sz="4" w:space="0"/>
              <w:left w:val="single" w:color="auto" w:sz="4" w:space="0"/>
              <w:bottom w:val="single" w:color="auto" w:sz="4" w:space="0"/>
              <w:right w:val="nil"/>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收款方</w:t>
            </w:r>
          </w:p>
        </w:tc>
        <w:tc>
          <w:tcPr>
            <w:tcW w:w="128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50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64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出款行</w:t>
            </w:r>
          </w:p>
        </w:tc>
        <w:tc>
          <w:tcPr>
            <w:tcW w:w="34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用款类型</w:t>
            </w:r>
          </w:p>
        </w:tc>
        <w:tc>
          <w:tcPr>
            <w:tcW w:w="34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hint="eastAsia" w:ascii="Arial" w:hAnsi="Arial" w:cs="Arial"/>
                <w:b/>
                <w:bCs/>
                <w:color w:val="000000"/>
                <w:kern w:val="0"/>
                <w:sz w:val="18"/>
                <w:szCs w:val="18"/>
              </w:rPr>
              <w:t>备注</w:t>
            </w:r>
          </w:p>
        </w:tc>
      </w:tr>
      <w:tr>
        <w:tblPrEx>
          <w:tblCellMar>
            <w:top w:w="0" w:type="dxa"/>
            <w:left w:w="108" w:type="dxa"/>
            <w:bottom w:w="0" w:type="dxa"/>
            <w:right w:w="108" w:type="dxa"/>
          </w:tblCellMar>
        </w:tblPrEx>
        <w:trPr>
          <w:trHeight w:val="520" w:hRule="atLeast"/>
        </w:trPr>
        <w:tc>
          <w:tcPr>
            <w:tcW w:w="207" w:type="pct"/>
            <w:tcBorders>
              <w:top w:val="nil"/>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7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2021-4-30</w:t>
            </w:r>
          </w:p>
        </w:tc>
        <w:tc>
          <w:tcPr>
            <w:tcW w:w="372"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2022-4-29</w:t>
            </w:r>
          </w:p>
        </w:tc>
        <w:tc>
          <w:tcPr>
            <w:tcW w:w="934" w:type="pct"/>
            <w:tcBorders>
              <w:top w:val="nil"/>
              <w:left w:val="nil"/>
              <w:bottom w:val="single" w:color="auto" w:sz="4" w:space="0"/>
              <w:right w:val="nil"/>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深圳文科园林股份有限公司</w:t>
            </w:r>
          </w:p>
        </w:tc>
        <w:tc>
          <w:tcPr>
            <w:tcW w:w="128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图纸会审费</w:t>
            </w:r>
          </w:p>
        </w:tc>
        <w:tc>
          <w:tcPr>
            <w:tcW w:w="508"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170,359.16</w:t>
            </w:r>
          </w:p>
        </w:tc>
        <w:tc>
          <w:tcPr>
            <w:tcW w:w="641"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343"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营销费用</w:t>
            </w:r>
          </w:p>
        </w:tc>
        <w:tc>
          <w:tcPr>
            <w:tcW w:w="34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p>
        </w:tc>
      </w:tr>
      <w:tr>
        <w:tblPrEx>
          <w:tblCellMar>
            <w:top w:w="0" w:type="dxa"/>
            <w:left w:w="108" w:type="dxa"/>
            <w:bottom w:w="0" w:type="dxa"/>
            <w:right w:w="108" w:type="dxa"/>
          </w:tblCellMar>
        </w:tblPrEx>
        <w:trPr>
          <w:trHeight w:val="520" w:hRule="atLeast"/>
        </w:trPr>
        <w:tc>
          <w:tcPr>
            <w:tcW w:w="3167"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kern w:val="0"/>
                <w:sz w:val="18"/>
                <w:szCs w:val="18"/>
              </w:rPr>
            </w:pPr>
            <w:r>
              <w:rPr>
                <w:rFonts w:hint="eastAsia" w:ascii="Arial" w:hAnsi="Arial" w:cs="Arial"/>
                <w:kern w:val="0"/>
                <w:sz w:val="18"/>
                <w:szCs w:val="18"/>
              </w:rPr>
              <w:t>合计</w:t>
            </w:r>
          </w:p>
        </w:tc>
        <w:tc>
          <w:tcPr>
            <w:tcW w:w="508"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170,359.16</w:t>
            </w:r>
          </w:p>
        </w:tc>
        <w:tc>
          <w:tcPr>
            <w:tcW w:w="641"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c>
          <w:tcPr>
            <w:tcW w:w="343" w:type="pct"/>
            <w:tcBorders>
              <w:top w:val="single" w:color="auto" w:sz="4" w:space="0"/>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p>
        </w:tc>
        <w:tc>
          <w:tcPr>
            <w:tcW w:w="34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p>
        </w:tc>
      </w:tr>
    </w:tbl>
    <w:p>
      <w:pPr>
        <w:spacing w:line="360" w:lineRule="auto"/>
        <w:ind w:firstLine="420" w:firstLineChars="200"/>
        <w:rPr>
          <w:rFonts w:ascii="Arial" w:hAnsi="Arial" w:cs="Arial"/>
          <w:bCs/>
          <w:kern w:val="44"/>
          <w:szCs w:val="21"/>
        </w:rPr>
      </w:pPr>
    </w:p>
    <w:p>
      <w:pPr>
        <w:spacing w:line="360" w:lineRule="auto"/>
        <w:ind w:firstLine="420" w:firstLineChars="200"/>
        <w:rPr>
          <w:rFonts w:ascii="Arial" w:hAnsi="Arial" w:cs="Arial"/>
          <w:bCs/>
          <w:kern w:val="44"/>
          <w:szCs w:val="21"/>
        </w:rPr>
      </w:pPr>
    </w:p>
    <w:p>
      <w:pPr>
        <w:spacing w:line="360" w:lineRule="auto"/>
        <w:ind w:firstLine="420" w:firstLineChars="200"/>
        <w:rPr>
          <w:rFonts w:ascii="Arial" w:hAnsi="Arial" w:cs="Arial"/>
          <w:bCs/>
          <w:kern w:val="44"/>
          <w:szCs w:val="21"/>
        </w:rPr>
      </w:pPr>
    </w:p>
    <w:p>
      <w:pPr>
        <w:spacing w:line="360" w:lineRule="auto"/>
        <w:ind w:firstLine="420" w:firstLineChars="200"/>
        <w:rPr>
          <w:rFonts w:ascii="Arial" w:hAnsi="Arial" w:cs="Arial"/>
          <w:bCs/>
          <w:kern w:val="44"/>
          <w:szCs w:val="21"/>
        </w:rPr>
      </w:pPr>
      <w:r>
        <w:rPr>
          <w:rFonts w:hint="eastAsia" w:ascii="Arial" w:hAnsi="Arial" w:cs="Arial"/>
          <w:bCs/>
          <w:kern w:val="44"/>
          <w:szCs w:val="21"/>
        </w:rPr>
        <w:t>账户名称：成都青凌亘心房地产开发有限责任公司，开户行：中国工商银行股份有限公司成都春熙支行，账号：</w:t>
      </w:r>
      <w:r>
        <w:rPr>
          <w:rFonts w:ascii="Arial" w:hAnsi="Arial" w:cs="Arial"/>
          <w:bCs/>
          <w:kern w:val="44"/>
          <w:szCs w:val="21"/>
        </w:rPr>
        <w:t>4402209019067263194 </w:t>
      </w:r>
      <w:r>
        <w:rPr>
          <w:rFonts w:hint="eastAsia" w:ascii="Arial" w:hAnsi="Arial" w:cs="Arial"/>
          <w:bCs/>
          <w:kern w:val="44"/>
          <w:szCs w:val="21"/>
        </w:rPr>
        <w:t>，账户性质：一般户，自2021年4月1</w:t>
      </w:r>
      <w:r>
        <w:rPr>
          <w:rFonts w:ascii="Arial" w:hAnsi="Arial" w:cs="Arial"/>
          <w:bCs/>
          <w:kern w:val="44"/>
          <w:szCs w:val="21"/>
        </w:rPr>
        <w:t>4</w:t>
      </w:r>
      <w:r>
        <w:rPr>
          <w:rFonts w:hint="eastAsia" w:ascii="Arial" w:hAnsi="Arial" w:cs="Arial"/>
          <w:bCs/>
          <w:kern w:val="44"/>
          <w:szCs w:val="21"/>
        </w:rPr>
        <w:t>日至2021年</w:t>
      </w:r>
      <w:r>
        <w:rPr>
          <w:rFonts w:ascii="Arial" w:hAnsi="Arial" w:cs="Arial"/>
          <w:bCs/>
          <w:kern w:val="44"/>
          <w:szCs w:val="21"/>
        </w:rPr>
        <w:t>5</w:t>
      </w:r>
      <w:r>
        <w:rPr>
          <w:rFonts w:hint="eastAsia" w:ascii="Arial" w:hAnsi="Arial" w:cs="Arial"/>
          <w:bCs/>
          <w:kern w:val="44"/>
          <w:szCs w:val="21"/>
        </w:rPr>
        <w:t>月</w:t>
      </w:r>
      <w:r>
        <w:rPr>
          <w:rFonts w:ascii="Arial" w:hAnsi="Arial" w:cs="Arial"/>
          <w:bCs/>
          <w:kern w:val="44"/>
          <w:szCs w:val="21"/>
        </w:rPr>
        <w:t>13</w:t>
      </w:r>
      <w:r>
        <w:rPr>
          <w:rFonts w:hint="eastAsia" w:ascii="Arial" w:hAnsi="Arial" w:cs="Arial"/>
          <w:bCs/>
          <w:kern w:val="44"/>
          <w:szCs w:val="21"/>
        </w:rPr>
        <w:t>日导出银行流水显示:</w:t>
      </w:r>
    </w:p>
    <w:p>
      <w:pPr>
        <w:spacing w:line="360" w:lineRule="auto"/>
        <w:ind w:firstLine="420"/>
        <w:rPr>
          <w:rFonts w:ascii="Arial" w:hAnsi="Arial" w:cs="Arial"/>
          <w:bCs/>
          <w:kern w:val="44"/>
          <w:szCs w:val="21"/>
        </w:rPr>
      </w:pPr>
      <w:r>
        <w:rPr>
          <w:rFonts w:hint="eastAsia" w:ascii="Arial" w:hAnsi="Arial" w:cs="Arial"/>
          <w:bCs/>
          <w:kern w:val="44"/>
          <w:szCs w:val="21"/>
        </w:rPr>
        <w:t>现金支付合计金额：</w:t>
      </w:r>
      <w:r>
        <w:rPr>
          <w:rFonts w:ascii="Arial" w:hAnsi="Arial" w:cs="Arial"/>
          <w:bCs/>
          <w:kern w:val="44"/>
          <w:szCs w:val="21"/>
        </w:rPr>
        <w:t>1,000,500.00</w:t>
      </w:r>
      <w:r>
        <w:rPr>
          <w:rFonts w:hint="eastAsia" w:ascii="Arial" w:hAnsi="Arial" w:cs="Arial"/>
          <w:bCs/>
          <w:kern w:val="44"/>
          <w:szCs w:val="21"/>
        </w:rPr>
        <w:t>元（除往来款、银行收费等）。</w:t>
      </w:r>
    </w:p>
    <w:p>
      <w:pPr>
        <w:spacing w:line="360" w:lineRule="auto"/>
        <w:ind w:firstLine="420"/>
        <w:rPr>
          <w:rFonts w:ascii="Arial" w:hAnsi="Arial" w:cs="Arial"/>
          <w:bCs/>
          <w:kern w:val="44"/>
          <w:szCs w:val="21"/>
        </w:rPr>
      </w:pPr>
    </w:p>
    <w:p>
      <w:pPr>
        <w:jc w:val="center"/>
        <w:rPr>
          <w:rFonts w:ascii="仿宋" w:hAnsi="仿宋" w:eastAsia="仿宋" w:cs="仿宋"/>
          <w:b/>
          <w:bCs/>
          <w:sz w:val="24"/>
        </w:rPr>
      </w:pPr>
      <w:r>
        <w:rPr>
          <w:rFonts w:ascii="仿宋" w:hAnsi="仿宋" w:eastAsia="仿宋" w:cs="仿宋"/>
          <w:b/>
          <w:bCs/>
          <w:sz w:val="24"/>
        </w:rPr>
        <w:t>3194</w:t>
      </w:r>
      <w:r>
        <w:rPr>
          <w:rFonts w:hint="eastAsia" w:ascii="仿宋" w:hAnsi="仿宋" w:eastAsia="仿宋" w:cs="仿宋"/>
          <w:b/>
          <w:bCs/>
          <w:sz w:val="24"/>
        </w:rPr>
        <w:t>账户2021年4月1</w:t>
      </w:r>
      <w:r>
        <w:rPr>
          <w:rFonts w:ascii="仿宋" w:hAnsi="仿宋" w:eastAsia="仿宋" w:cs="仿宋"/>
          <w:b/>
          <w:bCs/>
          <w:sz w:val="24"/>
        </w:rPr>
        <w:t>4</w:t>
      </w:r>
      <w:r>
        <w:rPr>
          <w:rFonts w:hint="eastAsia" w:ascii="仿宋" w:hAnsi="仿宋" w:eastAsia="仿宋" w:cs="仿宋"/>
          <w:b/>
          <w:bCs/>
          <w:sz w:val="24"/>
        </w:rPr>
        <w:t>日-</w:t>
      </w:r>
      <w:r>
        <w:rPr>
          <w:rFonts w:ascii="仿宋" w:hAnsi="仿宋" w:eastAsia="仿宋" w:cs="仿宋"/>
          <w:b/>
          <w:bCs/>
          <w:sz w:val="24"/>
        </w:rPr>
        <w:t>5</w:t>
      </w:r>
      <w:r>
        <w:rPr>
          <w:rFonts w:hint="eastAsia" w:ascii="仿宋" w:hAnsi="仿宋" w:eastAsia="仿宋" w:cs="仿宋"/>
          <w:b/>
          <w:bCs/>
          <w:sz w:val="24"/>
        </w:rPr>
        <w:t>月1</w:t>
      </w:r>
      <w:r>
        <w:rPr>
          <w:rFonts w:ascii="仿宋" w:hAnsi="仿宋" w:eastAsia="仿宋" w:cs="仿宋"/>
          <w:b/>
          <w:bCs/>
          <w:sz w:val="24"/>
        </w:rPr>
        <w:t>3</w:t>
      </w:r>
      <w:r>
        <w:rPr>
          <w:rFonts w:hint="eastAsia" w:ascii="仿宋" w:hAnsi="仿宋" w:eastAsia="仿宋" w:cs="仿宋"/>
          <w:b/>
          <w:bCs/>
          <w:sz w:val="24"/>
        </w:rPr>
        <w:t>日现金支出明细表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063"/>
        <w:gridCol w:w="2651"/>
        <w:gridCol w:w="3654"/>
        <w:gridCol w:w="1491"/>
        <w:gridCol w:w="1451"/>
        <w:gridCol w:w="1318"/>
        <w:gridCol w:w="961"/>
        <w:gridCol w:w="9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75"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支付时间</w:t>
            </w:r>
          </w:p>
        </w:tc>
        <w:tc>
          <w:tcPr>
            <w:tcW w:w="935"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收款方</w:t>
            </w:r>
          </w:p>
        </w:tc>
        <w:tc>
          <w:tcPr>
            <w:tcW w:w="1289" w:type="pct"/>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526"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51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出款行</w:t>
            </w:r>
          </w:p>
        </w:tc>
        <w:tc>
          <w:tcPr>
            <w:tcW w:w="465"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用款类型</w:t>
            </w:r>
          </w:p>
        </w:tc>
        <w:tc>
          <w:tcPr>
            <w:tcW w:w="339"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备注1</w:t>
            </w:r>
          </w:p>
        </w:tc>
        <w:tc>
          <w:tcPr>
            <w:tcW w:w="35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7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2021-5-13</w:t>
            </w:r>
          </w:p>
        </w:tc>
        <w:tc>
          <w:tcPr>
            <w:tcW w:w="93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林玉清</w:t>
            </w:r>
          </w:p>
        </w:tc>
        <w:tc>
          <w:tcPr>
            <w:tcW w:w="128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员工报销民生银行对公账户开户费</w:t>
            </w:r>
          </w:p>
        </w:tc>
        <w:tc>
          <w:tcPr>
            <w:tcW w:w="52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500.00</w:t>
            </w:r>
          </w:p>
        </w:tc>
        <w:tc>
          <w:tcPr>
            <w:tcW w:w="51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财务费用</w:t>
            </w:r>
          </w:p>
        </w:tc>
        <w:tc>
          <w:tcPr>
            <w:tcW w:w="339"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5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37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2021-5-13</w:t>
            </w:r>
          </w:p>
        </w:tc>
        <w:tc>
          <w:tcPr>
            <w:tcW w:w="93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1289"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支付中铁二局2021年2月民工工资</w:t>
            </w:r>
          </w:p>
        </w:tc>
        <w:tc>
          <w:tcPr>
            <w:tcW w:w="52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1,000,000.00</w:t>
            </w:r>
          </w:p>
        </w:tc>
        <w:tc>
          <w:tcPr>
            <w:tcW w:w="51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339"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5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trPr>
        <w:tc>
          <w:tcPr>
            <w:tcW w:w="2806" w:type="pct"/>
            <w:gridSpan w:val="4"/>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52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1,000,500.00</w:t>
            </w:r>
          </w:p>
        </w:tc>
        <w:tc>
          <w:tcPr>
            <w:tcW w:w="512" w:type="pct"/>
            <w:shd w:val="clear" w:color="auto" w:fill="auto"/>
            <w:noWrap/>
            <w:vAlign w:val="center"/>
          </w:tcPr>
          <w:p>
            <w:pPr>
              <w:widowControl/>
              <w:jc w:val="center"/>
              <w:rPr>
                <w:rFonts w:ascii="Arial" w:hAnsi="Arial" w:cs="Arial"/>
                <w:color w:val="000000"/>
                <w:kern w:val="0"/>
                <w:sz w:val="18"/>
                <w:szCs w:val="18"/>
              </w:rPr>
            </w:pPr>
          </w:p>
        </w:tc>
        <w:tc>
          <w:tcPr>
            <w:tcW w:w="465" w:type="pct"/>
            <w:shd w:val="clear" w:color="auto" w:fill="auto"/>
            <w:noWrap/>
            <w:vAlign w:val="center"/>
          </w:tcPr>
          <w:p>
            <w:pPr>
              <w:widowControl/>
              <w:jc w:val="center"/>
              <w:rPr>
                <w:rFonts w:ascii="Arial" w:hAnsi="Arial" w:cs="Arial"/>
                <w:color w:val="000000"/>
                <w:kern w:val="0"/>
                <w:sz w:val="18"/>
                <w:szCs w:val="18"/>
              </w:rPr>
            </w:pPr>
          </w:p>
        </w:tc>
        <w:tc>
          <w:tcPr>
            <w:tcW w:w="339" w:type="pct"/>
            <w:shd w:val="clear" w:color="auto" w:fill="auto"/>
            <w:noWrap/>
            <w:vAlign w:val="center"/>
          </w:tcPr>
          <w:p>
            <w:pPr>
              <w:widowControl/>
              <w:jc w:val="center"/>
              <w:rPr>
                <w:rFonts w:ascii="Arial" w:hAnsi="Arial" w:cs="Arial"/>
                <w:color w:val="000000"/>
                <w:kern w:val="0"/>
                <w:sz w:val="18"/>
                <w:szCs w:val="18"/>
              </w:rPr>
            </w:pPr>
          </w:p>
        </w:tc>
        <w:tc>
          <w:tcPr>
            <w:tcW w:w="352" w:type="pct"/>
            <w:shd w:val="clear" w:color="auto" w:fill="auto"/>
            <w:noWrap/>
            <w:vAlign w:val="center"/>
          </w:tcPr>
          <w:p>
            <w:pPr>
              <w:widowControl/>
              <w:jc w:val="center"/>
              <w:rPr>
                <w:rFonts w:ascii="Arial" w:hAnsi="Arial" w:cs="Arial"/>
                <w:color w:val="000000"/>
                <w:kern w:val="0"/>
                <w:sz w:val="18"/>
                <w:szCs w:val="18"/>
              </w:rPr>
            </w:pPr>
          </w:p>
        </w:tc>
      </w:tr>
    </w:tbl>
    <w:p>
      <w:pPr>
        <w:spacing w:line="360" w:lineRule="auto"/>
        <w:ind w:firstLine="420" w:firstLineChars="200"/>
        <w:rPr>
          <w:rFonts w:ascii="Arial" w:hAnsi="Arial" w:cs="Arial"/>
          <w:bCs/>
          <w:kern w:val="44"/>
          <w:szCs w:val="21"/>
        </w:rPr>
      </w:pPr>
      <w:r>
        <w:rPr>
          <w:rFonts w:hint="eastAsia" w:ascii="Arial" w:hAnsi="Arial" w:cs="Arial"/>
          <w:bCs/>
          <w:kern w:val="44"/>
          <w:szCs w:val="21"/>
        </w:rPr>
        <w:t>5月1</w:t>
      </w:r>
      <w:r>
        <w:rPr>
          <w:rFonts w:ascii="Arial" w:hAnsi="Arial" w:cs="Arial"/>
          <w:bCs/>
          <w:kern w:val="44"/>
          <w:szCs w:val="21"/>
        </w:rPr>
        <w:t>4</w:t>
      </w:r>
      <w:r>
        <w:rPr>
          <w:rFonts w:hint="eastAsia" w:ascii="Arial" w:hAnsi="Arial" w:cs="Arial"/>
          <w:bCs/>
          <w:kern w:val="44"/>
          <w:szCs w:val="21"/>
        </w:rPr>
        <w:t>日资金计划成立，成立后各账户资金使用情况如下：</w:t>
      </w:r>
    </w:p>
    <w:p>
      <w:pPr>
        <w:spacing w:line="360" w:lineRule="auto"/>
        <w:ind w:firstLine="420"/>
        <w:rPr>
          <w:rFonts w:ascii="Arial" w:hAnsi="Arial" w:cs="Arial"/>
          <w:bCs/>
          <w:kern w:val="44"/>
          <w:szCs w:val="21"/>
        </w:rPr>
      </w:pPr>
      <w:r>
        <w:rPr>
          <w:rFonts w:hint="eastAsia" w:ascii="Arial" w:hAnsi="Arial" w:cs="Arial"/>
          <w:bCs/>
          <w:kern w:val="44"/>
          <w:szCs w:val="21"/>
        </w:rPr>
        <w:t>账户名称：成都青凌亘心房地产开发有限责任公司，开户行：中国建设银行股份有限公司成都岷江支行，账号：</w:t>
      </w:r>
      <w:r>
        <w:rPr>
          <w:rFonts w:ascii="Arial" w:hAnsi="Arial" w:cs="Arial"/>
          <w:bCs/>
          <w:kern w:val="44"/>
          <w:szCs w:val="21"/>
        </w:rPr>
        <w:t>51050186083600002577 </w:t>
      </w:r>
      <w:r>
        <w:rPr>
          <w:rFonts w:hint="eastAsia" w:ascii="Arial" w:hAnsi="Arial" w:cs="Arial"/>
          <w:bCs/>
          <w:kern w:val="44"/>
          <w:szCs w:val="21"/>
        </w:rPr>
        <w:t>，账户性质：基本户，自2021年</w:t>
      </w:r>
      <w:r>
        <w:rPr>
          <w:rFonts w:ascii="Arial" w:hAnsi="Arial" w:cs="Arial"/>
          <w:bCs/>
          <w:kern w:val="44"/>
          <w:szCs w:val="21"/>
        </w:rPr>
        <w:t>5</w:t>
      </w:r>
      <w:r>
        <w:rPr>
          <w:rFonts w:hint="eastAsia" w:ascii="Arial" w:hAnsi="Arial" w:cs="Arial"/>
          <w:bCs/>
          <w:kern w:val="44"/>
          <w:szCs w:val="21"/>
        </w:rPr>
        <w:t>月1</w:t>
      </w:r>
      <w:r>
        <w:rPr>
          <w:rFonts w:ascii="Arial" w:hAnsi="Arial" w:cs="Arial"/>
          <w:bCs/>
          <w:kern w:val="44"/>
          <w:szCs w:val="21"/>
        </w:rPr>
        <w:t>4</w:t>
      </w:r>
      <w:r>
        <w:rPr>
          <w:rFonts w:hint="eastAsia" w:ascii="Arial" w:hAnsi="Arial" w:cs="Arial"/>
          <w:bCs/>
          <w:kern w:val="44"/>
          <w:szCs w:val="21"/>
        </w:rPr>
        <w:t>日至2021年</w:t>
      </w:r>
      <w:r>
        <w:rPr>
          <w:rFonts w:ascii="Arial" w:hAnsi="Arial" w:cs="Arial"/>
          <w:bCs/>
          <w:kern w:val="44"/>
          <w:szCs w:val="21"/>
        </w:rPr>
        <w:t>5</w:t>
      </w:r>
      <w:r>
        <w:rPr>
          <w:rFonts w:hint="eastAsia" w:ascii="Arial" w:hAnsi="Arial" w:cs="Arial"/>
          <w:bCs/>
          <w:kern w:val="44"/>
          <w:szCs w:val="21"/>
        </w:rPr>
        <w:t>月</w:t>
      </w:r>
      <w:r>
        <w:rPr>
          <w:rFonts w:ascii="Arial" w:hAnsi="Arial" w:cs="Arial"/>
          <w:bCs/>
          <w:kern w:val="44"/>
          <w:szCs w:val="21"/>
        </w:rPr>
        <w:t>31</w:t>
      </w:r>
      <w:r>
        <w:rPr>
          <w:rFonts w:hint="eastAsia" w:ascii="Arial" w:hAnsi="Arial" w:cs="Arial"/>
          <w:bCs/>
          <w:kern w:val="44"/>
          <w:szCs w:val="21"/>
        </w:rPr>
        <w:t>日导出银行流水显示:</w:t>
      </w:r>
    </w:p>
    <w:p>
      <w:pPr>
        <w:spacing w:line="360" w:lineRule="auto"/>
        <w:ind w:firstLine="420"/>
        <w:rPr>
          <w:rFonts w:ascii="Arial" w:hAnsi="Arial" w:cs="Arial"/>
          <w:bCs/>
          <w:kern w:val="44"/>
          <w:szCs w:val="21"/>
        </w:rPr>
      </w:pPr>
      <w:r>
        <w:rPr>
          <w:rFonts w:hint="eastAsia" w:ascii="Arial" w:hAnsi="Arial" w:cs="Arial"/>
          <w:bCs/>
          <w:kern w:val="44"/>
          <w:szCs w:val="21"/>
        </w:rPr>
        <w:t>现金支付合计金额：</w:t>
      </w:r>
      <w:r>
        <w:rPr>
          <w:rFonts w:ascii="Arial" w:hAnsi="Arial" w:cs="Arial"/>
          <w:bCs/>
          <w:kern w:val="44"/>
          <w:szCs w:val="21"/>
        </w:rPr>
        <w:t>251,872.27</w:t>
      </w:r>
      <w:r>
        <w:rPr>
          <w:rFonts w:hint="eastAsia" w:ascii="Arial" w:hAnsi="Arial" w:cs="Arial"/>
          <w:bCs/>
          <w:kern w:val="44"/>
          <w:szCs w:val="21"/>
        </w:rPr>
        <w:t>元（除往来款、银行收费等）；</w:t>
      </w:r>
    </w:p>
    <w:p>
      <w:pPr>
        <w:spacing w:line="360" w:lineRule="auto"/>
        <w:ind w:firstLine="420"/>
        <w:rPr>
          <w:rFonts w:ascii="Arial" w:hAnsi="Arial" w:cs="Arial"/>
          <w:bCs/>
          <w:kern w:val="44"/>
          <w:szCs w:val="21"/>
        </w:rPr>
      </w:pPr>
      <w:r>
        <w:rPr>
          <w:rFonts w:hint="eastAsia" w:ascii="Arial" w:hAnsi="Arial" w:cs="Arial"/>
          <w:bCs/>
          <w:kern w:val="44"/>
          <w:szCs w:val="21"/>
        </w:rPr>
        <w:t>商票支付合计金额：</w:t>
      </w:r>
      <w:r>
        <w:rPr>
          <w:rFonts w:ascii="Arial" w:hAnsi="Arial" w:cs="Arial"/>
          <w:bCs/>
          <w:kern w:val="44"/>
          <w:szCs w:val="21"/>
        </w:rPr>
        <w:t>4,000</w:t>
      </w:r>
      <w:r>
        <w:rPr>
          <w:rFonts w:hint="eastAsia" w:ascii="Arial" w:hAnsi="Arial" w:cs="Arial"/>
          <w:bCs/>
          <w:kern w:val="44"/>
          <w:szCs w:val="21"/>
        </w:rPr>
        <w:t>,</w:t>
      </w:r>
      <w:r>
        <w:rPr>
          <w:rFonts w:ascii="Arial" w:hAnsi="Arial" w:cs="Arial"/>
          <w:bCs/>
          <w:kern w:val="44"/>
          <w:szCs w:val="21"/>
        </w:rPr>
        <w:t>000.00</w:t>
      </w:r>
      <w:r>
        <w:rPr>
          <w:rFonts w:hint="eastAsia" w:ascii="Arial" w:hAnsi="Arial" w:cs="Arial"/>
          <w:bCs/>
          <w:kern w:val="44"/>
          <w:szCs w:val="21"/>
        </w:rPr>
        <w:t>元。2021年</w:t>
      </w:r>
      <w:r>
        <w:rPr>
          <w:rFonts w:ascii="Arial" w:hAnsi="Arial" w:cs="Arial"/>
          <w:bCs/>
          <w:kern w:val="44"/>
          <w:szCs w:val="21"/>
        </w:rPr>
        <w:t>5</w:t>
      </w:r>
      <w:r>
        <w:rPr>
          <w:rFonts w:hint="eastAsia" w:ascii="Arial" w:hAnsi="Arial" w:cs="Arial"/>
          <w:bCs/>
          <w:kern w:val="44"/>
          <w:szCs w:val="21"/>
        </w:rPr>
        <w:t>月1</w:t>
      </w:r>
      <w:r>
        <w:rPr>
          <w:rFonts w:ascii="Arial" w:hAnsi="Arial" w:cs="Arial"/>
          <w:bCs/>
          <w:kern w:val="44"/>
          <w:szCs w:val="21"/>
        </w:rPr>
        <w:t>4</w:t>
      </w:r>
      <w:r>
        <w:rPr>
          <w:rFonts w:hint="eastAsia" w:ascii="Arial" w:hAnsi="Arial" w:cs="Arial"/>
          <w:bCs/>
          <w:kern w:val="44"/>
          <w:szCs w:val="21"/>
        </w:rPr>
        <w:t>日至2021年</w:t>
      </w:r>
      <w:r>
        <w:rPr>
          <w:rFonts w:ascii="Arial" w:hAnsi="Arial" w:cs="Arial"/>
          <w:bCs/>
          <w:kern w:val="44"/>
          <w:szCs w:val="21"/>
        </w:rPr>
        <w:t>5</w:t>
      </w:r>
      <w:r>
        <w:rPr>
          <w:rFonts w:hint="eastAsia" w:ascii="Arial" w:hAnsi="Arial" w:cs="Arial"/>
          <w:bCs/>
          <w:kern w:val="44"/>
          <w:szCs w:val="21"/>
        </w:rPr>
        <w:t>月</w:t>
      </w:r>
      <w:r>
        <w:rPr>
          <w:rFonts w:ascii="Arial" w:hAnsi="Arial" w:cs="Arial"/>
          <w:bCs/>
          <w:kern w:val="44"/>
          <w:szCs w:val="21"/>
        </w:rPr>
        <w:t>31</w:t>
      </w:r>
      <w:r>
        <w:rPr>
          <w:rFonts w:hint="eastAsia" w:ascii="Arial" w:hAnsi="Arial" w:cs="Arial"/>
          <w:bCs/>
          <w:kern w:val="44"/>
          <w:szCs w:val="21"/>
        </w:rPr>
        <w:t>日合计支付</w:t>
      </w:r>
      <w:r>
        <w:rPr>
          <w:rFonts w:ascii="Arial" w:hAnsi="Arial" w:cs="Arial"/>
          <w:bCs/>
          <w:kern w:val="44"/>
          <w:szCs w:val="21"/>
        </w:rPr>
        <w:t>4,251,872.27</w:t>
      </w:r>
      <w:r>
        <w:rPr>
          <w:rFonts w:hint="eastAsia" w:ascii="Arial" w:hAnsi="Arial" w:cs="Arial"/>
          <w:bCs/>
          <w:kern w:val="44"/>
          <w:szCs w:val="21"/>
        </w:rPr>
        <w:t>元，参见以下附表：</w:t>
      </w:r>
    </w:p>
    <w:p>
      <w:pPr>
        <w:spacing w:line="360" w:lineRule="auto"/>
        <w:ind w:firstLine="420"/>
        <w:rPr>
          <w:rFonts w:ascii="Arial" w:hAnsi="Arial" w:cs="Arial"/>
          <w:bCs/>
          <w:kern w:val="44"/>
          <w:szCs w:val="21"/>
        </w:rPr>
      </w:pPr>
    </w:p>
    <w:p>
      <w:pPr>
        <w:jc w:val="center"/>
        <w:rPr>
          <w:rFonts w:ascii="仿宋" w:hAnsi="仿宋" w:eastAsia="仿宋" w:cs="仿宋"/>
          <w:b/>
          <w:bCs/>
          <w:sz w:val="24"/>
        </w:rPr>
      </w:pPr>
      <w:r>
        <w:rPr>
          <w:rFonts w:ascii="仿宋" w:hAnsi="仿宋" w:eastAsia="仿宋" w:cs="仿宋"/>
          <w:b/>
          <w:bCs/>
          <w:sz w:val="24"/>
        </w:rPr>
        <w:t>2577</w:t>
      </w:r>
      <w:r>
        <w:rPr>
          <w:rFonts w:hint="eastAsia" w:ascii="仿宋" w:hAnsi="仿宋" w:eastAsia="仿宋" w:cs="仿宋"/>
          <w:b/>
          <w:bCs/>
          <w:sz w:val="24"/>
        </w:rPr>
        <w:t>账户2021年</w:t>
      </w:r>
      <w:r>
        <w:rPr>
          <w:rFonts w:ascii="仿宋" w:hAnsi="仿宋" w:eastAsia="仿宋" w:cs="仿宋"/>
          <w:b/>
          <w:bCs/>
          <w:sz w:val="24"/>
        </w:rPr>
        <w:t>5</w:t>
      </w:r>
      <w:r>
        <w:rPr>
          <w:rFonts w:hint="eastAsia" w:ascii="仿宋" w:hAnsi="仿宋" w:eastAsia="仿宋" w:cs="仿宋"/>
          <w:b/>
          <w:bCs/>
          <w:sz w:val="24"/>
        </w:rPr>
        <w:t>月1</w:t>
      </w:r>
      <w:r>
        <w:rPr>
          <w:rFonts w:ascii="仿宋" w:hAnsi="仿宋" w:eastAsia="仿宋" w:cs="仿宋"/>
          <w:b/>
          <w:bCs/>
          <w:sz w:val="24"/>
        </w:rPr>
        <w:t>4</w:t>
      </w:r>
      <w:r>
        <w:rPr>
          <w:rFonts w:hint="eastAsia" w:ascii="仿宋" w:hAnsi="仿宋" w:eastAsia="仿宋" w:cs="仿宋"/>
          <w:b/>
          <w:bCs/>
          <w:sz w:val="24"/>
        </w:rPr>
        <w:t>日-</w:t>
      </w:r>
      <w:r>
        <w:rPr>
          <w:rFonts w:ascii="仿宋" w:hAnsi="仿宋" w:eastAsia="仿宋" w:cs="仿宋"/>
          <w:b/>
          <w:bCs/>
          <w:sz w:val="24"/>
        </w:rPr>
        <w:t>5</w:t>
      </w:r>
      <w:r>
        <w:rPr>
          <w:rFonts w:hint="eastAsia" w:ascii="仿宋" w:hAnsi="仿宋" w:eastAsia="仿宋" w:cs="仿宋"/>
          <w:b/>
          <w:bCs/>
          <w:sz w:val="24"/>
        </w:rPr>
        <w:t>月</w:t>
      </w:r>
      <w:r>
        <w:rPr>
          <w:rFonts w:ascii="仿宋" w:hAnsi="仿宋" w:eastAsia="仿宋" w:cs="仿宋"/>
          <w:b/>
          <w:bCs/>
          <w:sz w:val="24"/>
        </w:rPr>
        <w:t>31</w:t>
      </w:r>
      <w:r>
        <w:rPr>
          <w:rFonts w:hint="eastAsia" w:ascii="仿宋" w:hAnsi="仿宋" w:eastAsia="仿宋" w:cs="仿宋"/>
          <w:b/>
          <w:bCs/>
          <w:sz w:val="24"/>
        </w:rPr>
        <w:t>日现金支出明细表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87"/>
        <w:gridCol w:w="1055"/>
        <w:gridCol w:w="2962"/>
        <w:gridCol w:w="3373"/>
        <w:gridCol w:w="1344"/>
        <w:gridCol w:w="1817"/>
        <w:gridCol w:w="1318"/>
        <w:gridCol w:w="952"/>
        <w:gridCol w:w="7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20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7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支付时间</w:t>
            </w:r>
          </w:p>
        </w:tc>
        <w:tc>
          <w:tcPr>
            <w:tcW w:w="1045"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收款方</w:t>
            </w:r>
          </w:p>
        </w:tc>
        <w:tc>
          <w:tcPr>
            <w:tcW w:w="1190" w:type="pct"/>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474"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641"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出款行</w:t>
            </w:r>
          </w:p>
        </w:tc>
        <w:tc>
          <w:tcPr>
            <w:tcW w:w="465"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用款类型</w:t>
            </w:r>
          </w:p>
        </w:tc>
        <w:tc>
          <w:tcPr>
            <w:tcW w:w="336"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备注1</w:t>
            </w:r>
          </w:p>
        </w:tc>
        <w:tc>
          <w:tcPr>
            <w:tcW w:w="271"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2021-5-18</w:t>
            </w:r>
          </w:p>
        </w:tc>
        <w:tc>
          <w:tcPr>
            <w:tcW w:w="104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中国电信股份有限公司成都分公司</w:t>
            </w:r>
          </w:p>
        </w:tc>
        <w:tc>
          <w:tcPr>
            <w:tcW w:w="119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支付云锦华庭项目4月通讯费</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3,245.70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2021-5-20</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何秋龙</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资金部何秋龙报销差旅费</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717.00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2021-5-20</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陆颖</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人事行政部陆颖报销工程部办公费用（水电能源费）</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1,193.94</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2021-5-20</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陆颖</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人事行政部陆颖报销工程部办公费用（网络通讯费）</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1,393.00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2021-5-20</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赵翰书</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开发部赵翰书报销4月车辆使用费</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2021-5-20</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陆颖</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人事行政部陆颖报销工程部办公费用（污水处理费、垃圾处理费）</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56.75</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2021-5-20</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何秋龙</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资金部何秋龙报销差旅费</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749.00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2021-5-20</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王海冲</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总工室王海冲报销2-3月差旅费</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413.00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2021-5-20</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赵翰书</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开发部赵翰书报销3月车辆使用费</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2021-5-20</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刘桂芳</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监察室报销刻章办公费用</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120.00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11</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2021-5-20</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赵翰书</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开发部赵翰书报销2月车辆使用费</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2,000.00</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2021-5-21</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国家税务局</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缴纳个人所得税</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12,393.29</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税费</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13</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2021-5-26</w:t>
            </w:r>
          </w:p>
        </w:tc>
        <w:tc>
          <w:tcPr>
            <w:tcW w:w="1045"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四川金通双峰电力电子工程有限公司</w:t>
            </w:r>
          </w:p>
        </w:tc>
        <w:tc>
          <w:tcPr>
            <w:tcW w:w="1190"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商承到期兑付</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225,590.59</w:t>
            </w:r>
          </w:p>
        </w:tc>
        <w:tc>
          <w:tcPr>
            <w:tcW w:w="64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33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814" w:type="pct"/>
            <w:gridSpan w:val="4"/>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47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251,872.27</w:t>
            </w:r>
          </w:p>
        </w:tc>
        <w:tc>
          <w:tcPr>
            <w:tcW w:w="641" w:type="pct"/>
            <w:shd w:val="clear" w:color="auto" w:fill="auto"/>
            <w:noWrap/>
            <w:vAlign w:val="center"/>
          </w:tcPr>
          <w:p>
            <w:pPr>
              <w:widowControl/>
              <w:jc w:val="center"/>
              <w:rPr>
                <w:rFonts w:ascii="Arial" w:hAnsi="Arial" w:cs="Arial"/>
                <w:color w:val="000000"/>
                <w:kern w:val="0"/>
                <w:sz w:val="18"/>
                <w:szCs w:val="18"/>
              </w:rPr>
            </w:pPr>
          </w:p>
        </w:tc>
        <w:tc>
          <w:tcPr>
            <w:tcW w:w="465" w:type="pct"/>
            <w:shd w:val="clear" w:color="auto" w:fill="auto"/>
            <w:noWrap/>
            <w:vAlign w:val="center"/>
          </w:tcPr>
          <w:p>
            <w:pPr>
              <w:widowControl/>
              <w:jc w:val="center"/>
              <w:rPr>
                <w:rFonts w:ascii="Arial" w:hAnsi="Arial" w:cs="Arial"/>
                <w:color w:val="000000"/>
                <w:kern w:val="0"/>
                <w:sz w:val="18"/>
                <w:szCs w:val="18"/>
              </w:rPr>
            </w:pPr>
          </w:p>
        </w:tc>
        <w:tc>
          <w:tcPr>
            <w:tcW w:w="336" w:type="pct"/>
            <w:shd w:val="clear" w:color="auto" w:fill="auto"/>
            <w:noWrap/>
            <w:vAlign w:val="center"/>
          </w:tcPr>
          <w:p>
            <w:pPr>
              <w:widowControl/>
              <w:jc w:val="center"/>
              <w:rPr>
                <w:rFonts w:ascii="Arial" w:hAnsi="Arial" w:cs="Arial"/>
                <w:color w:val="000000"/>
                <w:kern w:val="0"/>
                <w:sz w:val="18"/>
                <w:szCs w:val="18"/>
              </w:rPr>
            </w:pPr>
          </w:p>
        </w:tc>
        <w:tc>
          <w:tcPr>
            <w:tcW w:w="271" w:type="pct"/>
            <w:shd w:val="clear" w:color="auto" w:fill="auto"/>
            <w:noWrap/>
            <w:vAlign w:val="center"/>
          </w:tcPr>
          <w:p>
            <w:pPr>
              <w:widowControl/>
              <w:jc w:val="center"/>
              <w:rPr>
                <w:rFonts w:ascii="Arial" w:hAnsi="Arial" w:cs="Arial"/>
                <w:color w:val="000000"/>
                <w:kern w:val="0"/>
                <w:sz w:val="18"/>
                <w:szCs w:val="18"/>
              </w:rPr>
            </w:pPr>
          </w:p>
        </w:tc>
      </w:tr>
    </w:tbl>
    <w:p>
      <w:pPr>
        <w:rPr>
          <w:rFonts w:ascii="仿宋" w:hAnsi="仿宋" w:eastAsia="仿宋" w:cs="仿宋"/>
          <w:b/>
          <w:bCs/>
          <w:sz w:val="24"/>
        </w:rPr>
      </w:pPr>
    </w:p>
    <w:p>
      <w:pPr>
        <w:rPr>
          <w:rFonts w:ascii="仿宋" w:hAnsi="仿宋" w:eastAsia="仿宋" w:cs="仿宋"/>
          <w:b/>
          <w:bCs/>
          <w:sz w:val="24"/>
        </w:rPr>
      </w:pPr>
    </w:p>
    <w:p>
      <w:pPr>
        <w:rPr>
          <w:rFonts w:ascii="仿宋" w:hAnsi="仿宋" w:eastAsia="仿宋" w:cs="仿宋"/>
          <w:b/>
          <w:bCs/>
          <w:sz w:val="24"/>
        </w:rPr>
      </w:pPr>
    </w:p>
    <w:p>
      <w:pPr>
        <w:rPr>
          <w:rFonts w:ascii="仿宋" w:hAnsi="仿宋" w:eastAsia="仿宋" w:cs="仿宋"/>
          <w:b/>
          <w:bCs/>
          <w:sz w:val="24"/>
        </w:rPr>
      </w:pPr>
    </w:p>
    <w:p>
      <w:pPr>
        <w:rPr>
          <w:rFonts w:ascii="仿宋" w:hAnsi="仿宋" w:eastAsia="仿宋" w:cs="仿宋"/>
          <w:b/>
          <w:bCs/>
          <w:sz w:val="24"/>
        </w:rPr>
      </w:pPr>
    </w:p>
    <w:p>
      <w:pPr>
        <w:rPr>
          <w:rFonts w:ascii="仿宋" w:hAnsi="仿宋" w:eastAsia="仿宋" w:cs="仿宋"/>
          <w:b/>
          <w:bCs/>
          <w:sz w:val="24"/>
        </w:rPr>
      </w:pPr>
    </w:p>
    <w:p>
      <w:pPr>
        <w:jc w:val="center"/>
        <w:rPr>
          <w:rFonts w:ascii="仿宋" w:hAnsi="仿宋" w:eastAsia="仿宋" w:cs="仿宋"/>
          <w:b/>
          <w:bCs/>
          <w:sz w:val="24"/>
        </w:rPr>
      </w:pPr>
      <w:r>
        <w:rPr>
          <w:rFonts w:ascii="仿宋" w:hAnsi="仿宋" w:eastAsia="仿宋" w:cs="仿宋"/>
          <w:b/>
          <w:bCs/>
          <w:sz w:val="24"/>
        </w:rPr>
        <w:t>2577</w:t>
      </w:r>
      <w:r>
        <w:rPr>
          <w:rFonts w:hint="eastAsia" w:ascii="仿宋" w:hAnsi="仿宋" w:eastAsia="仿宋" w:cs="仿宋"/>
          <w:b/>
          <w:bCs/>
          <w:sz w:val="24"/>
        </w:rPr>
        <w:t>账户2021年</w:t>
      </w:r>
      <w:r>
        <w:rPr>
          <w:rFonts w:ascii="仿宋" w:hAnsi="仿宋" w:eastAsia="仿宋" w:cs="仿宋"/>
          <w:b/>
          <w:bCs/>
          <w:sz w:val="24"/>
        </w:rPr>
        <w:t>5</w:t>
      </w:r>
      <w:r>
        <w:rPr>
          <w:rFonts w:hint="eastAsia" w:ascii="仿宋" w:hAnsi="仿宋" w:eastAsia="仿宋" w:cs="仿宋"/>
          <w:b/>
          <w:bCs/>
          <w:sz w:val="24"/>
        </w:rPr>
        <w:t>月1</w:t>
      </w:r>
      <w:r>
        <w:rPr>
          <w:rFonts w:ascii="仿宋" w:hAnsi="仿宋" w:eastAsia="仿宋" w:cs="仿宋"/>
          <w:b/>
          <w:bCs/>
          <w:sz w:val="24"/>
        </w:rPr>
        <w:t>4</w:t>
      </w:r>
      <w:r>
        <w:rPr>
          <w:rFonts w:hint="eastAsia" w:ascii="仿宋" w:hAnsi="仿宋" w:eastAsia="仿宋" w:cs="仿宋"/>
          <w:b/>
          <w:bCs/>
          <w:sz w:val="24"/>
        </w:rPr>
        <w:t>日-</w:t>
      </w:r>
      <w:r>
        <w:rPr>
          <w:rFonts w:ascii="仿宋" w:hAnsi="仿宋" w:eastAsia="仿宋" w:cs="仿宋"/>
          <w:b/>
          <w:bCs/>
          <w:sz w:val="24"/>
        </w:rPr>
        <w:t>5</w:t>
      </w:r>
      <w:r>
        <w:rPr>
          <w:rFonts w:hint="eastAsia" w:ascii="仿宋" w:hAnsi="仿宋" w:eastAsia="仿宋" w:cs="仿宋"/>
          <w:b/>
          <w:bCs/>
          <w:sz w:val="24"/>
        </w:rPr>
        <w:t>月</w:t>
      </w:r>
      <w:r>
        <w:rPr>
          <w:rFonts w:ascii="仿宋" w:hAnsi="仿宋" w:eastAsia="仿宋" w:cs="仿宋"/>
          <w:b/>
          <w:bCs/>
          <w:sz w:val="24"/>
        </w:rPr>
        <w:t>31</w:t>
      </w:r>
      <w:r>
        <w:rPr>
          <w:rFonts w:hint="eastAsia" w:ascii="仿宋" w:hAnsi="仿宋" w:eastAsia="仿宋" w:cs="仿宋"/>
          <w:b/>
          <w:bCs/>
          <w:sz w:val="24"/>
        </w:rPr>
        <w:t>日商票支出明细表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3"/>
        <w:gridCol w:w="1055"/>
        <w:gridCol w:w="1156"/>
        <w:gridCol w:w="1809"/>
        <w:gridCol w:w="1584"/>
        <w:gridCol w:w="2308"/>
        <w:gridCol w:w="1296"/>
        <w:gridCol w:w="1350"/>
        <w:gridCol w:w="1318"/>
        <w:gridCol w:w="768"/>
        <w:gridCol w:w="94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blHeader/>
        </w:trPr>
        <w:tc>
          <w:tcPr>
            <w:tcW w:w="206"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72"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出票时间</w:t>
            </w:r>
          </w:p>
        </w:tc>
        <w:tc>
          <w:tcPr>
            <w:tcW w:w="408"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承兑时间</w:t>
            </w:r>
          </w:p>
        </w:tc>
        <w:tc>
          <w:tcPr>
            <w:tcW w:w="638"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票据号</w:t>
            </w:r>
          </w:p>
        </w:tc>
        <w:tc>
          <w:tcPr>
            <w:tcW w:w="559"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收款方</w:t>
            </w:r>
          </w:p>
        </w:tc>
        <w:tc>
          <w:tcPr>
            <w:tcW w:w="814" w:type="pct"/>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45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476"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出款行</w:t>
            </w:r>
          </w:p>
        </w:tc>
        <w:tc>
          <w:tcPr>
            <w:tcW w:w="465"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用款类型</w:t>
            </w:r>
          </w:p>
        </w:tc>
        <w:tc>
          <w:tcPr>
            <w:tcW w:w="271"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备注1</w:t>
            </w:r>
          </w:p>
        </w:tc>
        <w:tc>
          <w:tcPr>
            <w:tcW w:w="334"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20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2021-5-31</w:t>
            </w:r>
          </w:p>
        </w:tc>
        <w:tc>
          <w:tcPr>
            <w:tcW w:w="40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2022-5-16</w:t>
            </w:r>
          </w:p>
        </w:tc>
        <w:tc>
          <w:tcPr>
            <w:tcW w:w="63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210565100010220210520927117295</w:t>
            </w:r>
          </w:p>
        </w:tc>
        <w:tc>
          <w:tcPr>
            <w:tcW w:w="559"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814"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支付中铁二局2月民工工资239.67万元及1月工程进度款60.33万元</w:t>
            </w:r>
          </w:p>
        </w:tc>
        <w:tc>
          <w:tcPr>
            <w:tcW w:w="45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3,000,000.00</w:t>
            </w:r>
          </w:p>
        </w:tc>
        <w:tc>
          <w:tcPr>
            <w:tcW w:w="47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c>
          <w:tcPr>
            <w:tcW w:w="33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单独报审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0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372"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2021-5-31</w:t>
            </w:r>
          </w:p>
        </w:tc>
        <w:tc>
          <w:tcPr>
            <w:tcW w:w="40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2021-11-16</w:t>
            </w:r>
          </w:p>
        </w:tc>
        <w:tc>
          <w:tcPr>
            <w:tcW w:w="63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210565100010220210520927116876</w:t>
            </w:r>
          </w:p>
        </w:tc>
        <w:tc>
          <w:tcPr>
            <w:tcW w:w="559"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中铁二局集团有限公司</w:t>
            </w:r>
          </w:p>
        </w:tc>
        <w:tc>
          <w:tcPr>
            <w:tcW w:w="814"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支付中铁二局2月民工工资100万元</w:t>
            </w:r>
          </w:p>
        </w:tc>
        <w:tc>
          <w:tcPr>
            <w:tcW w:w="45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1,000,000.00</w:t>
            </w:r>
          </w:p>
        </w:tc>
        <w:tc>
          <w:tcPr>
            <w:tcW w:w="476"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建设银行2577账户</w:t>
            </w:r>
          </w:p>
        </w:tc>
        <w:tc>
          <w:tcPr>
            <w:tcW w:w="46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建筑工程费用</w:t>
            </w:r>
          </w:p>
        </w:tc>
        <w:tc>
          <w:tcPr>
            <w:tcW w:w="271"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c>
          <w:tcPr>
            <w:tcW w:w="334"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单独报审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2997" w:type="pct"/>
            <w:gridSpan w:val="6"/>
            <w:shd w:val="clear" w:color="auto" w:fill="auto"/>
            <w:noWrap/>
            <w:vAlign w:val="center"/>
          </w:tcPr>
          <w:p>
            <w:pPr>
              <w:widowControl/>
              <w:jc w:val="center"/>
              <w:rPr>
                <w:rFonts w:ascii="Arial" w:hAnsi="Arial" w:cs="Arial"/>
                <w:kern w:val="0"/>
                <w:sz w:val="18"/>
                <w:szCs w:val="18"/>
              </w:rPr>
            </w:pPr>
            <w:r>
              <w:rPr>
                <w:rFonts w:ascii="Arial" w:hAnsi="Arial" w:cs="Arial"/>
                <w:kern w:val="0"/>
                <w:sz w:val="18"/>
                <w:szCs w:val="18"/>
              </w:rPr>
              <w:t>合计</w:t>
            </w:r>
          </w:p>
        </w:tc>
        <w:tc>
          <w:tcPr>
            <w:tcW w:w="45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4,000,000.00</w:t>
            </w:r>
          </w:p>
        </w:tc>
        <w:tc>
          <w:tcPr>
            <w:tcW w:w="476" w:type="pct"/>
            <w:shd w:val="clear" w:color="auto" w:fill="auto"/>
            <w:noWrap/>
            <w:vAlign w:val="center"/>
          </w:tcPr>
          <w:p>
            <w:pPr>
              <w:widowControl/>
              <w:jc w:val="center"/>
              <w:rPr>
                <w:rFonts w:ascii="Arial" w:hAnsi="Arial" w:cs="Arial"/>
                <w:color w:val="000000"/>
                <w:kern w:val="0"/>
                <w:sz w:val="18"/>
                <w:szCs w:val="18"/>
              </w:rPr>
            </w:pPr>
          </w:p>
        </w:tc>
        <w:tc>
          <w:tcPr>
            <w:tcW w:w="465" w:type="pct"/>
            <w:shd w:val="clear" w:color="auto" w:fill="auto"/>
            <w:noWrap/>
            <w:vAlign w:val="center"/>
          </w:tcPr>
          <w:p>
            <w:pPr>
              <w:widowControl/>
              <w:jc w:val="center"/>
              <w:rPr>
                <w:rFonts w:ascii="Arial" w:hAnsi="Arial" w:cs="Arial"/>
                <w:color w:val="000000"/>
                <w:kern w:val="0"/>
                <w:sz w:val="18"/>
                <w:szCs w:val="18"/>
              </w:rPr>
            </w:pPr>
          </w:p>
        </w:tc>
        <w:tc>
          <w:tcPr>
            <w:tcW w:w="271" w:type="pct"/>
            <w:shd w:val="clear" w:color="auto" w:fill="auto"/>
            <w:noWrap/>
            <w:vAlign w:val="center"/>
          </w:tcPr>
          <w:p>
            <w:pPr>
              <w:widowControl/>
              <w:jc w:val="center"/>
              <w:rPr>
                <w:rFonts w:ascii="Arial" w:hAnsi="Arial" w:cs="Arial"/>
                <w:color w:val="000000"/>
                <w:kern w:val="0"/>
                <w:sz w:val="18"/>
                <w:szCs w:val="18"/>
              </w:rPr>
            </w:pPr>
          </w:p>
        </w:tc>
        <w:tc>
          <w:tcPr>
            <w:tcW w:w="334" w:type="pct"/>
            <w:shd w:val="clear" w:color="auto" w:fill="auto"/>
            <w:noWrap/>
            <w:vAlign w:val="center"/>
          </w:tcPr>
          <w:p>
            <w:pPr>
              <w:widowControl/>
              <w:jc w:val="center"/>
              <w:rPr>
                <w:rFonts w:ascii="Arial" w:hAnsi="Arial" w:cs="Arial"/>
                <w:color w:val="000000"/>
                <w:kern w:val="0"/>
                <w:sz w:val="18"/>
                <w:szCs w:val="18"/>
              </w:rPr>
            </w:pPr>
          </w:p>
        </w:tc>
      </w:tr>
    </w:tbl>
    <w:p>
      <w:pPr>
        <w:spacing w:line="360" w:lineRule="auto"/>
        <w:ind w:firstLine="420"/>
        <w:rPr>
          <w:rFonts w:ascii="Arial" w:hAnsi="Arial" w:cs="Arial"/>
          <w:bCs/>
          <w:kern w:val="44"/>
          <w:szCs w:val="21"/>
        </w:rPr>
      </w:pPr>
    </w:p>
    <w:p>
      <w:pPr>
        <w:spacing w:line="360" w:lineRule="auto"/>
        <w:ind w:firstLine="420"/>
        <w:rPr>
          <w:rFonts w:ascii="Arial" w:hAnsi="Arial" w:cs="Arial"/>
          <w:bCs/>
          <w:kern w:val="44"/>
          <w:szCs w:val="21"/>
        </w:rPr>
      </w:pPr>
      <w:r>
        <w:rPr>
          <w:rFonts w:hint="eastAsia" w:ascii="Arial" w:hAnsi="Arial" w:cs="Arial"/>
          <w:bCs/>
          <w:kern w:val="44"/>
          <w:szCs w:val="21"/>
        </w:rPr>
        <w:t>账户名称：成都青凌亘心房地产开发有限责任公司，开户行：中国工商银行股份有限公司成都春熙支行，账号：</w:t>
      </w:r>
      <w:r>
        <w:rPr>
          <w:rFonts w:ascii="Arial" w:hAnsi="Arial" w:cs="Arial"/>
          <w:bCs/>
          <w:kern w:val="44"/>
          <w:szCs w:val="21"/>
        </w:rPr>
        <w:t>4402209019067263194 </w:t>
      </w:r>
      <w:r>
        <w:rPr>
          <w:rFonts w:hint="eastAsia" w:ascii="Arial" w:hAnsi="Arial" w:cs="Arial"/>
          <w:bCs/>
          <w:kern w:val="44"/>
          <w:szCs w:val="21"/>
        </w:rPr>
        <w:t>，账户性质：一般户，自2021年</w:t>
      </w:r>
      <w:r>
        <w:rPr>
          <w:rFonts w:ascii="Arial" w:hAnsi="Arial" w:cs="Arial"/>
          <w:bCs/>
          <w:kern w:val="44"/>
          <w:szCs w:val="21"/>
        </w:rPr>
        <w:t>5</w:t>
      </w:r>
      <w:r>
        <w:rPr>
          <w:rFonts w:hint="eastAsia" w:ascii="Arial" w:hAnsi="Arial" w:cs="Arial"/>
          <w:bCs/>
          <w:kern w:val="44"/>
          <w:szCs w:val="21"/>
        </w:rPr>
        <w:t>月1</w:t>
      </w:r>
      <w:r>
        <w:rPr>
          <w:rFonts w:ascii="Arial" w:hAnsi="Arial" w:cs="Arial"/>
          <w:bCs/>
          <w:kern w:val="44"/>
          <w:szCs w:val="21"/>
        </w:rPr>
        <w:t>4</w:t>
      </w:r>
      <w:r>
        <w:rPr>
          <w:rFonts w:hint="eastAsia" w:ascii="Arial" w:hAnsi="Arial" w:cs="Arial"/>
          <w:bCs/>
          <w:kern w:val="44"/>
          <w:szCs w:val="21"/>
        </w:rPr>
        <w:t>日至2021年</w:t>
      </w:r>
      <w:r>
        <w:rPr>
          <w:rFonts w:ascii="Arial" w:hAnsi="Arial" w:cs="Arial"/>
          <w:bCs/>
          <w:kern w:val="44"/>
          <w:szCs w:val="21"/>
        </w:rPr>
        <w:t>5</w:t>
      </w:r>
      <w:r>
        <w:rPr>
          <w:rFonts w:hint="eastAsia" w:ascii="Arial" w:hAnsi="Arial" w:cs="Arial"/>
          <w:bCs/>
          <w:kern w:val="44"/>
          <w:szCs w:val="21"/>
        </w:rPr>
        <w:t>月</w:t>
      </w:r>
      <w:r>
        <w:rPr>
          <w:rFonts w:ascii="Arial" w:hAnsi="Arial" w:cs="Arial"/>
          <w:bCs/>
          <w:kern w:val="44"/>
          <w:szCs w:val="21"/>
        </w:rPr>
        <w:t>31</w:t>
      </w:r>
      <w:r>
        <w:rPr>
          <w:rFonts w:hint="eastAsia" w:ascii="Arial" w:hAnsi="Arial" w:cs="Arial"/>
          <w:bCs/>
          <w:kern w:val="44"/>
          <w:szCs w:val="21"/>
        </w:rPr>
        <w:t>日导出银行流水显示:</w:t>
      </w:r>
    </w:p>
    <w:p>
      <w:pPr>
        <w:spacing w:line="360" w:lineRule="auto"/>
        <w:ind w:firstLine="420"/>
        <w:rPr>
          <w:rFonts w:ascii="Arial" w:hAnsi="Arial" w:cs="Arial"/>
          <w:bCs/>
          <w:kern w:val="44"/>
          <w:szCs w:val="21"/>
        </w:rPr>
      </w:pPr>
      <w:r>
        <w:rPr>
          <w:rFonts w:hint="eastAsia" w:ascii="Arial" w:hAnsi="Arial" w:cs="Arial"/>
          <w:bCs/>
          <w:kern w:val="44"/>
          <w:szCs w:val="21"/>
        </w:rPr>
        <w:t>现金支付合计金额：</w:t>
      </w:r>
      <w:r>
        <w:rPr>
          <w:rFonts w:ascii="Arial" w:hAnsi="Arial" w:cs="Arial"/>
          <w:bCs/>
          <w:kern w:val="44"/>
          <w:szCs w:val="21"/>
        </w:rPr>
        <w:t>49,000.00</w:t>
      </w:r>
      <w:r>
        <w:rPr>
          <w:rFonts w:hint="eastAsia" w:ascii="Arial" w:hAnsi="Arial" w:cs="Arial"/>
          <w:bCs/>
          <w:kern w:val="44"/>
          <w:szCs w:val="21"/>
        </w:rPr>
        <w:t>元（除往来款、银行收费等）。</w:t>
      </w:r>
    </w:p>
    <w:p>
      <w:pPr>
        <w:spacing w:line="360" w:lineRule="auto"/>
        <w:ind w:firstLine="241" w:firstLineChars="100"/>
        <w:jc w:val="center"/>
        <w:rPr>
          <w:rFonts w:ascii="仿宋" w:hAnsi="仿宋" w:eastAsia="仿宋" w:cs="仿宋"/>
          <w:b/>
          <w:bCs/>
          <w:sz w:val="24"/>
        </w:rPr>
      </w:pPr>
      <w:r>
        <w:rPr>
          <w:rFonts w:ascii="仿宋" w:hAnsi="仿宋" w:eastAsia="仿宋" w:cs="仿宋"/>
          <w:b/>
          <w:bCs/>
          <w:sz w:val="24"/>
        </w:rPr>
        <w:t>3194</w:t>
      </w:r>
      <w:r>
        <w:rPr>
          <w:rFonts w:hint="eastAsia" w:ascii="仿宋" w:hAnsi="仿宋" w:eastAsia="仿宋" w:cs="仿宋"/>
          <w:b/>
          <w:bCs/>
          <w:sz w:val="24"/>
        </w:rPr>
        <w:t>账户2021年</w:t>
      </w:r>
      <w:r>
        <w:rPr>
          <w:rFonts w:ascii="仿宋" w:hAnsi="仿宋" w:eastAsia="仿宋" w:cs="仿宋"/>
          <w:b/>
          <w:bCs/>
          <w:sz w:val="24"/>
        </w:rPr>
        <w:t>5</w:t>
      </w:r>
      <w:r>
        <w:rPr>
          <w:rFonts w:hint="eastAsia" w:ascii="仿宋" w:hAnsi="仿宋" w:eastAsia="仿宋" w:cs="仿宋"/>
          <w:b/>
          <w:bCs/>
          <w:sz w:val="24"/>
        </w:rPr>
        <w:t>月1</w:t>
      </w:r>
      <w:r>
        <w:rPr>
          <w:rFonts w:ascii="仿宋" w:hAnsi="仿宋" w:eastAsia="仿宋" w:cs="仿宋"/>
          <w:b/>
          <w:bCs/>
          <w:sz w:val="24"/>
        </w:rPr>
        <w:t>4</w:t>
      </w:r>
      <w:r>
        <w:rPr>
          <w:rFonts w:hint="eastAsia" w:ascii="仿宋" w:hAnsi="仿宋" w:eastAsia="仿宋" w:cs="仿宋"/>
          <w:b/>
          <w:bCs/>
          <w:sz w:val="24"/>
        </w:rPr>
        <w:t>日-</w:t>
      </w:r>
      <w:r>
        <w:rPr>
          <w:rFonts w:ascii="仿宋" w:hAnsi="仿宋" w:eastAsia="仿宋" w:cs="仿宋"/>
          <w:b/>
          <w:bCs/>
          <w:sz w:val="24"/>
        </w:rPr>
        <w:t>5</w:t>
      </w:r>
      <w:r>
        <w:rPr>
          <w:rFonts w:hint="eastAsia" w:ascii="仿宋" w:hAnsi="仿宋" w:eastAsia="仿宋" w:cs="仿宋"/>
          <w:b/>
          <w:bCs/>
          <w:sz w:val="24"/>
        </w:rPr>
        <w:t>月</w:t>
      </w:r>
      <w:r>
        <w:rPr>
          <w:rFonts w:ascii="仿宋" w:hAnsi="仿宋" w:eastAsia="仿宋" w:cs="仿宋"/>
          <w:b/>
          <w:bCs/>
          <w:sz w:val="24"/>
        </w:rPr>
        <w:t>31</w:t>
      </w:r>
      <w:r>
        <w:rPr>
          <w:rFonts w:hint="eastAsia" w:ascii="仿宋" w:hAnsi="仿宋" w:eastAsia="仿宋" w:cs="仿宋"/>
          <w:b/>
          <w:bCs/>
          <w:sz w:val="24"/>
        </w:rPr>
        <w:t>日现金支出明细表</w:t>
      </w:r>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8"/>
        <w:gridCol w:w="1101"/>
        <w:gridCol w:w="2689"/>
        <w:gridCol w:w="3690"/>
        <w:gridCol w:w="1527"/>
        <w:gridCol w:w="1447"/>
        <w:gridCol w:w="1070"/>
        <w:gridCol w:w="1036"/>
        <w:gridCol w:w="10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2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398"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支付时间</w:t>
            </w:r>
          </w:p>
        </w:tc>
        <w:tc>
          <w:tcPr>
            <w:tcW w:w="958" w:type="pct"/>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收款方</w:t>
            </w:r>
          </w:p>
        </w:tc>
        <w:tc>
          <w:tcPr>
            <w:tcW w:w="1311" w:type="pct"/>
            <w:shd w:val="clear" w:color="auto" w:fill="auto"/>
            <w:vAlign w:val="center"/>
          </w:tcPr>
          <w:p>
            <w:pPr>
              <w:widowControl/>
              <w:jc w:val="center"/>
              <w:rPr>
                <w:rFonts w:ascii="Arial" w:hAnsi="Arial" w:cs="Arial"/>
                <w:b/>
                <w:bCs/>
                <w:kern w:val="0"/>
                <w:sz w:val="18"/>
                <w:szCs w:val="18"/>
              </w:rPr>
            </w:pPr>
            <w:r>
              <w:rPr>
                <w:rFonts w:ascii="Arial" w:hAnsi="Arial" w:cs="Arial"/>
                <w:b/>
                <w:bCs/>
                <w:kern w:val="0"/>
                <w:sz w:val="18"/>
                <w:szCs w:val="18"/>
              </w:rPr>
              <w:t>资金用途</w:t>
            </w:r>
          </w:p>
        </w:tc>
        <w:tc>
          <w:tcPr>
            <w:tcW w:w="548"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金额（元）</w:t>
            </w:r>
          </w:p>
        </w:tc>
        <w:tc>
          <w:tcPr>
            <w:tcW w:w="520"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出款行</w:t>
            </w:r>
          </w:p>
        </w:tc>
        <w:tc>
          <w:tcPr>
            <w:tcW w:w="387"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用款类型</w:t>
            </w:r>
          </w:p>
        </w:tc>
        <w:tc>
          <w:tcPr>
            <w:tcW w:w="375"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备注1</w:t>
            </w:r>
          </w:p>
        </w:tc>
        <w:tc>
          <w:tcPr>
            <w:tcW w:w="375" w:type="pct"/>
            <w:shd w:val="clear" w:color="auto" w:fill="auto"/>
            <w:noWrap/>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备注2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2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39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2021-5-26</w:t>
            </w:r>
          </w:p>
        </w:tc>
        <w:tc>
          <w:tcPr>
            <w:tcW w:w="958" w:type="pct"/>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四川皓友兴食品有限公司</w:t>
            </w:r>
          </w:p>
        </w:tc>
        <w:tc>
          <w:tcPr>
            <w:tcW w:w="1311" w:type="pct"/>
            <w:shd w:val="clear" w:color="auto" w:fill="auto"/>
            <w:vAlign w:val="center"/>
          </w:tcPr>
          <w:p>
            <w:pPr>
              <w:widowControl/>
              <w:jc w:val="center"/>
              <w:rPr>
                <w:rFonts w:ascii="Arial" w:hAnsi="Arial" w:cs="Arial"/>
                <w:kern w:val="0"/>
                <w:sz w:val="18"/>
                <w:szCs w:val="18"/>
              </w:rPr>
            </w:pPr>
            <w:r>
              <w:rPr>
                <w:rFonts w:ascii="Arial" w:hAnsi="Arial" w:cs="Arial"/>
                <w:kern w:val="0"/>
                <w:sz w:val="18"/>
                <w:szCs w:val="18"/>
              </w:rPr>
              <w:t>食材采购款</w:t>
            </w:r>
          </w:p>
        </w:tc>
        <w:tc>
          <w:tcPr>
            <w:tcW w:w="54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49,000.00</w:t>
            </w:r>
          </w:p>
        </w:tc>
        <w:tc>
          <w:tcPr>
            <w:tcW w:w="520"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工行3194账户</w:t>
            </w:r>
          </w:p>
        </w:tc>
        <w:tc>
          <w:tcPr>
            <w:tcW w:w="387"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管理费用</w:t>
            </w:r>
          </w:p>
        </w:tc>
        <w:tc>
          <w:tcPr>
            <w:tcW w:w="37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自主报备</w:t>
            </w:r>
          </w:p>
        </w:tc>
        <w:tc>
          <w:tcPr>
            <w:tcW w:w="375"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计划外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08" w:hRule="atLeast"/>
        </w:trPr>
        <w:tc>
          <w:tcPr>
            <w:tcW w:w="2794" w:type="pct"/>
            <w:gridSpan w:val="4"/>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548" w:type="pct"/>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49,000.00</w:t>
            </w:r>
          </w:p>
        </w:tc>
        <w:tc>
          <w:tcPr>
            <w:tcW w:w="520" w:type="pct"/>
            <w:shd w:val="clear" w:color="auto" w:fill="auto"/>
            <w:noWrap/>
            <w:vAlign w:val="center"/>
          </w:tcPr>
          <w:p>
            <w:pPr>
              <w:widowControl/>
              <w:jc w:val="center"/>
              <w:rPr>
                <w:rFonts w:ascii="Arial" w:hAnsi="Arial" w:cs="Arial"/>
                <w:color w:val="000000"/>
                <w:kern w:val="0"/>
                <w:sz w:val="18"/>
                <w:szCs w:val="18"/>
              </w:rPr>
            </w:pPr>
          </w:p>
        </w:tc>
        <w:tc>
          <w:tcPr>
            <w:tcW w:w="387" w:type="pct"/>
            <w:shd w:val="clear" w:color="auto" w:fill="auto"/>
            <w:noWrap/>
            <w:vAlign w:val="center"/>
          </w:tcPr>
          <w:p>
            <w:pPr>
              <w:widowControl/>
              <w:jc w:val="center"/>
              <w:rPr>
                <w:rFonts w:ascii="Arial" w:hAnsi="Arial" w:cs="Arial"/>
                <w:color w:val="000000"/>
                <w:kern w:val="0"/>
                <w:sz w:val="18"/>
                <w:szCs w:val="18"/>
              </w:rPr>
            </w:pPr>
          </w:p>
        </w:tc>
        <w:tc>
          <w:tcPr>
            <w:tcW w:w="375" w:type="pct"/>
            <w:shd w:val="clear" w:color="auto" w:fill="auto"/>
            <w:noWrap/>
            <w:vAlign w:val="center"/>
          </w:tcPr>
          <w:p>
            <w:pPr>
              <w:widowControl/>
              <w:jc w:val="center"/>
              <w:rPr>
                <w:rFonts w:ascii="Arial" w:hAnsi="Arial" w:cs="Arial"/>
                <w:color w:val="000000"/>
                <w:kern w:val="0"/>
                <w:sz w:val="18"/>
                <w:szCs w:val="18"/>
              </w:rPr>
            </w:pPr>
          </w:p>
        </w:tc>
        <w:tc>
          <w:tcPr>
            <w:tcW w:w="375" w:type="pct"/>
            <w:shd w:val="clear" w:color="auto" w:fill="auto"/>
            <w:noWrap/>
            <w:vAlign w:val="center"/>
          </w:tcPr>
          <w:p>
            <w:pPr>
              <w:widowControl/>
              <w:jc w:val="center"/>
              <w:rPr>
                <w:rFonts w:ascii="Arial" w:hAnsi="Arial" w:cs="Arial"/>
                <w:color w:val="000000"/>
                <w:kern w:val="0"/>
                <w:sz w:val="18"/>
                <w:szCs w:val="18"/>
              </w:rPr>
            </w:pPr>
          </w:p>
        </w:tc>
      </w:tr>
    </w:tbl>
    <w:p>
      <w:pPr>
        <w:spacing w:line="360" w:lineRule="auto"/>
        <w:ind w:firstLine="210" w:firstLineChars="100"/>
        <w:jc w:val="center"/>
        <w:rPr>
          <w:rFonts w:ascii="Arial" w:hAnsi="Arial" w:cs="Arial"/>
          <w:bCs/>
          <w:kern w:val="44"/>
          <w:szCs w:val="21"/>
        </w:rPr>
        <w:sectPr>
          <w:pgSz w:w="16838" w:h="11906" w:orient="landscape"/>
          <w:pgMar w:top="1800" w:right="1440" w:bottom="1800" w:left="1440" w:header="851" w:footer="992" w:gutter="0"/>
          <w:cols w:space="425" w:num="1"/>
          <w:docGrid w:type="lines" w:linePitch="312" w:charSpace="0"/>
        </w:sectPr>
      </w:pPr>
    </w:p>
    <w:p>
      <w:pPr>
        <w:widowControl/>
        <w:spacing w:before="300" w:after="300" w:line="360" w:lineRule="exact"/>
        <w:jc w:val="left"/>
        <w:outlineLvl w:val="1"/>
        <w:rPr>
          <w:rFonts w:ascii="Arial" w:hAnsi="Arial" w:cs="Arial"/>
          <w:b/>
          <w:bCs/>
          <w:sz w:val="24"/>
        </w:rPr>
      </w:pPr>
      <w:bookmarkStart w:id="63" w:name="_Toc73692219"/>
      <w:r>
        <w:rPr>
          <w:rFonts w:hint="eastAsia" w:ascii="Arial" w:hAnsi="Arial" w:cs="Arial"/>
          <w:b/>
          <w:bCs/>
          <w:sz w:val="24"/>
        </w:rPr>
        <w:t>7.</w:t>
      </w:r>
      <w:r>
        <w:rPr>
          <w:rFonts w:ascii="Arial" w:hAnsi="Arial" w:cs="Arial"/>
          <w:b/>
          <w:bCs/>
          <w:sz w:val="24"/>
        </w:rPr>
        <w:t>3</w:t>
      </w:r>
      <w:r>
        <w:rPr>
          <w:rFonts w:hint="eastAsia" w:ascii="Arial" w:hAnsi="Arial" w:cs="Arial"/>
          <w:b/>
          <w:bCs/>
          <w:sz w:val="24"/>
        </w:rPr>
        <w:t>资金余额</w:t>
      </w:r>
      <w:bookmarkEnd w:id="63"/>
    </w:p>
    <w:tbl>
      <w:tblPr>
        <w:tblStyle w:val="13"/>
        <w:tblW w:w="5000" w:type="pct"/>
        <w:tblInd w:w="0" w:type="dxa"/>
        <w:tblLayout w:type="autofit"/>
        <w:tblCellMar>
          <w:top w:w="0" w:type="dxa"/>
          <w:left w:w="108" w:type="dxa"/>
          <w:bottom w:w="0" w:type="dxa"/>
          <w:right w:w="108" w:type="dxa"/>
        </w:tblCellMar>
      </w:tblPr>
      <w:tblGrid>
        <w:gridCol w:w="549"/>
        <w:gridCol w:w="1774"/>
        <w:gridCol w:w="2279"/>
        <w:gridCol w:w="1075"/>
        <w:gridCol w:w="1253"/>
        <w:gridCol w:w="1592"/>
      </w:tblGrid>
      <w:tr>
        <w:tblPrEx>
          <w:tblCellMar>
            <w:top w:w="0" w:type="dxa"/>
            <w:left w:w="108" w:type="dxa"/>
            <w:bottom w:w="0" w:type="dxa"/>
            <w:right w:w="108" w:type="dxa"/>
          </w:tblCellMar>
        </w:tblPrEx>
        <w:trPr>
          <w:trHeight w:val="600" w:hRule="atLeast"/>
          <w:tblHeader/>
        </w:trPr>
        <w:tc>
          <w:tcPr>
            <w:tcW w:w="322" w:type="pct"/>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序号</w:t>
            </w:r>
          </w:p>
        </w:tc>
        <w:tc>
          <w:tcPr>
            <w:tcW w:w="104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开户银行</w:t>
            </w:r>
          </w:p>
        </w:tc>
        <w:tc>
          <w:tcPr>
            <w:tcW w:w="1337"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账号</w:t>
            </w:r>
          </w:p>
        </w:tc>
        <w:tc>
          <w:tcPr>
            <w:tcW w:w="631"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账户性质</w:t>
            </w:r>
          </w:p>
        </w:tc>
        <w:tc>
          <w:tcPr>
            <w:tcW w:w="73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预留印鉴</w:t>
            </w:r>
          </w:p>
        </w:tc>
        <w:tc>
          <w:tcPr>
            <w:tcW w:w="934" w:type="pct"/>
            <w:tcBorders>
              <w:top w:val="single" w:color="auto" w:sz="4" w:space="0"/>
              <w:left w:val="nil"/>
              <w:bottom w:val="single" w:color="auto" w:sz="4" w:space="0"/>
              <w:right w:val="single" w:color="auto" w:sz="4" w:space="0"/>
            </w:tcBorders>
            <w:shd w:val="clear" w:color="auto" w:fill="auto"/>
            <w:vAlign w:val="center"/>
          </w:tcPr>
          <w:p>
            <w:pPr>
              <w:widowControl/>
              <w:jc w:val="center"/>
              <w:rPr>
                <w:rFonts w:ascii="Arial" w:hAnsi="Arial" w:cs="Arial"/>
                <w:b/>
                <w:bCs/>
                <w:color w:val="000000"/>
                <w:kern w:val="0"/>
                <w:sz w:val="18"/>
                <w:szCs w:val="18"/>
              </w:rPr>
            </w:pPr>
            <w:r>
              <w:rPr>
                <w:rFonts w:ascii="Arial" w:hAnsi="Arial" w:cs="Arial"/>
                <w:b/>
                <w:bCs/>
                <w:color w:val="000000"/>
                <w:kern w:val="0"/>
                <w:sz w:val="18"/>
                <w:szCs w:val="18"/>
              </w:rPr>
              <w:t>余额（元）</w:t>
            </w:r>
          </w:p>
        </w:tc>
      </w:tr>
      <w:tr>
        <w:tblPrEx>
          <w:tblCellMar>
            <w:top w:w="0" w:type="dxa"/>
            <w:left w:w="108" w:type="dxa"/>
            <w:bottom w:w="0" w:type="dxa"/>
            <w:right w:w="108" w:type="dxa"/>
          </w:tblCellMar>
        </w:tblPrEx>
        <w:trPr>
          <w:trHeight w:val="550" w:hRule="atLeast"/>
        </w:trPr>
        <w:tc>
          <w:tcPr>
            <w:tcW w:w="3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w:t>
            </w:r>
          </w:p>
        </w:tc>
        <w:tc>
          <w:tcPr>
            <w:tcW w:w="104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中国工商银行股份有限公司成都草市支行</w:t>
            </w:r>
          </w:p>
        </w:tc>
        <w:tc>
          <w:tcPr>
            <w:tcW w:w="133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4402202019100319318</w:t>
            </w:r>
          </w:p>
        </w:tc>
        <w:tc>
          <w:tcPr>
            <w:tcW w:w="6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9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550" w:hRule="atLeast"/>
        </w:trPr>
        <w:tc>
          <w:tcPr>
            <w:tcW w:w="3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w:t>
            </w:r>
          </w:p>
        </w:tc>
        <w:tc>
          <w:tcPr>
            <w:tcW w:w="104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中国工商银行股份有限公司成都春熙支行</w:t>
            </w:r>
          </w:p>
        </w:tc>
        <w:tc>
          <w:tcPr>
            <w:tcW w:w="133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4402209019067263194</w:t>
            </w:r>
          </w:p>
        </w:tc>
        <w:tc>
          <w:tcPr>
            <w:tcW w:w="6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9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sz w:val="18"/>
                <w:szCs w:val="18"/>
              </w:rPr>
              <w:t>6,789,537.17</w:t>
            </w:r>
          </w:p>
        </w:tc>
      </w:tr>
      <w:tr>
        <w:tblPrEx>
          <w:tblCellMar>
            <w:top w:w="0" w:type="dxa"/>
            <w:left w:w="108" w:type="dxa"/>
            <w:bottom w:w="0" w:type="dxa"/>
            <w:right w:w="108" w:type="dxa"/>
          </w:tblCellMar>
        </w:tblPrEx>
        <w:trPr>
          <w:trHeight w:val="810" w:hRule="atLeast"/>
        </w:trPr>
        <w:tc>
          <w:tcPr>
            <w:tcW w:w="3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3</w:t>
            </w:r>
          </w:p>
        </w:tc>
        <w:tc>
          <w:tcPr>
            <w:tcW w:w="104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渤海银行股份有限公司成都分行</w:t>
            </w:r>
          </w:p>
        </w:tc>
        <w:tc>
          <w:tcPr>
            <w:tcW w:w="133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2029980008000118</w:t>
            </w:r>
          </w:p>
        </w:tc>
        <w:tc>
          <w:tcPr>
            <w:tcW w:w="6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9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sz w:val="18"/>
                <w:szCs w:val="18"/>
              </w:rPr>
              <w:t>2,783.13</w:t>
            </w:r>
          </w:p>
        </w:tc>
      </w:tr>
      <w:tr>
        <w:tblPrEx>
          <w:tblCellMar>
            <w:top w:w="0" w:type="dxa"/>
            <w:left w:w="108" w:type="dxa"/>
            <w:bottom w:w="0" w:type="dxa"/>
            <w:right w:w="108" w:type="dxa"/>
          </w:tblCellMar>
        </w:tblPrEx>
        <w:trPr>
          <w:trHeight w:val="550" w:hRule="atLeast"/>
        </w:trPr>
        <w:tc>
          <w:tcPr>
            <w:tcW w:w="3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w:t>
            </w:r>
          </w:p>
        </w:tc>
        <w:tc>
          <w:tcPr>
            <w:tcW w:w="104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中国建设银行股份有限公司成都岷江支行</w:t>
            </w:r>
          </w:p>
        </w:tc>
        <w:tc>
          <w:tcPr>
            <w:tcW w:w="133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51050186083600002577</w:t>
            </w:r>
          </w:p>
        </w:tc>
        <w:tc>
          <w:tcPr>
            <w:tcW w:w="6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基本户</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9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sz w:val="18"/>
                <w:szCs w:val="18"/>
              </w:rPr>
              <w:t>8,218.45</w:t>
            </w:r>
          </w:p>
        </w:tc>
      </w:tr>
      <w:tr>
        <w:tblPrEx>
          <w:tblCellMar>
            <w:top w:w="0" w:type="dxa"/>
            <w:left w:w="108" w:type="dxa"/>
            <w:bottom w:w="0" w:type="dxa"/>
            <w:right w:w="108" w:type="dxa"/>
          </w:tblCellMar>
        </w:tblPrEx>
        <w:trPr>
          <w:trHeight w:val="550" w:hRule="atLeast"/>
        </w:trPr>
        <w:tc>
          <w:tcPr>
            <w:tcW w:w="3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5</w:t>
            </w:r>
          </w:p>
        </w:tc>
        <w:tc>
          <w:tcPr>
            <w:tcW w:w="104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兴业银行股份有限公司武侯支行</w:t>
            </w:r>
          </w:p>
        </w:tc>
        <w:tc>
          <w:tcPr>
            <w:tcW w:w="133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431330100100079972</w:t>
            </w:r>
          </w:p>
        </w:tc>
        <w:tc>
          <w:tcPr>
            <w:tcW w:w="6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9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550" w:hRule="atLeast"/>
        </w:trPr>
        <w:tc>
          <w:tcPr>
            <w:tcW w:w="3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w:t>
            </w:r>
          </w:p>
        </w:tc>
        <w:tc>
          <w:tcPr>
            <w:tcW w:w="104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中国农业银行股份有限公司成都西安路支行</w:t>
            </w:r>
          </w:p>
        </w:tc>
        <w:tc>
          <w:tcPr>
            <w:tcW w:w="133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22911201040012173</w:t>
            </w:r>
          </w:p>
        </w:tc>
        <w:tc>
          <w:tcPr>
            <w:tcW w:w="6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9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sz w:val="18"/>
                <w:szCs w:val="18"/>
              </w:rPr>
              <w:t>4,852.50</w:t>
            </w:r>
          </w:p>
        </w:tc>
      </w:tr>
      <w:tr>
        <w:tblPrEx>
          <w:tblCellMar>
            <w:top w:w="0" w:type="dxa"/>
            <w:left w:w="108" w:type="dxa"/>
            <w:bottom w:w="0" w:type="dxa"/>
            <w:right w:w="108" w:type="dxa"/>
          </w:tblCellMar>
        </w:tblPrEx>
        <w:trPr>
          <w:trHeight w:val="550" w:hRule="atLeast"/>
        </w:trPr>
        <w:tc>
          <w:tcPr>
            <w:tcW w:w="3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w:t>
            </w:r>
          </w:p>
        </w:tc>
        <w:tc>
          <w:tcPr>
            <w:tcW w:w="104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四川银行股份有限公司</w:t>
            </w:r>
          </w:p>
        </w:tc>
        <w:tc>
          <w:tcPr>
            <w:tcW w:w="133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78220100038376395</w:t>
            </w:r>
          </w:p>
        </w:tc>
        <w:tc>
          <w:tcPr>
            <w:tcW w:w="6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w:t>
            </w:r>
          </w:p>
        </w:tc>
        <w:tc>
          <w:tcPr>
            <w:tcW w:w="9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sz w:val="18"/>
                <w:szCs w:val="18"/>
              </w:rPr>
              <w:t>1,000.00</w:t>
            </w:r>
          </w:p>
        </w:tc>
      </w:tr>
      <w:tr>
        <w:tblPrEx>
          <w:tblCellMar>
            <w:top w:w="0" w:type="dxa"/>
            <w:left w:w="108" w:type="dxa"/>
            <w:bottom w:w="0" w:type="dxa"/>
            <w:right w:w="108" w:type="dxa"/>
          </w:tblCellMar>
        </w:tblPrEx>
        <w:trPr>
          <w:trHeight w:val="550" w:hRule="atLeast"/>
        </w:trPr>
        <w:tc>
          <w:tcPr>
            <w:tcW w:w="3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8</w:t>
            </w:r>
          </w:p>
        </w:tc>
        <w:tc>
          <w:tcPr>
            <w:tcW w:w="104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中国民生银行股份有限公司成都蜀汉路支行</w:t>
            </w:r>
          </w:p>
        </w:tc>
        <w:tc>
          <w:tcPr>
            <w:tcW w:w="133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632853800</w:t>
            </w:r>
          </w:p>
        </w:tc>
        <w:tc>
          <w:tcPr>
            <w:tcW w:w="6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预售资金监管户</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财务章+曾德伟+张阳+郭峰</w:t>
            </w:r>
          </w:p>
        </w:tc>
        <w:tc>
          <w:tcPr>
            <w:tcW w:w="9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sz w:val="18"/>
                <w:szCs w:val="18"/>
              </w:rPr>
              <w:t>51,005,418.00</w:t>
            </w:r>
          </w:p>
        </w:tc>
      </w:tr>
      <w:tr>
        <w:tblPrEx>
          <w:tblCellMar>
            <w:top w:w="0" w:type="dxa"/>
            <w:left w:w="108" w:type="dxa"/>
            <w:bottom w:w="0" w:type="dxa"/>
            <w:right w:w="108" w:type="dxa"/>
          </w:tblCellMar>
        </w:tblPrEx>
        <w:trPr>
          <w:trHeight w:val="550" w:hRule="atLeast"/>
        </w:trPr>
        <w:tc>
          <w:tcPr>
            <w:tcW w:w="3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9</w:t>
            </w:r>
          </w:p>
        </w:tc>
        <w:tc>
          <w:tcPr>
            <w:tcW w:w="104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中国民生银行股份有限公司成都建设路支行</w:t>
            </w:r>
          </w:p>
        </w:tc>
        <w:tc>
          <w:tcPr>
            <w:tcW w:w="133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632871161</w:t>
            </w:r>
          </w:p>
        </w:tc>
        <w:tc>
          <w:tcPr>
            <w:tcW w:w="6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财务章+曾德伟+张阳+郭峰</w:t>
            </w:r>
          </w:p>
        </w:tc>
        <w:tc>
          <w:tcPr>
            <w:tcW w:w="9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550" w:hRule="atLeast"/>
        </w:trPr>
        <w:tc>
          <w:tcPr>
            <w:tcW w:w="322" w:type="pct"/>
            <w:tcBorders>
              <w:top w:val="nil"/>
              <w:left w:val="single" w:color="auto" w:sz="4" w:space="0"/>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10</w:t>
            </w:r>
          </w:p>
        </w:tc>
        <w:tc>
          <w:tcPr>
            <w:tcW w:w="104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中行锦城支行</w:t>
            </w:r>
          </w:p>
        </w:tc>
        <w:tc>
          <w:tcPr>
            <w:tcW w:w="1337"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121271693590</w:t>
            </w:r>
          </w:p>
        </w:tc>
        <w:tc>
          <w:tcPr>
            <w:tcW w:w="631"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一般户</w:t>
            </w:r>
          </w:p>
        </w:tc>
        <w:tc>
          <w:tcPr>
            <w:tcW w:w="7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财务章+曾德伟+张阳+郭峰</w:t>
            </w:r>
          </w:p>
        </w:tc>
        <w:tc>
          <w:tcPr>
            <w:tcW w:w="934" w:type="pct"/>
            <w:tcBorders>
              <w:top w:val="nil"/>
              <w:left w:val="nil"/>
              <w:bottom w:val="single" w:color="auto" w:sz="4" w:space="0"/>
              <w:right w:val="single" w:color="auto" w:sz="4" w:space="0"/>
            </w:tcBorders>
            <w:shd w:val="clear" w:color="auto" w:fill="auto"/>
            <w:vAlign w:val="center"/>
          </w:tcPr>
          <w:p>
            <w:pPr>
              <w:widowControl/>
              <w:jc w:val="center"/>
              <w:rPr>
                <w:rFonts w:ascii="Arial" w:hAnsi="Arial" w:cs="Arial"/>
                <w:color w:val="000000"/>
                <w:kern w:val="0"/>
                <w:sz w:val="18"/>
                <w:szCs w:val="18"/>
              </w:rPr>
            </w:pPr>
            <w:r>
              <w:rPr>
                <w:rFonts w:ascii="Arial" w:hAnsi="Arial" w:cs="Arial"/>
                <w:sz w:val="18"/>
                <w:szCs w:val="18"/>
              </w:rPr>
              <w:t>-</w:t>
            </w:r>
          </w:p>
        </w:tc>
      </w:tr>
      <w:tr>
        <w:tblPrEx>
          <w:tblCellMar>
            <w:top w:w="0" w:type="dxa"/>
            <w:left w:w="108" w:type="dxa"/>
            <w:bottom w:w="0" w:type="dxa"/>
            <w:right w:w="108" w:type="dxa"/>
          </w:tblCellMar>
        </w:tblPrEx>
        <w:trPr>
          <w:trHeight w:val="520" w:hRule="atLeast"/>
        </w:trPr>
        <w:tc>
          <w:tcPr>
            <w:tcW w:w="4066" w:type="pct"/>
            <w:gridSpan w:val="5"/>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color w:val="000000"/>
                <w:kern w:val="0"/>
                <w:sz w:val="18"/>
                <w:szCs w:val="18"/>
              </w:rPr>
              <w:t>合计</w:t>
            </w:r>
          </w:p>
        </w:tc>
        <w:tc>
          <w:tcPr>
            <w:tcW w:w="934" w:type="pct"/>
            <w:tcBorders>
              <w:top w:val="nil"/>
              <w:left w:val="nil"/>
              <w:bottom w:val="single" w:color="auto" w:sz="4" w:space="0"/>
              <w:right w:val="single" w:color="auto" w:sz="4" w:space="0"/>
            </w:tcBorders>
            <w:shd w:val="clear" w:color="auto" w:fill="auto"/>
            <w:noWrap/>
            <w:vAlign w:val="center"/>
          </w:tcPr>
          <w:p>
            <w:pPr>
              <w:widowControl/>
              <w:jc w:val="center"/>
              <w:rPr>
                <w:rFonts w:ascii="Arial" w:hAnsi="Arial" w:cs="Arial"/>
                <w:color w:val="000000"/>
                <w:kern w:val="0"/>
                <w:sz w:val="18"/>
                <w:szCs w:val="18"/>
              </w:rPr>
            </w:pPr>
            <w:r>
              <w:rPr>
                <w:rFonts w:ascii="Arial" w:hAnsi="Arial" w:cs="Arial"/>
                <w:sz w:val="18"/>
                <w:szCs w:val="18"/>
              </w:rPr>
              <w:t>57,811,809.25</w:t>
            </w:r>
          </w:p>
        </w:tc>
      </w:tr>
    </w:tbl>
    <w:p>
      <w:pPr>
        <w:widowControl/>
        <w:spacing w:before="300" w:after="300" w:line="360" w:lineRule="exact"/>
        <w:jc w:val="left"/>
        <w:outlineLvl w:val="1"/>
        <w:rPr>
          <w:rFonts w:ascii="Arial" w:hAnsi="Arial" w:cs="Arial"/>
          <w:b/>
          <w:bCs/>
          <w:sz w:val="24"/>
        </w:rPr>
      </w:pPr>
      <w:bookmarkStart w:id="64" w:name="_Toc73692220"/>
      <w:bookmarkStart w:id="65" w:name="_Toc11604"/>
      <w:r>
        <w:rPr>
          <w:rFonts w:ascii="Arial" w:hAnsi="Arial" w:cs="Arial"/>
          <w:b/>
          <w:bCs/>
          <w:sz w:val="24"/>
        </w:rPr>
        <w:t>8项目成本执行情况</w:t>
      </w:r>
      <w:bookmarkEnd w:id="64"/>
    </w:p>
    <w:tbl>
      <w:tblPr>
        <w:tblStyle w:val="1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30"/>
        <w:gridCol w:w="2130"/>
        <w:gridCol w:w="2131"/>
        <w:gridCol w:w="21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序号</w:t>
            </w:r>
          </w:p>
        </w:tc>
        <w:tc>
          <w:tcPr>
            <w:tcW w:w="1250" w:type="pct"/>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成本项目</w:t>
            </w:r>
          </w:p>
        </w:tc>
        <w:tc>
          <w:tcPr>
            <w:tcW w:w="1250" w:type="pct"/>
            <w:shd w:val="clear" w:color="auto" w:fill="auto"/>
            <w:noWrap/>
            <w:vAlign w:val="center"/>
          </w:tcPr>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目标成本（万元）</w:t>
            </w:r>
          </w:p>
        </w:tc>
        <w:tc>
          <w:tcPr>
            <w:tcW w:w="1250" w:type="pct"/>
            <w:shd w:val="clear" w:color="auto" w:fill="auto"/>
            <w:vAlign w:val="center"/>
          </w:tcPr>
          <w:p>
            <w:pPr>
              <w:widowControl/>
              <w:jc w:val="center"/>
              <w:textAlignment w:val="center"/>
              <w:rPr>
                <w:rFonts w:ascii="Arial" w:hAnsi="Arial" w:cs="Arial"/>
                <w:b/>
                <w:bCs/>
                <w:color w:val="000000"/>
                <w:kern w:val="0"/>
                <w:sz w:val="18"/>
                <w:szCs w:val="18"/>
                <w:lang w:bidi="ar"/>
              </w:rPr>
            </w:pPr>
            <w:r>
              <w:rPr>
                <w:rFonts w:ascii="Arial" w:hAnsi="Arial" w:cs="Arial"/>
                <w:b/>
                <w:bCs/>
                <w:color w:val="000000"/>
                <w:kern w:val="0"/>
                <w:sz w:val="18"/>
                <w:szCs w:val="18"/>
                <w:lang w:bidi="ar"/>
              </w:rPr>
              <w:t>累计已发生</w:t>
            </w:r>
          </w:p>
          <w:p>
            <w:pPr>
              <w:widowControl/>
              <w:jc w:val="center"/>
              <w:textAlignment w:val="center"/>
              <w:rPr>
                <w:rFonts w:ascii="Arial" w:hAnsi="Arial" w:cs="Arial"/>
                <w:b/>
                <w:bCs/>
                <w:color w:val="000000"/>
                <w:sz w:val="18"/>
                <w:szCs w:val="18"/>
              </w:rPr>
            </w:pPr>
            <w:r>
              <w:rPr>
                <w:rFonts w:ascii="Arial" w:hAnsi="Arial" w:cs="Arial"/>
                <w:b/>
                <w:bCs/>
                <w:color w:val="000000"/>
                <w:kern w:val="0"/>
                <w:sz w:val="18"/>
                <w:szCs w:val="18"/>
                <w:lang w:bidi="ar"/>
              </w:rPr>
              <w:t>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土地费用</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143,786.34</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180,130.82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前期工程费</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12,327.19</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6,394.45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3</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建安费用</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143,188.06</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27,828.58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4</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营销费用</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4,079.51</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1,679.89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5</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管理费用</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4,079.51</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952.59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6</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财务费用</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13,000.00</w:t>
            </w:r>
          </w:p>
        </w:tc>
        <w:tc>
          <w:tcPr>
            <w:tcW w:w="1250" w:type="pct"/>
            <w:shd w:val="clear" w:color="auto" w:fill="auto"/>
            <w:vAlign w:val="center"/>
          </w:tcPr>
          <w:p>
            <w:pPr>
              <w:widowControl/>
              <w:jc w:val="center"/>
              <w:textAlignment w:val="center"/>
              <w:rPr>
                <w:rFonts w:ascii="Arial" w:hAnsi="Arial" w:cs="Arial"/>
                <w:color w:val="000000"/>
                <w:sz w:val="18"/>
                <w:szCs w:val="18"/>
              </w:rPr>
            </w:pPr>
            <w:r>
              <w:rPr>
                <w:rFonts w:ascii="Arial" w:hAnsi="Arial" w:cs="Arial"/>
                <w:sz w:val="18"/>
                <w:szCs w:val="18"/>
              </w:rPr>
              <w:t>1.14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sz w:val="18"/>
                <w:szCs w:val="18"/>
              </w:rPr>
              <w:t>7</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税金</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22,410.35</w:t>
            </w:r>
          </w:p>
        </w:tc>
        <w:tc>
          <w:tcPr>
            <w:tcW w:w="1250" w:type="pct"/>
            <w:shd w:val="clear" w:color="auto" w:fill="auto"/>
            <w:noWrap/>
            <w:vAlign w:val="center"/>
          </w:tcPr>
          <w:p>
            <w:pPr>
              <w:widowControl/>
              <w:jc w:val="center"/>
              <w:textAlignment w:val="center"/>
              <w:rPr>
                <w:rFonts w:ascii="Arial" w:hAnsi="Arial" w:cs="Arial"/>
                <w:color w:val="000000"/>
                <w:sz w:val="18"/>
                <w:szCs w:val="18"/>
              </w:rPr>
            </w:pPr>
            <w:r>
              <w:rPr>
                <w:rFonts w:ascii="Arial" w:hAnsi="Arial" w:cs="Arial"/>
                <w:sz w:val="18"/>
                <w:szCs w:val="18"/>
              </w:rPr>
              <w:t>394.90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8</w:t>
            </w:r>
          </w:p>
        </w:tc>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营业外支出</w:t>
            </w:r>
          </w:p>
        </w:tc>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w:t>
            </w:r>
          </w:p>
        </w:tc>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trPr>
        <w:tc>
          <w:tcPr>
            <w:tcW w:w="2500" w:type="pct"/>
            <w:gridSpan w:val="2"/>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color w:val="000000"/>
                <w:kern w:val="0"/>
                <w:sz w:val="18"/>
                <w:szCs w:val="18"/>
                <w:lang w:bidi="ar"/>
              </w:rPr>
              <w:t>合计</w:t>
            </w:r>
          </w:p>
        </w:tc>
        <w:tc>
          <w:tcPr>
            <w:tcW w:w="1250" w:type="pct"/>
            <w:shd w:val="clear" w:color="auto" w:fill="auto"/>
            <w:noWrap/>
            <w:vAlign w:val="center"/>
          </w:tcPr>
          <w:p>
            <w:pPr>
              <w:widowControl/>
              <w:jc w:val="center"/>
              <w:textAlignment w:val="center"/>
              <w:rPr>
                <w:rFonts w:ascii="Arial" w:hAnsi="Arial" w:cs="Arial"/>
                <w:color w:val="000000"/>
                <w:kern w:val="0"/>
                <w:sz w:val="18"/>
                <w:szCs w:val="18"/>
                <w:lang w:bidi="ar"/>
              </w:rPr>
            </w:pPr>
            <w:r>
              <w:rPr>
                <w:rFonts w:ascii="Arial" w:hAnsi="Arial" w:cs="Arial"/>
                <w:sz w:val="18"/>
                <w:szCs w:val="18"/>
              </w:rPr>
              <w:t>342,870.96</w:t>
            </w:r>
          </w:p>
        </w:tc>
        <w:tc>
          <w:tcPr>
            <w:tcW w:w="1250" w:type="pct"/>
            <w:shd w:val="clear" w:color="auto" w:fill="auto"/>
            <w:noWrap/>
            <w:vAlign w:val="center"/>
          </w:tcPr>
          <w:p>
            <w:pPr>
              <w:widowControl/>
              <w:jc w:val="center"/>
              <w:textAlignment w:val="center"/>
              <w:rPr>
                <w:rFonts w:ascii="Arial" w:hAnsi="Arial" w:cs="Arial"/>
                <w:sz w:val="18"/>
                <w:szCs w:val="18"/>
              </w:rPr>
            </w:pPr>
            <w:r>
              <w:rPr>
                <w:rFonts w:ascii="Arial" w:hAnsi="Arial" w:cs="Arial"/>
                <w:sz w:val="18"/>
                <w:szCs w:val="18"/>
              </w:rPr>
              <w:t>217,386.73</w:t>
            </w:r>
          </w:p>
        </w:tc>
      </w:tr>
    </w:tbl>
    <w:p>
      <w:pPr>
        <w:widowControl/>
        <w:spacing w:before="300" w:after="300" w:line="360" w:lineRule="exact"/>
        <w:jc w:val="left"/>
        <w:outlineLvl w:val="1"/>
        <w:rPr>
          <w:rFonts w:ascii="Arial" w:hAnsi="Arial" w:cs="Arial"/>
          <w:b/>
          <w:bCs/>
          <w:sz w:val="24"/>
        </w:rPr>
      </w:pPr>
      <w:bookmarkStart w:id="66" w:name="_Toc73692221"/>
      <w:r>
        <w:rPr>
          <w:rFonts w:hint="eastAsia" w:ascii="Arial" w:hAnsi="Arial" w:cs="Arial"/>
          <w:b/>
          <w:bCs/>
          <w:sz w:val="24"/>
        </w:rPr>
        <w:t>附件</w:t>
      </w:r>
      <w:bookmarkEnd w:id="65"/>
      <w:bookmarkEnd w:id="66"/>
    </w:p>
    <w:p>
      <w:pPr>
        <w:widowControl/>
        <w:spacing w:before="300" w:after="300" w:line="360" w:lineRule="exact"/>
        <w:jc w:val="left"/>
        <w:outlineLvl w:val="1"/>
        <w:rPr>
          <w:rFonts w:ascii="Arial" w:hAnsi="Arial" w:cs="Arial"/>
          <w:b/>
          <w:bCs/>
          <w:sz w:val="24"/>
        </w:rPr>
      </w:pPr>
      <w:bookmarkStart w:id="67" w:name="_Toc532281665"/>
      <w:bookmarkStart w:id="68" w:name="_Toc535580034"/>
      <w:bookmarkStart w:id="69" w:name="_Toc535580102"/>
      <w:bookmarkStart w:id="70" w:name="_Toc10928"/>
      <w:bookmarkStart w:id="71" w:name="_Toc535570761"/>
      <w:bookmarkStart w:id="72" w:name="_Toc37668504"/>
      <w:bookmarkStart w:id="73" w:name="_Toc535508647"/>
      <w:bookmarkStart w:id="74" w:name="_Toc19444"/>
      <w:bookmarkStart w:id="75" w:name="_Toc73692222"/>
      <w:r>
        <w:rPr>
          <w:rFonts w:hint="eastAsia" w:ascii="Arial" w:hAnsi="Arial" w:cs="Arial"/>
          <w:b/>
          <w:bCs/>
          <w:sz w:val="24"/>
        </w:rPr>
        <w:t xml:space="preserve">附件一 </w:t>
      </w:r>
      <w:bookmarkEnd w:id="67"/>
      <w:r>
        <w:rPr>
          <w:rFonts w:hint="eastAsia" w:ascii="Arial" w:hAnsi="Arial" w:cs="Arial"/>
          <w:b/>
          <w:bCs/>
          <w:sz w:val="24"/>
        </w:rPr>
        <w:t>银行对账单</w:t>
      </w:r>
      <w:bookmarkEnd w:id="68"/>
      <w:bookmarkEnd w:id="69"/>
      <w:bookmarkEnd w:id="70"/>
      <w:bookmarkEnd w:id="71"/>
      <w:bookmarkEnd w:id="72"/>
      <w:bookmarkEnd w:id="73"/>
      <w:bookmarkEnd w:id="74"/>
      <w:bookmarkEnd w:id="75"/>
    </w:p>
    <w:p>
      <w:pPr>
        <w:widowControl/>
        <w:spacing w:before="300" w:after="300" w:line="360" w:lineRule="exact"/>
        <w:jc w:val="left"/>
        <w:outlineLvl w:val="1"/>
        <w:rPr>
          <w:rFonts w:hint="eastAsia" w:ascii="Arial" w:hAnsi="Arial" w:cs="Arial"/>
          <w:b/>
          <w:bCs/>
          <w:sz w:val="24"/>
        </w:rPr>
      </w:pPr>
      <w:r>
        <w:rPr>
          <w:rFonts w:hint="eastAsia" w:ascii="Arial" w:hAnsi="Arial" w:cs="Arial"/>
          <w:b/>
          <w:bCs/>
          <w:sz w:val="24"/>
        </w:rPr>
        <w:t>注：由于中国农业银行、兴业银行、四川银行未开通网银且银行账户自交接以来尚未动用，故没有余额截图。</w:t>
      </w:r>
    </w:p>
    <w:p>
      <w:pPr>
        <w:rPr>
          <w:rFonts w:ascii="宋体" w:hAnsi="宋体" w:cs="Arial"/>
          <w:b/>
          <w:bCs/>
          <w:sz w:val="24"/>
        </w:rPr>
      </w:pPr>
      <w:r>
        <w:rPr>
          <w:rFonts w:hint="eastAsia" w:ascii="宋体" w:hAnsi="宋体" w:cs="Arial"/>
          <w:b/>
          <w:bCs/>
          <w:sz w:val="24"/>
        </w:rPr>
        <w:t>建行2</w:t>
      </w:r>
      <w:r>
        <w:rPr>
          <w:rFonts w:ascii="宋体" w:hAnsi="宋体" w:cs="Arial"/>
          <w:b/>
          <w:bCs/>
          <w:sz w:val="24"/>
        </w:rPr>
        <w:t>577账户</w:t>
      </w:r>
    </w:p>
    <w:p>
      <w:r>
        <w:drawing>
          <wp:inline distT="0" distB="0" distL="0" distR="0">
            <wp:extent cx="5274310" cy="2922270"/>
            <wp:effectExtent l="0" t="0" r="2540" b="0"/>
            <wp:docPr id="220" name="图片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图片 2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274310" cy="2922270"/>
                    </a:xfrm>
                    <a:prstGeom prst="rect">
                      <a:avLst/>
                    </a:prstGeom>
                    <a:noFill/>
                    <a:ln>
                      <a:noFill/>
                    </a:ln>
                  </pic:spPr>
                </pic:pic>
              </a:graphicData>
            </a:graphic>
          </wp:inline>
        </w:drawing>
      </w:r>
    </w:p>
    <w:p/>
    <w:p/>
    <w:p/>
    <w:p>
      <w:pPr>
        <w:rPr>
          <w:rFonts w:hint="eastAsia"/>
        </w:rPr>
      </w:pPr>
    </w:p>
    <w:p>
      <w:pPr>
        <w:rPr>
          <w:rFonts w:ascii="宋体" w:hAnsi="宋体" w:cs="Arial"/>
          <w:b/>
          <w:bCs/>
          <w:sz w:val="24"/>
        </w:rPr>
      </w:pPr>
      <w:r>
        <w:rPr>
          <w:rFonts w:hint="eastAsia" w:ascii="宋体" w:hAnsi="宋体" w:cs="Arial"/>
          <w:b/>
          <w:bCs/>
          <w:sz w:val="24"/>
        </w:rPr>
        <w:t>工行3</w:t>
      </w:r>
      <w:r>
        <w:rPr>
          <w:rFonts w:ascii="宋体" w:hAnsi="宋体" w:cs="Arial"/>
          <w:b/>
          <w:bCs/>
          <w:sz w:val="24"/>
        </w:rPr>
        <w:t>194账户</w:t>
      </w:r>
    </w:p>
    <w:p>
      <w:r>
        <w:drawing>
          <wp:inline distT="0" distB="0" distL="0" distR="0">
            <wp:extent cx="5274310" cy="2367915"/>
            <wp:effectExtent l="0" t="0" r="2540" b="0"/>
            <wp:docPr id="222" name="图片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图片 22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5274310" cy="2367915"/>
                    </a:xfrm>
                    <a:prstGeom prst="rect">
                      <a:avLst/>
                    </a:prstGeom>
                    <a:noFill/>
                    <a:ln>
                      <a:noFill/>
                    </a:ln>
                  </pic:spPr>
                </pic:pic>
              </a:graphicData>
            </a:graphic>
          </wp:inline>
        </w:drawing>
      </w:r>
    </w:p>
    <w:p/>
    <w:p>
      <w:pPr>
        <w:rPr>
          <w:rStyle w:val="24"/>
          <w:rFonts w:ascii="Arial" w:hAnsi="Arial" w:eastAsia="宋体" w:cstheme="majorBidi"/>
          <w:sz w:val="24"/>
          <w:szCs w:val="24"/>
        </w:rPr>
      </w:pPr>
      <w:r>
        <w:rPr>
          <w:rStyle w:val="24"/>
          <w:rFonts w:ascii="Arial" w:hAnsi="Arial" w:eastAsia="宋体" w:cstheme="majorBidi"/>
          <w:sz w:val="24"/>
          <w:szCs w:val="24"/>
        </w:rPr>
        <w:t>工行</w:t>
      </w:r>
      <w:r>
        <w:rPr>
          <w:rStyle w:val="24"/>
          <w:rFonts w:hint="eastAsia" w:ascii="Arial" w:hAnsi="Arial" w:eastAsia="宋体" w:cstheme="majorBidi"/>
          <w:sz w:val="24"/>
          <w:szCs w:val="24"/>
        </w:rPr>
        <w:t>9</w:t>
      </w:r>
      <w:r>
        <w:rPr>
          <w:rStyle w:val="24"/>
          <w:rFonts w:ascii="Arial" w:hAnsi="Arial" w:eastAsia="宋体" w:cstheme="majorBidi"/>
          <w:sz w:val="24"/>
          <w:szCs w:val="24"/>
        </w:rPr>
        <w:t>318账户</w:t>
      </w:r>
    </w:p>
    <w:p>
      <w:r>
        <w:drawing>
          <wp:inline distT="0" distB="0" distL="0" distR="0">
            <wp:extent cx="5274310" cy="1765300"/>
            <wp:effectExtent l="0" t="0" r="2540" b="6350"/>
            <wp:docPr id="219" name="图片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图片 219"/>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274310" cy="1765300"/>
                    </a:xfrm>
                    <a:prstGeom prst="rect">
                      <a:avLst/>
                    </a:prstGeom>
                    <a:noFill/>
                    <a:ln>
                      <a:noFill/>
                    </a:ln>
                  </pic:spPr>
                </pic:pic>
              </a:graphicData>
            </a:graphic>
          </wp:inline>
        </w:drawing>
      </w:r>
    </w:p>
    <w:p/>
    <w:p>
      <w:pPr>
        <w:rPr>
          <w:rStyle w:val="24"/>
          <w:rFonts w:ascii="Arial" w:hAnsi="Arial" w:eastAsia="宋体" w:cstheme="majorBidi"/>
          <w:sz w:val="24"/>
          <w:szCs w:val="24"/>
        </w:rPr>
      </w:pPr>
      <w:r>
        <w:rPr>
          <w:rStyle w:val="24"/>
          <w:rFonts w:ascii="Arial" w:hAnsi="Arial" w:eastAsia="宋体" w:cstheme="majorBidi"/>
          <w:sz w:val="24"/>
          <w:szCs w:val="24"/>
        </w:rPr>
        <w:t>渤海银行</w:t>
      </w:r>
      <w:r>
        <w:rPr>
          <w:rStyle w:val="24"/>
          <w:rFonts w:hint="eastAsia" w:ascii="Arial" w:hAnsi="Arial" w:eastAsia="宋体" w:cstheme="majorBidi"/>
          <w:sz w:val="24"/>
          <w:szCs w:val="24"/>
        </w:rPr>
        <w:t>0</w:t>
      </w:r>
      <w:r>
        <w:rPr>
          <w:rStyle w:val="24"/>
          <w:rFonts w:ascii="Arial" w:hAnsi="Arial" w:eastAsia="宋体" w:cstheme="majorBidi"/>
          <w:sz w:val="24"/>
          <w:szCs w:val="24"/>
        </w:rPr>
        <w:t>018账户</w:t>
      </w:r>
    </w:p>
    <w:p>
      <w:r>
        <w:drawing>
          <wp:inline distT="0" distB="0" distL="0" distR="0">
            <wp:extent cx="5274310" cy="3114040"/>
            <wp:effectExtent l="0" t="0" r="2540" b="0"/>
            <wp:docPr id="218"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图片 2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274310" cy="3114040"/>
                    </a:xfrm>
                    <a:prstGeom prst="rect">
                      <a:avLst/>
                    </a:prstGeom>
                    <a:noFill/>
                    <a:ln>
                      <a:noFill/>
                    </a:ln>
                  </pic:spPr>
                </pic:pic>
              </a:graphicData>
            </a:graphic>
          </wp:inline>
        </w:drawing>
      </w:r>
    </w:p>
    <w:p/>
    <w:p/>
    <w:p>
      <w:pPr>
        <w:rPr>
          <w:rStyle w:val="24"/>
          <w:rFonts w:ascii="Arial" w:hAnsi="Arial" w:eastAsia="宋体" w:cstheme="majorBidi"/>
          <w:sz w:val="24"/>
          <w:szCs w:val="24"/>
        </w:rPr>
      </w:pPr>
      <w:r>
        <w:rPr>
          <w:rStyle w:val="24"/>
          <w:rFonts w:ascii="Arial" w:hAnsi="Arial" w:eastAsia="宋体" w:cstheme="majorBidi"/>
          <w:sz w:val="24"/>
          <w:szCs w:val="24"/>
        </w:rPr>
        <w:t>民生银行</w:t>
      </w:r>
      <w:r>
        <w:rPr>
          <w:rStyle w:val="24"/>
          <w:rFonts w:hint="eastAsia" w:ascii="Arial" w:hAnsi="Arial" w:eastAsia="宋体" w:cstheme="majorBidi"/>
          <w:sz w:val="24"/>
          <w:szCs w:val="24"/>
        </w:rPr>
        <w:t>3</w:t>
      </w:r>
      <w:r>
        <w:rPr>
          <w:rStyle w:val="24"/>
          <w:rFonts w:ascii="Arial" w:hAnsi="Arial" w:eastAsia="宋体" w:cstheme="majorBidi"/>
          <w:sz w:val="24"/>
          <w:szCs w:val="24"/>
        </w:rPr>
        <w:t>800</w:t>
      </w:r>
      <w:r>
        <w:rPr>
          <w:rStyle w:val="24"/>
          <w:rFonts w:hint="eastAsia" w:ascii="Arial" w:hAnsi="Arial" w:eastAsia="宋体" w:cstheme="majorBidi"/>
          <w:sz w:val="24"/>
          <w:szCs w:val="24"/>
        </w:rPr>
        <w:t>账户</w:t>
      </w:r>
    </w:p>
    <w:p>
      <w:r>
        <w:drawing>
          <wp:inline distT="0" distB="0" distL="0" distR="0">
            <wp:extent cx="5274310" cy="1552575"/>
            <wp:effectExtent l="0" t="0" r="254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5274310" cy="1552575"/>
                    </a:xfrm>
                    <a:prstGeom prst="rect">
                      <a:avLst/>
                    </a:prstGeom>
                    <a:noFill/>
                    <a:ln>
                      <a:noFill/>
                    </a:ln>
                  </pic:spPr>
                </pic:pic>
              </a:graphicData>
            </a:graphic>
          </wp:inline>
        </w:drawing>
      </w:r>
    </w:p>
    <w:p>
      <w:pPr>
        <w:rPr>
          <w:rFonts w:ascii="宋体" w:hAnsi="宋体"/>
          <w:b/>
          <w:bCs/>
          <w:sz w:val="24"/>
        </w:rPr>
      </w:pPr>
      <w:r>
        <w:rPr>
          <w:rFonts w:hint="eastAsia" w:ascii="宋体" w:hAnsi="宋体"/>
          <w:b/>
          <w:bCs/>
          <w:sz w:val="24"/>
        </w:rPr>
        <w:t>民生银行1</w:t>
      </w:r>
      <w:r>
        <w:rPr>
          <w:rFonts w:ascii="宋体" w:hAnsi="宋体"/>
          <w:b/>
          <w:bCs/>
          <w:sz w:val="24"/>
        </w:rPr>
        <w:t>161</w:t>
      </w:r>
      <w:r>
        <w:rPr>
          <w:rFonts w:hint="eastAsia" w:ascii="宋体" w:hAnsi="宋体"/>
          <w:b/>
          <w:bCs/>
          <w:sz w:val="24"/>
        </w:rPr>
        <w:t>账户</w:t>
      </w:r>
    </w:p>
    <w:p>
      <w:pPr>
        <w:rPr>
          <w:rFonts w:hint="eastAsia"/>
        </w:rPr>
      </w:pPr>
      <w:r>
        <w:drawing>
          <wp:inline distT="0" distB="0" distL="0" distR="0">
            <wp:extent cx="5274310" cy="1703070"/>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5274310" cy="1703070"/>
                    </a:xfrm>
                    <a:prstGeom prst="rect">
                      <a:avLst/>
                    </a:prstGeom>
                    <a:noFill/>
                    <a:ln>
                      <a:noFill/>
                    </a:ln>
                  </pic:spPr>
                </pic:pic>
              </a:graphicData>
            </a:graphic>
          </wp:inline>
        </w:drawing>
      </w:r>
    </w:p>
    <w:p>
      <w:pPr>
        <w:rPr>
          <w:rStyle w:val="24"/>
          <w:rFonts w:ascii="Arial" w:hAnsi="Arial" w:eastAsia="宋体" w:cstheme="majorBidi"/>
          <w:sz w:val="24"/>
          <w:szCs w:val="24"/>
        </w:rPr>
      </w:pPr>
      <w:r>
        <w:rPr>
          <w:rStyle w:val="24"/>
          <w:rFonts w:hint="eastAsia" w:ascii="Arial" w:hAnsi="Arial" w:eastAsia="宋体" w:cstheme="majorBidi"/>
          <w:sz w:val="24"/>
          <w:szCs w:val="24"/>
        </w:rPr>
        <w:t>中国银行3</w:t>
      </w:r>
      <w:r>
        <w:rPr>
          <w:rStyle w:val="24"/>
          <w:rFonts w:ascii="Arial" w:hAnsi="Arial" w:eastAsia="宋体" w:cstheme="majorBidi"/>
          <w:sz w:val="24"/>
          <w:szCs w:val="24"/>
        </w:rPr>
        <w:t>590</w:t>
      </w:r>
      <w:r>
        <w:rPr>
          <w:rStyle w:val="24"/>
          <w:rFonts w:hint="eastAsia" w:ascii="Arial" w:hAnsi="Arial" w:eastAsia="宋体" w:cstheme="majorBidi"/>
          <w:sz w:val="24"/>
          <w:szCs w:val="24"/>
        </w:rPr>
        <w:t>账户</w:t>
      </w:r>
    </w:p>
    <w:p>
      <w:r>
        <w:rPr>
          <w:rStyle w:val="24"/>
          <w:rFonts w:hint="eastAsia" w:ascii="Arial" w:hAnsi="Arial" w:eastAsia="宋体" w:cstheme="majorBidi"/>
          <w:sz w:val="24"/>
          <w:szCs w:val="24"/>
        </w:rPr>
        <w:t>已开立账户清单</w:t>
      </w:r>
      <w:r>
        <w:drawing>
          <wp:anchor distT="0" distB="0" distL="114300" distR="114300" simplePos="0" relativeHeight="251660288" behindDoc="0" locked="0" layoutInCell="1" allowOverlap="1">
            <wp:simplePos x="0" y="0"/>
            <wp:positionH relativeFrom="column">
              <wp:align>left</wp:align>
            </wp:positionH>
            <wp:positionV relativeFrom="paragraph">
              <wp:align>top</wp:align>
            </wp:positionV>
            <wp:extent cx="5274310" cy="1859280"/>
            <wp:effectExtent l="0" t="0" r="2540" b="7620"/>
            <wp:wrapSquare wrapText="bothSides"/>
            <wp:docPr id="215" name="图片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5274310" cy="1859280"/>
                    </a:xfrm>
                    <a:prstGeom prst="rect">
                      <a:avLst/>
                    </a:prstGeom>
                    <a:noFill/>
                    <a:ln>
                      <a:noFill/>
                    </a:ln>
                  </pic:spPr>
                </pic:pic>
              </a:graphicData>
            </a:graphic>
          </wp:anchor>
        </w:drawing>
      </w:r>
      <w:r>
        <w:rPr/>
        <w:br w:type="textWrapping" w:clear="all"/>
      </w:r>
      <w:r>
        <w:drawing>
          <wp:inline distT="0" distB="0" distL="0" distR="0">
            <wp:extent cx="5274310" cy="2641600"/>
            <wp:effectExtent l="0" t="0" r="254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2641600"/>
                    </a:xfrm>
                    <a:prstGeom prst="rect">
                      <a:avLst/>
                    </a:prstGeom>
                    <a:noFill/>
                    <a:ln>
                      <a:noFill/>
                    </a:ln>
                  </pic:spPr>
                </pic:pic>
              </a:graphicData>
            </a:graphic>
          </wp:inline>
        </w:drawing>
      </w:r>
    </w:p>
    <w:p>
      <w:pPr>
        <w:widowControl/>
        <w:spacing w:before="300" w:after="300" w:line="360" w:lineRule="exact"/>
        <w:jc w:val="left"/>
        <w:outlineLvl w:val="1"/>
        <w:rPr>
          <w:rFonts w:ascii="Arial" w:hAnsi="Arial" w:cs="Arial"/>
          <w:b/>
          <w:bCs/>
          <w:sz w:val="24"/>
        </w:rPr>
      </w:pPr>
      <w:bookmarkStart w:id="76" w:name="_Toc11101"/>
      <w:bookmarkStart w:id="77" w:name="_Toc73692223"/>
      <w:r>
        <w:rPr>
          <w:rFonts w:hint="eastAsia" w:ascii="Arial" w:hAnsi="Arial" w:cs="Arial"/>
          <w:b/>
          <w:bCs/>
          <w:sz w:val="24"/>
        </w:rPr>
        <w:t xml:space="preserve">附件二 </w:t>
      </w:r>
      <w:bookmarkEnd w:id="76"/>
      <w:r>
        <w:rPr>
          <w:rFonts w:hint="eastAsia" w:ascii="Arial" w:hAnsi="Arial" w:cs="Arial"/>
          <w:b/>
          <w:bCs/>
          <w:sz w:val="24"/>
        </w:rPr>
        <w:t>印章使用纸质版台账</w:t>
      </w:r>
      <w:bookmarkEnd w:id="77"/>
    </w:p>
    <w:p>
      <w:r>
        <w:drawing>
          <wp:inline distT="0" distB="0" distL="0" distR="0">
            <wp:extent cx="5274310" cy="3824605"/>
            <wp:effectExtent l="0" t="0" r="254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274310" cy="3824605"/>
                    </a:xfrm>
                    <a:prstGeom prst="rect">
                      <a:avLst/>
                    </a:prstGeom>
                    <a:noFill/>
                    <a:ln>
                      <a:noFill/>
                    </a:ln>
                  </pic:spPr>
                </pic:pic>
              </a:graphicData>
            </a:graphic>
          </wp:inline>
        </w:drawing>
      </w:r>
    </w:p>
    <w:p>
      <w:r>
        <w:drawing>
          <wp:inline distT="0" distB="0" distL="0" distR="0">
            <wp:extent cx="5274310" cy="3762375"/>
            <wp:effectExtent l="0" t="0" r="254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274310" cy="3762375"/>
                    </a:xfrm>
                    <a:prstGeom prst="rect">
                      <a:avLst/>
                    </a:prstGeom>
                    <a:noFill/>
                    <a:ln>
                      <a:noFill/>
                    </a:ln>
                  </pic:spPr>
                </pic:pic>
              </a:graphicData>
            </a:graphic>
          </wp:inline>
        </w:drawing>
      </w:r>
    </w:p>
    <w:p>
      <w:r>
        <w:drawing>
          <wp:inline distT="0" distB="0" distL="0" distR="0">
            <wp:extent cx="5274310" cy="3728085"/>
            <wp:effectExtent l="0" t="0" r="2540" b="571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274310" cy="3728085"/>
                    </a:xfrm>
                    <a:prstGeom prst="rect">
                      <a:avLst/>
                    </a:prstGeom>
                    <a:noFill/>
                    <a:ln>
                      <a:noFill/>
                    </a:ln>
                  </pic:spPr>
                </pic:pic>
              </a:graphicData>
            </a:graphic>
          </wp:inline>
        </w:drawing>
      </w:r>
    </w:p>
    <w:p>
      <w:r>
        <w:drawing>
          <wp:inline distT="0" distB="0" distL="0" distR="0">
            <wp:extent cx="5274310" cy="3979545"/>
            <wp:effectExtent l="0" t="0" r="2540" b="1905"/>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274310" cy="3979545"/>
                    </a:xfrm>
                    <a:prstGeom prst="rect">
                      <a:avLst/>
                    </a:prstGeom>
                    <a:noFill/>
                    <a:ln>
                      <a:noFill/>
                    </a:ln>
                  </pic:spPr>
                </pic:pic>
              </a:graphicData>
            </a:graphic>
          </wp:inline>
        </w:drawing>
      </w:r>
    </w:p>
    <w:p>
      <w:r>
        <w:drawing>
          <wp:inline distT="0" distB="0" distL="0" distR="0">
            <wp:extent cx="5274310" cy="3973830"/>
            <wp:effectExtent l="0" t="0" r="2540" b="7620"/>
            <wp:docPr id="211" name="图片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图片 2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5274310" cy="3973830"/>
                    </a:xfrm>
                    <a:prstGeom prst="rect">
                      <a:avLst/>
                    </a:prstGeom>
                    <a:noFill/>
                    <a:ln>
                      <a:noFill/>
                    </a:ln>
                  </pic:spPr>
                </pic:pic>
              </a:graphicData>
            </a:graphic>
          </wp:inline>
        </w:drawing>
      </w:r>
    </w:p>
    <w:p>
      <w:r>
        <w:drawing>
          <wp:inline distT="0" distB="0" distL="0" distR="0">
            <wp:extent cx="5274310" cy="3840480"/>
            <wp:effectExtent l="0" t="0" r="2540" b="7620"/>
            <wp:docPr id="212" name="图片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图片 2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5274310" cy="3840480"/>
                    </a:xfrm>
                    <a:prstGeom prst="rect">
                      <a:avLst/>
                    </a:prstGeom>
                    <a:noFill/>
                    <a:ln>
                      <a:noFill/>
                    </a:ln>
                  </pic:spPr>
                </pic:pic>
              </a:graphicData>
            </a:graphic>
          </wp:inline>
        </w:drawing>
      </w:r>
    </w:p>
    <w:p>
      <w:r>
        <w:drawing>
          <wp:inline distT="0" distB="0" distL="0" distR="0">
            <wp:extent cx="5274310" cy="3562350"/>
            <wp:effectExtent l="0" t="0" r="2540" b="0"/>
            <wp:docPr id="213" name="图片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图片 2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274310" cy="3562350"/>
                    </a:xfrm>
                    <a:prstGeom prst="rect">
                      <a:avLst/>
                    </a:prstGeom>
                    <a:noFill/>
                    <a:ln>
                      <a:noFill/>
                    </a:ln>
                  </pic:spPr>
                </pic:pic>
              </a:graphicData>
            </a:graphic>
          </wp:inline>
        </w:drawing>
      </w:r>
    </w:p>
    <w:p>
      <w:r>
        <w:drawing>
          <wp:inline distT="0" distB="0" distL="0" distR="0">
            <wp:extent cx="5274310" cy="1087755"/>
            <wp:effectExtent l="0" t="0" r="2540" b="0"/>
            <wp:docPr id="214" name="图片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274310" cy="1087755"/>
                    </a:xfrm>
                    <a:prstGeom prst="rect">
                      <a:avLst/>
                    </a:prstGeom>
                    <a:noFill/>
                    <a:ln>
                      <a:noFill/>
                    </a:ln>
                  </pic:spPr>
                </pic:pic>
              </a:graphicData>
            </a:graphic>
          </wp:inline>
        </w:drawing>
      </w:r>
    </w:p>
    <w:p/>
    <w:p/>
    <w:p/>
    <w:p/>
    <w:p/>
    <w:p/>
    <w:p/>
    <w:p/>
    <w:p/>
    <w:p/>
    <w:p/>
    <w:p/>
    <w:p/>
    <w:p/>
    <w:p/>
    <w:p/>
    <w:p/>
    <w:p/>
    <w:p/>
    <w:p>
      <w:pPr>
        <w:widowControl/>
        <w:spacing w:before="300" w:after="300" w:line="360" w:lineRule="exact"/>
        <w:jc w:val="left"/>
        <w:outlineLvl w:val="1"/>
        <w:rPr>
          <w:rFonts w:ascii="Arial" w:hAnsi="Arial" w:cs="Arial"/>
          <w:b/>
          <w:bCs/>
          <w:sz w:val="24"/>
        </w:rPr>
      </w:pPr>
      <w:bookmarkStart w:id="78" w:name="_Toc5494"/>
      <w:bookmarkStart w:id="79" w:name="_Toc3951"/>
      <w:bookmarkStart w:id="80" w:name="_Toc73692224"/>
      <w:r>
        <w:rPr>
          <w:rFonts w:hint="eastAsia" w:ascii="Arial" w:hAnsi="Arial" w:cs="Arial"/>
          <w:b/>
          <w:bCs/>
          <w:sz w:val="24"/>
        </w:rPr>
        <w:t xml:space="preserve">附件三 </w:t>
      </w:r>
      <w:bookmarkEnd w:id="78"/>
      <w:bookmarkEnd w:id="79"/>
      <w:r>
        <w:rPr>
          <w:rFonts w:hint="eastAsia" w:ascii="Arial" w:hAnsi="Arial" w:cs="Arial"/>
          <w:b/>
          <w:bCs/>
          <w:sz w:val="24"/>
        </w:rPr>
        <w:t>共管资料移交清单</w:t>
      </w:r>
      <w:bookmarkEnd w:id="80"/>
    </w:p>
    <w:p>
      <w:r>
        <w:drawing>
          <wp:inline distT="0" distB="0" distL="0" distR="0">
            <wp:extent cx="5274310" cy="7429500"/>
            <wp:effectExtent l="0" t="0" r="2540" b="0"/>
            <wp:docPr id="202" name="图片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图片 20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5274310" cy="7429500"/>
                    </a:xfrm>
                    <a:prstGeom prst="rect">
                      <a:avLst/>
                    </a:prstGeom>
                    <a:noFill/>
                    <a:ln>
                      <a:noFill/>
                    </a:ln>
                  </pic:spPr>
                </pic:pic>
              </a:graphicData>
            </a:graphic>
          </wp:inline>
        </w:drawing>
      </w:r>
    </w:p>
    <w:p/>
    <w:p>
      <w:r>
        <w:drawing>
          <wp:inline distT="0" distB="0" distL="0" distR="0">
            <wp:extent cx="5274310" cy="7501255"/>
            <wp:effectExtent l="0" t="0" r="2540" b="4445"/>
            <wp:docPr id="205" name="图片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图片 20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274310" cy="7501255"/>
                    </a:xfrm>
                    <a:prstGeom prst="rect">
                      <a:avLst/>
                    </a:prstGeom>
                    <a:noFill/>
                    <a:ln>
                      <a:noFill/>
                    </a:ln>
                  </pic:spPr>
                </pic:pic>
              </a:graphicData>
            </a:graphic>
          </wp:inline>
        </w:drawing>
      </w:r>
    </w:p>
    <w:p/>
    <w:p>
      <w:r>
        <w:drawing>
          <wp:inline distT="0" distB="0" distL="0" distR="0">
            <wp:extent cx="5274310" cy="3747770"/>
            <wp:effectExtent l="0" t="0" r="2540" b="508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274310" cy="3747770"/>
                    </a:xfrm>
                    <a:prstGeom prst="rect">
                      <a:avLst/>
                    </a:prstGeom>
                    <a:noFill/>
                    <a:ln>
                      <a:noFill/>
                    </a:ln>
                  </pic:spPr>
                </pic:pic>
              </a:graphicData>
            </a:graphic>
          </wp:inline>
        </w:drawing>
      </w:r>
    </w:p>
    <w:p>
      <w:r>
        <w:drawing>
          <wp:inline distT="0" distB="0" distL="0" distR="0">
            <wp:extent cx="5274310" cy="3743960"/>
            <wp:effectExtent l="0" t="0" r="2540" b="8890"/>
            <wp:docPr id="203" name="图片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图片 20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4310" cy="3743960"/>
                    </a:xfrm>
                    <a:prstGeom prst="rect">
                      <a:avLst/>
                    </a:prstGeom>
                    <a:noFill/>
                    <a:ln>
                      <a:noFill/>
                    </a:ln>
                  </pic:spPr>
                </pic:pic>
              </a:graphicData>
            </a:graphic>
          </wp:inline>
        </w:drawing>
      </w:r>
    </w:p>
    <w:p>
      <w:r>
        <w:drawing>
          <wp:inline distT="0" distB="0" distL="0" distR="0">
            <wp:extent cx="5274310" cy="3728085"/>
            <wp:effectExtent l="0" t="0" r="2540" b="5715"/>
            <wp:docPr id="208" name="图片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图片 20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74310" cy="3728085"/>
                    </a:xfrm>
                    <a:prstGeom prst="rect">
                      <a:avLst/>
                    </a:prstGeom>
                    <a:noFill/>
                    <a:ln>
                      <a:noFill/>
                    </a:ln>
                  </pic:spPr>
                </pic:pic>
              </a:graphicData>
            </a:graphic>
          </wp:inline>
        </w:drawing>
      </w:r>
    </w:p>
    <w:p>
      <w:r>
        <w:drawing>
          <wp:inline distT="0" distB="0" distL="0" distR="0">
            <wp:extent cx="5274310" cy="3874770"/>
            <wp:effectExtent l="0" t="0" r="2540" b="0"/>
            <wp:docPr id="209" name="图片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图片 2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74310" cy="3874770"/>
                    </a:xfrm>
                    <a:prstGeom prst="rect">
                      <a:avLst/>
                    </a:prstGeom>
                    <a:noFill/>
                    <a:ln>
                      <a:noFill/>
                    </a:ln>
                  </pic:spPr>
                </pic:pic>
              </a:graphicData>
            </a:graphic>
          </wp:inline>
        </w:drawing>
      </w:r>
    </w:p>
    <w:p>
      <w:r>
        <w:drawing>
          <wp:inline distT="0" distB="0" distL="0" distR="0">
            <wp:extent cx="5274310" cy="3843655"/>
            <wp:effectExtent l="0" t="0" r="2540" b="4445"/>
            <wp:docPr id="204" name="图片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图片 20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5274310" cy="3843655"/>
                    </a:xfrm>
                    <a:prstGeom prst="rect">
                      <a:avLst/>
                    </a:prstGeom>
                    <a:noFill/>
                    <a:ln>
                      <a:noFill/>
                    </a:ln>
                  </pic:spPr>
                </pic:pic>
              </a:graphicData>
            </a:graphic>
          </wp:inline>
        </w:drawing>
      </w:r>
    </w:p>
    <w:p>
      <w:r>
        <w:rPr>
          <w:rFonts w:hint="eastAsia" w:eastAsia="宋体"/>
          <w:lang w:eastAsia="zh-CN"/>
        </w:rPr>
        <w:drawing>
          <wp:anchor distT="0" distB="0" distL="114300" distR="114300" simplePos="0" relativeHeight="251661312" behindDoc="0" locked="0" layoutInCell="1" allowOverlap="1">
            <wp:simplePos x="0" y="0"/>
            <wp:positionH relativeFrom="column">
              <wp:posOffset>2276475</wp:posOffset>
            </wp:positionH>
            <wp:positionV relativeFrom="page">
              <wp:posOffset>8515350</wp:posOffset>
            </wp:positionV>
            <wp:extent cx="2684780" cy="1089660"/>
            <wp:effectExtent l="0" t="0" r="1270" b="0"/>
            <wp:wrapNone/>
            <wp:docPr id="22" name="图片 22" descr="张霞签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张霞签字"/>
                    <pic:cNvPicPr>
                      <a:picLocks noChangeAspect="1"/>
                    </pic:cNvPicPr>
                  </pic:nvPicPr>
                  <pic:blipFill>
                    <a:blip r:embed="rId41"/>
                    <a:srcRect r="6790" b="15092"/>
                    <a:stretch>
                      <a:fillRect/>
                    </a:stretch>
                  </pic:blipFill>
                  <pic:spPr>
                    <a:xfrm>
                      <a:off x="0" y="0"/>
                      <a:ext cx="2684780" cy="1089660"/>
                    </a:xfrm>
                    <a:prstGeom prst="rect">
                      <a:avLst/>
                    </a:prstGeom>
                  </pic:spPr>
                </pic:pic>
              </a:graphicData>
            </a:graphic>
          </wp:anchor>
        </w:drawing>
      </w:r>
      <w:r>
        <w:drawing>
          <wp:inline distT="0" distB="0" distL="0" distR="0">
            <wp:extent cx="5274310" cy="3961130"/>
            <wp:effectExtent l="0" t="0" r="2540" b="1270"/>
            <wp:docPr id="206" name="图片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图片 20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5274310" cy="3961130"/>
                    </a:xfrm>
                    <a:prstGeom prst="rect">
                      <a:avLst/>
                    </a:prstGeom>
                    <a:noFill/>
                    <a:ln>
                      <a:noFill/>
                    </a:ln>
                  </pic:spPr>
                </pic:pic>
              </a:graphicData>
            </a:graphic>
          </wp:inline>
        </w:drawing>
      </w:r>
      <w:bookmarkStart w:id="81" w:name="_GoBack"/>
      <w:bookmarkEnd w:id="81"/>
    </w:p>
    <w:p>
      <w:pPr>
        <w:rPr>
          <w:rFonts w:hint="eastAsia" w:eastAsia="宋体"/>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微软雅黑"/>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等线">
    <w:altName w:val="微软雅黑"/>
    <w:panose1 w:val="00000000000000000000"/>
    <w:charset w:val="86"/>
    <w:family w:val="auto"/>
    <w:pitch w:val="default"/>
    <w:sig w:usb0="00000000" w:usb1="00000000" w:usb2="00000000" w:usb3="00000000" w:csb0="00000000" w:csb1="00000000"/>
  </w:font>
  <w:font w:name="等线">
    <w:altName w:val="微软雅黑"/>
    <w:panose1 w:val="00000000000000000000"/>
    <w:charset w:val="00"/>
    <w:family w:val="auto"/>
    <w:pitch w:val="default"/>
    <w:sig w:usb0="00000000" w:usb1="00000000" w:usb2="00000000" w:usb3="00000000" w:csb0="00000000" w:csb1="00000000"/>
  </w:font>
  <w:font w:name="等线 Light">
    <w:altName w:val="宋体"/>
    <w:panose1 w:val="02010600030101010101"/>
    <w:charset w:val="86"/>
    <w:family w:val="auto"/>
    <w:pitch w:val="default"/>
    <w:sig w:usb0="00000000" w:usb1="00000000"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等线 Light">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419093095"/>
    </w:sdtPr>
    <w:sdtContent>
      <w:p>
        <w:pPr>
          <w:pStyle w:val="8"/>
          <w:jc w:val="center"/>
        </w:pPr>
        <w:r>
          <w:fldChar w:fldCharType="begin"/>
        </w:r>
        <w:r>
          <w:instrText xml:space="preserve">PAGE   \* MERGEFORMAT</w:instrText>
        </w:r>
        <w:r>
          <w:fldChar w:fldCharType="separate"/>
        </w:r>
        <w:r>
          <w:rPr>
            <w:lang w:val="zh-CN"/>
          </w:rPr>
          <w:t>2</w:t>
        </w:r>
        <w: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rFonts w:hint="eastAsia"/>
      </w:rPr>
      <w:t>2</w:t>
    </w:r>
    <w:r>
      <w:t>021</w:t>
    </w:r>
    <w:r>
      <w:rPr>
        <w:rFonts w:hint="eastAsia"/>
      </w:rPr>
      <w:t>年</w:t>
    </w:r>
    <w:r>
      <w:t>5</w:t>
    </w:r>
    <w:r>
      <w:rPr>
        <w:rFonts w:hint="eastAsia"/>
      </w:rPr>
      <w:t>月监管月报</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413E"/>
    <w:rsid w:val="00040109"/>
    <w:rsid w:val="00041DE1"/>
    <w:rsid w:val="00095288"/>
    <w:rsid w:val="0009544B"/>
    <w:rsid w:val="000C0D50"/>
    <w:rsid w:val="00127CAB"/>
    <w:rsid w:val="00173486"/>
    <w:rsid w:val="001F263A"/>
    <w:rsid w:val="002046E0"/>
    <w:rsid w:val="00207264"/>
    <w:rsid w:val="00222DD1"/>
    <w:rsid w:val="002424EF"/>
    <w:rsid w:val="00265BEA"/>
    <w:rsid w:val="002709A0"/>
    <w:rsid w:val="002716AA"/>
    <w:rsid w:val="002B681E"/>
    <w:rsid w:val="002C3E44"/>
    <w:rsid w:val="002D4A1C"/>
    <w:rsid w:val="002E2141"/>
    <w:rsid w:val="002F596B"/>
    <w:rsid w:val="00303F98"/>
    <w:rsid w:val="0032274F"/>
    <w:rsid w:val="00357EB3"/>
    <w:rsid w:val="003A5B35"/>
    <w:rsid w:val="003F5266"/>
    <w:rsid w:val="004269F9"/>
    <w:rsid w:val="00437521"/>
    <w:rsid w:val="004378BC"/>
    <w:rsid w:val="00464D9B"/>
    <w:rsid w:val="004670A4"/>
    <w:rsid w:val="004A699A"/>
    <w:rsid w:val="004B0C68"/>
    <w:rsid w:val="004E3997"/>
    <w:rsid w:val="00516CC0"/>
    <w:rsid w:val="00516E30"/>
    <w:rsid w:val="00520AFA"/>
    <w:rsid w:val="005233E1"/>
    <w:rsid w:val="00540D9C"/>
    <w:rsid w:val="0055582F"/>
    <w:rsid w:val="005746CF"/>
    <w:rsid w:val="005970D4"/>
    <w:rsid w:val="005D21F6"/>
    <w:rsid w:val="005E582C"/>
    <w:rsid w:val="005F450A"/>
    <w:rsid w:val="0061747F"/>
    <w:rsid w:val="00625EA0"/>
    <w:rsid w:val="006324E6"/>
    <w:rsid w:val="00650FF3"/>
    <w:rsid w:val="00676FBD"/>
    <w:rsid w:val="006C3FE1"/>
    <w:rsid w:val="006E75DA"/>
    <w:rsid w:val="00725CA0"/>
    <w:rsid w:val="0072661F"/>
    <w:rsid w:val="007347F3"/>
    <w:rsid w:val="00740E1C"/>
    <w:rsid w:val="0075472B"/>
    <w:rsid w:val="007627E7"/>
    <w:rsid w:val="00773CA7"/>
    <w:rsid w:val="00780296"/>
    <w:rsid w:val="007B0751"/>
    <w:rsid w:val="00857F8B"/>
    <w:rsid w:val="00887E10"/>
    <w:rsid w:val="00904D36"/>
    <w:rsid w:val="009552EA"/>
    <w:rsid w:val="009776AB"/>
    <w:rsid w:val="00982AF6"/>
    <w:rsid w:val="009A289C"/>
    <w:rsid w:val="009A2BF7"/>
    <w:rsid w:val="00A1202E"/>
    <w:rsid w:val="00A125F2"/>
    <w:rsid w:val="00A54C08"/>
    <w:rsid w:val="00A72A03"/>
    <w:rsid w:val="00A8554C"/>
    <w:rsid w:val="00B01E13"/>
    <w:rsid w:val="00B14ED4"/>
    <w:rsid w:val="00B1574A"/>
    <w:rsid w:val="00B20322"/>
    <w:rsid w:val="00B52EC4"/>
    <w:rsid w:val="00B57952"/>
    <w:rsid w:val="00B8005F"/>
    <w:rsid w:val="00BA183C"/>
    <w:rsid w:val="00BA4CF3"/>
    <w:rsid w:val="00BB0A11"/>
    <w:rsid w:val="00BB38F3"/>
    <w:rsid w:val="00BF2259"/>
    <w:rsid w:val="00C25F28"/>
    <w:rsid w:val="00C7619E"/>
    <w:rsid w:val="00CC4C85"/>
    <w:rsid w:val="00CE6822"/>
    <w:rsid w:val="00CE6D81"/>
    <w:rsid w:val="00D07130"/>
    <w:rsid w:val="00D20033"/>
    <w:rsid w:val="00D325CB"/>
    <w:rsid w:val="00D43761"/>
    <w:rsid w:val="00D4413E"/>
    <w:rsid w:val="00D473CC"/>
    <w:rsid w:val="00D81B04"/>
    <w:rsid w:val="00DC0EED"/>
    <w:rsid w:val="00DF0469"/>
    <w:rsid w:val="00E0629F"/>
    <w:rsid w:val="00EA288B"/>
    <w:rsid w:val="00EC03BE"/>
    <w:rsid w:val="00EC0EE7"/>
    <w:rsid w:val="00ED69F5"/>
    <w:rsid w:val="00F006AE"/>
    <w:rsid w:val="00F20CC4"/>
    <w:rsid w:val="00F25A98"/>
    <w:rsid w:val="00F31FFE"/>
    <w:rsid w:val="00FA1906"/>
    <w:rsid w:val="00FE6C0C"/>
    <w:rsid w:val="00FF1BA8"/>
    <w:rsid w:val="0AA8345D"/>
    <w:rsid w:val="14D923EC"/>
    <w:rsid w:val="1BF94C0E"/>
    <w:rsid w:val="322107AE"/>
    <w:rsid w:val="4D1C74A2"/>
    <w:rsid w:val="4E8575F2"/>
    <w:rsid w:val="4F3C6B09"/>
    <w:rsid w:val="51DD6BB5"/>
    <w:rsid w:val="59271254"/>
    <w:rsid w:val="63A7600F"/>
    <w:rsid w:val="643E3490"/>
    <w:rsid w:val="76726DA4"/>
    <w:rsid w:val="768F6FC1"/>
    <w:rsid w:val="7ACC4B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8"/>
    <w:qFormat/>
    <w:uiPriority w:val="0"/>
    <w:pPr>
      <w:keepNext/>
      <w:keepLines/>
      <w:spacing w:before="340" w:after="330" w:line="576" w:lineRule="auto"/>
      <w:outlineLvl w:val="0"/>
    </w:pPr>
    <w:rPr>
      <w:b/>
      <w:kern w:val="44"/>
      <w:sz w:val="44"/>
    </w:rPr>
  </w:style>
  <w:style w:type="paragraph" w:styleId="3">
    <w:name w:val="heading 2"/>
    <w:basedOn w:val="1"/>
    <w:next w:val="1"/>
    <w:link w:val="19"/>
    <w:qFormat/>
    <w:uiPriority w:val="9"/>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21"/>
    <w:unhideWhenUsed/>
    <w:qFormat/>
    <w:uiPriority w:val="9"/>
    <w:pPr>
      <w:keepNext/>
      <w:keepLines/>
      <w:spacing w:before="260" w:after="260" w:line="416" w:lineRule="auto"/>
      <w:outlineLvl w:val="2"/>
    </w:pPr>
    <w:rPr>
      <w:rFonts w:asciiTheme="minorHAnsi" w:hAnsiTheme="minorHAnsi" w:eastAsiaTheme="minorEastAsia" w:cstheme="minorBidi"/>
      <w:b/>
      <w:bCs/>
      <w:sz w:val="32"/>
      <w:szCs w:val="32"/>
    </w:rPr>
  </w:style>
  <w:style w:type="character" w:default="1" w:styleId="14">
    <w:name w:val="Default Paragraph Font"/>
    <w:semiHidden/>
    <w:unhideWhenUsed/>
    <w:qFormat/>
    <w:uiPriority w:val="1"/>
  </w:style>
  <w:style w:type="table" w:default="1" w:styleId="13">
    <w:name w:val="Normal Table"/>
    <w:semiHidden/>
    <w:unhideWhenUsed/>
    <w:uiPriority w:val="99"/>
    <w:tblPr>
      <w:tblCellMar>
        <w:top w:w="0" w:type="dxa"/>
        <w:left w:w="108" w:type="dxa"/>
        <w:bottom w:w="0" w:type="dxa"/>
        <w:right w:w="108" w:type="dxa"/>
      </w:tblCellMar>
    </w:tblPr>
  </w:style>
  <w:style w:type="paragraph" w:styleId="5">
    <w:name w:val="annotation text"/>
    <w:basedOn w:val="1"/>
    <w:semiHidden/>
    <w:unhideWhenUsed/>
    <w:qFormat/>
    <w:uiPriority w:val="99"/>
    <w:pPr>
      <w:jc w:val="left"/>
    </w:pPr>
  </w:style>
  <w:style w:type="paragraph" w:styleId="6">
    <w:name w:val="Body Text"/>
    <w:basedOn w:val="1"/>
    <w:link w:val="22"/>
    <w:semiHidden/>
    <w:unhideWhenUsed/>
    <w:qFormat/>
    <w:uiPriority w:val="99"/>
    <w:pPr>
      <w:spacing w:after="120"/>
    </w:pPr>
  </w:style>
  <w:style w:type="paragraph" w:styleId="7">
    <w:name w:val="toc 3"/>
    <w:basedOn w:val="1"/>
    <w:next w:val="1"/>
    <w:unhideWhenUsed/>
    <w:qFormat/>
    <w:uiPriority w:val="39"/>
    <w:pPr>
      <w:ind w:left="840" w:leftChars="400"/>
    </w:pPr>
  </w:style>
  <w:style w:type="paragraph" w:styleId="8">
    <w:name w:val="footer"/>
    <w:basedOn w:val="1"/>
    <w:link w:val="17"/>
    <w:unhideWhenUsed/>
    <w:qFormat/>
    <w:uiPriority w:val="99"/>
    <w:pPr>
      <w:tabs>
        <w:tab w:val="center" w:pos="4153"/>
        <w:tab w:val="right" w:pos="8306"/>
      </w:tabs>
      <w:snapToGrid w:val="0"/>
      <w:jc w:val="left"/>
    </w:pPr>
    <w:rPr>
      <w:sz w:val="18"/>
      <w:szCs w:val="18"/>
    </w:rPr>
  </w:style>
  <w:style w:type="paragraph" w:styleId="9">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tabs>
        <w:tab w:val="right" w:leader="dot" w:pos="8296"/>
      </w:tabs>
      <w:spacing w:line="360" w:lineRule="auto"/>
      <w:ind w:firstLine="210" w:firstLineChars="100"/>
    </w:pPr>
  </w:style>
  <w:style w:type="paragraph" w:styleId="11">
    <w:name w:val="toc 2"/>
    <w:basedOn w:val="1"/>
    <w:next w:val="1"/>
    <w:unhideWhenUsed/>
    <w:qFormat/>
    <w:uiPriority w:val="39"/>
    <w:pPr>
      <w:tabs>
        <w:tab w:val="right" w:leader="dot" w:pos="8296"/>
      </w:tabs>
      <w:spacing w:line="360" w:lineRule="auto"/>
      <w:jc w:val="center"/>
    </w:pPr>
  </w:style>
  <w:style w:type="paragraph" w:styleId="12">
    <w:name w:val="Body Text First Indent"/>
    <w:basedOn w:val="6"/>
    <w:link w:val="23"/>
    <w:qFormat/>
    <w:uiPriority w:val="0"/>
    <w:pPr>
      <w:ind w:firstLine="420" w:firstLineChars="100"/>
    </w:pPr>
  </w:style>
  <w:style w:type="character" w:styleId="15">
    <w:name w:val="Hyperlink"/>
    <w:basedOn w:val="14"/>
    <w:unhideWhenUsed/>
    <w:qFormat/>
    <w:uiPriority w:val="99"/>
    <w:rPr>
      <w:color w:val="0563C1" w:themeColor="hyperlink"/>
      <w:u w:val="single"/>
      <w14:textFill>
        <w14:solidFill>
          <w14:schemeClr w14:val="hlink"/>
        </w14:solidFill>
      </w14:textFill>
    </w:rPr>
  </w:style>
  <w:style w:type="character" w:customStyle="1" w:styleId="16">
    <w:name w:val="页眉 字符"/>
    <w:basedOn w:val="14"/>
    <w:link w:val="9"/>
    <w:qFormat/>
    <w:uiPriority w:val="99"/>
    <w:rPr>
      <w:sz w:val="18"/>
      <w:szCs w:val="18"/>
    </w:rPr>
  </w:style>
  <w:style w:type="character" w:customStyle="1" w:styleId="17">
    <w:name w:val="页脚 字符"/>
    <w:basedOn w:val="14"/>
    <w:link w:val="8"/>
    <w:qFormat/>
    <w:uiPriority w:val="99"/>
    <w:rPr>
      <w:sz w:val="18"/>
      <w:szCs w:val="18"/>
    </w:rPr>
  </w:style>
  <w:style w:type="character" w:customStyle="1" w:styleId="18">
    <w:name w:val="标题 1 字符"/>
    <w:basedOn w:val="14"/>
    <w:link w:val="2"/>
    <w:qFormat/>
    <w:uiPriority w:val="9"/>
    <w:rPr>
      <w:rFonts w:ascii="Times New Roman" w:hAnsi="Times New Roman" w:eastAsia="宋体" w:cs="Times New Roman"/>
      <w:b/>
      <w:kern w:val="44"/>
      <w:sz w:val="44"/>
      <w:szCs w:val="24"/>
    </w:rPr>
  </w:style>
  <w:style w:type="character" w:customStyle="1" w:styleId="19">
    <w:name w:val="标题 2 字符"/>
    <w:basedOn w:val="14"/>
    <w:link w:val="3"/>
    <w:qFormat/>
    <w:uiPriority w:val="9"/>
    <w:rPr>
      <w:rFonts w:ascii="Arial" w:hAnsi="Arial" w:eastAsia="黑体" w:cs="Times New Roman"/>
      <w:b/>
      <w:bCs/>
      <w:sz w:val="32"/>
      <w:szCs w:val="32"/>
    </w:rPr>
  </w:style>
  <w:style w:type="paragraph" w:customStyle="1" w:styleId="20">
    <w:name w:val="TOC 标题1"/>
    <w:basedOn w:val="2"/>
    <w:next w:val="1"/>
    <w:unhideWhenUsed/>
    <w:qFormat/>
    <w:uiPriority w:val="39"/>
    <w:pPr>
      <w:widowControl/>
      <w:spacing w:before="240" w:after="0" w:line="259" w:lineRule="auto"/>
      <w:jc w:val="left"/>
      <w:outlineLvl w:val="9"/>
    </w:pPr>
    <w:rPr>
      <w:rFonts w:asciiTheme="majorHAnsi" w:hAnsiTheme="majorHAnsi" w:eastAsiaTheme="majorEastAsia" w:cstheme="majorBidi"/>
      <w:b w:val="0"/>
      <w:color w:val="2F5597" w:themeColor="accent1" w:themeShade="BF"/>
      <w:kern w:val="0"/>
      <w:sz w:val="32"/>
      <w:szCs w:val="32"/>
    </w:rPr>
  </w:style>
  <w:style w:type="character" w:customStyle="1" w:styleId="21">
    <w:name w:val="标题 3 字符"/>
    <w:basedOn w:val="14"/>
    <w:link w:val="4"/>
    <w:qFormat/>
    <w:uiPriority w:val="9"/>
    <w:rPr>
      <w:b/>
      <w:bCs/>
      <w:sz w:val="32"/>
      <w:szCs w:val="32"/>
    </w:rPr>
  </w:style>
  <w:style w:type="character" w:customStyle="1" w:styleId="22">
    <w:name w:val="正文文本 字符"/>
    <w:basedOn w:val="14"/>
    <w:link w:val="6"/>
    <w:semiHidden/>
    <w:qFormat/>
    <w:uiPriority w:val="99"/>
    <w:rPr>
      <w:rFonts w:ascii="Times New Roman" w:hAnsi="Times New Roman" w:eastAsia="宋体" w:cs="Times New Roman"/>
      <w:szCs w:val="24"/>
    </w:rPr>
  </w:style>
  <w:style w:type="character" w:customStyle="1" w:styleId="23">
    <w:name w:val="正文文本首行缩进 字符"/>
    <w:basedOn w:val="22"/>
    <w:link w:val="12"/>
    <w:qFormat/>
    <w:uiPriority w:val="0"/>
    <w:rPr>
      <w:rFonts w:ascii="Times New Roman" w:hAnsi="Times New Roman" w:eastAsia="宋体" w:cs="Times New Roman"/>
      <w:szCs w:val="24"/>
    </w:rPr>
  </w:style>
  <w:style w:type="character" w:customStyle="1" w:styleId="24">
    <w:name w:val="标题 1 字符1"/>
    <w:qFormat/>
    <w:uiPriority w:val="9"/>
    <w:rPr>
      <w:rFonts w:ascii="Times New Roman" w:hAnsi="Times New Roman" w:eastAsia="仿宋_GB2312"/>
      <w:b/>
      <w:kern w:val="44"/>
      <w:sz w:val="32"/>
      <w:szCs w:val="22"/>
    </w:rPr>
  </w:style>
  <w:style w:type="paragraph" w:customStyle="1" w:styleId="25">
    <w:name w:val="列出段落2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5" Type="http://schemas.openxmlformats.org/officeDocument/2006/relationships/fontTable" Target="fontTable.xml"/><Relationship Id="rId44" Type="http://schemas.openxmlformats.org/officeDocument/2006/relationships/customXml" Target="../customXml/item2.xml"/><Relationship Id="rId43" Type="http://schemas.openxmlformats.org/officeDocument/2006/relationships/customXml" Target="../customXml/item1.xml"/><Relationship Id="rId42" Type="http://schemas.openxmlformats.org/officeDocument/2006/relationships/image" Target="media/image37.jpeg"/><Relationship Id="rId41" Type="http://schemas.openxmlformats.org/officeDocument/2006/relationships/image" Target="media/image36.png"/><Relationship Id="rId40" Type="http://schemas.openxmlformats.org/officeDocument/2006/relationships/image" Target="media/image35.jpeg"/><Relationship Id="rId4" Type="http://schemas.openxmlformats.org/officeDocument/2006/relationships/footer" Target="footer1.xml"/><Relationship Id="rId39" Type="http://schemas.openxmlformats.org/officeDocument/2006/relationships/image" Target="media/image34.jpeg"/><Relationship Id="rId38" Type="http://schemas.openxmlformats.org/officeDocument/2006/relationships/image" Target="media/image33.jpeg"/><Relationship Id="rId37" Type="http://schemas.openxmlformats.org/officeDocument/2006/relationships/image" Target="media/image32.jpeg"/><Relationship Id="rId36" Type="http://schemas.openxmlformats.org/officeDocument/2006/relationships/image" Target="media/image31.jpeg"/><Relationship Id="rId35" Type="http://schemas.openxmlformats.org/officeDocument/2006/relationships/image" Target="media/image30.jpe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jpe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emf"/><Relationship Id="rId14" Type="http://schemas.openxmlformats.org/officeDocument/2006/relationships/image" Target="media/image9.emf"/><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4B654F3-A9C3-4205-8445-68671934C210}">
  <ds:schemaRefs/>
</ds:datastoreItem>
</file>

<file path=docProps/app.xml><?xml version="1.0" encoding="utf-8"?>
<Properties xmlns="http://schemas.openxmlformats.org/officeDocument/2006/extended-properties" xmlns:vt="http://schemas.openxmlformats.org/officeDocument/2006/docPropsVTypes">
  <Template>Normal.dotm</Template>
  <Pages>49</Pages>
  <Words>15116</Words>
  <Characters>20072</Characters>
  <Lines>171</Lines>
  <Paragraphs>48</Paragraphs>
  <TotalTime>396</TotalTime>
  <ScaleCrop>false</ScaleCrop>
  <LinksUpToDate>false</LinksUpToDate>
  <CharactersWithSpaces>20352</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2021-06-01T10:54:00Z</dcterms:created>
  <dc:creator>xr</dc:creator>
  <cp:lastModifiedBy>郭胜霖</cp:lastModifiedBy>
  <dcterms:modified xsi:type="dcterms:W3CDTF">2021-06-07T12:32:39Z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C4652F82AE2F48FDB1E5AAA86D5BE11C</vt:lpwstr>
  </property>
</Properties>
</file>