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中国民生信托-至信930号重庆奥园特定资产收益权集合资金信托计划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2020年6月</w:t>
      </w:r>
      <w:r>
        <w:rPr>
          <w:rFonts w:hint="eastAsia" w:ascii="Arial" w:hAnsi="Arial" w:cs="Arial"/>
          <w:b/>
          <w:sz w:val="36"/>
          <w:szCs w:val="36"/>
        </w:rPr>
        <w:t>1日-7月1日</w:t>
      </w:r>
      <w:r>
        <w:rPr>
          <w:rFonts w:ascii="Arial" w:hAnsi="Arial" w:cs="Arial"/>
          <w:b/>
          <w:sz w:val="36"/>
          <w:szCs w:val="36"/>
        </w:rPr>
        <w:t>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>
        <w:rPr>
          <w:rFonts w:ascii="Arial" w:hAnsi="Arial" w:cs="Arial"/>
          <w:b/>
          <w:bCs/>
          <w:color w:val="000000"/>
          <w:szCs w:val="28"/>
        </w:rPr>
        <w:t>奥园上海临港项目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中国民生信托有限公司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监管人员：栗红亮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日期：二零二零年七月</w:t>
      </w:r>
      <w:r>
        <w:rPr>
          <w:rFonts w:hint="eastAsia" w:ascii="Arial" w:hAnsi="Arial" w:cs="Arial"/>
          <w:b/>
          <w:color w:val="000000"/>
          <w:szCs w:val="28"/>
        </w:rPr>
        <w:t>六</w:t>
      </w:r>
      <w:r>
        <w:rPr>
          <w:rFonts w:ascii="Arial" w:hAnsi="Arial" w:cs="Arial"/>
          <w:b/>
          <w:color w:val="000000"/>
          <w:szCs w:val="28"/>
        </w:rPr>
        <w:t>日</w:t>
      </w:r>
    </w:p>
    <w:p>
      <w:pPr>
        <w:pStyle w:val="11"/>
        <w:spacing w:before="480" w:after="0" w:line="276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Style w:val="19"/>
          <w:sz w:val="28"/>
        </w:rPr>
        <w:fldChar w:fldCharType="begin"/>
      </w:r>
      <w:r>
        <w:rPr>
          <w:rStyle w:val="19"/>
          <w:rFonts w:ascii="Arial" w:hAnsi="Arial" w:cs="Arial"/>
          <w:sz w:val="28"/>
        </w:rPr>
        <w:instrText xml:space="preserve"> TOC \o "1-3" \h \z \u </w:instrText>
      </w:r>
      <w:r>
        <w:rPr>
          <w:rStyle w:val="19"/>
          <w:sz w:val="28"/>
        </w:rPr>
        <w:fldChar w:fldCharType="separate"/>
      </w: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_Toc13169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_Toc13169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_Toc23097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_Toc23097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_Toc24505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3项目五证办理及工程进度情况</w:t>
      </w:r>
      <w:r>
        <w:tab/>
      </w:r>
      <w:r>
        <w:fldChar w:fldCharType="begin"/>
      </w:r>
      <w:r>
        <w:instrText xml:space="preserve"> PAGEREF _Toc24505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_Toc6115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_Toc6115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_Toc13018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_Toc13018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_Toc32577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6项目竞品分析</w:t>
      </w:r>
      <w:r>
        <w:tab/>
      </w:r>
      <w:r>
        <w:fldChar w:fldCharType="begin"/>
      </w:r>
      <w:r>
        <w:instrText xml:space="preserve"> PAGEREF _Toc32577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_Toc19221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ajorEastAsia"/>
          <w:szCs w:val="24"/>
        </w:rPr>
        <w:t>7资金情况</w:t>
      </w:r>
      <w:r>
        <w:tab/>
      </w:r>
      <w:r>
        <w:fldChar w:fldCharType="begin"/>
      </w:r>
      <w:r>
        <w:instrText xml:space="preserve"> PAGEREF _Toc19221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_Toc31155 </w:instrText>
      </w:r>
      <w:r>
        <w:rPr>
          <w:rFonts w:ascii="Arial" w:hAnsi="Arial" w:cs="Arial"/>
        </w:rPr>
        <w:fldChar w:fldCharType="separate"/>
      </w:r>
      <w:r>
        <w:rPr>
          <w:rFonts w:cs="Arial" w:eastAsiaTheme="majorEastAsia"/>
        </w:rPr>
        <w:t>7.1各账户余额</w:t>
      </w:r>
      <w:r>
        <w:tab/>
      </w:r>
      <w:r>
        <w:fldChar w:fldCharType="begin"/>
      </w:r>
      <w:r>
        <w:instrText xml:space="preserve"> PAGEREF _Toc31155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_Toc2044 </w:instrText>
      </w:r>
      <w:r>
        <w:rPr>
          <w:rFonts w:ascii="Arial" w:hAnsi="Arial" w:cs="Arial"/>
        </w:rPr>
        <w:fldChar w:fldCharType="separate"/>
      </w:r>
      <w:r>
        <w:rPr>
          <w:rFonts w:cs="Arial" w:eastAsiaTheme="majorEastAsia"/>
        </w:rPr>
        <w:t>7.2资金执行情况</w:t>
      </w:r>
      <w:r>
        <w:tab/>
      </w:r>
      <w:r>
        <w:fldChar w:fldCharType="begin"/>
      </w:r>
      <w:r>
        <w:instrText xml:space="preserve"> PAGEREF _Toc2044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_Toc23910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附件一</w:t>
      </w:r>
      <w:r>
        <w:rPr>
          <w:rFonts w:hint="eastAsia" w:ascii="Arial" w:hAnsi="Arial" w:cs="Arial"/>
          <w:bCs w:val="0"/>
        </w:rPr>
        <w:t xml:space="preserve"> </w:t>
      </w:r>
      <w:r>
        <w:rPr>
          <w:rFonts w:ascii="Arial" w:hAnsi="Arial" w:cs="Arial"/>
          <w:bCs w:val="0"/>
        </w:rPr>
        <w:t>撤场资料交接清单</w:t>
      </w:r>
      <w:r>
        <w:tab/>
      </w:r>
      <w:r>
        <w:fldChar w:fldCharType="begin"/>
      </w:r>
      <w:r>
        <w:instrText xml:space="preserve"> PAGEREF _Toc23910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_Toc12361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附件二 共管物品使用登记簿</w:t>
      </w:r>
      <w:r>
        <w:tab/>
      </w:r>
      <w:r>
        <w:fldChar w:fldCharType="begin"/>
      </w:r>
      <w:r>
        <w:instrText xml:space="preserve"> PAGEREF _Toc12361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_Toc616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附件三 标的项目地块总图（暂定）</w:t>
      </w:r>
      <w:r>
        <w:tab/>
      </w:r>
      <w:r>
        <w:fldChar w:fldCharType="begin"/>
      </w:r>
      <w:r>
        <w:instrText xml:space="preserve"> PAGEREF _Toc616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_Toc7977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附件四 银企余额对账单</w:t>
      </w:r>
      <w:r>
        <w:tab/>
      </w:r>
      <w:r>
        <w:fldChar w:fldCharType="begin"/>
      </w:r>
      <w:r>
        <w:instrText xml:space="preserve"> PAGEREF _Toc7977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_Toc30013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附件五 银企明细对账单</w:t>
      </w:r>
      <w:r>
        <w:tab/>
      </w:r>
      <w:r>
        <w:fldChar w:fldCharType="begin"/>
      </w:r>
      <w:r>
        <w:instrText xml:space="preserve"> PAGEREF _Toc30013 </w:instrText>
      </w:r>
      <w:r>
        <w:fldChar w:fldCharType="separate"/>
      </w:r>
      <w:r>
        <w:t>13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8973"/>
          <w:tab w:val="clear" w:pos="8302"/>
        </w:tabs>
        <w:rPr>
          <w:rFonts w:ascii="Arial" w:hAnsi="Arial" w:cs="Arial"/>
        </w:rPr>
      </w:pPr>
      <w:r>
        <w:rPr>
          <w:rFonts w:ascii="Arial" w:hAnsi="Arial" w:cs="Arial"/>
          <w:color w:val="000000"/>
        </w:rPr>
        <w:fldChar w:fldCharType="end"/>
      </w:r>
      <w:bookmarkStart w:id="0" w:name="_Toc373309848"/>
    </w:p>
    <w:p>
      <w:pPr>
        <w:rPr>
          <w:rFonts w:ascii="Arial" w:hAnsi="Arial" w:cs="Arial"/>
        </w:rPr>
      </w:pPr>
    </w:p>
    <w:p>
      <w:pPr>
        <w:pStyle w:val="11"/>
        <w:rPr>
          <w:rFonts w:ascii="Arial" w:hAnsi="Arial" w:cs="Arial" w:eastAsiaTheme="minorEastAsia"/>
          <w:kern w:val="2"/>
          <w:sz w:val="21"/>
        </w:rPr>
      </w:pPr>
    </w:p>
    <w:p>
      <w:pPr>
        <w:pStyle w:val="29"/>
        <w:keepNext w:val="0"/>
        <w:keepLines w:val="0"/>
        <w:widowControl w:val="0"/>
        <w:spacing w:line="360" w:lineRule="auto"/>
        <w:rPr>
          <w:rFonts w:ascii="Arial" w:hAnsi="Arial" w:cs="Arial"/>
          <w:color w:val="000000"/>
          <w:sz w:val="21"/>
        </w:rPr>
      </w:pPr>
    </w:p>
    <w:p>
      <w:pPr>
        <w:pStyle w:val="29"/>
        <w:keepNext w:val="0"/>
        <w:keepLines w:val="0"/>
        <w:widowControl w:val="0"/>
        <w:spacing w:line="360" w:lineRule="auto"/>
        <w:ind w:firstLine="527" w:firstLineChars="250"/>
        <w:rPr>
          <w:rFonts w:ascii="Arial" w:hAnsi="Arial" w:cs="Arial"/>
          <w:color w:val="000000"/>
          <w:sz w:val="21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5273"/>
        </w:tabs>
        <w:rPr>
          <w:rFonts w:ascii="Arial" w:hAnsi="Arial" w:cs="Arial"/>
        </w:rPr>
        <w:sectPr>
          <w:footerReference r:id="rId3" w:type="default"/>
          <w:type w:val="continuous"/>
          <w:pgSz w:w="11906" w:h="16838"/>
          <w:pgMar w:top="1440" w:right="1133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9"/>
        <w:keepNext w:val="0"/>
        <w:keepLines w:val="0"/>
        <w:widowControl w:val="0"/>
        <w:spacing w:line="360" w:lineRule="auto"/>
        <w:ind w:firstLine="525" w:firstLineChars="2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为了方便阅读，本报告中将部分企业名称简写为</w:t>
      </w:r>
      <w:r>
        <w:rPr>
          <w:rFonts w:ascii="Arial" w:hAnsi="Arial" w:cs="Arial"/>
          <w:b w:val="0"/>
          <w:bCs w:val="0"/>
          <w:kern w:val="44"/>
          <w:sz w:val="21"/>
          <w:szCs w:val="21"/>
        </w:rPr>
        <w:t>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·项目公司：上海奥港置业有限公司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·民生信托：</w:t>
      </w:r>
      <w:r>
        <w:rPr>
          <w:rFonts w:ascii="Arial" w:hAnsi="Arial" w:cs="Arial"/>
          <w:szCs w:val="21"/>
        </w:rPr>
        <w:t>中国民生信托有限公司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·康信资管：</w:t>
      </w:r>
      <w:bookmarkStart w:id="1" w:name="_Toc535508633"/>
      <w:bookmarkStart w:id="2" w:name="_Toc532281654"/>
      <w:bookmarkStart w:id="3" w:name="_Toc535580086"/>
      <w:bookmarkStart w:id="4" w:name="_Toc535580018"/>
      <w:bookmarkStart w:id="5" w:name="_Toc535570745"/>
      <w:r>
        <w:rPr>
          <w:rFonts w:ascii="Arial" w:hAnsi="Arial" w:cs="Arial"/>
          <w:szCs w:val="21"/>
        </w:rPr>
        <w:t>北京康信君安资产管理有限公司</w:t>
      </w:r>
    </w:p>
    <w:p>
      <w:pPr>
        <w:pStyle w:val="2"/>
        <w:keepNext w:val="0"/>
        <w:keepLines w:val="0"/>
        <w:spacing w:before="480" w:after="360" w:line="360" w:lineRule="exact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6" w:name="_Toc15460"/>
      <w:bookmarkStart w:id="7" w:name="_Toc13169"/>
      <w:bookmarkStart w:id="8" w:name="_Toc28275"/>
      <w:bookmarkStart w:id="9" w:name="_Toc34295139"/>
      <w:r>
        <w:rPr>
          <w:rFonts w:ascii="Arial" w:hAnsi="Arial" w:cs="Arial" w:eastAsiaTheme="majorEastAsia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drawing>
          <wp:inline distT="0" distB="0" distL="0" distR="0">
            <wp:extent cx="5972175" cy="2920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8409" cy="292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240" w:beforeLines="10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标的项目为上海临港项目，位于上海市浦东新区鸿音路西侧，东至鸿音路绿化带，南至云端路（D41路）绿化带，西至蓄芳路，北至长空路（D4路）绿化带。标的项目总用地面积56</w:t>
      </w:r>
      <w:r>
        <w:rPr>
          <w:rFonts w:ascii="Arial" w:hAnsi="Arial" w:cs="Arial"/>
        </w:rPr>
        <w:t>,</w:t>
      </w:r>
      <w:r>
        <w:rPr>
          <w:rFonts w:ascii="Arial" w:hAnsi="Arial" w:cs="Arial"/>
          <w:bCs/>
          <w:kern w:val="44"/>
          <w:szCs w:val="21"/>
        </w:rPr>
        <w:t>943.40平方米，规划总建筑面积为231</w:t>
      </w:r>
      <w:r>
        <w:rPr>
          <w:rFonts w:ascii="Arial" w:hAnsi="Arial" w:cs="Arial"/>
        </w:rPr>
        <w:t>,</w:t>
      </w:r>
      <w:r>
        <w:rPr>
          <w:rFonts w:ascii="Arial" w:hAnsi="Arial" w:cs="Arial"/>
          <w:bCs/>
          <w:kern w:val="44"/>
          <w:szCs w:val="21"/>
        </w:rPr>
        <w:t>358.50平方米，规划用途为居住用地和商业用地，容积率≤2.5，绿地率≥35%。根据地块挂牌公告，宗地出让年限为：商业用地40年，住宅用地70年。</w:t>
      </w: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ascii="Arial" w:hAnsi="Arial" w:cs="Arial"/>
          <w:bCs/>
          <w:kern w:val="44"/>
          <w:szCs w:val="21"/>
        </w:rPr>
        <w:t>6月24日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该地块</w:t>
      </w:r>
      <w:r>
        <w:rPr>
          <w:rFonts w:hint="eastAsia" w:ascii="Arial" w:hAnsi="Arial" w:cs="Arial"/>
          <w:bCs/>
          <w:kern w:val="44"/>
          <w:szCs w:val="21"/>
        </w:rPr>
        <w:t>由万达地产集团有限公司以8</w:t>
      </w:r>
      <w:r>
        <w:rPr>
          <w:rFonts w:ascii="Arial" w:hAnsi="Arial" w:cs="Arial"/>
          <w:bCs/>
          <w:kern w:val="44"/>
          <w:szCs w:val="21"/>
        </w:rPr>
        <w:t>1,000万元</w:t>
      </w:r>
      <w:r>
        <w:rPr>
          <w:rFonts w:hint="eastAsia" w:ascii="Arial" w:hAnsi="Arial" w:cs="Arial"/>
          <w:bCs/>
          <w:kern w:val="44"/>
          <w:szCs w:val="21"/>
        </w:rPr>
        <w:t>拍下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pStyle w:val="2"/>
        <w:keepNext w:val="0"/>
        <w:keepLines w:val="0"/>
        <w:spacing w:after="240" w:line="480" w:lineRule="auto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10" w:name="_Toc535580021"/>
      <w:bookmarkStart w:id="11" w:name="_Toc532281655"/>
      <w:bookmarkStart w:id="12" w:name="_Toc535570748"/>
      <w:bookmarkStart w:id="13" w:name="_Toc535508634"/>
      <w:bookmarkStart w:id="14" w:name="_Toc34295140"/>
      <w:bookmarkStart w:id="15" w:name="_Toc23097"/>
      <w:bookmarkStart w:id="16" w:name="_Toc535580089"/>
      <w:bookmarkStart w:id="17" w:name="_Toc31989"/>
      <w:bookmarkStart w:id="18" w:name="_Toc20936"/>
      <w:r>
        <w:rPr>
          <w:rFonts w:ascii="Arial" w:hAnsi="Arial" w:cs="Arial" w:eastAsiaTheme="majorEastAsia"/>
          <w:color w:val="000000"/>
          <w:sz w:val="24"/>
          <w:szCs w:val="24"/>
        </w:rPr>
        <w:t>2重大事件披露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>
      <w:pPr>
        <w:spacing w:line="480" w:lineRule="auto"/>
        <w:ind w:firstLine="420" w:firstLineChars="200"/>
        <w:rPr>
          <w:rFonts w:ascii="Tahoma" w:hAnsi="Tahoma" w:cs="Tahoma"/>
          <w:color w:val="535353"/>
          <w:szCs w:val="21"/>
          <w:shd w:val="clear" w:color="auto" w:fill="FFFFFF"/>
        </w:rPr>
      </w:pPr>
      <w:r>
        <w:rPr>
          <w:rFonts w:ascii="Arial" w:hAnsi="Arial" w:cs="Arial"/>
          <w:bCs/>
          <w:kern w:val="44"/>
          <w:szCs w:val="21"/>
        </w:rPr>
        <w:t>1、2020年6月9日，项目公司支付临港重装备产业区H23-01地块竞拍保证金</w:t>
      </w:r>
      <w:r>
        <w:rPr>
          <w:rFonts w:ascii="Tahoma" w:hAnsi="Tahoma" w:cs="Tahoma"/>
          <w:color w:val="535353"/>
          <w:szCs w:val="21"/>
          <w:shd w:val="clear" w:color="auto" w:fill="FFFFFF"/>
        </w:rPr>
        <w:t>146,650,000.00元</w:t>
      </w:r>
      <w:r>
        <w:rPr>
          <w:rFonts w:hint="eastAsia" w:ascii="Tahoma" w:hAnsi="Tahoma" w:cs="Tahoma"/>
          <w:color w:val="535353"/>
          <w:szCs w:val="21"/>
          <w:shd w:val="clear" w:color="auto" w:fill="FFFFFF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2、2020年6月17日，项目公司支付民生信托借款二季度利息</w:t>
      </w:r>
      <w:r>
        <w:rPr>
          <w:rFonts w:hint="eastAsia" w:ascii="微软雅黑" w:hAnsi="微软雅黑" w:eastAsia="微软雅黑"/>
          <w:color w:val="000000"/>
          <w:szCs w:val="21"/>
          <w:shd w:val="clear" w:color="auto" w:fill="FFFFFF"/>
        </w:rPr>
        <w:t>1,488,055.89</w:t>
      </w:r>
      <w:r>
        <w:rPr>
          <w:rFonts w:hint="eastAsia" w:ascii="Arial" w:hAnsi="Arial" w:cs="Arial"/>
          <w:bCs/>
          <w:kern w:val="44"/>
          <w:szCs w:val="21"/>
        </w:rPr>
        <w:t>元；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3、2020年6月24日，</w:t>
      </w:r>
      <w:r>
        <w:rPr>
          <w:rFonts w:hint="eastAsia" w:ascii="Arial" w:hAnsi="Arial" w:cs="Arial"/>
          <w:bCs/>
          <w:kern w:val="44"/>
          <w:szCs w:val="21"/>
        </w:rPr>
        <w:t>项目公司参与临港重装备产业区H23-01地块竞拍失败，将土地竞拍资金813,210,000.00元转回奥园集团重庆置业有限公司账户；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4、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6月3</w:t>
      </w:r>
      <w:r>
        <w:rPr>
          <w:rFonts w:ascii="Arial" w:hAnsi="Arial" w:cs="Arial"/>
          <w:bCs/>
          <w:kern w:val="44"/>
          <w:szCs w:val="21"/>
        </w:rPr>
        <w:t>0日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因未竞得临港重装备产业区H23-01地块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项目公司将土地竞拍资金</w:t>
      </w:r>
      <w:r>
        <w:rPr>
          <w:rFonts w:ascii="微软雅黑" w:hAnsi="微软雅黑" w:eastAsia="微软雅黑"/>
          <w:color w:val="000000"/>
          <w:szCs w:val="21"/>
          <w:shd w:val="clear" w:color="auto" w:fill="FFFFFF"/>
        </w:rPr>
        <w:t>146,650,000.00</w:t>
      </w:r>
      <w:r>
        <w:rPr>
          <w:rFonts w:hint="eastAsia" w:ascii="Arial" w:hAnsi="Arial" w:cs="Arial"/>
          <w:bCs/>
          <w:kern w:val="44"/>
          <w:szCs w:val="21"/>
        </w:rPr>
        <w:t>元转回奥园集团重庆置业有限公司账户；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5、2020年7月1日，应民生信托通知，康信资管与项目公司完成监管退场交接工作，退场交接清单详见附件一。</w:t>
      </w:r>
    </w:p>
    <w:bookmarkEnd w:id="0"/>
    <w:p>
      <w:pPr>
        <w:pStyle w:val="2"/>
        <w:keepNext w:val="0"/>
        <w:keepLines w:val="0"/>
        <w:spacing w:after="240" w:line="480" w:lineRule="auto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19" w:name="_Toc34295141"/>
      <w:bookmarkStart w:id="20" w:name="_Toc24505"/>
      <w:bookmarkStart w:id="21" w:name="_Toc532281656"/>
      <w:bookmarkStart w:id="22" w:name="_Toc6968"/>
      <w:bookmarkStart w:id="23" w:name="_Toc26547"/>
      <w:bookmarkStart w:id="24" w:name="_Toc535580090"/>
      <w:bookmarkStart w:id="25" w:name="_Toc535508635"/>
      <w:bookmarkStart w:id="26" w:name="_Toc535580022"/>
      <w:bookmarkStart w:id="27" w:name="_Toc535570749"/>
      <w:r>
        <w:rPr>
          <w:rFonts w:ascii="Arial" w:hAnsi="Arial" w:cs="Arial" w:eastAsiaTheme="majorEastAsia"/>
          <w:color w:val="000000"/>
          <w:sz w:val="24"/>
          <w:szCs w:val="24"/>
        </w:rPr>
        <w:t>3项目五证办理及工程进度情况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pPr>
        <w:spacing w:after="120" w:afterLines="5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项目公司五证办理进度情况如下：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1"/>
        <w:gridCol w:w="4079"/>
        <w:gridCol w:w="1831"/>
        <w:gridCol w:w="1178"/>
        <w:gridCol w:w="1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3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计划办理时间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2020/7/28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2020/6/24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2020/9/6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建筑工程施工许可证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2020/10/3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407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7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2021/6/17</w:t>
            </w:r>
          </w:p>
        </w:tc>
      </w:tr>
    </w:tbl>
    <w:p>
      <w:pPr>
        <w:spacing w:before="120" w:beforeLines="50" w:line="480" w:lineRule="auto"/>
        <w:ind w:firstLine="840" w:firstLineChars="400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2020年6月期间项目公司未新增其他项目证照。</w:t>
      </w:r>
    </w:p>
    <w:p>
      <w:pPr>
        <w:pStyle w:val="2"/>
        <w:keepNext w:val="0"/>
        <w:keepLines w:val="0"/>
        <w:spacing w:after="240" w:line="480" w:lineRule="auto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28" w:name="_Toc34295144"/>
      <w:bookmarkStart w:id="29" w:name="_Toc27404"/>
      <w:bookmarkStart w:id="30" w:name="_Toc29844"/>
      <w:bookmarkStart w:id="31" w:name="_Toc6115"/>
      <w:bookmarkStart w:id="32" w:name="_Toc535580026"/>
      <w:bookmarkStart w:id="33" w:name="_Toc532281660"/>
      <w:bookmarkStart w:id="34" w:name="_Toc535580094"/>
      <w:bookmarkStart w:id="35" w:name="_Toc535508639"/>
      <w:bookmarkStart w:id="36" w:name="_Toc535570753"/>
      <w:r>
        <w:rPr>
          <w:rFonts w:ascii="Arial" w:hAnsi="Arial" w:cs="Arial" w:eastAsiaTheme="majorEastAsia"/>
          <w:color w:val="000000"/>
          <w:sz w:val="24"/>
          <w:szCs w:val="24"/>
        </w:rPr>
        <w:t>4印鉴使用情况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民生信托有关人员提交用印申请，待民生信托有关人员批复后方给予盖章。2020年6月</w:t>
      </w:r>
      <w:r>
        <w:rPr>
          <w:rFonts w:hint="eastAsia" w:ascii="Arial" w:hAnsi="Arial" w:cs="Arial"/>
          <w:bCs/>
          <w:kern w:val="44"/>
          <w:szCs w:val="21"/>
        </w:rPr>
        <w:t>1日-</w:t>
      </w:r>
      <w:r>
        <w:rPr>
          <w:rFonts w:ascii="Arial" w:hAnsi="Arial" w:cs="Arial"/>
          <w:bCs/>
          <w:kern w:val="44"/>
          <w:szCs w:val="21"/>
        </w:rPr>
        <w:t>7月</w:t>
      </w:r>
      <w:r>
        <w:rPr>
          <w:rFonts w:hint="eastAsia" w:ascii="Arial" w:hAnsi="Arial" w:cs="Arial"/>
          <w:bCs/>
          <w:kern w:val="44"/>
          <w:szCs w:val="21"/>
        </w:rPr>
        <w:t>1日</w:t>
      </w:r>
      <w:r>
        <w:rPr>
          <w:rFonts w:ascii="Arial" w:hAnsi="Arial" w:cs="Arial"/>
          <w:bCs/>
          <w:kern w:val="44"/>
          <w:szCs w:val="21"/>
        </w:rPr>
        <w:t>印鉴使用情况如下：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  <w:bookmarkStart w:id="90" w:name="_GoBack"/>
      <w:bookmarkEnd w:id="90"/>
    </w:p>
    <w:p>
      <w:pPr>
        <w:spacing w:before="240" w:beforeLines="100" w:after="240" w:after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2020年6月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1日-</w:t>
      </w:r>
      <w:r>
        <w:rPr>
          <w:rFonts w:ascii="Arial" w:hAnsi="Arial" w:cs="Arial"/>
          <w:b/>
          <w:color w:val="000000"/>
          <w:sz w:val="24"/>
          <w:szCs w:val="28"/>
        </w:rPr>
        <w:t>7月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5"/>
        <w:tblW w:w="94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1222"/>
        <w:gridCol w:w="1537"/>
        <w:gridCol w:w="2344"/>
        <w:gridCol w:w="1134"/>
        <w:gridCol w:w="851"/>
        <w:gridCol w:w="992"/>
        <w:gridCol w:w="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tblHeader/>
          <w:jc w:val="center"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2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53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34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79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2020/6/3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临港地块招拍挂材料用印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住房用地交易资金来源情况申报表1份、商品住房用地交易资金来源情况补充申报及承诺2份、承诺书（独立投标/竞买）3份、上海市土地交易市场现场交易活动竞价委托书2份、法人及经办人身份证3份、营业执照正副本1份、授权委托书2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公章(17) 法人章(17)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迟绍祥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验资业务银行询证函用印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验资业务银行询证函1份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公章（1）法人章（1）财务章（1）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王铖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不动产估价委托合同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不动产估价委托合同2份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公章（2）法人章（2）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临港地块招拍挂材料用印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商品住房用地交易资金银行监管协议3份、商品住房用地交易资金使用承诺2份、商品住房用地交易资金来源情况申报表、商品住房用地交易资金来源情况补充申报及承诺2份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公章（6）法人章（6）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迟绍祥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临港地块招拍挂材料用印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国有建设用地使用权竞买[投标]申请表2份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公章（2）法人章（2）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迟绍祥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企业登记代理协议用印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企业登记代理协议2份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公章（2）法人章（2）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胡明月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未竞得[未中标]通知书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未竞得[未中标]通知书1份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公章（1）法人章（1）财务章（1）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办理电子印章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电子印章申请表1份，法人身份证复印件1份，数字证书申请表1份。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公章（3）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胡明月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numPr>
                <w:ilvl w:val="0"/>
                <w:numId w:val="1"/>
              </w:numPr>
              <w:ind w:firstLineChars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CAIC中国房地产信息服务合同</w:t>
            </w:r>
          </w:p>
        </w:tc>
        <w:tc>
          <w:tcPr>
            <w:tcW w:w="2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CAIC中国房地产信息服务合同4份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公章（4）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郭雪霏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80" w:firstLineChars="10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ind w:firstLine="180" w:firstLineChars="100"/>
        <w:rPr>
          <w:rFonts w:ascii="Arial" w:hAnsi="Arial" w:cs="Arial"/>
          <w:color w:val="000000"/>
          <w:sz w:val="18"/>
          <w:szCs w:val="18"/>
        </w:rPr>
      </w:pPr>
      <w:bookmarkStart w:id="37" w:name="_Toc411430359"/>
      <w:bookmarkStart w:id="38" w:name="_Toc373309851"/>
    </w:p>
    <w:p>
      <w:pPr>
        <w:spacing w:before="240" w:beforeLines="100" w:after="240" w:after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2020年6月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1日-</w:t>
      </w:r>
      <w:r>
        <w:rPr>
          <w:rFonts w:ascii="Arial" w:hAnsi="Arial" w:cs="Arial"/>
          <w:b/>
          <w:color w:val="000000"/>
          <w:sz w:val="24"/>
          <w:szCs w:val="28"/>
        </w:rPr>
        <w:t>7月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</w:t>
      </w:r>
      <w:r>
        <w:rPr>
          <w:rFonts w:ascii="Arial" w:hAnsi="Arial" w:cs="Arial"/>
          <w:b/>
          <w:color w:val="000000"/>
          <w:sz w:val="24"/>
          <w:szCs w:val="28"/>
        </w:rPr>
        <w:t>印鉴外出情况表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365"/>
        <w:gridCol w:w="1366"/>
        <w:gridCol w:w="1366"/>
        <w:gridCol w:w="1366"/>
        <w:gridCol w:w="1366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用印依据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5" w:type="dxa"/>
            <w:vAlign w:val="center"/>
          </w:tcPr>
          <w:p>
            <w:pPr>
              <w:pStyle w:val="28"/>
              <w:ind w:left="420" w:firstLine="180" w:firstLineChars="10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竞拍临港地块监管账户补充预留印鉴卡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13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5" w:type="dxa"/>
            <w:vAlign w:val="center"/>
          </w:tcPr>
          <w:p>
            <w:pPr>
              <w:pStyle w:val="28"/>
              <w:ind w:left="420" w:firstLine="180" w:firstLineChars="10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领取临港地块监管账户网银盾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13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5" w:type="dxa"/>
            <w:vAlign w:val="center"/>
          </w:tcPr>
          <w:p>
            <w:pPr>
              <w:pStyle w:val="28"/>
              <w:ind w:left="420" w:firstLine="180" w:firstLineChars="10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监管账户资金土地竞拍前冻结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公章、财务章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13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5" w:type="dxa"/>
            <w:vAlign w:val="center"/>
          </w:tcPr>
          <w:p>
            <w:pPr>
              <w:pStyle w:val="28"/>
              <w:ind w:left="420" w:firstLine="180" w:firstLineChars="10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办理银企直联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郑笑笑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信托邮件审批</w:t>
            </w:r>
          </w:p>
        </w:tc>
        <w:tc>
          <w:tcPr>
            <w:tcW w:w="13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after="240" w:line="480" w:lineRule="auto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39" w:name="_Toc9175"/>
      <w:bookmarkStart w:id="40" w:name="_Toc13018"/>
      <w:bookmarkStart w:id="41" w:name="_Toc12114"/>
      <w:r>
        <w:rPr>
          <w:rFonts w:ascii="Arial" w:hAnsi="Arial" w:cs="Arial" w:eastAsiaTheme="majorEastAsia"/>
          <w:color w:val="000000"/>
          <w:sz w:val="24"/>
          <w:szCs w:val="24"/>
        </w:rPr>
        <w:t>5合同签订情况</w:t>
      </w:r>
      <w:bookmarkEnd w:id="39"/>
      <w:bookmarkEnd w:id="40"/>
      <w:bookmarkEnd w:id="41"/>
    </w:p>
    <w:p>
      <w:pPr>
        <w:spacing w:before="240" w:beforeLines="10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2020年6月</w:t>
      </w:r>
      <w:r>
        <w:rPr>
          <w:rFonts w:hint="eastAsia" w:ascii="Arial" w:hAnsi="Arial" w:cs="Arial"/>
          <w:bCs/>
          <w:kern w:val="44"/>
          <w:szCs w:val="21"/>
        </w:rPr>
        <w:t>1日-</w:t>
      </w:r>
      <w:r>
        <w:rPr>
          <w:rFonts w:ascii="Arial" w:hAnsi="Arial" w:cs="Arial"/>
          <w:bCs/>
          <w:kern w:val="44"/>
          <w:szCs w:val="21"/>
        </w:rPr>
        <w:t>7月</w:t>
      </w:r>
      <w:r>
        <w:rPr>
          <w:rFonts w:hint="eastAsia" w:ascii="Arial" w:hAnsi="Arial" w:cs="Arial"/>
          <w:bCs/>
          <w:kern w:val="44"/>
          <w:szCs w:val="21"/>
        </w:rPr>
        <w:t>1日</w:t>
      </w:r>
      <w:r>
        <w:rPr>
          <w:rFonts w:ascii="Arial" w:hAnsi="Arial" w:cs="Arial"/>
          <w:bCs/>
          <w:kern w:val="44"/>
          <w:szCs w:val="21"/>
        </w:rPr>
        <w:t>期间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项目公司共计签订合同</w:t>
      </w:r>
      <w:r>
        <w:rPr>
          <w:rFonts w:ascii="Arial" w:hAnsi="Arial" w:cs="Arial"/>
          <w:bCs/>
          <w:kern w:val="44"/>
          <w:szCs w:val="21"/>
          <w:shd w:val="clear" w:color="auto" w:fill="FFFFFF"/>
        </w:rPr>
        <w:t>3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详见合同签订情况表：</w:t>
      </w:r>
    </w:p>
    <w:p>
      <w:pPr>
        <w:spacing w:before="240" w:beforeLines="100" w:after="240" w:after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2020年6月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1日-</w:t>
      </w:r>
      <w:r>
        <w:rPr>
          <w:rFonts w:ascii="Arial" w:hAnsi="Arial" w:cs="Arial"/>
          <w:b/>
          <w:color w:val="000000"/>
          <w:sz w:val="24"/>
          <w:szCs w:val="28"/>
        </w:rPr>
        <w:t>7月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</w:t>
      </w:r>
      <w:r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p>
      <w:pPr>
        <w:spacing w:before="240" w:beforeLines="10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</w:t>
      </w:r>
    </w:p>
    <w:tbl>
      <w:tblPr>
        <w:tblStyle w:val="15"/>
        <w:tblW w:w="1018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683"/>
        <w:gridCol w:w="1970"/>
        <w:gridCol w:w="2126"/>
        <w:gridCol w:w="1536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</w:trPr>
        <w:tc>
          <w:tcPr>
            <w:tcW w:w="60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7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53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602" w:type="dxa"/>
            <w:vAlign w:val="center"/>
          </w:tcPr>
          <w:p>
            <w:pPr>
              <w:pStyle w:val="28"/>
              <w:widowControl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北京康正宏基房地产评估有限公司</w:t>
            </w:r>
          </w:p>
        </w:tc>
        <w:tc>
          <w:tcPr>
            <w:tcW w:w="1970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不动产估价委托合同</w:t>
            </w:r>
          </w:p>
        </w:tc>
        <w:tc>
          <w:tcPr>
            <w:tcW w:w="212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估价项目：上海浦东新区鸿音路西侧临港新区综合体项目1宗住宅、商业用地出让国有建设用地使用权</w:t>
            </w:r>
          </w:p>
        </w:tc>
        <w:tc>
          <w:tcPr>
            <w:tcW w:w="153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130,000.00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</w:rPr>
              <w:t>6/8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2020/6/8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602" w:type="dxa"/>
            <w:vAlign w:val="center"/>
          </w:tcPr>
          <w:p>
            <w:pPr>
              <w:pStyle w:val="28"/>
              <w:widowControl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上海涌擎企业管理咨询有限公司</w:t>
            </w:r>
          </w:p>
        </w:tc>
        <w:tc>
          <w:tcPr>
            <w:tcW w:w="1970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企业登记代理协议</w:t>
            </w:r>
          </w:p>
        </w:tc>
        <w:tc>
          <w:tcPr>
            <w:tcW w:w="212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乙方负责代理上海奥港置业有限公司名称疑难字号登记事宜</w:t>
            </w:r>
          </w:p>
        </w:tc>
        <w:tc>
          <w:tcPr>
            <w:tcW w:w="153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20,000.00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</w:rPr>
              <w:t>6/11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2020/6/11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602" w:type="dxa"/>
            <w:vAlign w:val="center"/>
          </w:tcPr>
          <w:p>
            <w:pPr>
              <w:pStyle w:val="28"/>
              <w:widowControl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上海楼壹信息技术有限公司</w:t>
            </w:r>
          </w:p>
        </w:tc>
        <w:tc>
          <w:tcPr>
            <w:tcW w:w="1970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CAIC中国房地产信息服务合同</w:t>
            </w:r>
          </w:p>
        </w:tc>
        <w:tc>
          <w:tcPr>
            <w:tcW w:w="212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乙方为项目提供融退方案服务</w:t>
            </w:r>
          </w:p>
        </w:tc>
        <w:tc>
          <w:tcPr>
            <w:tcW w:w="1536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50,000.00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2020/6/30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</w:t>
            </w:r>
          </w:p>
        </w:tc>
      </w:tr>
    </w:tbl>
    <w:p>
      <w:pPr>
        <w:spacing w:before="240" w:beforeLines="10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pStyle w:val="2"/>
        <w:keepNext w:val="0"/>
        <w:keepLines w:val="0"/>
        <w:spacing w:after="240" w:line="480" w:lineRule="auto"/>
        <w:jc w:val="left"/>
        <w:rPr>
          <w:rFonts w:ascii="Arial" w:hAnsi="Arial" w:cs="Arial" w:eastAsiaTheme="majorEastAsia"/>
          <w:color w:val="000000"/>
          <w:sz w:val="24"/>
          <w:szCs w:val="24"/>
        </w:rPr>
      </w:pPr>
      <w:bookmarkStart w:id="42" w:name="_Toc32577"/>
      <w:bookmarkStart w:id="43" w:name="_Toc14996"/>
      <w:bookmarkStart w:id="44" w:name="_Toc16615"/>
      <w:bookmarkStart w:id="45" w:name="_Toc34295145"/>
      <w:bookmarkStart w:id="46" w:name="_Toc535580097"/>
      <w:bookmarkStart w:id="47" w:name="_Toc535570756"/>
      <w:bookmarkStart w:id="48" w:name="_Toc535580029"/>
      <w:bookmarkStart w:id="49" w:name="_Toc532281663"/>
      <w:bookmarkStart w:id="50" w:name="_Toc535508642"/>
      <w:r>
        <w:rPr>
          <w:rFonts w:ascii="Arial" w:hAnsi="Arial" w:cs="Arial" w:eastAsiaTheme="majorEastAsia"/>
          <w:color w:val="000000"/>
          <w:sz w:val="24"/>
          <w:szCs w:val="24"/>
        </w:rPr>
        <w:t>6项目竞品分析</w:t>
      </w:r>
      <w:bookmarkEnd w:id="42"/>
      <w:bookmarkEnd w:id="43"/>
      <w:bookmarkEnd w:id="44"/>
      <w:bookmarkEnd w:id="45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drawing>
          <wp:inline distT="0" distB="0" distL="0" distR="0">
            <wp:extent cx="5904230" cy="234124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本项目位于临港新区装备制造区的创业产业带，区域内具备航空、海运、铁路、高速公路、内河运输、轨道交通条件，项目周边商业及学校、医疗配套资源齐备，距本项目最近的主要竞品楼盘有</w:t>
      </w:r>
      <w:r>
        <w:rPr>
          <w:rFonts w:ascii="Arial" w:hAnsi="Arial" w:cs="Arial"/>
          <w:kern w:val="0"/>
          <w:szCs w:val="21"/>
        </w:rPr>
        <w:t>碧云壹零</w:t>
      </w:r>
      <w:r>
        <w:rPr>
          <w:rFonts w:ascii="Arial" w:hAnsi="Arial" w:cs="Arial"/>
          <w:bCs/>
          <w:kern w:val="44"/>
          <w:szCs w:val="21"/>
        </w:rPr>
        <w:t>。2020年6月</w:t>
      </w:r>
      <w:r>
        <w:rPr>
          <w:rFonts w:hint="eastAsia" w:ascii="Arial" w:hAnsi="Arial" w:cs="Arial"/>
          <w:bCs/>
          <w:kern w:val="44"/>
          <w:szCs w:val="21"/>
        </w:rPr>
        <w:t>份</w:t>
      </w:r>
      <w:r>
        <w:rPr>
          <w:rFonts w:ascii="Arial" w:hAnsi="Arial" w:cs="Arial"/>
          <w:bCs/>
          <w:kern w:val="44"/>
          <w:szCs w:val="21"/>
        </w:rPr>
        <w:t>竞品楼盘情况如下：</w:t>
      </w:r>
    </w:p>
    <w:tbl>
      <w:tblPr>
        <w:tblStyle w:val="15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432"/>
        <w:gridCol w:w="755"/>
        <w:gridCol w:w="276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竞品楼盘</w:t>
            </w:r>
          </w:p>
        </w:tc>
        <w:tc>
          <w:tcPr>
            <w:tcW w:w="2432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755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766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2020年6月主力在售产品报价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4" w:hRule="atLeast"/>
          <w:jc w:val="center"/>
        </w:trPr>
        <w:tc>
          <w:tcPr>
            <w:tcW w:w="1003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碧云壹零</w:t>
            </w:r>
          </w:p>
        </w:tc>
        <w:tc>
          <w:tcPr>
            <w:tcW w:w="2432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碧云壹零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位于浦东临港新城板块竹柏路758弄，项目建设用地面积约142,998.3平方米。此楼盘类型包括叠墅，高层，洋房等。</w:t>
            </w:r>
          </w:p>
        </w:tc>
        <w:tc>
          <w:tcPr>
            <w:tcW w:w="755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叠墅、高层、洋房</w:t>
            </w:r>
          </w:p>
        </w:tc>
        <w:tc>
          <w:tcPr>
            <w:tcW w:w="2766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叠墅320~ 330，高层217，洋房217~340</w:t>
            </w:r>
          </w:p>
          <w:p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叠墅均价31,874，高层均价25,000，洋房均价27,000</w:t>
            </w:r>
          </w:p>
        </w:tc>
      </w:tr>
    </w:tbl>
    <w:p>
      <w:pPr>
        <w:spacing w:before="120" w:beforeLines="50" w:after="120" w:afterLines="50"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51" w:name="_Toc21743"/>
      <w:bookmarkStart w:id="52" w:name="_Toc34295146"/>
      <w:bookmarkStart w:id="53" w:name="_Toc24497344"/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</w:rPr>
        <w:t>6月</w:t>
      </w:r>
      <w:r>
        <w:rPr>
          <w:rFonts w:ascii="Arial" w:hAnsi="Arial" w:cs="Arial"/>
          <w:bCs/>
          <w:kern w:val="44"/>
          <w:szCs w:val="21"/>
        </w:rPr>
        <w:t>无新出让的住宅地块</w:t>
      </w:r>
      <w:r>
        <w:rPr>
          <w:rFonts w:hint="eastAsia" w:ascii="Arial" w:hAnsi="Arial" w:cs="Arial"/>
          <w:bCs/>
          <w:kern w:val="44"/>
          <w:szCs w:val="21"/>
        </w:rPr>
        <w:t>。</w:t>
      </w:r>
    </w:p>
    <w:p>
      <w:pPr>
        <w:pStyle w:val="2"/>
        <w:spacing w:after="240" w:line="480" w:lineRule="auto"/>
        <w:rPr>
          <w:rFonts w:ascii="Arial" w:hAnsi="Arial" w:cs="Arial"/>
          <w:color w:val="000000"/>
          <w:sz w:val="24"/>
          <w:szCs w:val="21"/>
        </w:rPr>
      </w:pPr>
      <w:bookmarkStart w:id="54" w:name="_Toc19221"/>
      <w:bookmarkStart w:id="55" w:name="_Toc17713"/>
      <w:r>
        <w:rPr>
          <w:rFonts w:ascii="Arial" w:hAnsi="Arial" w:cs="Arial" w:eastAsiaTheme="majorEastAsia"/>
          <w:color w:val="000000"/>
          <w:sz w:val="24"/>
          <w:szCs w:val="24"/>
        </w:rPr>
        <w:t>7资金情况</w:t>
      </w:r>
      <w:bookmarkEnd w:id="51"/>
      <w:bookmarkEnd w:id="54"/>
      <w:bookmarkEnd w:id="55"/>
      <w:bookmarkStart w:id="56" w:name="_Toc535580032"/>
      <w:bookmarkStart w:id="57" w:name="_Toc535570759"/>
      <w:bookmarkStart w:id="58" w:name="_Toc535580100"/>
      <w:bookmarkStart w:id="59" w:name="_Toc535508645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ajorEastAsia"/>
          <w:sz w:val="24"/>
        </w:rPr>
      </w:pPr>
      <w:bookmarkStart w:id="60" w:name="_Toc8373628"/>
      <w:bookmarkStart w:id="61" w:name="_Toc29020"/>
      <w:bookmarkStart w:id="62" w:name="_Toc31155"/>
      <w:bookmarkStart w:id="63" w:name="_Toc16976"/>
      <w:bookmarkStart w:id="64" w:name="_Toc21491"/>
      <w:r>
        <w:rPr>
          <w:rFonts w:cs="Arial" w:eastAsiaTheme="majorEastAsia"/>
          <w:sz w:val="24"/>
        </w:rPr>
        <w:t>7.1</w:t>
      </w:r>
      <w:bookmarkEnd w:id="56"/>
      <w:bookmarkEnd w:id="57"/>
      <w:bookmarkEnd w:id="58"/>
      <w:bookmarkEnd w:id="59"/>
      <w:bookmarkEnd w:id="60"/>
      <w:bookmarkEnd w:id="61"/>
      <w:r>
        <w:rPr>
          <w:rFonts w:cs="Arial" w:eastAsiaTheme="majorEastAsia"/>
          <w:sz w:val="24"/>
        </w:rPr>
        <w:t>各账户余额</w:t>
      </w:r>
      <w:bookmarkEnd w:id="62"/>
      <w:bookmarkEnd w:id="63"/>
      <w:bookmarkEnd w:id="6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</w:t>
      </w:r>
      <w:r>
        <w:rPr>
          <w:rFonts w:hint="eastAsia" w:ascii="Arial" w:hAnsi="Arial" w:cs="Arial"/>
          <w:bCs/>
          <w:kern w:val="44"/>
          <w:szCs w:val="21"/>
        </w:rPr>
        <w:t>银企余额对账单（详见附件四）</w:t>
      </w:r>
      <w:r>
        <w:rPr>
          <w:rFonts w:ascii="Arial" w:hAnsi="Arial" w:cs="Arial"/>
          <w:bCs/>
          <w:kern w:val="44"/>
          <w:szCs w:val="21"/>
        </w:rPr>
        <w:t>，截至2020年7月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日，项目公司各资金账户余额总计3,292,953.07元，各账户余额见下表：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 w:val="24"/>
          <w:lang w:val="zh-CN"/>
        </w:rPr>
      </w:pPr>
      <w:r>
        <w:rPr>
          <w:rFonts w:ascii="Arial" w:hAnsi="Arial" w:cs="Arial"/>
          <w:b/>
          <w:color w:val="000000"/>
          <w:sz w:val="24"/>
          <w:lang w:val="zh-CN"/>
        </w:rPr>
        <w:t>截至2020年7月1日各银行账户余额表</w:t>
      </w:r>
    </w:p>
    <w:tbl>
      <w:tblPr>
        <w:tblStyle w:val="15"/>
        <w:tblW w:w="940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2677"/>
        <w:gridCol w:w="2556"/>
        <w:gridCol w:w="1701"/>
        <w:gridCol w:w="17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tblHeader/>
          <w:jc w:val="center"/>
        </w:trPr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5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7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中国光大银行股份有限公司上海奉贤支行</w:t>
            </w:r>
          </w:p>
        </w:tc>
        <w:tc>
          <w:tcPr>
            <w:tcW w:w="25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36850188000128367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7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t>3,292,803.07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  <w:jc w:val="center"/>
        </w:trPr>
        <w:tc>
          <w:tcPr>
            <w:tcW w:w="7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中国工商银行股份有限公司上海市虹桥开发区支行</w:t>
            </w:r>
          </w:p>
        </w:tc>
        <w:tc>
          <w:tcPr>
            <w:tcW w:w="25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1001242719300771112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t>150.00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7655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总   计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3,292,953.07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cs="Arial" w:eastAsiaTheme="majorEastAsia"/>
          <w:sz w:val="24"/>
        </w:rPr>
      </w:pPr>
      <w:bookmarkStart w:id="65" w:name="_Toc9537"/>
      <w:bookmarkStart w:id="66" w:name="_Toc6082"/>
      <w:bookmarkStart w:id="67" w:name="_Toc2044"/>
      <w:r>
        <w:rPr>
          <w:rFonts w:cs="Arial" w:eastAsiaTheme="majorEastAsia"/>
          <w:sz w:val="24"/>
        </w:rPr>
        <w:t>7.2资金执行情况</w:t>
      </w:r>
      <w:bookmarkEnd w:id="65"/>
      <w:bookmarkEnd w:id="66"/>
      <w:bookmarkEnd w:id="67"/>
    </w:p>
    <w:p>
      <w:pPr>
        <w:spacing w:line="360" w:lineRule="auto"/>
        <w:ind w:firstLine="600" w:firstLineChars="2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根据项目公司提供的银行交易明细</w:t>
      </w:r>
      <w:r>
        <w:rPr>
          <w:rFonts w:hint="eastAsia" w:ascii="Arial" w:hAnsi="Arial" w:cs="Arial"/>
          <w:sz w:val="24"/>
        </w:rPr>
        <w:t>（详见附件五）</w:t>
      </w:r>
      <w:r>
        <w:rPr>
          <w:rFonts w:ascii="Arial" w:hAnsi="Arial" w:cs="Arial"/>
          <w:sz w:val="24"/>
        </w:rPr>
        <w:t>，</w:t>
      </w:r>
      <w:r>
        <w:rPr>
          <w:rFonts w:hint="eastAsia" w:ascii="Arial" w:hAnsi="Arial" w:cs="Arial"/>
          <w:sz w:val="24"/>
        </w:rPr>
        <w:t>2020年</w:t>
      </w:r>
      <w:r>
        <w:rPr>
          <w:rFonts w:ascii="Arial" w:hAnsi="Arial" w:cs="Arial"/>
          <w:sz w:val="24"/>
        </w:rPr>
        <w:t>6月1日至7月1日项目公司资金流入情况如下：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 w:val="24"/>
          <w:lang w:val="zh-CN"/>
        </w:rPr>
      </w:pPr>
      <w:r>
        <w:rPr>
          <w:rFonts w:ascii="Arial" w:hAnsi="Arial" w:cs="Arial"/>
          <w:b/>
          <w:color w:val="000000"/>
          <w:sz w:val="24"/>
          <w:lang w:val="zh-CN"/>
        </w:rPr>
        <w:t>2020年6月1日-7月1日资金流入情况表</w:t>
      </w:r>
    </w:p>
    <w:tbl>
      <w:tblPr>
        <w:tblStyle w:val="15"/>
        <w:tblW w:w="9406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29"/>
        <w:gridCol w:w="2242"/>
        <w:gridCol w:w="2095"/>
        <w:gridCol w:w="12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  <w:jc w:val="right"/>
        </w:trPr>
        <w:tc>
          <w:tcPr>
            <w:tcW w:w="567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对方名称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到账金额（元）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收款账户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到账日期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firstLine="0" w:firstLineChars="0"/>
            </w:pPr>
            <w:r>
              <w:rPr>
                <w:rFonts w:hint="eastAsia"/>
              </w:rPr>
              <w:t>1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上海奥冠科技发展有限公司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9,500,000.00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40,500,000.00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ind w:right="3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146,650,000.00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ind w:right="3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4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上海奥慧妍健康科技有限公司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5,000,000.00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5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应付单位活期存款利息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713.72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6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500,000,000.00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中国工商银行股份有限公司上海市虹桥开发区支行1001242719300771112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7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313,210,000.00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中国工商银行股份有限公司上海市虹桥开发区支行1001242719300771112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8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王铖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中国工商银行股份有限公司上海市虹桥开发区支行1001242719300771112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right"/>
        </w:trPr>
        <w:tc>
          <w:tcPr>
            <w:tcW w:w="567" w:type="dxa"/>
            <w:vAlign w:val="center"/>
          </w:tcPr>
          <w:p>
            <w:pPr>
              <w:pStyle w:val="28"/>
              <w:ind w:left="420" w:right="360" w:firstLine="0" w:firstLineChars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9</w:t>
            </w:r>
          </w:p>
        </w:tc>
        <w:tc>
          <w:tcPr>
            <w:tcW w:w="2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上海市规划和自然资源局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46,650,000.00</w:t>
            </w:r>
          </w:p>
        </w:tc>
        <w:tc>
          <w:tcPr>
            <w:tcW w:w="243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right"/>
        </w:trPr>
        <w:tc>
          <w:tcPr>
            <w:tcW w:w="3429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总计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1,161,511,213.72</w:t>
            </w:r>
          </w:p>
        </w:tc>
        <w:tc>
          <w:tcPr>
            <w:tcW w:w="3709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——</w:t>
            </w:r>
          </w:p>
        </w:tc>
      </w:tr>
    </w:tbl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spacing w:line="360" w:lineRule="auto"/>
        <w:ind w:firstLine="600" w:firstLineChars="2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根据项目公司提供的银行交易明细</w:t>
      </w:r>
      <w:r>
        <w:rPr>
          <w:rFonts w:hint="eastAsia" w:ascii="Arial" w:hAnsi="Arial" w:cs="Arial"/>
          <w:sz w:val="24"/>
        </w:rPr>
        <w:t>（详见附件五）</w:t>
      </w:r>
      <w:r>
        <w:rPr>
          <w:rFonts w:ascii="Arial" w:hAnsi="Arial" w:cs="Arial"/>
          <w:sz w:val="24"/>
        </w:rPr>
        <w:t>，</w:t>
      </w:r>
      <w:r>
        <w:rPr>
          <w:rFonts w:hint="eastAsia" w:ascii="Arial" w:hAnsi="Arial" w:cs="Arial"/>
          <w:sz w:val="24"/>
        </w:rPr>
        <w:t>2020年</w:t>
      </w:r>
      <w:r>
        <w:rPr>
          <w:rFonts w:ascii="Arial" w:hAnsi="Arial" w:cs="Arial"/>
          <w:sz w:val="24"/>
        </w:rPr>
        <w:t>6月1日至7月1日项目公司资金流</w:t>
      </w:r>
      <w:r>
        <w:rPr>
          <w:rFonts w:hint="eastAsia" w:ascii="Arial" w:hAnsi="Arial" w:cs="Arial"/>
          <w:sz w:val="24"/>
        </w:rPr>
        <w:t>出</w:t>
      </w:r>
      <w:r>
        <w:rPr>
          <w:rFonts w:ascii="Arial" w:hAnsi="Arial" w:cs="Arial"/>
          <w:sz w:val="24"/>
        </w:rPr>
        <w:t>情况如下：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 w:val="24"/>
          <w:lang w:val="zh-CN"/>
        </w:rPr>
      </w:pPr>
      <w:r>
        <w:rPr>
          <w:rFonts w:ascii="Arial" w:hAnsi="Arial" w:cs="Arial"/>
          <w:b/>
          <w:color w:val="000000"/>
          <w:sz w:val="24"/>
          <w:lang w:val="zh-CN"/>
        </w:rPr>
        <w:t>2020年6月1日-7月1日资金流出情况表</w:t>
      </w:r>
    </w:p>
    <w:tbl>
      <w:tblPr>
        <w:tblStyle w:val="15"/>
        <w:tblW w:w="9514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701"/>
        <w:gridCol w:w="1985"/>
        <w:gridCol w:w="1709"/>
        <w:gridCol w:w="2168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  <w:jc w:val="righ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对方名称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资金用途</w:t>
            </w:r>
          </w:p>
        </w:tc>
        <w:tc>
          <w:tcPr>
            <w:tcW w:w="170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支付金额（含手续费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，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单位元）</w:t>
            </w:r>
          </w:p>
        </w:tc>
        <w:tc>
          <w:tcPr>
            <w:tcW w:w="216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付款账户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广东奥园商业地产集团有限公司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用于往来款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49,999,200.00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上海市规划和自然资源局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支付竞拍保证金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146,650,200.00 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赵永峰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还款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450.00 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中国民生信托有限公司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支付民生信托借款二季度利息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1,488,085.65 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北京康正宏基房地产评估有限公司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支付土地评估费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130,015.00 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北京市长安公证处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支付公证费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90,010.00 </w:t>
            </w:r>
          </w:p>
        </w:tc>
        <w:tc>
          <w:tcPr>
            <w:tcW w:w="2168" w:type="dxa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竞拍资金调拨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 xml:space="preserve">813,210,200.00 </w:t>
            </w:r>
          </w:p>
        </w:tc>
        <w:tc>
          <w:tcPr>
            <w:tcW w:w="2168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中国工商银行股份有限公司上海市虹桥开发区支行1001242719300771112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奥园集团重庆置业有限公司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土地保证金调拨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46,650,400.00</w:t>
            </w:r>
          </w:p>
        </w:tc>
        <w:tc>
          <w:tcPr>
            <w:tcW w:w="2168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中国光大银行股份有限公司上海奉贤支行36850188000128367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2020/6/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7" w:hRule="atLeast"/>
          <w:jc w:val="right"/>
        </w:trPr>
        <w:tc>
          <w:tcPr>
            <w:tcW w:w="675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对公账户服务手续费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50.00</w:t>
            </w:r>
          </w:p>
        </w:tc>
        <w:tc>
          <w:tcPr>
            <w:tcW w:w="2168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中国工商银行股份有限公司上海市虹桥开发区支行1001242719300771112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2020/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right"/>
        </w:trPr>
        <w:tc>
          <w:tcPr>
            <w:tcW w:w="4361" w:type="dxa"/>
            <w:gridSpan w:val="3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总计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,158,218,710.65</w:t>
            </w:r>
          </w:p>
        </w:tc>
        <w:tc>
          <w:tcPr>
            <w:tcW w:w="3444" w:type="dxa"/>
            <w:gridSpan w:val="2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84455</wp:posOffset>
                      </wp:positionV>
                      <wp:extent cx="292735" cy="0"/>
                      <wp:effectExtent l="0" t="0" r="31115" b="190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89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2.9pt;margin-top:6.65pt;height:0pt;width:23.05pt;z-index:251660288;mso-width-relative:page;mso-height-relative:page;" filled="f" stroked="t" coordsize="21600,21600" o:gfxdata="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I1AsdYAAAAJAQAADwAAAAAAAAABACAAAAAiAAAAZHJzL2Rvd25yZXYueG1sUEsB&#10;AhQAFAAAAAgAh07iQGiK5FK+AQAATQMAAA4AAAAAAAAAAQAgAAAAJQEAAGRycy9lMm9Eb2MueG1s&#10;UEsFBgAAAAAGAAYAWQEAAFUFAAAAAA==&#10;">
                      <v:fill on="f" focussize="0,0"/>
                      <v:stroke color="#000000 [3213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rPr>
          <w:rFonts w:hint="eastAsia" w:ascii="Arial" w:hAnsi="Arial" w:cs="Arial"/>
          <w:sz w:val="24"/>
        </w:rPr>
        <w:t>（转下页）</w:t>
      </w:r>
      <w:r>
        <w:rPr>
          <w:rFonts w:ascii="Arial" w:hAnsi="Arial" w:cs="Arial"/>
          <w:sz w:val="24"/>
        </w:rPr>
        <w:br w:type="page"/>
      </w:r>
    </w:p>
    <w:bookmarkEnd w:id="37"/>
    <w:bookmarkEnd w:id="38"/>
    <w:bookmarkEnd w:id="46"/>
    <w:bookmarkEnd w:id="47"/>
    <w:bookmarkEnd w:id="48"/>
    <w:bookmarkEnd w:id="49"/>
    <w:bookmarkEnd w:id="50"/>
    <w:bookmarkEnd w:id="52"/>
    <w:bookmarkEnd w:id="53"/>
    <w:p>
      <w:pPr>
        <w:pStyle w:val="2"/>
        <w:rPr>
          <w:rFonts w:ascii="Arial" w:hAnsi="Arial" w:cs="Arial"/>
          <w:bCs w:val="0"/>
          <w:sz w:val="24"/>
        </w:rPr>
      </w:pPr>
      <w:bookmarkStart w:id="68" w:name="_Toc1845"/>
      <w:bookmarkStart w:id="69" w:name="_Toc1516"/>
      <w:bookmarkStart w:id="70" w:name="_Toc23910"/>
      <w:bookmarkStart w:id="71" w:name="_Toc34295147"/>
      <w:bookmarkStart w:id="72" w:name="_Toc535570764"/>
      <w:bookmarkStart w:id="73" w:name="_Toc21766985"/>
      <w:bookmarkStart w:id="74" w:name="_Toc532281666"/>
      <w:bookmarkStart w:id="75" w:name="_Toc535508650"/>
      <w:bookmarkStart w:id="76" w:name="_Toc535580037"/>
      <w:bookmarkStart w:id="77" w:name="_Toc535580105"/>
      <w:r>
        <w:rPr>
          <w:rFonts w:ascii="Arial" w:hAnsi="Arial" w:cs="Arial"/>
          <w:bCs w:val="0"/>
          <w:sz w:val="24"/>
        </w:rPr>
        <w:t>附件一</w:t>
      </w:r>
      <w:r>
        <w:rPr>
          <w:rFonts w:hint="eastAsia" w:ascii="Arial" w:hAnsi="Arial" w:cs="Arial"/>
          <w:bCs w:val="0"/>
          <w:sz w:val="24"/>
        </w:rPr>
        <w:t xml:space="preserve"> </w:t>
      </w:r>
      <w:r>
        <w:rPr>
          <w:rFonts w:ascii="Arial" w:hAnsi="Arial" w:cs="Arial"/>
          <w:bCs w:val="0"/>
          <w:sz w:val="24"/>
        </w:rPr>
        <w:t>撤场资料交接清单</w:t>
      </w:r>
      <w:bookmarkEnd w:id="68"/>
      <w:bookmarkEnd w:id="69"/>
      <w:bookmarkEnd w:id="70"/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2020年7月1日共管印鉴交接清单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429250" cy="7244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12" cy="72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2020年7月1日共管资料交接清单</w:t>
      </w: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386070" cy="717550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50" cy="71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2"/>
        <w:rPr>
          <w:rFonts w:ascii="Arial" w:hAnsi="Arial" w:cs="Arial"/>
          <w:bCs w:val="0"/>
          <w:sz w:val="24"/>
        </w:rPr>
      </w:pPr>
      <w:bookmarkStart w:id="78" w:name="_Toc12648"/>
      <w:bookmarkStart w:id="79" w:name="_Toc12579"/>
      <w:bookmarkStart w:id="80" w:name="_Toc12361"/>
      <w:r>
        <w:rPr>
          <w:rFonts w:ascii="Arial" w:hAnsi="Arial" w:cs="Arial"/>
          <w:bCs w:val="0"/>
          <w:sz w:val="24"/>
        </w:rPr>
        <w:t>附件二 共管物品使用登记簿</w:t>
      </w:r>
      <w:bookmarkEnd w:id="71"/>
      <w:bookmarkEnd w:id="78"/>
      <w:bookmarkEnd w:id="79"/>
      <w:bookmarkEnd w:id="80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6093460" cy="2364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320" cy="23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893435" cy="11557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60" cy="11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0" distR="0">
            <wp:extent cx="5904230" cy="124714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92646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kern w:val="44"/>
          <w:sz w:val="24"/>
          <w:szCs w:val="44"/>
        </w:rPr>
      </w:pPr>
      <w:bookmarkStart w:id="81" w:name="_Toc34295148"/>
    </w:p>
    <w:p>
      <w:pPr>
        <w:rPr>
          <w:rFonts w:ascii="Arial" w:hAnsi="Arial" w:cs="Arial"/>
          <w:b/>
          <w:kern w:val="44"/>
          <w:sz w:val="24"/>
          <w:szCs w:val="44"/>
        </w:rPr>
      </w:pPr>
    </w:p>
    <w:p>
      <w:pPr>
        <w:rPr>
          <w:rFonts w:ascii="Arial" w:hAnsi="Arial" w:cs="Arial"/>
          <w:b/>
          <w:kern w:val="44"/>
          <w:sz w:val="24"/>
          <w:szCs w:val="44"/>
        </w:rPr>
      </w:pPr>
    </w:p>
    <w:p>
      <w:pPr>
        <w:rPr>
          <w:rFonts w:ascii="Arial" w:hAnsi="Arial" w:cs="Arial"/>
          <w:b/>
          <w:kern w:val="44"/>
          <w:sz w:val="24"/>
          <w:szCs w:val="44"/>
        </w:rPr>
      </w:pPr>
    </w:p>
    <w:p>
      <w:pPr>
        <w:rPr>
          <w:rFonts w:ascii="Arial" w:hAnsi="Arial" w:cs="Arial"/>
          <w:b/>
          <w:kern w:val="44"/>
          <w:sz w:val="24"/>
          <w:szCs w:val="44"/>
        </w:rPr>
      </w:pPr>
    </w:p>
    <w:p>
      <w:pPr>
        <w:pStyle w:val="2"/>
        <w:rPr>
          <w:rFonts w:ascii="Arial" w:hAnsi="Arial" w:cs="Arial"/>
          <w:bCs w:val="0"/>
          <w:sz w:val="24"/>
        </w:rPr>
      </w:pPr>
      <w:bookmarkStart w:id="82" w:name="_Toc616"/>
      <w:bookmarkStart w:id="83" w:name="_Toc19152"/>
      <w:bookmarkStart w:id="84" w:name="_Toc6581"/>
      <w:r>
        <w:rPr>
          <w:rFonts w:ascii="Arial" w:hAnsi="Arial" w:cs="Arial"/>
          <w:bCs w:val="0"/>
          <w:sz w:val="24"/>
        </w:rPr>
        <w:t>附件三 标的项目地块总图</w:t>
      </w:r>
      <w:bookmarkEnd w:id="72"/>
      <w:bookmarkEnd w:id="73"/>
      <w:bookmarkEnd w:id="74"/>
      <w:bookmarkEnd w:id="75"/>
      <w:bookmarkEnd w:id="76"/>
      <w:bookmarkEnd w:id="77"/>
      <w:bookmarkEnd w:id="81"/>
      <w:r>
        <w:rPr>
          <w:rFonts w:ascii="Arial" w:hAnsi="Arial" w:cs="Arial"/>
          <w:bCs w:val="0"/>
          <w:sz w:val="24"/>
        </w:rPr>
        <w:t>（暂定）</w:t>
      </w:r>
      <w:bookmarkEnd w:id="82"/>
      <w:bookmarkEnd w:id="83"/>
      <w:bookmarkEnd w:id="84"/>
    </w:p>
    <w:p>
      <w:pPr>
        <w:spacing w:line="48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drawing>
          <wp:inline distT="0" distB="0" distL="0" distR="0">
            <wp:extent cx="5924550" cy="44970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>
      <w:pPr>
        <w:pStyle w:val="2"/>
        <w:rPr>
          <w:rFonts w:ascii="Arial" w:hAnsi="Arial" w:cs="Arial"/>
          <w:bCs w:val="0"/>
          <w:sz w:val="24"/>
        </w:rPr>
      </w:pPr>
      <w:bookmarkStart w:id="85" w:name="_Toc30334"/>
      <w:bookmarkStart w:id="86" w:name="_Toc15270"/>
      <w:bookmarkStart w:id="87" w:name="_Toc7977"/>
      <w:r>
        <w:rPr>
          <w:rFonts w:ascii="Arial" w:hAnsi="Arial" w:cs="Arial"/>
          <w:bCs w:val="0"/>
          <w:sz w:val="24"/>
        </w:rPr>
        <w:t>附件四 银企余额对账单</w:t>
      </w:r>
      <w:bookmarkEnd w:id="85"/>
      <w:bookmarkEnd w:id="86"/>
      <w:bookmarkEnd w:id="87"/>
    </w:p>
    <w:p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drawing>
          <wp:inline distT="0" distB="0" distL="0" distR="0">
            <wp:extent cx="6115050" cy="34461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1874" r="-3251" b="19556"/>
                    <a:stretch>
                      <a:fillRect/>
                    </a:stretch>
                  </pic:blipFill>
                  <pic:spPr>
                    <a:xfrm>
                      <a:off x="0" y="0"/>
                      <a:ext cx="6151269" cy="34667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drawing>
          <wp:inline distT="0" distB="0" distL="0" distR="0">
            <wp:extent cx="6361430" cy="23495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513" cy="23580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2"/>
        <w:spacing w:before="0" w:after="0" w:line="360" w:lineRule="auto"/>
        <w:rPr>
          <w:rFonts w:ascii="Arial" w:hAnsi="Arial" w:cs="Arial"/>
          <w:bCs w:val="0"/>
          <w:sz w:val="24"/>
        </w:rPr>
      </w:pPr>
      <w:bookmarkStart w:id="88" w:name="_Toc30013"/>
      <w:bookmarkStart w:id="89" w:name="_Toc26944"/>
      <w:r>
        <w:rPr>
          <w:rFonts w:ascii="Arial" w:hAnsi="Arial" w:cs="Arial"/>
          <w:bCs w:val="0"/>
          <w:sz w:val="24"/>
        </w:rPr>
        <w:t>附件五 银企明细对账单</w:t>
      </w:r>
      <w:bookmarkEnd w:id="88"/>
      <w:bookmarkEnd w:id="89"/>
    </w:p>
    <w:p>
      <w:pPr>
        <w:rPr>
          <w:b/>
        </w:rPr>
      </w:pPr>
      <w:r>
        <w:rPr>
          <w:b/>
        </w:rPr>
        <w:t>光大银行明细对账单</w:t>
      </w:r>
    </w:p>
    <w:p>
      <w:pPr>
        <w:rPr>
          <w:b/>
        </w:rPr>
      </w:pPr>
      <w:r>
        <w:rPr>
          <w:rFonts w:hint="eastAsia"/>
        </w:rPr>
        <w:drawing>
          <wp:inline distT="0" distB="0" distL="0" distR="0">
            <wp:extent cx="6299835" cy="4476115"/>
            <wp:effectExtent l="0" t="0" r="1206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/>
    <w:p/>
    <w:p/>
    <w:p/>
    <w:p/>
    <w:p/>
    <w:p/>
    <w:p/>
    <w:p/>
    <w:p/>
    <w:p/>
    <w:p/>
    <w:p/>
    <w:p/>
    <w:p/>
    <w:p/>
    <w:p/>
    <w:p/>
    <w:p/>
    <w:p>
      <w:pPr>
        <w:ind w:firstLine="419"/>
        <w:jc w:val="left"/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b/>
        </w:rPr>
        <w:t>工商银行明细对账单</w:t>
      </w:r>
    </w:p>
    <w:p>
      <w:pPr>
        <w:ind w:firstLine="419"/>
        <w:jc w:val="left"/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760085" cy="3967480"/>
            <wp:effectExtent l="0" t="0" r="571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843" w:right="113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fldChar w:fldCharType="begin"/>
    </w:r>
    <w:r>
      <w:rPr>
        <w:rFonts w:ascii="Arial" w:hAnsi="Arial" w:cs="Arial"/>
        <w:sz w:val="21"/>
        <w:szCs w:val="21"/>
      </w:rPr>
      <w:instrText xml:space="preserve">PAGE   \* MERGEFORMAT</w:instrText>
    </w:r>
    <w:r>
      <w:rPr>
        <w:rFonts w:ascii="Arial" w:hAnsi="Arial" w:cs="Arial"/>
        <w:sz w:val="21"/>
        <w:szCs w:val="21"/>
      </w:rPr>
      <w:fldChar w:fldCharType="separate"/>
    </w:r>
    <w:r>
      <w:rPr>
        <w:rFonts w:ascii="Arial" w:hAnsi="Arial" w:cs="Arial"/>
        <w:sz w:val="21"/>
        <w:szCs w:val="21"/>
        <w:lang w:val="zh-CN"/>
      </w:rPr>
      <w:t>12</w:t>
    </w:r>
    <w:r>
      <w:rPr>
        <w:rFonts w:ascii="Arial" w:hAnsi="Arial" w:cs="Arial"/>
        <w:sz w:val="21"/>
        <w:szCs w:val="21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 w:cs="Arial"/>
      </w:rPr>
    </w:pPr>
    <w:r>
      <w:rPr>
        <w:rFonts w:ascii="Arial" w:hAnsi="Arial" w:cs="Arial"/>
      </w:rPr>
      <w:t>2020年6</w:t>
    </w:r>
    <w:r>
      <w:rPr>
        <w:rFonts w:hint="eastAsia" w:ascii="Arial" w:hAnsi="Arial" w:cs="Arial"/>
      </w:rPr>
      <w:t>月1日-</w:t>
    </w:r>
    <w:r>
      <w:rPr>
        <w:rFonts w:ascii="Arial" w:hAnsi="Arial" w:cs="Arial"/>
      </w:rPr>
      <w:t>7月</w:t>
    </w:r>
    <w:r>
      <w:rPr>
        <w:rFonts w:hint="eastAsia" w:ascii="Arial" w:hAnsi="Arial" w:cs="Arial"/>
      </w:rPr>
      <w:t>1日</w:t>
    </w:r>
    <w:r>
      <w:rPr>
        <w:rFonts w:ascii="Arial" w:hAnsi="Arial" w:cs="Arial"/>
      </w:rPr>
      <w:t>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D64DE"/>
    <w:multiLevelType w:val="multilevel"/>
    <w:tmpl w:val="176D64DE"/>
    <w:lvl w:ilvl="0" w:tentative="0">
      <w:start w:val="1"/>
      <w:numFmt w:val="decimal"/>
      <w:lvlText w:val="%1"/>
      <w:lvlJc w:val="left"/>
      <w:pPr>
        <w:ind w:left="6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20" w:hanging="420"/>
      </w:pPr>
    </w:lvl>
    <w:lvl w:ilvl="2" w:tentative="0">
      <w:start w:val="1"/>
      <w:numFmt w:val="lowerRoman"/>
      <w:lvlText w:val="%3."/>
      <w:lvlJc w:val="right"/>
      <w:pPr>
        <w:ind w:left="1440" w:hanging="420"/>
      </w:pPr>
    </w:lvl>
    <w:lvl w:ilvl="3" w:tentative="0">
      <w:start w:val="1"/>
      <w:numFmt w:val="decimal"/>
      <w:lvlText w:val="%4."/>
      <w:lvlJc w:val="left"/>
      <w:pPr>
        <w:ind w:left="1860" w:hanging="420"/>
      </w:pPr>
    </w:lvl>
    <w:lvl w:ilvl="4" w:tentative="0">
      <w:start w:val="1"/>
      <w:numFmt w:val="lowerLetter"/>
      <w:lvlText w:val="%5)"/>
      <w:lvlJc w:val="left"/>
      <w:pPr>
        <w:ind w:left="2280" w:hanging="420"/>
      </w:pPr>
    </w:lvl>
    <w:lvl w:ilvl="5" w:tentative="0">
      <w:start w:val="1"/>
      <w:numFmt w:val="lowerRoman"/>
      <w:lvlText w:val="%6."/>
      <w:lvlJc w:val="right"/>
      <w:pPr>
        <w:ind w:left="2700" w:hanging="420"/>
      </w:pPr>
    </w:lvl>
    <w:lvl w:ilvl="6" w:tentative="0">
      <w:start w:val="1"/>
      <w:numFmt w:val="decimal"/>
      <w:lvlText w:val="%7."/>
      <w:lvlJc w:val="left"/>
      <w:pPr>
        <w:ind w:left="3120" w:hanging="420"/>
      </w:pPr>
    </w:lvl>
    <w:lvl w:ilvl="7" w:tentative="0">
      <w:start w:val="1"/>
      <w:numFmt w:val="lowerLetter"/>
      <w:lvlText w:val="%8)"/>
      <w:lvlJc w:val="left"/>
      <w:pPr>
        <w:ind w:left="3540" w:hanging="420"/>
      </w:pPr>
    </w:lvl>
    <w:lvl w:ilvl="8" w:tentative="0">
      <w:start w:val="1"/>
      <w:numFmt w:val="lowerRoman"/>
      <w:lvlText w:val="%9."/>
      <w:lvlJc w:val="right"/>
      <w:pPr>
        <w:ind w:left="3960" w:hanging="420"/>
      </w:pPr>
    </w:lvl>
  </w:abstractNum>
  <w:abstractNum w:abstractNumId="1">
    <w:nsid w:val="5E1F189C"/>
    <w:multiLevelType w:val="multilevel"/>
    <w:tmpl w:val="5E1F189C"/>
    <w:lvl w:ilvl="0" w:tentative="0">
      <w:start w:val="1"/>
      <w:numFmt w:val="decimal"/>
      <w:lvlText w:val="%1"/>
      <w:lvlJc w:val="left"/>
      <w:pPr>
        <w:ind w:left="561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81" w:hanging="420"/>
      </w:pPr>
    </w:lvl>
    <w:lvl w:ilvl="2" w:tentative="0">
      <w:start w:val="1"/>
      <w:numFmt w:val="lowerRoman"/>
      <w:lvlText w:val="%3."/>
      <w:lvlJc w:val="right"/>
      <w:pPr>
        <w:ind w:left="1401" w:hanging="420"/>
      </w:pPr>
    </w:lvl>
    <w:lvl w:ilvl="3" w:tentative="0">
      <w:start w:val="1"/>
      <w:numFmt w:val="decimal"/>
      <w:lvlText w:val="%4."/>
      <w:lvlJc w:val="left"/>
      <w:pPr>
        <w:ind w:left="1821" w:hanging="420"/>
      </w:pPr>
    </w:lvl>
    <w:lvl w:ilvl="4" w:tentative="0">
      <w:start w:val="1"/>
      <w:numFmt w:val="lowerLetter"/>
      <w:lvlText w:val="%5)"/>
      <w:lvlJc w:val="left"/>
      <w:pPr>
        <w:ind w:left="2241" w:hanging="420"/>
      </w:pPr>
    </w:lvl>
    <w:lvl w:ilvl="5" w:tentative="0">
      <w:start w:val="1"/>
      <w:numFmt w:val="lowerRoman"/>
      <w:lvlText w:val="%6."/>
      <w:lvlJc w:val="right"/>
      <w:pPr>
        <w:ind w:left="2661" w:hanging="420"/>
      </w:pPr>
    </w:lvl>
    <w:lvl w:ilvl="6" w:tentative="0">
      <w:start w:val="1"/>
      <w:numFmt w:val="decimal"/>
      <w:lvlText w:val="%7."/>
      <w:lvlJc w:val="left"/>
      <w:pPr>
        <w:ind w:left="3081" w:hanging="420"/>
      </w:pPr>
    </w:lvl>
    <w:lvl w:ilvl="7" w:tentative="0">
      <w:start w:val="1"/>
      <w:numFmt w:val="lowerLetter"/>
      <w:lvlText w:val="%8)"/>
      <w:lvlJc w:val="left"/>
      <w:pPr>
        <w:ind w:left="3501" w:hanging="420"/>
      </w:pPr>
    </w:lvl>
    <w:lvl w:ilvl="8" w:tentative="0">
      <w:start w:val="1"/>
      <w:numFmt w:val="lowerRoman"/>
      <w:lvlText w:val="%9."/>
      <w:lvlJc w:val="right"/>
      <w:pPr>
        <w:ind w:left="3921" w:hanging="420"/>
      </w:pPr>
    </w:lvl>
  </w:abstractNum>
  <w:abstractNum w:abstractNumId="2">
    <w:nsid w:val="63D93CC5"/>
    <w:multiLevelType w:val="multilevel"/>
    <w:tmpl w:val="63D93CC5"/>
    <w:lvl w:ilvl="0" w:tentative="0">
      <w:start w:val="1"/>
      <w:numFmt w:val="decimal"/>
      <w:lvlText w:val="%1"/>
      <w:lvlJc w:val="left"/>
      <w:pPr>
        <w:ind w:left="56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4BC"/>
    <w:rsid w:val="00007713"/>
    <w:rsid w:val="000078A2"/>
    <w:rsid w:val="000078DA"/>
    <w:rsid w:val="0000794B"/>
    <w:rsid w:val="00010693"/>
    <w:rsid w:val="000112E8"/>
    <w:rsid w:val="00011944"/>
    <w:rsid w:val="000129F5"/>
    <w:rsid w:val="00012E24"/>
    <w:rsid w:val="000138BC"/>
    <w:rsid w:val="00013BD5"/>
    <w:rsid w:val="00013E87"/>
    <w:rsid w:val="000143CE"/>
    <w:rsid w:val="00014CAD"/>
    <w:rsid w:val="000151B3"/>
    <w:rsid w:val="00015F2E"/>
    <w:rsid w:val="00016918"/>
    <w:rsid w:val="0001699A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4E43"/>
    <w:rsid w:val="00025025"/>
    <w:rsid w:val="000250BA"/>
    <w:rsid w:val="00025F80"/>
    <w:rsid w:val="000271DD"/>
    <w:rsid w:val="00027711"/>
    <w:rsid w:val="000301B4"/>
    <w:rsid w:val="00030695"/>
    <w:rsid w:val="00030AEF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51D3"/>
    <w:rsid w:val="000369A3"/>
    <w:rsid w:val="00037829"/>
    <w:rsid w:val="0003787A"/>
    <w:rsid w:val="00037C76"/>
    <w:rsid w:val="0004040A"/>
    <w:rsid w:val="00040ACD"/>
    <w:rsid w:val="0004163E"/>
    <w:rsid w:val="00043270"/>
    <w:rsid w:val="0004333F"/>
    <w:rsid w:val="000436A6"/>
    <w:rsid w:val="00044D7B"/>
    <w:rsid w:val="00044D95"/>
    <w:rsid w:val="00045744"/>
    <w:rsid w:val="00045CBE"/>
    <w:rsid w:val="0004604E"/>
    <w:rsid w:val="0005046E"/>
    <w:rsid w:val="00050683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7A5"/>
    <w:rsid w:val="00055F1A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0F8"/>
    <w:rsid w:val="0006224B"/>
    <w:rsid w:val="00062264"/>
    <w:rsid w:val="00062390"/>
    <w:rsid w:val="0006267A"/>
    <w:rsid w:val="00062952"/>
    <w:rsid w:val="00062A27"/>
    <w:rsid w:val="00062E4A"/>
    <w:rsid w:val="00062FFF"/>
    <w:rsid w:val="00063371"/>
    <w:rsid w:val="0006434A"/>
    <w:rsid w:val="00065564"/>
    <w:rsid w:val="00065EA4"/>
    <w:rsid w:val="00066C0B"/>
    <w:rsid w:val="000671D4"/>
    <w:rsid w:val="000674C0"/>
    <w:rsid w:val="0006778C"/>
    <w:rsid w:val="00071477"/>
    <w:rsid w:val="0007151E"/>
    <w:rsid w:val="00071578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4293"/>
    <w:rsid w:val="000853A0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EC2"/>
    <w:rsid w:val="000B258A"/>
    <w:rsid w:val="000B34F7"/>
    <w:rsid w:val="000B3BC3"/>
    <w:rsid w:val="000B3F97"/>
    <w:rsid w:val="000B477D"/>
    <w:rsid w:val="000B4C32"/>
    <w:rsid w:val="000B5300"/>
    <w:rsid w:val="000B5B31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1DA4"/>
    <w:rsid w:val="000C2705"/>
    <w:rsid w:val="000C2924"/>
    <w:rsid w:val="000C2AD3"/>
    <w:rsid w:val="000C3C1A"/>
    <w:rsid w:val="000C449C"/>
    <w:rsid w:val="000C6254"/>
    <w:rsid w:val="000C68EB"/>
    <w:rsid w:val="000D1404"/>
    <w:rsid w:val="000D1DEE"/>
    <w:rsid w:val="000D1F1D"/>
    <w:rsid w:val="000D2542"/>
    <w:rsid w:val="000D26B0"/>
    <w:rsid w:val="000D28C0"/>
    <w:rsid w:val="000D328C"/>
    <w:rsid w:val="000D3540"/>
    <w:rsid w:val="000D444A"/>
    <w:rsid w:val="000D4710"/>
    <w:rsid w:val="000D580B"/>
    <w:rsid w:val="000D611E"/>
    <w:rsid w:val="000D613A"/>
    <w:rsid w:val="000D6233"/>
    <w:rsid w:val="000E015B"/>
    <w:rsid w:val="000E1C82"/>
    <w:rsid w:val="000E23BB"/>
    <w:rsid w:val="000E2525"/>
    <w:rsid w:val="000E29AE"/>
    <w:rsid w:val="000E31A7"/>
    <w:rsid w:val="000E43C8"/>
    <w:rsid w:val="000E4D09"/>
    <w:rsid w:val="000E5134"/>
    <w:rsid w:val="000E5256"/>
    <w:rsid w:val="000E55FB"/>
    <w:rsid w:val="000E6348"/>
    <w:rsid w:val="000E6607"/>
    <w:rsid w:val="000E6B46"/>
    <w:rsid w:val="000E6D66"/>
    <w:rsid w:val="000E6D78"/>
    <w:rsid w:val="000F0A56"/>
    <w:rsid w:val="000F0D5E"/>
    <w:rsid w:val="000F0F50"/>
    <w:rsid w:val="000F0FE6"/>
    <w:rsid w:val="000F1EBC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0F7D5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EA7"/>
    <w:rsid w:val="001050CA"/>
    <w:rsid w:val="00105C18"/>
    <w:rsid w:val="001065E6"/>
    <w:rsid w:val="00106BA3"/>
    <w:rsid w:val="00106C8C"/>
    <w:rsid w:val="00107CEE"/>
    <w:rsid w:val="00107D0C"/>
    <w:rsid w:val="0011052E"/>
    <w:rsid w:val="001117DE"/>
    <w:rsid w:val="00111EA6"/>
    <w:rsid w:val="00112ADB"/>
    <w:rsid w:val="00112CCA"/>
    <w:rsid w:val="00113E46"/>
    <w:rsid w:val="00115C7A"/>
    <w:rsid w:val="00115CF3"/>
    <w:rsid w:val="00116265"/>
    <w:rsid w:val="0011695B"/>
    <w:rsid w:val="00117296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3AB"/>
    <w:rsid w:val="00123648"/>
    <w:rsid w:val="0012370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622"/>
    <w:rsid w:val="0013178F"/>
    <w:rsid w:val="001319D3"/>
    <w:rsid w:val="00131F50"/>
    <w:rsid w:val="0013204D"/>
    <w:rsid w:val="001322D8"/>
    <w:rsid w:val="00132847"/>
    <w:rsid w:val="00132C18"/>
    <w:rsid w:val="00132C74"/>
    <w:rsid w:val="00132FCF"/>
    <w:rsid w:val="001331D6"/>
    <w:rsid w:val="00133F22"/>
    <w:rsid w:val="00134670"/>
    <w:rsid w:val="001348CD"/>
    <w:rsid w:val="0013497A"/>
    <w:rsid w:val="00134D28"/>
    <w:rsid w:val="001350F7"/>
    <w:rsid w:val="00135616"/>
    <w:rsid w:val="00135694"/>
    <w:rsid w:val="00135710"/>
    <w:rsid w:val="00135944"/>
    <w:rsid w:val="00135DF2"/>
    <w:rsid w:val="00136104"/>
    <w:rsid w:val="001361D9"/>
    <w:rsid w:val="0013701C"/>
    <w:rsid w:val="001372F5"/>
    <w:rsid w:val="001373EA"/>
    <w:rsid w:val="001379F6"/>
    <w:rsid w:val="0014091C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60D"/>
    <w:rsid w:val="00145EE9"/>
    <w:rsid w:val="00146010"/>
    <w:rsid w:val="0014623F"/>
    <w:rsid w:val="0014659A"/>
    <w:rsid w:val="00146E2F"/>
    <w:rsid w:val="001471FF"/>
    <w:rsid w:val="001505C5"/>
    <w:rsid w:val="00150B79"/>
    <w:rsid w:val="00150C47"/>
    <w:rsid w:val="001515E3"/>
    <w:rsid w:val="00152A26"/>
    <w:rsid w:val="00152F13"/>
    <w:rsid w:val="00153647"/>
    <w:rsid w:val="0015376C"/>
    <w:rsid w:val="001537CC"/>
    <w:rsid w:val="00153C7D"/>
    <w:rsid w:val="0015578C"/>
    <w:rsid w:val="001567D8"/>
    <w:rsid w:val="00156ABC"/>
    <w:rsid w:val="00156EBA"/>
    <w:rsid w:val="00157049"/>
    <w:rsid w:val="001571DA"/>
    <w:rsid w:val="00157214"/>
    <w:rsid w:val="00157D08"/>
    <w:rsid w:val="0016185A"/>
    <w:rsid w:val="00163173"/>
    <w:rsid w:val="00163E95"/>
    <w:rsid w:val="0016449D"/>
    <w:rsid w:val="00164BFC"/>
    <w:rsid w:val="00164D7C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066"/>
    <w:rsid w:val="001771C1"/>
    <w:rsid w:val="00177228"/>
    <w:rsid w:val="0017776B"/>
    <w:rsid w:val="00177CF8"/>
    <w:rsid w:val="0018062D"/>
    <w:rsid w:val="0018094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BDE"/>
    <w:rsid w:val="00186C0F"/>
    <w:rsid w:val="001905D2"/>
    <w:rsid w:val="00190CA5"/>
    <w:rsid w:val="001912F7"/>
    <w:rsid w:val="0019183A"/>
    <w:rsid w:val="001922FB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4EC"/>
    <w:rsid w:val="001A4005"/>
    <w:rsid w:val="001A4BFF"/>
    <w:rsid w:val="001A4CBF"/>
    <w:rsid w:val="001A50C7"/>
    <w:rsid w:val="001A61FB"/>
    <w:rsid w:val="001A6E21"/>
    <w:rsid w:val="001A7011"/>
    <w:rsid w:val="001B0D36"/>
    <w:rsid w:val="001B1C84"/>
    <w:rsid w:val="001B23A2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C03DB"/>
    <w:rsid w:val="001C0830"/>
    <w:rsid w:val="001C0FEF"/>
    <w:rsid w:val="001C1A2A"/>
    <w:rsid w:val="001C1C6E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376"/>
    <w:rsid w:val="001D3824"/>
    <w:rsid w:val="001D47CB"/>
    <w:rsid w:val="001D4879"/>
    <w:rsid w:val="001D48AA"/>
    <w:rsid w:val="001D4990"/>
    <w:rsid w:val="001D4BD3"/>
    <w:rsid w:val="001D5020"/>
    <w:rsid w:val="001D52F6"/>
    <w:rsid w:val="001D6A64"/>
    <w:rsid w:val="001D6CB8"/>
    <w:rsid w:val="001D72D8"/>
    <w:rsid w:val="001D7EC5"/>
    <w:rsid w:val="001E056A"/>
    <w:rsid w:val="001E1153"/>
    <w:rsid w:val="001E2C68"/>
    <w:rsid w:val="001E2DF7"/>
    <w:rsid w:val="001E3099"/>
    <w:rsid w:val="001E319E"/>
    <w:rsid w:val="001E3984"/>
    <w:rsid w:val="001E3FE0"/>
    <w:rsid w:val="001E43BA"/>
    <w:rsid w:val="001E4D37"/>
    <w:rsid w:val="001E539F"/>
    <w:rsid w:val="001E5FED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499"/>
    <w:rsid w:val="00201533"/>
    <w:rsid w:val="0020173E"/>
    <w:rsid w:val="0020213C"/>
    <w:rsid w:val="0020247D"/>
    <w:rsid w:val="002026CD"/>
    <w:rsid w:val="00202D56"/>
    <w:rsid w:val="002032E8"/>
    <w:rsid w:val="00203398"/>
    <w:rsid w:val="002036CD"/>
    <w:rsid w:val="00204342"/>
    <w:rsid w:val="002056E6"/>
    <w:rsid w:val="00205B3E"/>
    <w:rsid w:val="0020706D"/>
    <w:rsid w:val="002070F4"/>
    <w:rsid w:val="002071A9"/>
    <w:rsid w:val="00207F55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76B1"/>
    <w:rsid w:val="002202D4"/>
    <w:rsid w:val="002203C0"/>
    <w:rsid w:val="0022052A"/>
    <w:rsid w:val="00220746"/>
    <w:rsid w:val="00220A84"/>
    <w:rsid w:val="002216E0"/>
    <w:rsid w:val="00222666"/>
    <w:rsid w:val="00222920"/>
    <w:rsid w:val="00222927"/>
    <w:rsid w:val="002239B0"/>
    <w:rsid w:val="00223A4E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84A"/>
    <w:rsid w:val="002338DC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4568"/>
    <w:rsid w:val="0024542E"/>
    <w:rsid w:val="002465AB"/>
    <w:rsid w:val="00246DF5"/>
    <w:rsid w:val="002471FC"/>
    <w:rsid w:val="00247504"/>
    <w:rsid w:val="00247654"/>
    <w:rsid w:val="00247CA8"/>
    <w:rsid w:val="00247F3F"/>
    <w:rsid w:val="0025105B"/>
    <w:rsid w:val="00251CDD"/>
    <w:rsid w:val="00253D4F"/>
    <w:rsid w:val="00254375"/>
    <w:rsid w:val="00254429"/>
    <w:rsid w:val="00254927"/>
    <w:rsid w:val="00254AB9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0A20"/>
    <w:rsid w:val="002613C4"/>
    <w:rsid w:val="002619B0"/>
    <w:rsid w:val="00261C26"/>
    <w:rsid w:val="00262019"/>
    <w:rsid w:val="00262104"/>
    <w:rsid w:val="002622F8"/>
    <w:rsid w:val="00262767"/>
    <w:rsid w:val="00262F45"/>
    <w:rsid w:val="002631E5"/>
    <w:rsid w:val="00263270"/>
    <w:rsid w:val="002637C3"/>
    <w:rsid w:val="00264076"/>
    <w:rsid w:val="00264734"/>
    <w:rsid w:val="00264CE8"/>
    <w:rsid w:val="00266155"/>
    <w:rsid w:val="002677FB"/>
    <w:rsid w:val="002678BF"/>
    <w:rsid w:val="00267DC0"/>
    <w:rsid w:val="00271408"/>
    <w:rsid w:val="00271419"/>
    <w:rsid w:val="00271C31"/>
    <w:rsid w:val="00272838"/>
    <w:rsid w:val="00272D61"/>
    <w:rsid w:val="0027379F"/>
    <w:rsid w:val="00273955"/>
    <w:rsid w:val="00273C07"/>
    <w:rsid w:val="00273EF8"/>
    <w:rsid w:val="00275186"/>
    <w:rsid w:val="002752AF"/>
    <w:rsid w:val="002767CB"/>
    <w:rsid w:val="00276936"/>
    <w:rsid w:val="00276F9B"/>
    <w:rsid w:val="0027706F"/>
    <w:rsid w:val="0027789D"/>
    <w:rsid w:val="00277A79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90C45"/>
    <w:rsid w:val="00290CF0"/>
    <w:rsid w:val="00292457"/>
    <w:rsid w:val="0029271C"/>
    <w:rsid w:val="0029349A"/>
    <w:rsid w:val="00293C37"/>
    <w:rsid w:val="00294B1A"/>
    <w:rsid w:val="00295369"/>
    <w:rsid w:val="002957E4"/>
    <w:rsid w:val="00295ACE"/>
    <w:rsid w:val="00295B8E"/>
    <w:rsid w:val="00295B90"/>
    <w:rsid w:val="00296078"/>
    <w:rsid w:val="00296CD5"/>
    <w:rsid w:val="00297023"/>
    <w:rsid w:val="002972BF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6FEA"/>
    <w:rsid w:val="002A7BB7"/>
    <w:rsid w:val="002B0B03"/>
    <w:rsid w:val="002B0FAC"/>
    <w:rsid w:val="002B2B6A"/>
    <w:rsid w:val="002B3C89"/>
    <w:rsid w:val="002B3E80"/>
    <w:rsid w:val="002B449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195"/>
    <w:rsid w:val="002D145F"/>
    <w:rsid w:val="002D1560"/>
    <w:rsid w:val="002D2CAE"/>
    <w:rsid w:val="002D380C"/>
    <w:rsid w:val="002D41E0"/>
    <w:rsid w:val="002D49C6"/>
    <w:rsid w:val="002D6E22"/>
    <w:rsid w:val="002D6FB6"/>
    <w:rsid w:val="002E0794"/>
    <w:rsid w:val="002E0835"/>
    <w:rsid w:val="002E09E9"/>
    <w:rsid w:val="002E0FE4"/>
    <w:rsid w:val="002E201F"/>
    <w:rsid w:val="002E2171"/>
    <w:rsid w:val="002E25D9"/>
    <w:rsid w:val="002E28AA"/>
    <w:rsid w:val="002E2ACC"/>
    <w:rsid w:val="002E3C09"/>
    <w:rsid w:val="002E3CEB"/>
    <w:rsid w:val="002E3F91"/>
    <w:rsid w:val="002E49C9"/>
    <w:rsid w:val="002E4C67"/>
    <w:rsid w:val="002E514E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4AF"/>
    <w:rsid w:val="002F2C0D"/>
    <w:rsid w:val="002F2FCC"/>
    <w:rsid w:val="002F3489"/>
    <w:rsid w:val="002F39FB"/>
    <w:rsid w:val="002F472C"/>
    <w:rsid w:val="002F4BBF"/>
    <w:rsid w:val="002F5375"/>
    <w:rsid w:val="002F5726"/>
    <w:rsid w:val="002F620A"/>
    <w:rsid w:val="002F621B"/>
    <w:rsid w:val="002F7585"/>
    <w:rsid w:val="002F7A81"/>
    <w:rsid w:val="002F7B14"/>
    <w:rsid w:val="0030143E"/>
    <w:rsid w:val="003015E1"/>
    <w:rsid w:val="00301F1B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595"/>
    <w:rsid w:val="00305A5A"/>
    <w:rsid w:val="00305F5E"/>
    <w:rsid w:val="00306797"/>
    <w:rsid w:val="00306CF8"/>
    <w:rsid w:val="0030702C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7ED"/>
    <w:rsid w:val="003139BD"/>
    <w:rsid w:val="00316263"/>
    <w:rsid w:val="003169CF"/>
    <w:rsid w:val="00317019"/>
    <w:rsid w:val="00317245"/>
    <w:rsid w:val="003173C1"/>
    <w:rsid w:val="00317F8B"/>
    <w:rsid w:val="00320156"/>
    <w:rsid w:val="0032031E"/>
    <w:rsid w:val="00320BD6"/>
    <w:rsid w:val="00321FCE"/>
    <w:rsid w:val="003231DA"/>
    <w:rsid w:val="0032352C"/>
    <w:rsid w:val="00323EEF"/>
    <w:rsid w:val="00323F92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0BDE"/>
    <w:rsid w:val="003321FE"/>
    <w:rsid w:val="00332490"/>
    <w:rsid w:val="003324C9"/>
    <w:rsid w:val="0033311A"/>
    <w:rsid w:val="00333919"/>
    <w:rsid w:val="00333A32"/>
    <w:rsid w:val="00333DE0"/>
    <w:rsid w:val="00333E8D"/>
    <w:rsid w:val="00334041"/>
    <w:rsid w:val="0033477E"/>
    <w:rsid w:val="003347E4"/>
    <w:rsid w:val="00334A30"/>
    <w:rsid w:val="00334A84"/>
    <w:rsid w:val="00334CEB"/>
    <w:rsid w:val="00334D71"/>
    <w:rsid w:val="003353EA"/>
    <w:rsid w:val="003354D6"/>
    <w:rsid w:val="0033686E"/>
    <w:rsid w:val="00336954"/>
    <w:rsid w:val="00336CF2"/>
    <w:rsid w:val="00337358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519C"/>
    <w:rsid w:val="003456F9"/>
    <w:rsid w:val="0034649E"/>
    <w:rsid w:val="0035072E"/>
    <w:rsid w:val="00350857"/>
    <w:rsid w:val="00350F99"/>
    <w:rsid w:val="00351FD5"/>
    <w:rsid w:val="00352D4D"/>
    <w:rsid w:val="00353051"/>
    <w:rsid w:val="0035319F"/>
    <w:rsid w:val="003537C8"/>
    <w:rsid w:val="00353F1C"/>
    <w:rsid w:val="00353FFC"/>
    <w:rsid w:val="00355239"/>
    <w:rsid w:val="00355D6B"/>
    <w:rsid w:val="003574D1"/>
    <w:rsid w:val="003578FF"/>
    <w:rsid w:val="00357DDD"/>
    <w:rsid w:val="0036117C"/>
    <w:rsid w:val="00361D4E"/>
    <w:rsid w:val="00361ED8"/>
    <w:rsid w:val="0036211E"/>
    <w:rsid w:val="00362C0D"/>
    <w:rsid w:val="00362D4F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591"/>
    <w:rsid w:val="00371BDA"/>
    <w:rsid w:val="003720A1"/>
    <w:rsid w:val="00373B97"/>
    <w:rsid w:val="00373D7F"/>
    <w:rsid w:val="0037452C"/>
    <w:rsid w:val="00374A51"/>
    <w:rsid w:val="00374AB0"/>
    <w:rsid w:val="00374B03"/>
    <w:rsid w:val="00374E6E"/>
    <w:rsid w:val="00374EFE"/>
    <w:rsid w:val="00375315"/>
    <w:rsid w:val="00375BAB"/>
    <w:rsid w:val="003761B1"/>
    <w:rsid w:val="00376456"/>
    <w:rsid w:val="0037656E"/>
    <w:rsid w:val="003772EC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6F5B"/>
    <w:rsid w:val="00387042"/>
    <w:rsid w:val="00387047"/>
    <w:rsid w:val="00387386"/>
    <w:rsid w:val="00387F2F"/>
    <w:rsid w:val="00390E86"/>
    <w:rsid w:val="00391214"/>
    <w:rsid w:val="003917C6"/>
    <w:rsid w:val="003918BC"/>
    <w:rsid w:val="003919C9"/>
    <w:rsid w:val="003928A0"/>
    <w:rsid w:val="00392D2B"/>
    <w:rsid w:val="00393846"/>
    <w:rsid w:val="00394647"/>
    <w:rsid w:val="00394906"/>
    <w:rsid w:val="0039495A"/>
    <w:rsid w:val="00394EE8"/>
    <w:rsid w:val="00395477"/>
    <w:rsid w:val="00395931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2A43"/>
    <w:rsid w:val="003B3CAB"/>
    <w:rsid w:val="003B5F88"/>
    <w:rsid w:val="003B714D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4A87"/>
    <w:rsid w:val="003C525E"/>
    <w:rsid w:val="003C587A"/>
    <w:rsid w:val="003C6229"/>
    <w:rsid w:val="003C633D"/>
    <w:rsid w:val="003C654C"/>
    <w:rsid w:val="003C66D3"/>
    <w:rsid w:val="003C7960"/>
    <w:rsid w:val="003D0880"/>
    <w:rsid w:val="003D094E"/>
    <w:rsid w:val="003D09A1"/>
    <w:rsid w:val="003D12F0"/>
    <w:rsid w:val="003D14AB"/>
    <w:rsid w:val="003D1B33"/>
    <w:rsid w:val="003D1F65"/>
    <w:rsid w:val="003D260D"/>
    <w:rsid w:val="003D35CA"/>
    <w:rsid w:val="003D394E"/>
    <w:rsid w:val="003D408C"/>
    <w:rsid w:val="003D40EE"/>
    <w:rsid w:val="003D47AA"/>
    <w:rsid w:val="003D5440"/>
    <w:rsid w:val="003D6BE2"/>
    <w:rsid w:val="003D6C3C"/>
    <w:rsid w:val="003D6C84"/>
    <w:rsid w:val="003D6D2B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3E2B"/>
    <w:rsid w:val="003E4470"/>
    <w:rsid w:val="003E470B"/>
    <w:rsid w:val="003E686C"/>
    <w:rsid w:val="003E6E16"/>
    <w:rsid w:val="003F05B9"/>
    <w:rsid w:val="003F0949"/>
    <w:rsid w:val="003F0AAB"/>
    <w:rsid w:val="003F1589"/>
    <w:rsid w:val="003F1A4D"/>
    <w:rsid w:val="003F20F5"/>
    <w:rsid w:val="003F2FF8"/>
    <w:rsid w:val="003F32FB"/>
    <w:rsid w:val="003F33B8"/>
    <w:rsid w:val="003F34A1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87C"/>
    <w:rsid w:val="00406F9F"/>
    <w:rsid w:val="0040754D"/>
    <w:rsid w:val="004075FC"/>
    <w:rsid w:val="004110D7"/>
    <w:rsid w:val="004112FF"/>
    <w:rsid w:val="00412424"/>
    <w:rsid w:val="0041255F"/>
    <w:rsid w:val="00412AE3"/>
    <w:rsid w:val="00413365"/>
    <w:rsid w:val="00413F3C"/>
    <w:rsid w:val="004140D0"/>
    <w:rsid w:val="0041416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545D"/>
    <w:rsid w:val="00426C25"/>
    <w:rsid w:val="00426CE6"/>
    <w:rsid w:val="004270A1"/>
    <w:rsid w:val="00427331"/>
    <w:rsid w:val="00427DE8"/>
    <w:rsid w:val="00431211"/>
    <w:rsid w:val="0043128C"/>
    <w:rsid w:val="0043222F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524D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6A6"/>
    <w:rsid w:val="00457528"/>
    <w:rsid w:val="00460049"/>
    <w:rsid w:val="00460303"/>
    <w:rsid w:val="0046051C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058"/>
    <w:rsid w:val="0046637C"/>
    <w:rsid w:val="00466489"/>
    <w:rsid w:val="00467797"/>
    <w:rsid w:val="00467FD9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1F44"/>
    <w:rsid w:val="00482362"/>
    <w:rsid w:val="00482601"/>
    <w:rsid w:val="00482FA4"/>
    <w:rsid w:val="00483242"/>
    <w:rsid w:val="00483B9C"/>
    <w:rsid w:val="00483C7A"/>
    <w:rsid w:val="0048420C"/>
    <w:rsid w:val="00485883"/>
    <w:rsid w:val="00485FCD"/>
    <w:rsid w:val="004868AF"/>
    <w:rsid w:val="0048706F"/>
    <w:rsid w:val="004872F8"/>
    <w:rsid w:val="00487663"/>
    <w:rsid w:val="00487AC3"/>
    <w:rsid w:val="00490DF5"/>
    <w:rsid w:val="00491311"/>
    <w:rsid w:val="0049161F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C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53B"/>
    <w:rsid w:val="004B07AF"/>
    <w:rsid w:val="004B0E8F"/>
    <w:rsid w:val="004B1ED8"/>
    <w:rsid w:val="004B2DF1"/>
    <w:rsid w:val="004B2F6C"/>
    <w:rsid w:val="004B34AC"/>
    <w:rsid w:val="004B37AF"/>
    <w:rsid w:val="004B4550"/>
    <w:rsid w:val="004B5371"/>
    <w:rsid w:val="004B6591"/>
    <w:rsid w:val="004B66EC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36A1"/>
    <w:rsid w:val="004D4227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E01F7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6752"/>
    <w:rsid w:val="004E7159"/>
    <w:rsid w:val="004E7D82"/>
    <w:rsid w:val="004F0AA2"/>
    <w:rsid w:val="004F0B43"/>
    <w:rsid w:val="004F13B0"/>
    <w:rsid w:val="004F1723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02"/>
    <w:rsid w:val="004F6C7C"/>
    <w:rsid w:val="004F6EF0"/>
    <w:rsid w:val="004F6F8F"/>
    <w:rsid w:val="004F7460"/>
    <w:rsid w:val="004F7C10"/>
    <w:rsid w:val="0050042F"/>
    <w:rsid w:val="00501095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C8E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7D1"/>
    <w:rsid w:val="00511902"/>
    <w:rsid w:val="00511CEC"/>
    <w:rsid w:val="00511E99"/>
    <w:rsid w:val="005124D4"/>
    <w:rsid w:val="00512940"/>
    <w:rsid w:val="00513527"/>
    <w:rsid w:val="00513AEC"/>
    <w:rsid w:val="00514D7A"/>
    <w:rsid w:val="0051525B"/>
    <w:rsid w:val="005153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601"/>
    <w:rsid w:val="00522BB8"/>
    <w:rsid w:val="00522F21"/>
    <w:rsid w:val="005233BD"/>
    <w:rsid w:val="00523663"/>
    <w:rsid w:val="005238F6"/>
    <w:rsid w:val="00525074"/>
    <w:rsid w:val="005257FE"/>
    <w:rsid w:val="00525D72"/>
    <w:rsid w:val="00526B77"/>
    <w:rsid w:val="0052701B"/>
    <w:rsid w:val="0052716D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805"/>
    <w:rsid w:val="00533B0B"/>
    <w:rsid w:val="0053408C"/>
    <w:rsid w:val="005343AB"/>
    <w:rsid w:val="005343FE"/>
    <w:rsid w:val="00534D5B"/>
    <w:rsid w:val="0053543C"/>
    <w:rsid w:val="00535937"/>
    <w:rsid w:val="00535DE3"/>
    <w:rsid w:val="00535F83"/>
    <w:rsid w:val="00537713"/>
    <w:rsid w:val="00537946"/>
    <w:rsid w:val="005400A7"/>
    <w:rsid w:val="00540C35"/>
    <w:rsid w:val="00542A61"/>
    <w:rsid w:val="00543BA8"/>
    <w:rsid w:val="0054511F"/>
    <w:rsid w:val="00545A89"/>
    <w:rsid w:val="00545D9C"/>
    <w:rsid w:val="00546243"/>
    <w:rsid w:val="005463CF"/>
    <w:rsid w:val="00546697"/>
    <w:rsid w:val="005469A3"/>
    <w:rsid w:val="00546E21"/>
    <w:rsid w:val="0054704D"/>
    <w:rsid w:val="00547254"/>
    <w:rsid w:val="00547485"/>
    <w:rsid w:val="00547CE8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9F4"/>
    <w:rsid w:val="00562E70"/>
    <w:rsid w:val="00563367"/>
    <w:rsid w:val="005639A2"/>
    <w:rsid w:val="00563A5E"/>
    <w:rsid w:val="00563D20"/>
    <w:rsid w:val="00563E02"/>
    <w:rsid w:val="00563E93"/>
    <w:rsid w:val="0056457B"/>
    <w:rsid w:val="0056520D"/>
    <w:rsid w:val="0056543D"/>
    <w:rsid w:val="005657A1"/>
    <w:rsid w:val="00565CBE"/>
    <w:rsid w:val="005663EF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3CDF"/>
    <w:rsid w:val="00574269"/>
    <w:rsid w:val="00574537"/>
    <w:rsid w:val="00575443"/>
    <w:rsid w:val="00575F36"/>
    <w:rsid w:val="00576913"/>
    <w:rsid w:val="00577046"/>
    <w:rsid w:val="0057725D"/>
    <w:rsid w:val="00577746"/>
    <w:rsid w:val="00577AB5"/>
    <w:rsid w:val="005806B7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1E04"/>
    <w:rsid w:val="005B2303"/>
    <w:rsid w:val="005B286F"/>
    <w:rsid w:val="005B44FF"/>
    <w:rsid w:val="005B4AAA"/>
    <w:rsid w:val="005B50F4"/>
    <w:rsid w:val="005B591B"/>
    <w:rsid w:val="005B65B4"/>
    <w:rsid w:val="005B68F3"/>
    <w:rsid w:val="005B6A2D"/>
    <w:rsid w:val="005B6F58"/>
    <w:rsid w:val="005B7024"/>
    <w:rsid w:val="005B7F86"/>
    <w:rsid w:val="005C04C2"/>
    <w:rsid w:val="005C0735"/>
    <w:rsid w:val="005C1B61"/>
    <w:rsid w:val="005C210D"/>
    <w:rsid w:val="005C2CA0"/>
    <w:rsid w:val="005C2F6F"/>
    <w:rsid w:val="005C3D88"/>
    <w:rsid w:val="005C47E6"/>
    <w:rsid w:val="005C4BD0"/>
    <w:rsid w:val="005C5673"/>
    <w:rsid w:val="005C5AB5"/>
    <w:rsid w:val="005C5FDD"/>
    <w:rsid w:val="005C6109"/>
    <w:rsid w:val="005C643F"/>
    <w:rsid w:val="005C67A7"/>
    <w:rsid w:val="005C6975"/>
    <w:rsid w:val="005C6C35"/>
    <w:rsid w:val="005C6DDB"/>
    <w:rsid w:val="005C703F"/>
    <w:rsid w:val="005D19D3"/>
    <w:rsid w:val="005D32C8"/>
    <w:rsid w:val="005D3EA2"/>
    <w:rsid w:val="005D43B9"/>
    <w:rsid w:val="005D482E"/>
    <w:rsid w:val="005D6E00"/>
    <w:rsid w:val="005D71CE"/>
    <w:rsid w:val="005D7653"/>
    <w:rsid w:val="005D794C"/>
    <w:rsid w:val="005E026E"/>
    <w:rsid w:val="005E037A"/>
    <w:rsid w:val="005E0405"/>
    <w:rsid w:val="005E056B"/>
    <w:rsid w:val="005E114C"/>
    <w:rsid w:val="005E18A7"/>
    <w:rsid w:val="005E1ED1"/>
    <w:rsid w:val="005E2132"/>
    <w:rsid w:val="005E2CDA"/>
    <w:rsid w:val="005E39C1"/>
    <w:rsid w:val="005E4164"/>
    <w:rsid w:val="005E4EA6"/>
    <w:rsid w:val="005E51F2"/>
    <w:rsid w:val="005E5594"/>
    <w:rsid w:val="005E55B5"/>
    <w:rsid w:val="005E576F"/>
    <w:rsid w:val="005E591F"/>
    <w:rsid w:val="005E5999"/>
    <w:rsid w:val="005E6915"/>
    <w:rsid w:val="005E70CB"/>
    <w:rsid w:val="005E754C"/>
    <w:rsid w:val="005F0D2D"/>
    <w:rsid w:val="005F2375"/>
    <w:rsid w:val="005F2438"/>
    <w:rsid w:val="005F286F"/>
    <w:rsid w:val="005F2EBC"/>
    <w:rsid w:val="005F4941"/>
    <w:rsid w:val="005F4E89"/>
    <w:rsid w:val="005F5014"/>
    <w:rsid w:val="005F6C73"/>
    <w:rsid w:val="005F7011"/>
    <w:rsid w:val="00600186"/>
    <w:rsid w:val="006018C8"/>
    <w:rsid w:val="00602A0E"/>
    <w:rsid w:val="00603192"/>
    <w:rsid w:val="0060325A"/>
    <w:rsid w:val="00603368"/>
    <w:rsid w:val="00603BD7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52B9"/>
    <w:rsid w:val="00625C89"/>
    <w:rsid w:val="00626841"/>
    <w:rsid w:val="00627611"/>
    <w:rsid w:val="00627BB6"/>
    <w:rsid w:val="00627BF7"/>
    <w:rsid w:val="0063017F"/>
    <w:rsid w:val="0063079C"/>
    <w:rsid w:val="006308CE"/>
    <w:rsid w:val="00630D3E"/>
    <w:rsid w:val="0063109D"/>
    <w:rsid w:val="00631566"/>
    <w:rsid w:val="00632072"/>
    <w:rsid w:val="00632079"/>
    <w:rsid w:val="006324EB"/>
    <w:rsid w:val="00632554"/>
    <w:rsid w:val="006330C6"/>
    <w:rsid w:val="00633BF5"/>
    <w:rsid w:val="00634A64"/>
    <w:rsid w:val="00635076"/>
    <w:rsid w:val="0063559B"/>
    <w:rsid w:val="0063647E"/>
    <w:rsid w:val="00636AF6"/>
    <w:rsid w:val="00636BD1"/>
    <w:rsid w:val="00637282"/>
    <w:rsid w:val="00637315"/>
    <w:rsid w:val="006377A0"/>
    <w:rsid w:val="00637BD1"/>
    <w:rsid w:val="006407BF"/>
    <w:rsid w:val="006409F7"/>
    <w:rsid w:val="006411AD"/>
    <w:rsid w:val="00641AD1"/>
    <w:rsid w:val="00641BDC"/>
    <w:rsid w:val="00642149"/>
    <w:rsid w:val="00642641"/>
    <w:rsid w:val="006438AA"/>
    <w:rsid w:val="00644EDA"/>
    <w:rsid w:val="0064541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A1D"/>
    <w:rsid w:val="00663E14"/>
    <w:rsid w:val="00664D1D"/>
    <w:rsid w:val="00664DF9"/>
    <w:rsid w:val="0066502B"/>
    <w:rsid w:val="00665972"/>
    <w:rsid w:val="00665B84"/>
    <w:rsid w:val="00666387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11EF"/>
    <w:rsid w:val="0067210C"/>
    <w:rsid w:val="00672235"/>
    <w:rsid w:val="006730BF"/>
    <w:rsid w:val="00673B4B"/>
    <w:rsid w:val="006745D2"/>
    <w:rsid w:val="00674974"/>
    <w:rsid w:val="00674F87"/>
    <w:rsid w:val="00675C8A"/>
    <w:rsid w:val="00676504"/>
    <w:rsid w:val="0067675C"/>
    <w:rsid w:val="0067722D"/>
    <w:rsid w:val="00677E19"/>
    <w:rsid w:val="0068007D"/>
    <w:rsid w:val="006801BE"/>
    <w:rsid w:val="0068080B"/>
    <w:rsid w:val="00680A4B"/>
    <w:rsid w:val="00680CEF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0C0"/>
    <w:rsid w:val="006867B9"/>
    <w:rsid w:val="00686959"/>
    <w:rsid w:val="0068710C"/>
    <w:rsid w:val="00687230"/>
    <w:rsid w:val="00687A23"/>
    <w:rsid w:val="00687ADE"/>
    <w:rsid w:val="00687EC2"/>
    <w:rsid w:val="00690A81"/>
    <w:rsid w:val="00690C52"/>
    <w:rsid w:val="0069134D"/>
    <w:rsid w:val="00691C1C"/>
    <w:rsid w:val="006923D2"/>
    <w:rsid w:val="006932B7"/>
    <w:rsid w:val="0069386C"/>
    <w:rsid w:val="00693B04"/>
    <w:rsid w:val="00693BB2"/>
    <w:rsid w:val="00694482"/>
    <w:rsid w:val="0069489C"/>
    <w:rsid w:val="00694ADA"/>
    <w:rsid w:val="00694DEA"/>
    <w:rsid w:val="0069513B"/>
    <w:rsid w:val="00695183"/>
    <w:rsid w:val="0069535D"/>
    <w:rsid w:val="00695415"/>
    <w:rsid w:val="006955CB"/>
    <w:rsid w:val="0069623A"/>
    <w:rsid w:val="006A004A"/>
    <w:rsid w:val="006A03B3"/>
    <w:rsid w:val="006A08A6"/>
    <w:rsid w:val="006A15C5"/>
    <w:rsid w:val="006A195A"/>
    <w:rsid w:val="006A1C68"/>
    <w:rsid w:val="006A2313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5BA1"/>
    <w:rsid w:val="006B60F6"/>
    <w:rsid w:val="006B6558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57E5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0A1"/>
    <w:rsid w:val="006E4592"/>
    <w:rsid w:val="006E467A"/>
    <w:rsid w:val="006E4FD1"/>
    <w:rsid w:val="006E50A5"/>
    <w:rsid w:val="006E55BD"/>
    <w:rsid w:val="006E5F00"/>
    <w:rsid w:val="006E6110"/>
    <w:rsid w:val="006E61DE"/>
    <w:rsid w:val="006E62FE"/>
    <w:rsid w:val="006E6DC7"/>
    <w:rsid w:val="006E6E2B"/>
    <w:rsid w:val="006E7239"/>
    <w:rsid w:val="006E755E"/>
    <w:rsid w:val="006E7592"/>
    <w:rsid w:val="006F0628"/>
    <w:rsid w:val="006F2AF0"/>
    <w:rsid w:val="006F33A9"/>
    <w:rsid w:val="006F33CA"/>
    <w:rsid w:val="006F33D1"/>
    <w:rsid w:val="006F38E0"/>
    <w:rsid w:val="006F4CFD"/>
    <w:rsid w:val="006F57F9"/>
    <w:rsid w:val="006F6A5E"/>
    <w:rsid w:val="006F6F4C"/>
    <w:rsid w:val="006F7417"/>
    <w:rsid w:val="00700525"/>
    <w:rsid w:val="00700646"/>
    <w:rsid w:val="007008BA"/>
    <w:rsid w:val="00701FE6"/>
    <w:rsid w:val="00702D32"/>
    <w:rsid w:val="007033AF"/>
    <w:rsid w:val="00703460"/>
    <w:rsid w:val="0070399B"/>
    <w:rsid w:val="00705903"/>
    <w:rsid w:val="00705F20"/>
    <w:rsid w:val="00706077"/>
    <w:rsid w:val="00706A14"/>
    <w:rsid w:val="00706C0F"/>
    <w:rsid w:val="00706D2A"/>
    <w:rsid w:val="00707E7C"/>
    <w:rsid w:val="007101B3"/>
    <w:rsid w:val="00710227"/>
    <w:rsid w:val="007107CA"/>
    <w:rsid w:val="00710A9D"/>
    <w:rsid w:val="00710E88"/>
    <w:rsid w:val="007114F4"/>
    <w:rsid w:val="00711B90"/>
    <w:rsid w:val="00711F82"/>
    <w:rsid w:val="00712674"/>
    <w:rsid w:val="00713149"/>
    <w:rsid w:val="007144C0"/>
    <w:rsid w:val="00714744"/>
    <w:rsid w:val="007156AA"/>
    <w:rsid w:val="007159BD"/>
    <w:rsid w:val="00715E0C"/>
    <w:rsid w:val="0071743A"/>
    <w:rsid w:val="0072028C"/>
    <w:rsid w:val="007207F6"/>
    <w:rsid w:val="007209FE"/>
    <w:rsid w:val="00721ED4"/>
    <w:rsid w:val="007236A1"/>
    <w:rsid w:val="00723CD6"/>
    <w:rsid w:val="00723E48"/>
    <w:rsid w:val="00724558"/>
    <w:rsid w:val="0072461A"/>
    <w:rsid w:val="0072483E"/>
    <w:rsid w:val="00725D4C"/>
    <w:rsid w:val="007260D5"/>
    <w:rsid w:val="00726497"/>
    <w:rsid w:val="0072684D"/>
    <w:rsid w:val="007272BD"/>
    <w:rsid w:val="00727C57"/>
    <w:rsid w:val="00727F4E"/>
    <w:rsid w:val="007305F8"/>
    <w:rsid w:val="0073073F"/>
    <w:rsid w:val="007313DF"/>
    <w:rsid w:val="00732149"/>
    <w:rsid w:val="0073268D"/>
    <w:rsid w:val="00733110"/>
    <w:rsid w:val="00733355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3792F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1E52"/>
    <w:rsid w:val="007520EC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582"/>
    <w:rsid w:val="00763959"/>
    <w:rsid w:val="00763FCB"/>
    <w:rsid w:val="00764A72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B72"/>
    <w:rsid w:val="007721F9"/>
    <w:rsid w:val="007723D2"/>
    <w:rsid w:val="007723DF"/>
    <w:rsid w:val="00773216"/>
    <w:rsid w:val="0077464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BF8"/>
    <w:rsid w:val="0078018E"/>
    <w:rsid w:val="00780D12"/>
    <w:rsid w:val="0078103E"/>
    <w:rsid w:val="00781C06"/>
    <w:rsid w:val="00782235"/>
    <w:rsid w:val="007822BB"/>
    <w:rsid w:val="00782BD4"/>
    <w:rsid w:val="00784262"/>
    <w:rsid w:val="007842A9"/>
    <w:rsid w:val="0078435A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4443"/>
    <w:rsid w:val="00795098"/>
    <w:rsid w:val="00795402"/>
    <w:rsid w:val="00795E33"/>
    <w:rsid w:val="00795F35"/>
    <w:rsid w:val="00796F39"/>
    <w:rsid w:val="007970CB"/>
    <w:rsid w:val="007976B2"/>
    <w:rsid w:val="007A0808"/>
    <w:rsid w:val="007A0CDF"/>
    <w:rsid w:val="007A1073"/>
    <w:rsid w:val="007A1339"/>
    <w:rsid w:val="007A1B21"/>
    <w:rsid w:val="007A27C1"/>
    <w:rsid w:val="007A28DF"/>
    <w:rsid w:val="007A292F"/>
    <w:rsid w:val="007A2D18"/>
    <w:rsid w:val="007A2F58"/>
    <w:rsid w:val="007A48EB"/>
    <w:rsid w:val="007A532D"/>
    <w:rsid w:val="007A6ECB"/>
    <w:rsid w:val="007A780A"/>
    <w:rsid w:val="007B1276"/>
    <w:rsid w:val="007B154E"/>
    <w:rsid w:val="007B1BDD"/>
    <w:rsid w:val="007B309C"/>
    <w:rsid w:val="007B346B"/>
    <w:rsid w:val="007B3494"/>
    <w:rsid w:val="007B3D59"/>
    <w:rsid w:val="007B4355"/>
    <w:rsid w:val="007B48D6"/>
    <w:rsid w:val="007B5473"/>
    <w:rsid w:val="007B66F5"/>
    <w:rsid w:val="007B6B82"/>
    <w:rsid w:val="007B6BF0"/>
    <w:rsid w:val="007B6DDC"/>
    <w:rsid w:val="007B6DF4"/>
    <w:rsid w:val="007C0565"/>
    <w:rsid w:val="007C161B"/>
    <w:rsid w:val="007C16A7"/>
    <w:rsid w:val="007C2169"/>
    <w:rsid w:val="007C2AC9"/>
    <w:rsid w:val="007C30D3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1F6F"/>
    <w:rsid w:val="007D2C41"/>
    <w:rsid w:val="007D3002"/>
    <w:rsid w:val="007D42A3"/>
    <w:rsid w:val="007D517C"/>
    <w:rsid w:val="007D57E2"/>
    <w:rsid w:val="007D6A73"/>
    <w:rsid w:val="007D76CF"/>
    <w:rsid w:val="007D78E6"/>
    <w:rsid w:val="007E04DB"/>
    <w:rsid w:val="007E1A44"/>
    <w:rsid w:val="007E1A81"/>
    <w:rsid w:val="007E2293"/>
    <w:rsid w:val="007E3CEA"/>
    <w:rsid w:val="007E5853"/>
    <w:rsid w:val="007E7500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48C"/>
    <w:rsid w:val="007F50F8"/>
    <w:rsid w:val="007F5141"/>
    <w:rsid w:val="007F532A"/>
    <w:rsid w:val="007F6C5D"/>
    <w:rsid w:val="007F6C8E"/>
    <w:rsid w:val="007F6D6F"/>
    <w:rsid w:val="007F70BB"/>
    <w:rsid w:val="007F762F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832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2B4A"/>
    <w:rsid w:val="008233C5"/>
    <w:rsid w:val="00823B7C"/>
    <w:rsid w:val="0082477B"/>
    <w:rsid w:val="00824E03"/>
    <w:rsid w:val="00824EEF"/>
    <w:rsid w:val="0082538A"/>
    <w:rsid w:val="00825D8D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4031E"/>
    <w:rsid w:val="0084060D"/>
    <w:rsid w:val="00840671"/>
    <w:rsid w:val="0084192E"/>
    <w:rsid w:val="00842AB4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BA9"/>
    <w:rsid w:val="00854137"/>
    <w:rsid w:val="008544A6"/>
    <w:rsid w:val="00854815"/>
    <w:rsid w:val="00854D61"/>
    <w:rsid w:val="008551F8"/>
    <w:rsid w:val="00855A7E"/>
    <w:rsid w:val="0085672D"/>
    <w:rsid w:val="00860CD5"/>
    <w:rsid w:val="008613A5"/>
    <w:rsid w:val="0086254E"/>
    <w:rsid w:val="008625D1"/>
    <w:rsid w:val="00862768"/>
    <w:rsid w:val="00862FA7"/>
    <w:rsid w:val="00863497"/>
    <w:rsid w:val="00863E68"/>
    <w:rsid w:val="008640B2"/>
    <w:rsid w:val="00864571"/>
    <w:rsid w:val="00864678"/>
    <w:rsid w:val="0086534B"/>
    <w:rsid w:val="0086660E"/>
    <w:rsid w:val="008670AD"/>
    <w:rsid w:val="0086757C"/>
    <w:rsid w:val="00870772"/>
    <w:rsid w:val="00870D2B"/>
    <w:rsid w:val="00870E80"/>
    <w:rsid w:val="00871610"/>
    <w:rsid w:val="00871675"/>
    <w:rsid w:val="00872929"/>
    <w:rsid w:val="00872FC8"/>
    <w:rsid w:val="0087359F"/>
    <w:rsid w:val="00873661"/>
    <w:rsid w:val="00873A52"/>
    <w:rsid w:val="00873F09"/>
    <w:rsid w:val="0087466A"/>
    <w:rsid w:val="00874C58"/>
    <w:rsid w:val="008751E5"/>
    <w:rsid w:val="00875731"/>
    <w:rsid w:val="008757F9"/>
    <w:rsid w:val="008768BA"/>
    <w:rsid w:val="00877B37"/>
    <w:rsid w:val="00877B58"/>
    <w:rsid w:val="00877D7E"/>
    <w:rsid w:val="00880B58"/>
    <w:rsid w:val="00880E5E"/>
    <w:rsid w:val="00881268"/>
    <w:rsid w:val="0088126B"/>
    <w:rsid w:val="00881DA5"/>
    <w:rsid w:val="0088212B"/>
    <w:rsid w:val="00882957"/>
    <w:rsid w:val="00882D1E"/>
    <w:rsid w:val="0088355F"/>
    <w:rsid w:val="008836E4"/>
    <w:rsid w:val="0088396E"/>
    <w:rsid w:val="00883B6F"/>
    <w:rsid w:val="00884530"/>
    <w:rsid w:val="00884F16"/>
    <w:rsid w:val="008851FD"/>
    <w:rsid w:val="00886325"/>
    <w:rsid w:val="0088680C"/>
    <w:rsid w:val="00886E85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6DD"/>
    <w:rsid w:val="00894A14"/>
    <w:rsid w:val="008957A9"/>
    <w:rsid w:val="00897709"/>
    <w:rsid w:val="008978D0"/>
    <w:rsid w:val="00897ED0"/>
    <w:rsid w:val="008A0030"/>
    <w:rsid w:val="008A02B3"/>
    <w:rsid w:val="008A17D6"/>
    <w:rsid w:val="008A21ED"/>
    <w:rsid w:val="008A279D"/>
    <w:rsid w:val="008A2889"/>
    <w:rsid w:val="008A2A0B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27"/>
    <w:rsid w:val="008B1802"/>
    <w:rsid w:val="008B18FD"/>
    <w:rsid w:val="008B1950"/>
    <w:rsid w:val="008B46BC"/>
    <w:rsid w:val="008B49F7"/>
    <w:rsid w:val="008B6052"/>
    <w:rsid w:val="008B62AF"/>
    <w:rsid w:val="008B63C5"/>
    <w:rsid w:val="008B6A48"/>
    <w:rsid w:val="008B71CA"/>
    <w:rsid w:val="008B773E"/>
    <w:rsid w:val="008B7B1E"/>
    <w:rsid w:val="008B7CFE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1EC2"/>
    <w:rsid w:val="008D23CB"/>
    <w:rsid w:val="008D2A24"/>
    <w:rsid w:val="008D35BD"/>
    <w:rsid w:val="008D369C"/>
    <w:rsid w:val="008D377D"/>
    <w:rsid w:val="008D4F93"/>
    <w:rsid w:val="008D5529"/>
    <w:rsid w:val="008D55DB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1E3"/>
    <w:rsid w:val="008F02A4"/>
    <w:rsid w:val="008F24C7"/>
    <w:rsid w:val="008F267F"/>
    <w:rsid w:val="008F3A37"/>
    <w:rsid w:val="008F49C4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078A"/>
    <w:rsid w:val="00901049"/>
    <w:rsid w:val="009012B1"/>
    <w:rsid w:val="00901EEF"/>
    <w:rsid w:val="009037A5"/>
    <w:rsid w:val="00903CB1"/>
    <w:rsid w:val="009046D2"/>
    <w:rsid w:val="00905172"/>
    <w:rsid w:val="0090546D"/>
    <w:rsid w:val="009054AE"/>
    <w:rsid w:val="0090575C"/>
    <w:rsid w:val="00905D73"/>
    <w:rsid w:val="00905F12"/>
    <w:rsid w:val="00906322"/>
    <w:rsid w:val="00906D88"/>
    <w:rsid w:val="009071A3"/>
    <w:rsid w:val="0091006E"/>
    <w:rsid w:val="009100DA"/>
    <w:rsid w:val="00910D76"/>
    <w:rsid w:val="009114BD"/>
    <w:rsid w:val="009128E2"/>
    <w:rsid w:val="00912FE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886"/>
    <w:rsid w:val="00930BAC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6648"/>
    <w:rsid w:val="0093783C"/>
    <w:rsid w:val="009379DD"/>
    <w:rsid w:val="00937EB1"/>
    <w:rsid w:val="00940634"/>
    <w:rsid w:val="00940D3D"/>
    <w:rsid w:val="00940E21"/>
    <w:rsid w:val="00940EFB"/>
    <w:rsid w:val="0094109B"/>
    <w:rsid w:val="0094128A"/>
    <w:rsid w:val="0094177A"/>
    <w:rsid w:val="00941BF0"/>
    <w:rsid w:val="009422D8"/>
    <w:rsid w:val="009423B8"/>
    <w:rsid w:val="0094241B"/>
    <w:rsid w:val="00942999"/>
    <w:rsid w:val="009435BD"/>
    <w:rsid w:val="00943899"/>
    <w:rsid w:val="00944CC5"/>
    <w:rsid w:val="00945017"/>
    <w:rsid w:val="00945058"/>
    <w:rsid w:val="0094551D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06EF"/>
    <w:rsid w:val="00950DE0"/>
    <w:rsid w:val="0095108F"/>
    <w:rsid w:val="0095174E"/>
    <w:rsid w:val="009518F2"/>
    <w:rsid w:val="00951C98"/>
    <w:rsid w:val="009522D6"/>
    <w:rsid w:val="0095234E"/>
    <w:rsid w:val="009532D0"/>
    <w:rsid w:val="009533CA"/>
    <w:rsid w:val="00953991"/>
    <w:rsid w:val="00954679"/>
    <w:rsid w:val="00954B65"/>
    <w:rsid w:val="00956BB8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031"/>
    <w:rsid w:val="00971572"/>
    <w:rsid w:val="0097160E"/>
    <w:rsid w:val="00971BBB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307"/>
    <w:rsid w:val="0097670F"/>
    <w:rsid w:val="00976888"/>
    <w:rsid w:val="00976959"/>
    <w:rsid w:val="00976F50"/>
    <w:rsid w:val="00977643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137"/>
    <w:rsid w:val="00993089"/>
    <w:rsid w:val="00993F0B"/>
    <w:rsid w:val="0099465E"/>
    <w:rsid w:val="00994B44"/>
    <w:rsid w:val="00994C10"/>
    <w:rsid w:val="0099534D"/>
    <w:rsid w:val="00995E6C"/>
    <w:rsid w:val="009965AD"/>
    <w:rsid w:val="00996EAA"/>
    <w:rsid w:val="009977A5"/>
    <w:rsid w:val="00997A98"/>
    <w:rsid w:val="009A0A5D"/>
    <w:rsid w:val="009A1681"/>
    <w:rsid w:val="009A1B3A"/>
    <w:rsid w:val="009A1B58"/>
    <w:rsid w:val="009A1D68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A7982"/>
    <w:rsid w:val="009B0887"/>
    <w:rsid w:val="009B1A92"/>
    <w:rsid w:val="009B1D10"/>
    <w:rsid w:val="009B1FFD"/>
    <w:rsid w:val="009B207D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841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29C"/>
    <w:rsid w:val="009D6731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800"/>
    <w:rsid w:val="009E2954"/>
    <w:rsid w:val="009E3431"/>
    <w:rsid w:val="009E4050"/>
    <w:rsid w:val="009E51BE"/>
    <w:rsid w:val="009E5B4C"/>
    <w:rsid w:val="009E639A"/>
    <w:rsid w:val="009E6599"/>
    <w:rsid w:val="009E68C0"/>
    <w:rsid w:val="009E6D35"/>
    <w:rsid w:val="009E77AA"/>
    <w:rsid w:val="009E7C5D"/>
    <w:rsid w:val="009F192B"/>
    <w:rsid w:val="009F1E15"/>
    <w:rsid w:val="009F3618"/>
    <w:rsid w:val="009F3789"/>
    <w:rsid w:val="009F4494"/>
    <w:rsid w:val="009F44F4"/>
    <w:rsid w:val="009F6244"/>
    <w:rsid w:val="009F72BD"/>
    <w:rsid w:val="009F7700"/>
    <w:rsid w:val="009F78AC"/>
    <w:rsid w:val="009F7AC1"/>
    <w:rsid w:val="00A00130"/>
    <w:rsid w:val="00A0117A"/>
    <w:rsid w:val="00A0119D"/>
    <w:rsid w:val="00A01257"/>
    <w:rsid w:val="00A019F7"/>
    <w:rsid w:val="00A02E98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6415"/>
    <w:rsid w:val="00A16B3F"/>
    <w:rsid w:val="00A20404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16E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3F28"/>
    <w:rsid w:val="00A43FA8"/>
    <w:rsid w:val="00A44F5A"/>
    <w:rsid w:val="00A4558C"/>
    <w:rsid w:val="00A460E3"/>
    <w:rsid w:val="00A478ED"/>
    <w:rsid w:val="00A47DE1"/>
    <w:rsid w:val="00A515C6"/>
    <w:rsid w:val="00A517DD"/>
    <w:rsid w:val="00A51934"/>
    <w:rsid w:val="00A51D52"/>
    <w:rsid w:val="00A52B96"/>
    <w:rsid w:val="00A5306E"/>
    <w:rsid w:val="00A53646"/>
    <w:rsid w:val="00A53661"/>
    <w:rsid w:val="00A53739"/>
    <w:rsid w:val="00A53842"/>
    <w:rsid w:val="00A53C1E"/>
    <w:rsid w:val="00A54465"/>
    <w:rsid w:val="00A55204"/>
    <w:rsid w:val="00A55DA7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8E7"/>
    <w:rsid w:val="00A64034"/>
    <w:rsid w:val="00A640FF"/>
    <w:rsid w:val="00A657E1"/>
    <w:rsid w:val="00A67500"/>
    <w:rsid w:val="00A67956"/>
    <w:rsid w:val="00A70129"/>
    <w:rsid w:val="00A70235"/>
    <w:rsid w:val="00A70317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262C"/>
    <w:rsid w:val="00A83057"/>
    <w:rsid w:val="00A84697"/>
    <w:rsid w:val="00A847A5"/>
    <w:rsid w:val="00A847C0"/>
    <w:rsid w:val="00A847E1"/>
    <w:rsid w:val="00A84911"/>
    <w:rsid w:val="00A8560D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0D5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8D4"/>
    <w:rsid w:val="00AB39B3"/>
    <w:rsid w:val="00AB40F6"/>
    <w:rsid w:val="00AB45C5"/>
    <w:rsid w:val="00AB5179"/>
    <w:rsid w:val="00AB5941"/>
    <w:rsid w:val="00AB5C14"/>
    <w:rsid w:val="00AB73EF"/>
    <w:rsid w:val="00AC03D4"/>
    <w:rsid w:val="00AC1589"/>
    <w:rsid w:val="00AC17C3"/>
    <w:rsid w:val="00AC1BC0"/>
    <w:rsid w:val="00AC1DDB"/>
    <w:rsid w:val="00AC1EB6"/>
    <w:rsid w:val="00AC25F5"/>
    <w:rsid w:val="00AC370A"/>
    <w:rsid w:val="00AC3E88"/>
    <w:rsid w:val="00AC415A"/>
    <w:rsid w:val="00AC4528"/>
    <w:rsid w:val="00AC5406"/>
    <w:rsid w:val="00AC5C14"/>
    <w:rsid w:val="00AC5FE4"/>
    <w:rsid w:val="00AC66B8"/>
    <w:rsid w:val="00AC695E"/>
    <w:rsid w:val="00AC70C7"/>
    <w:rsid w:val="00AC7309"/>
    <w:rsid w:val="00AD058F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99"/>
    <w:rsid w:val="00AD34F8"/>
    <w:rsid w:val="00AD369C"/>
    <w:rsid w:val="00AD3872"/>
    <w:rsid w:val="00AD3A34"/>
    <w:rsid w:val="00AD4107"/>
    <w:rsid w:val="00AD4917"/>
    <w:rsid w:val="00AD5146"/>
    <w:rsid w:val="00AD6C4C"/>
    <w:rsid w:val="00AD71F4"/>
    <w:rsid w:val="00AD7A25"/>
    <w:rsid w:val="00AD7A9F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47F5"/>
    <w:rsid w:val="00AE53C5"/>
    <w:rsid w:val="00AE5549"/>
    <w:rsid w:val="00AE6BD9"/>
    <w:rsid w:val="00AE758C"/>
    <w:rsid w:val="00AE768B"/>
    <w:rsid w:val="00AF1250"/>
    <w:rsid w:val="00AF16C8"/>
    <w:rsid w:val="00AF1A9F"/>
    <w:rsid w:val="00AF315E"/>
    <w:rsid w:val="00AF32B8"/>
    <w:rsid w:val="00AF3CCF"/>
    <w:rsid w:val="00AF4106"/>
    <w:rsid w:val="00AF4E86"/>
    <w:rsid w:val="00AF4F3A"/>
    <w:rsid w:val="00AF54C0"/>
    <w:rsid w:val="00AF5CC3"/>
    <w:rsid w:val="00AF5DD9"/>
    <w:rsid w:val="00AF702D"/>
    <w:rsid w:val="00AF7525"/>
    <w:rsid w:val="00AF760C"/>
    <w:rsid w:val="00B02F4E"/>
    <w:rsid w:val="00B031E3"/>
    <w:rsid w:val="00B03781"/>
    <w:rsid w:val="00B03DD5"/>
    <w:rsid w:val="00B0418F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93E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3AEC"/>
    <w:rsid w:val="00B241F2"/>
    <w:rsid w:val="00B2434A"/>
    <w:rsid w:val="00B24DC7"/>
    <w:rsid w:val="00B2694B"/>
    <w:rsid w:val="00B27792"/>
    <w:rsid w:val="00B30092"/>
    <w:rsid w:val="00B30177"/>
    <w:rsid w:val="00B30A20"/>
    <w:rsid w:val="00B315BA"/>
    <w:rsid w:val="00B32861"/>
    <w:rsid w:val="00B32901"/>
    <w:rsid w:val="00B3327C"/>
    <w:rsid w:val="00B337A1"/>
    <w:rsid w:val="00B33830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579"/>
    <w:rsid w:val="00B41B3D"/>
    <w:rsid w:val="00B422C8"/>
    <w:rsid w:val="00B42F2C"/>
    <w:rsid w:val="00B43859"/>
    <w:rsid w:val="00B439A4"/>
    <w:rsid w:val="00B43A69"/>
    <w:rsid w:val="00B44912"/>
    <w:rsid w:val="00B44A5F"/>
    <w:rsid w:val="00B451A9"/>
    <w:rsid w:val="00B45967"/>
    <w:rsid w:val="00B45FC4"/>
    <w:rsid w:val="00B46D30"/>
    <w:rsid w:val="00B4700C"/>
    <w:rsid w:val="00B475A7"/>
    <w:rsid w:val="00B47BA1"/>
    <w:rsid w:val="00B47EF5"/>
    <w:rsid w:val="00B50BD3"/>
    <w:rsid w:val="00B51607"/>
    <w:rsid w:val="00B5193B"/>
    <w:rsid w:val="00B51AF2"/>
    <w:rsid w:val="00B51B5F"/>
    <w:rsid w:val="00B51C1F"/>
    <w:rsid w:val="00B52224"/>
    <w:rsid w:val="00B52237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5DEC"/>
    <w:rsid w:val="00B563DE"/>
    <w:rsid w:val="00B56430"/>
    <w:rsid w:val="00B57748"/>
    <w:rsid w:val="00B57BCB"/>
    <w:rsid w:val="00B57D0C"/>
    <w:rsid w:val="00B60BCC"/>
    <w:rsid w:val="00B60DAF"/>
    <w:rsid w:val="00B61867"/>
    <w:rsid w:val="00B62D14"/>
    <w:rsid w:val="00B63735"/>
    <w:rsid w:val="00B64FC0"/>
    <w:rsid w:val="00B650A5"/>
    <w:rsid w:val="00B657CD"/>
    <w:rsid w:val="00B67235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435E"/>
    <w:rsid w:val="00B74704"/>
    <w:rsid w:val="00B747FB"/>
    <w:rsid w:val="00B75101"/>
    <w:rsid w:val="00B75315"/>
    <w:rsid w:val="00B756BB"/>
    <w:rsid w:val="00B75A0B"/>
    <w:rsid w:val="00B76709"/>
    <w:rsid w:val="00B76B44"/>
    <w:rsid w:val="00B77580"/>
    <w:rsid w:val="00B80F0A"/>
    <w:rsid w:val="00B80FA6"/>
    <w:rsid w:val="00B81179"/>
    <w:rsid w:val="00B8237F"/>
    <w:rsid w:val="00B823E0"/>
    <w:rsid w:val="00B82DDF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2EE3"/>
    <w:rsid w:val="00B9357B"/>
    <w:rsid w:val="00B936BB"/>
    <w:rsid w:val="00B94321"/>
    <w:rsid w:val="00B9471C"/>
    <w:rsid w:val="00B94A2E"/>
    <w:rsid w:val="00B95875"/>
    <w:rsid w:val="00B9589A"/>
    <w:rsid w:val="00B966E2"/>
    <w:rsid w:val="00B96817"/>
    <w:rsid w:val="00B968FC"/>
    <w:rsid w:val="00B96B48"/>
    <w:rsid w:val="00B96F5E"/>
    <w:rsid w:val="00B97124"/>
    <w:rsid w:val="00B97E59"/>
    <w:rsid w:val="00BA0835"/>
    <w:rsid w:val="00BA08C6"/>
    <w:rsid w:val="00BA0C11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9B0"/>
    <w:rsid w:val="00BA5AB6"/>
    <w:rsid w:val="00BA5F07"/>
    <w:rsid w:val="00BA6D32"/>
    <w:rsid w:val="00BA72EE"/>
    <w:rsid w:val="00BB0589"/>
    <w:rsid w:val="00BB0687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B723C"/>
    <w:rsid w:val="00BB7849"/>
    <w:rsid w:val="00BC14A2"/>
    <w:rsid w:val="00BC1813"/>
    <w:rsid w:val="00BC2EFC"/>
    <w:rsid w:val="00BC3432"/>
    <w:rsid w:val="00BC380D"/>
    <w:rsid w:val="00BC3A29"/>
    <w:rsid w:val="00BC43C0"/>
    <w:rsid w:val="00BC64E3"/>
    <w:rsid w:val="00BC6510"/>
    <w:rsid w:val="00BC7217"/>
    <w:rsid w:val="00BD0EB8"/>
    <w:rsid w:val="00BD1EAB"/>
    <w:rsid w:val="00BD211D"/>
    <w:rsid w:val="00BD22BB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6CBA"/>
    <w:rsid w:val="00BD7643"/>
    <w:rsid w:val="00BD7906"/>
    <w:rsid w:val="00BD791C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0B2"/>
    <w:rsid w:val="00BE5C8A"/>
    <w:rsid w:val="00BE5FAF"/>
    <w:rsid w:val="00BE657E"/>
    <w:rsid w:val="00BE6A71"/>
    <w:rsid w:val="00BE7319"/>
    <w:rsid w:val="00BF042F"/>
    <w:rsid w:val="00BF04CA"/>
    <w:rsid w:val="00BF0EA7"/>
    <w:rsid w:val="00BF1823"/>
    <w:rsid w:val="00BF2538"/>
    <w:rsid w:val="00BF3029"/>
    <w:rsid w:val="00BF3078"/>
    <w:rsid w:val="00BF3432"/>
    <w:rsid w:val="00BF3EE9"/>
    <w:rsid w:val="00BF4690"/>
    <w:rsid w:val="00BF4B1A"/>
    <w:rsid w:val="00BF517E"/>
    <w:rsid w:val="00BF54B5"/>
    <w:rsid w:val="00BF5948"/>
    <w:rsid w:val="00BF5FA8"/>
    <w:rsid w:val="00BF7EA5"/>
    <w:rsid w:val="00C00563"/>
    <w:rsid w:val="00C0063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20F4"/>
    <w:rsid w:val="00C22128"/>
    <w:rsid w:val="00C223C3"/>
    <w:rsid w:val="00C22723"/>
    <w:rsid w:val="00C23511"/>
    <w:rsid w:val="00C23E6B"/>
    <w:rsid w:val="00C23FA0"/>
    <w:rsid w:val="00C241C0"/>
    <w:rsid w:val="00C244ED"/>
    <w:rsid w:val="00C24EEE"/>
    <w:rsid w:val="00C251F7"/>
    <w:rsid w:val="00C254EE"/>
    <w:rsid w:val="00C264CC"/>
    <w:rsid w:val="00C26698"/>
    <w:rsid w:val="00C3062F"/>
    <w:rsid w:val="00C3120A"/>
    <w:rsid w:val="00C31786"/>
    <w:rsid w:val="00C318C8"/>
    <w:rsid w:val="00C33FE5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5F2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4736B"/>
    <w:rsid w:val="00C50C35"/>
    <w:rsid w:val="00C50F9A"/>
    <w:rsid w:val="00C510B1"/>
    <w:rsid w:val="00C51632"/>
    <w:rsid w:val="00C5170D"/>
    <w:rsid w:val="00C51720"/>
    <w:rsid w:val="00C52C62"/>
    <w:rsid w:val="00C5305C"/>
    <w:rsid w:val="00C53134"/>
    <w:rsid w:val="00C53958"/>
    <w:rsid w:val="00C543F3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4F18"/>
    <w:rsid w:val="00C65020"/>
    <w:rsid w:val="00C65A62"/>
    <w:rsid w:val="00C66595"/>
    <w:rsid w:val="00C677ED"/>
    <w:rsid w:val="00C67DE1"/>
    <w:rsid w:val="00C70125"/>
    <w:rsid w:val="00C70868"/>
    <w:rsid w:val="00C710B1"/>
    <w:rsid w:val="00C71376"/>
    <w:rsid w:val="00C71A8F"/>
    <w:rsid w:val="00C72ADA"/>
    <w:rsid w:val="00C72D47"/>
    <w:rsid w:val="00C72D50"/>
    <w:rsid w:val="00C73095"/>
    <w:rsid w:val="00C74795"/>
    <w:rsid w:val="00C74925"/>
    <w:rsid w:val="00C74D69"/>
    <w:rsid w:val="00C74FA5"/>
    <w:rsid w:val="00C7513A"/>
    <w:rsid w:val="00C75B4E"/>
    <w:rsid w:val="00C75BEB"/>
    <w:rsid w:val="00C75E37"/>
    <w:rsid w:val="00C75FDE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6B66"/>
    <w:rsid w:val="00C87661"/>
    <w:rsid w:val="00C877C4"/>
    <w:rsid w:val="00C90B30"/>
    <w:rsid w:val="00C918EA"/>
    <w:rsid w:val="00C91E0E"/>
    <w:rsid w:val="00C91F4F"/>
    <w:rsid w:val="00C92C71"/>
    <w:rsid w:val="00C9394C"/>
    <w:rsid w:val="00C944AB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0D2E"/>
    <w:rsid w:val="00CC1987"/>
    <w:rsid w:val="00CC1A30"/>
    <w:rsid w:val="00CC2AB1"/>
    <w:rsid w:val="00CC2D60"/>
    <w:rsid w:val="00CC39D1"/>
    <w:rsid w:val="00CC45B6"/>
    <w:rsid w:val="00CC5002"/>
    <w:rsid w:val="00CC5D56"/>
    <w:rsid w:val="00CC5F52"/>
    <w:rsid w:val="00CC6295"/>
    <w:rsid w:val="00CC67CE"/>
    <w:rsid w:val="00CC7256"/>
    <w:rsid w:val="00CC7640"/>
    <w:rsid w:val="00CC79CD"/>
    <w:rsid w:val="00CD019B"/>
    <w:rsid w:val="00CD0231"/>
    <w:rsid w:val="00CD0712"/>
    <w:rsid w:val="00CD113F"/>
    <w:rsid w:val="00CD1340"/>
    <w:rsid w:val="00CD1F53"/>
    <w:rsid w:val="00CD255F"/>
    <w:rsid w:val="00CD2C62"/>
    <w:rsid w:val="00CD4B22"/>
    <w:rsid w:val="00CD55AD"/>
    <w:rsid w:val="00CD5C12"/>
    <w:rsid w:val="00CD5FC6"/>
    <w:rsid w:val="00CD619D"/>
    <w:rsid w:val="00CD6C9F"/>
    <w:rsid w:val="00CD6FDE"/>
    <w:rsid w:val="00CE0994"/>
    <w:rsid w:val="00CE0B2A"/>
    <w:rsid w:val="00CE1BA5"/>
    <w:rsid w:val="00CE1C2D"/>
    <w:rsid w:val="00CE1CD6"/>
    <w:rsid w:val="00CE1F97"/>
    <w:rsid w:val="00CE1FA7"/>
    <w:rsid w:val="00CE264A"/>
    <w:rsid w:val="00CE27DA"/>
    <w:rsid w:val="00CE284E"/>
    <w:rsid w:val="00CE366E"/>
    <w:rsid w:val="00CE377F"/>
    <w:rsid w:val="00CE3F1F"/>
    <w:rsid w:val="00CE3FBB"/>
    <w:rsid w:val="00CE435A"/>
    <w:rsid w:val="00CE4361"/>
    <w:rsid w:val="00CE4D37"/>
    <w:rsid w:val="00CE5470"/>
    <w:rsid w:val="00CE59D3"/>
    <w:rsid w:val="00CE5D5A"/>
    <w:rsid w:val="00CE5FD1"/>
    <w:rsid w:val="00CE64A6"/>
    <w:rsid w:val="00CE6765"/>
    <w:rsid w:val="00CE6FFA"/>
    <w:rsid w:val="00CE7594"/>
    <w:rsid w:val="00CE79B8"/>
    <w:rsid w:val="00CE7C23"/>
    <w:rsid w:val="00CF02D6"/>
    <w:rsid w:val="00CF04EF"/>
    <w:rsid w:val="00CF104F"/>
    <w:rsid w:val="00CF1981"/>
    <w:rsid w:val="00CF1FBA"/>
    <w:rsid w:val="00CF22D0"/>
    <w:rsid w:val="00CF2DBC"/>
    <w:rsid w:val="00CF4261"/>
    <w:rsid w:val="00CF4656"/>
    <w:rsid w:val="00CF49F9"/>
    <w:rsid w:val="00CF6366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3A14"/>
    <w:rsid w:val="00D03F50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454C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A33"/>
    <w:rsid w:val="00D34B18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F58"/>
    <w:rsid w:val="00D46816"/>
    <w:rsid w:val="00D47057"/>
    <w:rsid w:val="00D47091"/>
    <w:rsid w:val="00D4718C"/>
    <w:rsid w:val="00D47574"/>
    <w:rsid w:val="00D50457"/>
    <w:rsid w:val="00D5098E"/>
    <w:rsid w:val="00D513CA"/>
    <w:rsid w:val="00D51702"/>
    <w:rsid w:val="00D518A7"/>
    <w:rsid w:val="00D519A0"/>
    <w:rsid w:val="00D51D15"/>
    <w:rsid w:val="00D52CD0"/>
    <w:rsid w:val="00D52EA9"/>
    <w:rsid w:val="00D5315F"/>
    <w:rsid w:val="00D548BA"/>
    <w:rsid w:val="00D54BD7"/>
    <w:rsid w:val="00D55105"/>
    <w:rsid w:val="00D55A84"/>
    <w:rsid w:val="00D55BB7"/>
    <w:rsid w:val="00D5665D"/>
    <w:rsid w:val="00D568C6"/>
    <w:rsid w:val="00D57262"/>
    <w:rsid w:val="00D61555"/>
    <w:rsid w:val="00D61B56"/>
    <w:rsid w:val="00D626BE"/>
    <w:rsid w:val="00D62BB4"/>
    <w:rsid w:val="00D62DD9"/>
    <w:rsid w:val="00D63B8C"/>
    <w:rsid w:val="00D63EE7"/>
    <w:rsid w:val="00D64117"/>
    <w:rsid w:val="00D64915"/>
    <w:rsid w:val="00D66007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B2E"/>
    <w:rsid w:val="00D7362B"/>
    <w:rsid w:val="00D73CFE"/>
    <w:rsid w:val="00D74F3F"/>
    <w:rsid w:val="00D75153"/>
    <w:rsid w:val="00D756FC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782"/>
    <w:rsid w:val="00D838EB"/>
    <w:rsid w:val="00D83EF3"/>
    <w:rsid w:val="00D84E52"/>
    <w:rsid w:val="00D854FD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3C44"/>
    <w:rsid w:val="00DB4B31"/>
    <w:rsid w:val="00DB4CB3"/>
    <w:rsid w:val="00DB6318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6F7"/>
    <w:rsid w:val="00DC3BF8"/>
    <w:rsid w:val="00DC3C15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B14"/>
    <w:rsid w:val="00DD1C34"/>
    <w:rsid w:val="00DD1E14"/>
    <w:rsid w:val="00DD2175"/>
    <w:rsid w:val="00DD25C6"/>
    <w:rsid w:val="00DD2CDA"/>
    <w:rsid w:val="00DD2D33"/>
    <w:rsid w:val="00DD360F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070"/>
    <w:rsid w:val="00DF23F6"/>
    <w:rsid w:val="00DF2864"/>
    <w:rsid w:val="00DF37A4"/>
    <w:rsid w:val="00DF49E6"/>
    <w:rsid w:val="00DF4F65"/>
    <w:rsid w:val="00DF5926"/>
    <w:rsid w:val="00DF5CD6"/>
    <w:rsid w:val="00DF60D1"/>
    <w:rsid w:val="00DF64C4"/>
    <w:rsid w:val="00DF6AB1"/>
    <w:rsid w:val="00DF6BB5"/>
    <w:rsid w:val="00DF6E95"/>
    <w:rsid w:val="00E0012E"/>
    <w:rsid w:val="00E017A2"/>
    <w:rsid w:val="00E01CA4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D76"/>
    <w:rsid w:val="00E12075"/>
    <w:rsid w:val="00E12220"/>
    <w:rsid w:val="00E124E8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6B"/>
    <w:rsid w:val="00E230CE"/>
    <w:rsid w:val="00E235B1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A83"/>
    <w:rsid w:val="00E43F87"/>
    <w:rsid w:val="00E44077"/>
    <w:rsid w:val="00E44388"/>
    <w:rsid w:val="00E44EA6"/>
    <w:rsid w:val="00E45060"/>
    <w:rsid w:val="00E454C3"/>
    <w:rsid w:val="00E45979"/>
    <w:rsid w:val="00E45CF4"/>
    <w:rsid w:val="00E46E86"/>
    <w:rsid w:val="00E47289"/>
    <w:rsid w:val="00E47DA6"/>
    <w:rsid w:val="00E50605"/>
    <w:rsid w:val="00E50D5E"/>
    <w:rsid w:val="00E51014"/>
    <w:rsid w:val="00E514EF"/>
    <w:rsid w:val="00E51768"/>
    <w:rsid w:val="00E5181A"/>
    <w:rsid w:val="00E51C6A"/>
    <w:rsid w:val="00E52BA7"/>
    <w:rsid w:val="00E52F56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AFD"/>
    <w:rsid w:val="00E57DA7"/>
    <w:rsid w:val="00E57F63"/>
    <w:rsid w:val="00E60129"/>
    <w:rsid w:val="00E60624"/>
    <w:rsid w:val="00E61439"/>
    <w:rsid w:val="00E614DE"/>
    <w:rsid w:val="00E621C0"/>
    <w:rsid w:val="00E6235B"/>
    <w:rsid w:val="00E63025"/>
    <w:rsid w:val="00E63503"/>
    <w:rsid w:val="00E64D1E"/>
    <w:rsid w:val="00E6584E"/>
    <w:rsid w:val="00E663FA"/>
    <w:rsid w:val="00E669FD"/>
    <w:rsid w:val="00E66C17"/>
    <w:rsid w:val="00E67C86"/>
    <w:rsid w:val="00E7037F"/>
    <w:rsid w:val="00E70402"/>
    <w:rsid w:val="00E70715"/>
    <w:rsid w:val="00E715E3"/>
    <w:rsid w:val="00E7299B"/>
    <w:rsid w:val="00E72BBA"/>
    <w:rsid w:val="00E72BD3"/>
    <w:rsid w:val="00E740F8"/>
    <w:rsid w:val="00E74863"/>
    <w:rsid w:val="00E748D5"/>
    <w:rsid w:val="00E756B4"/>
    <w:rsid w:val="00E756C5"/>
    <w:rsid w:val="00E75964"/>
    <w:rsid w:val="00E75AF3"/>
    <w:rsid w:val="00E75C52"/>
    <w:rsid w:val="00E76AB9"/>
    <w:rsid w:val="00E7786D"/>
    <w:rsid w:val="00E80B30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B6"/>
    <w:rsid w:val="00E97EAA"/>
    <w:rsid w:val="00EA0371"/>
    <w:rsid w:val="00EA0BC0"/>
    <w:rsid w:val="00EA0F0F"/>
    <w:rsid w:val="00EA205C"/>
    <w:rsid w:val="00EA2233"/>
    <w:rsid w:val="00EA4AB3"/>
    <w:rsid w:val="00EA4D13"/>
    <w:rsid w:val="00EA54F7"/>
    <w:rsid w:val="00EA56CD"/>
    <w:rsid w:val="00EA585A"/>
    <w:rsid w:val="00EA5B12"/>
    <w:rsid w:val="00EA6223"/>
    <w:rsid w:val="00EA66D4"/>
    <w:rsid w:val="00EA6708"/>
    <w:rsid w:val="00EA751C"/>
    <w:rsid w:val="00EA7D74"/>
    <w:rsid w:val="00EB079E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B7E3F"/>
    <w:rsid w:val="00EC031E"/>
    <w:rsid w:val="00EC087D"/>
    <w:rsid w:val="00EC20B3"/>
    <w:rsid w:val="00EC23DC"/>
    <w:rsid w:val="00EC3060"/>
    <w:rsid w:val="00EC36DC"/>
    <w:rsid w:val="00EC3EDD"/>
    <w:rsid w:val="00EC4628"/>
    <w:rsid w:val="00EC4BE9"/>
    <w:rsid w:val="00EC4E56"/>
    <w:rsid w:val="00EC5C07"/>
    <w:rsid w:val="00EC701F"/>
    <w:rsid w:val="00EC719F"/>
    <w:rsid w:val="00EC73FE"/>
    <w:rsid w:val="00EC7658"/>
    <w:rsid w:val="00EC7FB1"/>
    <w:rsid w:val="00ED0A56"/>
    <w:rsid w:val="00ED1298"/>
    <w:rsid w:val="00ED21FC"/>
    <w:rsid w:val="00ED306B"/>
    <w:rsid w:val="00ED3141"/>
    <w:rsid w:val="00ED32E4"/>
    <w:rsid w:val="00ED380A"/>
    <w:rsid w:val="00ED54ED"/>
    <w:rsid w:val="00ED5746"/>
    <w:rsid w:val="00ED6F09"/>
    <w:rsid w:val="00EE03CA"/>
    <w:rsid w:val="00EE0AD2"/>
    <w:rsid w:val="00EE17FB"/>
    <w:rsid w:val="00EE193B"/>
    <w:rsid w:val="00EE1972"/>
    <w:rsid w:val="00EE2332"/>
    <w:rsid w:val="00EE3300"/>
    <w:rsid w:val="00EE3719"/>
    <w:rsid w:val="00EE4E85"/>
    <w:rsid w:val="00EE59FA"/>
    <w:rsid w:val="00EE5C05"/>
    <w:rsid w:val="00EE6390"/>
    <w:rsid w:val="00EE6B03"/>
    <w:rsid w:val="00EE7F80"/>
    <w:rsid w:val="00EF0030"/>
    <w:rsid w:val="00EF0097"/>
    <w:rsid w:val="00EF023B"/>
    <w:rsid w:val="00EF12F1"/>
    <w:rsid w:val="00EF1556"/>
    <w:rsid w:val="00EF19F6"/>
    <w:rsid w:val="00EF250C"/>
    <w:rsid w:val="00EF37B4"/>
    <w:rsid w:val="00EF45AE"/>
    <w:rsid w:val="00EF6117"/>
    <w:rsid w:val="00EF62E4"/>
    <w:rsid w:val="00EF66E0"/>
    <w:rsid w:val="00EF7178"/>
    <w:rsid w:val="00EF7337"/>
    <w:rsid w:val="00F003DB"/>
    <w:rsid w:val="00F0088E"/>
    <w:rsid w:val="00F00A94"/>
    <w:rsid w:val="00F02822"/>
    <w:rsid w:val="00F033B1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E97"/>
    <w:rsid w:val="00F07F6A"/>
    <w:rsid w:val="00F10B35"/>
    <w:rsid w:val="00F11A4B"/>
    <w:rsid w:val="00F11D3E"/>
    <w:rsid w:val="00F1202F"/>
    <w:rsid w:val="00F1236D"/>
    <w:rsid w:val="00F128EF"/>
    <w:rsid w:val="00F12B66"/>
    <w:rsid w:val="00F12FBE"/>
    <w:rsid w:val="00F13036"/>
    <w:rsid w:val="00F13305"/>
    <w:rsid w:val="00F134A6"/>
    <w:rsid w:val="00F14FDB"/>
    <w:rsid w:val="00F14FE0"/>
    <w:rsid w:val="00F15E5B"/>
    <w:rsid w:val="00F15FB4"/>
    <w:rsid w:val="00F1656E"/>
    <w:rsid w:val="00F1661D"/>
    <w:rsid w:val="00F17254"/>
    <w:rsid w:val="00F17D44"/>
    <w:rsid w:val="00F17ECD"/>
    <w:rsid w:val="00F20793"/>
    <w:rsid w:val="00F207E4"/>
    <w:rsid w:val="00F20F5D"/>
    <w:rsid w:val="00F216A4"/>
    <w:rsid w:val="00F2199E"/>
    <w:rsid w:val="00F22205"/>
    <w:rsid w:val="00F2224D"/>
    <w:rsid w:val="00F22416"/>
    <w:rsid w:val="00F2289B"/>
    <w:rsid w:val="00F22DD8"/>
    <w:rsid w:val="00F23369"/>
    <w:rsid w:val="00F23630"/>
    <w:rsid w:val="00F23936"/>
    <w:rsid w:val="00F2464A"/>
    <w:rsid w:val="00F24975"/>
    <w:rsid w:val="00F251A2"/>
    <w:rsid w:val="00F26D71"/>
    <w:rsid w:val="00F26E25"/>
    <w:rsid w:val="00F30252"/>
    <w:rsid w:val="00F3035A"/>
    <w:rsid w:val="00F303AC"/>
    <w:rsid w:val="00F30B1A"/>
    <w:rsid w:val="00F30B66"/>
    <w:rsid w:val="00F31504"/>
    <w:rsid w:val="00F31F9B"/>
    <w:rsid w:val="00F32E7E"/>
    <w:rsid w:val="00F331EE"/>
    <w:rsid w:val="00F34442"/>
    <w:rsid w:val="00F347F4"/>
    <w:rsid w:val="00F35F6B"/>
    <w:rsid w:val="00F36621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366"/>
    <w:rsid w:val="00F500AA"/>
    <w:rsid w:val="00F50166"/>
    <w:rsid w:val="00F51740"/>
    <w:rsid w:val="00F531B9"/>
    <w:rsid w:val="00F53A0E"/>
    <w:rsid w:val="00F54047"/>
    <w:rsid w:val="00F54725"/>
    <w:rsid w:val="00F5584F"/>
    <w:rsid w:val="00F55AA0"/>
    <w:rsid w:val="00F56E45"/>
    <w:rsid w:val="00F57132"/>
    <w:rsid w:val="00F60289"/>
    <w:rsid w:val="00F60B9D"/>
    <w:rsid w:val="00F60D8B"/>
    <w:rsid w:val="00F6100B"/>
    <w:rsid w:val="00F6154A"/>
    <w:rsid w:val="00F62C15"/>
    <w:rsid w:val="00F63243"/>
    <w:rsid w:val="00F63F79"/>
    <w:rsid w:val="00F6480B"/>
    <w:rsid w:val="00F64949"/>
    <w:rsid w:val="00F64B8F"/>
    <w:rsid w:val="00F66AC5"/>
    <w:rsid w:val="00F66B51"/>
    <w:rsid w:val="00F67BA4"/>
    <w:rsid w:val="00F67F5D"/>
    <w:rsid w:val="00F70566"/>
    <w:rsid w:val="00F709CF"/>
    <w:rsid w:val="00F70B7C"/>
    <w:rsid w:val="00F71448"/>
    <w:rsid w:val="00F7199B"/>
    <w:rsid w:val="00F71F64"/>
    <w:rsid w:val="00F7222F"/>
    <w:rsid w:val="00F742DA"/>
    <w:rsid w:val="00F742EC"/>
    <w:rsid w:val="00F746C5"/>
    <w:rsid w:val="00F75380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41"/>
    <w:rsid w:val="00F84DA6"/>
    <w:rsid w:val="00F8573A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C2B"/>
    <w:rsid w:val="00F91F91"/>
    <w:rsid w:val="00F9284E"/>
    <w:rsid w:val="00F92905"/>
    <w:rsid w:val="00F93204"/>
    <w:rsid w:val="00F934C9"/>
    <w:rsid w:val="00F9394C"/>
    <w:rsid w:val="00F94729"/>
    <w:rsid w:val="00F94EE8"/>
    <w:rsid w:val="00F94F78"/>
    <w:rsid w:val="00F96639"/>
    <w:rsid w:val="00F973A7"/>
    <w:rsid w:val="00F977AD"/>
    <w:rsid w:val="00F979DE"/>
    <w:rsid w:val="00FA0CFC"/>
    <w:rsid w:val="00FA0F68"/>
    <w:rsid w:val="00FA1DDD"/>
    <w:rsid w:val="00FA2A8C"/>
    <w:rsid w:val="00FA3792"/>
    <w:rsid w:val="00FA3935"/>
    <w:rsid w:val="00FA4962"/>
    <w:rsid w:val="00FA5168"/>
    <w:rsid w:val="00FA6EA9"/>
    <w:rsid w:val="00FA74DB"/>
    <w:rsid w:val="00FB02C4"/>
    <w:rsid w:val="00FB08CC"/>
    <w:rsid w:val="00FB0C66"/>
    <w:rsid w:val="00FB13B5"/>
    <w:rsid w:val="00FB1652"/>
    <w:rsid w:val="00FB2D3A"/>
    <w:rsid w:val="00FB35A6"/>
    <w:rsid w:val="00FB389C"/>
    <w:rsid w:val="00FB46D1"/>
    <w:rsid w:val="00FB4A1C"/>
    <w:rsid w:val="00FB5F7A"/>
    <w:rsid w:val="00FB6466"/>
    <w:rsid w:val="00FB65BD"/>
    <w:rsid w:val="00FB796A"/>
    <w:rsid w:val="00FB7B52"/>
    <w:rsid w:val="00FB7FBE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47B"/>
    <w:rsid w:val="00FC3754"/>
    <w:rsid w:val="00FC437A"/>
    <w:rsid w:val="00FC4408"/>
    <w:rsid w:val="00FC4B79"/>
    <w:rsid w:val="00FC4D53"/>
    <w:rsid w:val="00FC58BA"/>
    <w:rsid w:val="00FC5D52"/>
    <w:rsid w:val="00FC61D9"/>
    <w:rsid w:val="00FC6303"/>
    <w:rsid w:val="00FC6490"/>
    <w:rsid w:val="00FC7130"/>
    <w:rsid w:val="00FC7302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0A3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8BB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0FF64BD"/>
    <w:rsid w:val="02991399"/>
    <w:rsid w:val="08294D91"/>
    <w:rsid w:val="0CE622A7"/>
    <w:rsid w:val="1946227A"/>
    <w:rsid w:val="197B3F66"/>
    <w:rsid w:val="1C2257B5"/>
    <w:rsid w:val="212469C0"/>
    <w:rsid w:val="2A5F13A7"/>
    <w:rsid w:val="2F8A2B58"/>
    <w:rsid w:val="31AA33C9"/>
    <w:rsid w:val="32F35B9E"/>
    <w:rsid w:val="3D4409A9"/>
    <w:rsid w:val="4BD050B9"/>
    <w:rsid w:val="56266B08"/>
    <w:rsid w:val="56F9126E"/>
    <w:rsid w:val="58AF109A"/>
    <w:rsid w:val="59830B65"/>
    <w:rsid w:val="618A2600"/>
    <w:rsid w:val="66D80480"/>
    <w:rsid w:val="66FB02D3"/>
    <w:rsid w:val="6E1F0622"/>
    <w:rsid w:val="792B1F0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0"/>
    <w:qFormat/>
    <w:uiPriority w:val="0"/>
    <w:pPr>
      <w:ind w:left="100" w:leftChars="2500"/>
    </w:pPr>
  </w:style>
  <w:style w:type="paragraph" w:styleId="8">
    <w:name w:val="Balloon Text"/>
    <w:basedOn w:val="1"/>
    <w:link w:val="26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Title"/>
    <w:basedOn w:val="1"/>
    <w:next w:val="1"/>
    <w:link w:val="32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4">
    <w:name w:val="annotation subject"/>
    <w:basedOn w:val="5"/>
    <w:next w:val="5"/>
    <w:link w:val="24"/>
    <w:qFormat/>
    <w:uiPriority w:val="0"/>
    <w:rPr>
      <w:b/>
      <w:bCs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FollowedHyperlink"/>
    <w:unhideWhenUsed/>
    <w:qFormat/>
    <w:uiPriority w:val="99"/>
    <w:rPr>
      <w:color w:val="800080"/>
      <w:u w:val="single"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character" w:customStyle="1" w:styleId="21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2">
    <w:name w:val="页眉 字符1"/>
    <w:link w:val="10"/>
    <w:qFormat/>
    <w:uiPriority w:val="99"/>
    <w:rPr>
      <w:kern w:val="2"/>
      <w:sz w:val="18"/>
      <w:szCs w:val="18"/>
    </w:rPr>
  </w:style>
  <w:style w:type="character" w:customStyle="1" w:styleId="2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主题 字符"/>
    <w:link w:val="14"/>
    <w:qFormat/>
    <w:uiPriority w:val="0"/>
    <w:rPr>
      <w:b/>
      <w:bCs/>
      <w:kern w:val="2"/>
      <w:sz w:val="21"/>
      <w:szCs w:val="24"/>
    </w:rPr>
  </w:style>
  <w:style w:type="character" w:customStyle="1" w:styleId="25">
    <w:name w:val="页脚 字符1"/>
    <w:link w:val="9"/>
    <w:qFormat/>
    <w:uiPriority w:val="99"/>
    <w:rPr>
      <w:kern w:val="2"/>
      <w:sz w:val="18"/>
      <w:szCs w:val="18"/>
    </w:rPr>
  </w:style>
  <w:style w:type="character" w:customStyle="1" w:styleId="26">
    <w:name w:val="批注框文本 字符"/>
    <w:link w:val="8"/>
    <w:qFormat/>
    <w:uiPriority w:val="0"/>
    <w:rPr>
      <w:kern w:val="2"/>
      <w:sz w:val="18"/>
      <w:szCs w:val="18"/>
    </w:rPr>
  </w:style>
  <w:style w:type="paragraph" w:customStyle="1" w:styleId="27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9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30">
    <w:name w:val="日期 字符"/>
    <w:link w:val="7"/>
    <w:qFormat/>
    <w:uiPriority w:val="0"/>
    <w:rPr>
      <w:kern w:val="2"/>
      <w:sz w:val="21"/>
      <w:szCs w:val="24"/>
    </w:rPr>
  </w:style>
  <w:style w:type="paragraph" w:customStyle="1" w:styleId="31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2">
    <w:name w:val="标题 字符"/>
    <w:link w:val="13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33">
    <w:name w:val="页脚 字符"/>
    <w:qFormat/>
    <w:uiPriority w:val="99"/>
  </w:style>
  <w:style w:type="character" w:customStyle="1" w:styleId="34">
    <w:name w:val="页眉 字符"/>
    <w:qFormat/>
    <w:uiPriority w:val="99"/>
  </w:style>
  <w:style w:type="character" w:customStyle="1" w:styleId="35">
    <w:name w:val="标题 2 字符"/>
    <w:basedOn w:val="17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6">
    <w:name w:val="zi21"/>
    <w:basedOn w:val="17"/>
    <w:qFormat/>
    <w:uiPriority w:val="0"/>
    <w:rPr>
      <w:b/>
      <w:bCs/>
      <w:color w:val="54327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822BB7-ED1A-4A6E-BA6D-BA5434CC2D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882</Words>
  <Characters>5028</Characters>
  <Lines>41</Lines>
  <Paragraphs>11</Paragraphs>
  <TotalTime>1</TotalTime>
  <ScaleCrop>false</ScaleCrop>
  <LinksUpToDate>false</LinksUpToDate>
  <CharactersWithSpaces>5899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2020-03-05T02:07:00Z</dcterms:created>
  <dc:creator>walkinnet</dc:creator>
  <cp:lastModifiedBy>卟说嗳</cp:lastModifiedBy>
  <cp:lastPrinted>2020-03-12T02:41:00Z</cp:lastPrinted>
  <dcterms:modified xsi:type="dcterms:W3CDTF">2020-07-06T06:11:02Z</dcterms:modified>
  <dc:title>信托计划监管报告</dc:title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