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E8" w:rsidRPr="00634940" w:rsidRDefault="001A19E8" w:rsidP="001A19E8">
      <w:pPr>
        <w:jc w:val="center"/>
        <w:rPr>
          <w:rFonts w:ascii="宋体" w:eastAsia="宋体" w:hAnsi="宋体" w:cs="Arial" w:hint="eastAsia"/>
          <w:b/>
          <w:szCs w:val="21"/>
        </w:rPr>
      </w:pPr>
    </w:p>
    <w:p w:rsidR="001A19E8" w:rsidRPr="00634940" w:rsidRDefault="001A19E8" w:rsidP="001A19E8">
      <w:pPr>
        <w:jc w:val="center"/>
        <w:rPr>
          <w:rFonts w:ascii="宋体" w:eastAsia="宋体" w:hAnsi="宋体" w:cs="Arial"/>
          <w:b/>
          <w:szCs w:val="21"/>
        </w:rPr>
      </w:pPr>
    </w:p>
    <w:p w:rsidR="001A19E8" w:rsidRPr="00634940" w:rsidRDefault="001A19E8" w:rsidP="001A19E8">
      <w:pPr>
        <w:jc w:val="center"/>
        <w:rPr>
          <w:rFonts w:ascii="宋体" w:eastAsia="宋体" w:hAnsi="宋体" w:cs="Arial"/>
          <w:b/>
          <w:sz w:val="48"/>
          <w:szCs w:val="48"/>
        </w:rPr>
      </w:pPr>
    </w:p>
    <w:p w:rsidR="001A19E8" w:rsidRPr="00634940" w:rsidRDefault="001A19E8" w:rsidP="001A19E8">
      <w:pPr>
        <w:jc w:val="center"/>
        <w:rPr>
          <w:rFonts w:ascii="宋体" w:eastAsia="宋体" w:hAnsi="宋体" w:cs="Arial"/>
          <w:b/>
          <w:sz w:val="48"/>
          <w:szCs w:val="48"/>
        </w:rPr>
      </w:pPr>
      <w:r w:rsidRPr="00634940">
        <w:rPr>
          <w:rFonts w:ascii="宋体" w:eastAsia="宋体" w:hAnsi="宋体" w:cs="Arial"/>
          <w:b/>
          <w:sz w:val="48"/>
          <w:szCs w:val="48"/>
        </w:rPr>
        <w:t>北京康正宏基房地产评估有限公司</w:t>
      </w:r>
    </w:p>
    <w:p w:rsidR="001A19E8" w:rsidRPr="00634940" w:rsidRDefault="001A19E8" w:rsidP="001A19E8">
      <w:pPr>
        <w:jc w:val="center"/>
        <w:rPr>
          <w:rFonts w:ascii="宋体" w:eastAsia="宋体" w:hAnsi="宋体" w:cs="Arial"/>
          <w:b/>
          <w:sz w:val="48"/>
          <w:szCs w:val="48"/>
        </w:rPr>
      </w:pPr>
    </w:p>
    <w:p w:rsidR="001A19E8" w:rsidRPr="00634940" w:rsidRDefault="001A19E8" w:rsidP="0023083E">
      <w:pPr>
        <w:spacing w:line="360" w:lineRule="auto"/>
        <w:jc w:val="center"/>
        <w:rPr>
          <w:rFonts w:ascii="宋体" w:eastAsia="宋体" w:hAnsi="宋体" w:cs="Arial"/>
          <w:b/>
          <w:sz w:val="48"/>
          <w:szCs w:val="48"/>
        </w:rPr>
      </w:pPr>
      <w:r w:rsidRPr="00634940">
        <w:rPr>
          <w:rFonts w:ascii="宋体" w:eastAsia="宋体" w:hAnsi="宋体" w:cs="Arial"/>
          <w:b/>
          <w:sz w:val="48"/>
          <w:szCs w:val="48"/>
        </w:rPr>
        <w:t>报</w:t>
      </w:r>
      <w:r w:rsidR="0023083E" w:rsidRPr="00634940">
        <w:rPr>
          <w:rFonts w:ascii="宋体" w:eastAsia="宋体" w:hAnsi="宋体" w:cs="Arial"/>
          <w:b/>
          <w:sz w:val="48"/>
          <w:szCs w:val="48"/>
        </w:rPr>
        <w:t>华融鼎立投资管理有限公司</w:t>
      </w:r>
    </w:p>
    <w:p w:rsidR="001A19E8" w:rsidRPr="00634940" w:rsidRDefault="001A19E8" w:rsidP="001A19E8">
      <w:pPr>
        <w:spacing w:line="360" w:lineRule="auto"/>
        <w:jc w:val="center"/>
        <w:rPr>
          <w:rFonts w:ascii="宋体" w:eastAsia="宋体" w:hAnsi="宋体" w:cs="Arial"/>
          <w:b/>
          <w:sz w:val="48"/>
          <w:szCs w:val="48"/>
        </w:rPr>
      </w:pPr>
    </w:p>
    <w:p w:rsidR="00286DBA" w:rsidRPr="00634940" w:rsidRDefault="001A19E8" w:rsidP="001A19E8">
      <w:pPr>
        <w:jc w:val="center"/>
        <w:rPr>
          <w:rFonts w:ascii="宋体" w:eastAsia="宋体" w:hAnsi="宋体" w:cs="Arial"/>
          <w:b/>
          <w:sz w:val="48"/>
          <w:szCs w:val="48"/>
        </w:rPr>
      </w:pPr>
      <w:r w:rsidRPr="00634940">
        <w:rPr>
          <w:rFonts w:ascii="宋体" w:eastAsia="宋体" w:hAnsi="宋体" w:cs="Arial"/>
          <w:b/>
          <w:sz w:val="48"/>
          <w:szCs w:val="48"/>
        </w:rPr>
        <w:t>入围标书</w:t>
      </w:r>
    </w:p>
    <w:p w:rsidR="001A19E8" w:rsidRPr="00634940" w:rsidRDefault="001A19E8" w:rsidP="001A19E8">
      <w:pPr>
        <w:jc w:val="center"/>
        <w:rPr>
          <w:rFonts w:ascii="宋体" w:eastAsia="宋体" w:hAnsi="宋体" w:cs="Arial"/>
          <w:b/>
          <w:szCs w:val="21"/>
        </w:rPr>
      </w:pPr>
    </w:p>
    <w:p w:rsidR="001A19E8" w:rsidRPr="00634940" w:rsidRDefault="001A19E8" w:rsidP="001A19E8">
      <w:pPr>
        <w:jc w:val="center"/>
        <w:rPr>
          <w:rFonts w:ascii="宋体" w:eastAsia="宋体" w:hAnsi="宋体" w:cs="Arial"/>
          <w:b/>
          <w:szCs w:val="21"/>
        </w:rPr>
      </w:pPr>
    </w:p>
    <w:p w:rsidR="001A19E8" w:rsidRPr="00634940" w:rsidRDefault="001A19E8" w:rsidP="001A19E8">
      <w:pPr>
        <w:jc w:val="center"/>
        <w:rPr>
          <w:rFonts w:ascii="宋体" w:eastAsia="宋体" w:hAnsi="宋体" w:cs="Arial"/>
          <w:b/>
          <w:szCs w:val="21"/>
        </w:rPr>
      </w:pPr>
    </w:p>
    <w:p w:rsidR="0023083E" w:rsidRPr="00634940" w:rsidRDefault="0023083E" w:rsidP="001A19E8">
      <w:pPr>
        <w:jc w:val="center"/>
        <w:rPr>
          <w:rFonts w:ascii="宋体" w:eastAsia="宋体" w:hAnsi="宋体" w:cs="Arial"/>
          <w:b/>
          <w:szCs w:val="21"/>
        </w:rPr>
      </w:pPr>
    </w:p>
    <w:p w:rsidR="0023083E" w:rsidRPr="00634940" w:rsidRDefault="0023083E" w:rsidP="001A19E8">
      <w:pPr>
        <w:jc w:val="center"/>
        <w:rPr>
          <w:rFonts w:ascii="宋体" w:eastAsia="宋体" w:hAnsi="宋体" w:cs="Arial"/>
          <w:b/>
          <w:szCs w:val="21"/>
        </w:rPr>
      </w:pPr>
    </w:p>
    <w:p w:rsidR="00634940" w:rsidRDefault="00634940" w:rsidP="001A19E8">
      <w:pPr>
        <w:jc w:val="center"/>
        <w:rPr>
          <w:rFonts w:ascii="宋体" w:eastAsia="宋体" w:hAnsi="宋体" w:cs="Arial"/>
          <w:b/>
          <w:szCs w:val="21"/>
        </w:rPr>
      </w:pPr>
    </w:p>
    <w:p w:rsidR="00634940" w:rsidRDefault="00634940" w:rsidP="001A19E8">
      <w:pPr>
        <w:jc w:val="center"/>
        <w:rPr>
          <w:rFonts w:ascii="宋体" w:eastAsia="宋体" w:hAnsi="宋体" w:cs="Arial"/>
          <w:b/>
          <w:szCs w:val="21"/>
        </w:rPr>
      </w:pPr>
    </w:p>
    <w:p w:rsidR="00634940" w:rsidRDefault="00634940" w:rsidP="001A19E8">
      <w:pPr>
        <w:jc w:val="center"/>
        <w:rPr>
          <w:rFonts w:ascii="宋体" w:eastAsia="宋体" w:hAnsi="宋体" w:cs="Arial"/>
          <w:b/>
          <w:szCs w:val="21"/>
        </w:rPr>
      </w:pPr>
    </w:p>
    <w:p w:rsidR="00634940" w:rsidRDefault="00634940" w:rsidP="001A19E8">
      <w:pPr>
        <w:jc w:val="center"/>
        <w:rPr>
          <w:rFonts w:ascii="宋体" w:eastAsia="宋体" w:hAnsi="宋体" w:cs="Arial"/>
          <w:b/>
          <w:szCs w:val="21"/>
        </w:rPr>
      </w:pPr>
    </w:p>
    <w:p w:rsidR="00634940" w:rsidRDefault="00634940" w:rsidP="001A19E8">
      <w:pPr>
        <w:jc w:val="center"/>
        <w:rPr>
          <w:rFonts w:ascii="宋体" w:eastAsia="宋体" w:hAnsi="宋体" w:cs="Arial"/>
          <w:b/>
          <w:szCs w:val="21"/>
        </w:rPr>
      </w:pPr>
    </w:p>
    <w:p w:rsidR="00634940" w:rsidRDefault="00634940" w:rsidP="001A19E8">
      <w:pPr>
        <w:jc w:val="center"/>
        <w:rPr>
          <w:rFonts w:ascii="宋体" w:eastAsia="宋体" w:hAnsi="宋体" w:cs="Arial"/>
          <w:b/>
          <w:szCs w:val="21"/>
        </w:rPr>
      </w:pPr>
    </w:p>
    <w:p w:rsidR="00634940" w:rsidRDefault="00634940" w:rsidP="001A19E8">
      <w:pPr>
        <w:jc w:val="center"/>
        <w:rPr>
          <w:rFonts w:ascii="宋体" w:eastAsia="宋体" w:hAnsi="宋体" w:cs="Arial"/>
          <w:b/>
          <w:szCs w:val="21"/>
        </w:rPr>
      </w:pPr>
    </w:p>
    <w:p w:rsidR="00634940" w:rsidRPr="00634940" w:rsidRDefault="00634940" w:rsidP="001A19E8">
      <w:pPr>
        <w:jc w:val="center"/>
        <w:rPr>
          <w:rFonts w:ascii="宋体" w:eastAsia="宋体" w:hAnsi="宋体" w:cs="Arial"/>
          <w:b/>
          <w:szCs w:val="21"/>
        </w:rPr>
      </w:pPr>
    </w:p>
    <w:p w:rsidR="001A19E8" w:rsidRPr="00634940" w:rsidRDefault="001A19E8" w:rsidP="001A19E8">
      <w:pPr>
        <w:rPr>
          <w:rFonts w:ascii="宋体" w:eastAsia="宋体" w:hAnsi="宋体" w:cs="Arial"/>
          <w:sz w:val="28"/>
          <w:szCs w:val="21"/>
        </w:rPr>
      </w:pPr>
    </w:p>
    <w:p w:rsidR="001A19E8" w:rsidRPr="00634940" w:rsidRDefault="001A19E8" w:rsidP="001A19E8">
      <w:pPr>
        <w:spacing w:line="360" w:lineRule="auto"/>
        <w:jc w:val="left"/>
        <w:rPr>
          <w:rFonts w:ascii="宋体" w:eastAsia="宋体" w:hAnsi="宋体" w:cs="Arial"/>
          <w:b/>
          <w:bCs/>
          <w:sz w:val="28"/>
          <w:szCs w:val="21"/>
        </w:rPr>
      </w:pPr>
      <w:r w:rsidRPr="00634940">
        <w:rPr>
          <w:rFonts w:ascii="宋体" w:eastAsia="宋体" w:hAnsi="宋体" w:cs="Arial"/>
          <w:b/>
          <w:bCs/>
          <w:sz w:val="28"/>
          <w:szCs w:val="21"/>
        </w:rPr>
        <w:t>投标申请人： 北京康正宏基房地产评估有限公司</w:t>
      </w:r>
    </w:p>
    <w:p w:rsidR="001A19E8" w:rsidRPr="00634940" w:rsidRDefault="001A19E8" w:rsidP="001A19E8">
      <w:pPr>
        <w:spacing w:line="360" w:lineRule="auto"/>
        <w:jc w:val="left"/>
        <w:rPr>
          <w:rFonts w:ascii="宋体" w:eastAsia="宋体" w:hAnsi="宋体" w:cs="Arial"/>
          <w:b/>
          <w:bCs/>
          <w:sz w:val="28"/>
          <w:szCs w:val="21"/>
        </w:rPr>
      </w:pPr>
      <w:r w:rsidRPr="00634940">
        <w:rPr>
          <w:rFonts w:ascii="宋体" w:eastAsia="宋体" w:hAnsi="宋体" w:cs="Arial"/>
          <w:b/>
          <w:bCs/>
          <w:sz w:val="28"/>
          <w:szCs w:val="21"/>
        </w:rPr>
        <w:t>联系人：吴  薇</w:t>
      </w:r>
    </w:p>
    <w:p w:rsidR="001A19E8" w:rsidRPr="00634940" w:rsidRDefault="001A19E8" w:rsidP="001A19E8">
      <w:pPr>
        <w:spacing w:line="360" w:lineRule="auto"/>
        <w:jc w:val="left"/>
        <w:rPr>
          <w:rFonts w:ascii="宋体" w:eastAsia="宋体" w:hAnsi="宋体" w:cs="Arial"/>
          <w:b/>
          <w:bCs/>
          <w:sz w:val="28"/>
          <w:szCs w:val="21"/>
        </w:rPr>
      </w:pPr>
      <w:r w:rsidRPr="00634940">
        <w:rPr>
          <w:rFonts w:ascii="宋体" w:eastAsia="宋体" w:hAnsi="宋体" w:cs="Arial"/>
          <w:b/>
          <w:bCs/>
          <w:sz w:val="28"/>
          <w:szCs w:val="21"/>
        </w:rPr>
        <w:t>电话：13911004117、82253558-107</w:t>
      </w:r>
    </w:p>
    <w:p w:rsidR="001A19E8" w:rsidRPr="00634940" w:rsidRDefault="001A19E8" w:rsidP="001A19E8">
      <w:pPr>
        <w:spacing w:line="360" w:lineRule="auto"/>
        <w:jc w:val="left"/>
        <w:rPr>
          <w:rFonts w:ascii="宋体" w:eastAsia="宋体" w:hAnsi="宋体" w:cs="Arial"/>
          <w:b/>
          <w:bCs/>
          <w:sz w:val="28"/>
          <w:szCs w:val="21"/>
        </w:rPr>
      </w:pPr>
      <w:r w:rsidRPr="00634940">
        <w:rPr>
          <w:rFonts w:ascii="宋体" w:eastAsia="宋体" w:hAnsi="宋体" w:cs="Arial"/>
          <w:b/>
          <w:bCs/>
          <w:sz w:val="28"/>
          <w:szCs w:val="21"/>
        </w:rPr>
        <w:t>邮箱：13911004117@163.com</w:t>
      </w:r>
    </w:p>
    <w:p w:rsidR="001A19E8" w:rsidRPr="00634940" w:rsidRDefault="001A19E8" w:rsidP="001A19E8">
      <w:pPr>
        <w:spacing w:line="360" w:lineRule="auto"/>
        <w:jc w:val="left"/>
        <w:rPr>
          <w:rFonts w:ascii="宋体" w:eastAsia="宋体" w:hAnsi="宋体" w:cs="Arial"/>
          <w:b/>
          <w:bCs/>
          <w:sz w:val="28"/>
          <w:szCs w:val="21"/>
        </w:rPr>
      </w:pPr>
      <w:r w:rsidRPr="00634940">
        <w:rPr>
          <w:rFonts w:ascii="宋体" w:eastAsia="宋体" w:hAnsi="宋体" w:cs="Arial"/>
          <w:b/>
          <w:bCs/>
          <w:sz w:val="28"/>
          <w:szCs w:val="21"/>
        </w:rPr>
        <w:t>通讯地址：北京市朝阳区裕民路12号中国国际科技会展中心B座10层1003室</w:t>
      </w:r>
    </w:p>
    <w:p w:rsidR="001A19E8" w:rsidRPr="00634940" w:rsidRDefault="001A19E8" w:rsidP="001A19E8">
      <w:pPr>
        <w:jc w:val="left"/>
        <w:rPr>
          <w:rFonts w:ascii="宋体" w:eastAsia="宋体" w:hAnsi="宋体" w:cs="Arial"/>
          <w:sz w:val="28"/>
          <w:szCs w:val="21"/>
        </w:rPr>
      </w:pPr>
      <w:r w:rsidRPr="00634940">
        <w:rPr>
          <w:rFonts w:ascii="宋体" w:eastAsia="宋体" w:hAnsi="宋体" w:cs="Arial"/>
          <w:b/>
          <w:bCs/>
          <w:sz w:val="28"/>
          <w:szCs w:val="21"/>
        </w:rPr>
        <w:t>日期：</w:t>
      </w:r>
      <w:r w:rsidR="0023083E" w:rsidRPr="00634940">
        <w:rPr>
          <w:rFonts w:ascii="宋体" w:eastAsia="宋体" w:hAnsi="宋体" w:cs="Arial"/>
          <w:b/>
          <w:bCs/>
          <w:sz w:val="28"/>
          <w:szCs w:val="21"/>
        </w:rPr>
        <w:t xml:space="preserve"> 2017</w:t>
      </w:r>
      <w:r w:rsidRPr="00634940">
        <w:rPr>
          <w:rFonts w:ascii="宋体" w:eastAsia="宋体" w:hAnsi="宋体" w:cs="Arial"/>
          <w:b/>
          <w:bCs/>
          <w:sz w:val="28"/>
          <w:szCs w:val="21"/>
        </w:rPr>
        <w:t>年</w:t>
      </w:r>
      <w:r w:rsidR="00634940" w:rsidRPr="00634940">
        <w:rPr>
          <w:rFonts w:ascii="宋体" w:eastAsia="宋体" w:hAnsi="宋体" w:cs="Arial" w:hint="eastAsia"/>
          <w:b/>
          <w:bCs/>
          <w:sz w:val="28"/>
          <w:szCs w:val="21"/>
        </w:rPr>
        <w:t>11</w:t>
      </w:r>
      <w:r w:rsidRPr="00634940">
        <w:rPr>
          <w:rFonts w:ascii="宋体" w:eastAsia="宋体" w:hAnsi="宋体" w:cs="Arial"/>
          <w:b/>
          <w:bCs/>
          <w:sz w:val="28"/>
          <w:szCs w:val="21"/>
        </w:rPr>
        <w:t>月</w:t>
      </w:r>
    </w:p>
    <w:sdt>
      <w:sdtPr>
        <w:rPr>
          <w:rFonts w:ascii="宋体" w:eastAsia="宋体" w:hAnsi="宋体" w:cs="Arial"/>
          <w:b w:val="0"/>
          <w:bCs w:val="0"/>
          <w:color w:val="auto"/>
          <w:kern w:val="2"/>
          <w:sz w:val="21"/>
          <w:szCs w:val="21"/>
          <w:lang w:val="zh-CN"/>
        </w:rPr>
        <w:id w:val="-1741857534"/>
        <w:docPartObj>
          <w:docPartGallery w:val="Table of Contents"/>
          <w:docPartUnique/>
        </w:docPartObj>
      </w:sdtPr>
      <w:sdtEndPr/>
      <w:sdtContent>
        <w:p w:rsidR="005C2705" w:rsidRPr="00634940" w:rsidRDefault="005C2705" w:rsidP="005C2705">
          <w:pPr>
            <w:pStyle w:val="TOC"/>
            <w:spacing w:line="360" w:lineRule="auto"/>
            <w:jc w:val="center"/>
            <w:rPr>
              <w:rFonts w:ascii="宋体" w:eastAsia="宋体" w:hAnsi="宋体" w:cs="Arial"/>
              <w:color w:val="auto"/>
              <w:sz w:val="21"/>
              <w:szCs w:val="21"/>
            </w:rPr>
          </w:pPr>
          <w:r w:rsidRPr="00634940">
            <w:rPr>
              <w:rFonts w:ascii="宋体" w:eastAsia="宋体" w:hAnsi="宋体" w:cs="Arial"/>
              <w:color w:val="auto"/>
              <w:sz w:val="21"/>
              <w:szCs w:val="21"/>
              <w:lang w:val="zh-CN"/>
            </w:rPr>
            <w:t>目</w:t>
          </w:r>
          <w:r w:rsidRPr="00634940">
            <w:rPr>
              <w:rFonts w:ascii="宋体" w:eastAsia="宋体" w:hAnsi="宋体" w:cs="Arial" w:hint="eastAsia"/>
              <w:color w:val="auto"/>
              <w:sz w:val="21"/>
              <w:szCs w:val="21"/>
              <w:lang w:val="zh-CN"/>
            </w:rPr>
            <w:t xml:space="preserve">    </w:t>
          </w:r>
          <w:r w:rsidRPr="00634940">
            <w:rPr>
              <w:rFonts w:ascii="宋体" w:eastAsia="宋体" w:hAnsi="宋体" w:cs="Arial"/>
              <w:color w:val="auto"/>
              <w:sz w:val="21"/>
              <w:szCs w:val="21"/>
              <w:lang w:val="zh-CN"/>
            </w:rPr>
            <w:t>录</w:t>
          </w:r>
        </w:p>
        <w:p w:rsidR="005C2705" w:rsidRPr="00634940" w:rsidRDefault="005C2705" w:rsidP="005C2705">
          <w:pPr>
            <w:pStyle w:val="11"/>
            <w:spacing w:line="360" w:lineRule="auto"/>
            <w:rPr>
              <w:rFonts w:ascii="宋体" w:eastAsia="宋体" w:hAnsi="宋体" w:cs="Arial"/>
              <w:b w:val="0"/>
              <w:bCs w:val="0"/>
              <w:caps w:val="0"/>
              <w:sz w:val="21"/>
              <w:szCs w:val="21"/>
            </w:rPr>
          </w:pPr>
          <w:r w:rsidRPr="00634940">
            <w:rPr>
              <w:rFonts w:ascii="宋体" w:eastAsia="宋体" w:hAnsi="宋体" w:cs="Arial"/>
              <w:sz w:val="21"/>
              <w:szCs w:val="21"/>
            </w:rPr>
            <w:fldChar w:fldCharType="begin"/>
          </w:r>
          <w:r w:rsidRPr="00634940">
            <w:rPr>
              <w:rFonts w:ascii="宋体" w:eastAsia="宋体" w:hAnsi="宋体" w:cs="Arial"/>
              <w:sz w:val="21"/>
              <w:szCs w:val="21"/>
            </w:rPr>
            <w:instrText xml:space="preserve"> TOC \o "1-3" \h \z \u </w:instrText>
          </w:r>
          <w:r w:rsidRPr="00634940">
            <w:rPr>
              <w:rFonts w:ascii="宋体" w:eastAsia="宋体" w:hAnsi="宋体" w:cs="Arial"/>
              <w:sz w:val="21"/>
              <w:szCs w:val="21"/>
            </w:rPr>
            <w:fldChar w:fldCharType="separate"/>
          </w:r>
          <w:hyperlink w:anchor="_Toc492472831" w:history="1">
            <w:r w:rsidRPr="00634940">
              <w:rPr>
                <w:rStyle w:val="a9"/>
                <w:rFonts w:ascii="宋体" w:eastAsia="宋体" w:hAnsi="宋体" w:cs="Arial"/>
                <w:color w:val="auto"/>
                <w:sz w:val="21"/>
                <w:szCs w:val="21"/>
              </w:rPr>
              <w:t>一、工作计划</w:t>
            </w:r>
            <w:r w:rsidRPr="00634940">
              <w:rPr>
                <w:rFonts w:ascii="宋体" w:eastAsia="宋体" w:hAnsi="宋体" w:cs="Arial"/>
                <w:webHidden/>
                <w:sz w:val="21"/>
                <w:szCs w:val="21"/>
              </w:rPr>
              <w:tab/>
            </w:r>
            <w:r w:rsidRPr="00634940">
              <w:rPr>
                <w:rFonts w:ascii="宋体" w:eastAsia="宋体" w:hAnsi="宋体" w:cs="Arial"/>
                <w:webHidden/>
                <w:sz w:val="21"/>
                <w:szCs w:val="21"/>
              </w:rPr>
              <w:fldChar w:fldCharType="begin"/>
            </w:r>
            <w:r w:rsidRPr="00634940">
              <w:rPr>
                <w:rFonts w:ascii="宋体" w:eastAsia="宋体" w:hAnsi="宋体" w:cs="Arial"/>
                <w:webHidden/>
                <w:sz w:val="21"/>
                <w:szCs w:val="21"/>
              </w:rPr>
              <w:instrText xml:space="preserve"> PAGEREF _Toc492472831 \h </w:instrText>
            </w:r>
            <w:r w:rsidRPr="00634940">
              <w:rPr>
                <w:rFonts w:ascii="宋体" w:eastAsia="宋体" w:hAnsi="宋体" w:cs="Arial"/>
                <w:webHidden/>
                <w:sz w:val="21"/>
                <w:szCs w:val="21"/>
              </w:rPr>
            </w:r>
            <w:r w:rsidRPr="00634940">
              <w:rPr>
                <w:rFonts w:ascii="宋体" w:eastAsia="宋体" w:hAnsi="宋体" w:cs="Arial"/>
                <w:webHidden/>
                <w:sz w:val="21"/>
                <w:szCs w:val="21"/>
              </w:rPr>
              <w:fldChar w:fldCharType="separate"/>
            </w:r>
            <w:r w:rsidR="001C011D">
              <w:rPr>
                <w:rFonts w:ascii="宋体" w:eastAsia="宋体" w:hAnsi="宋体" w:cs="Arial"/>
                <w:webHidden/>
                <w:sz w:val="21"/>
                <w:szCs w:val="21"/>
              </w:rPr>
              <w:t>2</w:t>
            </w:r>
            <w:r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2" w:history="1">
            <w:r w:rsidR="005C2705" w:rsidRPr="00634940">
              <w:rPr>
                <w:rStyle w:val="a9"/>
                <w:rFonts w:ascii="宋体" w:eastAsia="宋体" w:hAnsi="宋体" w:cs="Arial"/>
                <w:color w:val="auto"/>
                <w:sz w:val="21"/>
                <w:szCs w:val="21"/>
              </w:rPr>
              <w:t>二、人员安排</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_Toc492472832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2</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3" w:history="1">
            <w:r w:rsidR="005C2705" w:rsidRPr="00634940">
              <w:rPr>
                <w:rStyle w:val="a9"/>
                <w:rFonts w:ascii="宋体" w:eastAsia="宋体" w:hAnsi="宋体" w:cs="Arial"/>
                <w:color w:val="auto"/>
                <w:sz w:val="21"/>
                <w:szCs w:val="21"/>
              </w:rPr>
              <w:t>三、评估报价</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_Toc492472833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3</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4" w:history="1">
            <w:r w:rsidR="005C2705" w:rsidRPr="00634940">
              <w:rPr>
                <w:rStyle w:val="a9"/>
                <w:rFonts w:ascii="宋体" w:eastAsia="宋体" w:hAnsi="宋体" w:cs="Arial"/>
                <w:color w:val="auto"/>
                <w:sz w:val="21"/>
                <w:szCs w:val="21"/>
              </w:rPr>
              <w:t>四、公司简介</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_Toc492472834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3</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5" w:history="1">
            <w:r w:rsidR="005C2705" w:rsidRPr="00634940">
              <w:rPr>
                <w:rStyle w:val="a9"/>
                <w:rFonts w:ascii="宋体" w:eastAsia="宋体" w:hAnsi="宋体" w:cs="Arial"/>
                <w:color w:val="auto"/>
                <w:sz w:val="21"/>
                <w:szCs w:val="21"/>
              </w:rPr>
              <w:t>（一）企业背景</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_Toc492472835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3</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6" w:history="1">
            <w:r w:rsidR="005C2705" w:rsidRPr="00634940">
              <w:rPr>
                <w:rStyle w:val="a9"/>
                <w:rFonts w:ascii="宋体" w:eastAsia="宋体" w:hAnsi="宋体" w:cs="Arial"/>
                <w:color w:val="auto"/>
                <w:sz w:val="21"/>
                <w:szCs w:val="21"/>
              </w:rPr>
              <w:t>（二）股东及专业人员情况</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_Toc492472836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4</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7" w:history="1">
            <w:r w:rsidR="005C2705" w:rsidRPr="00634940">
              <w:rPr>
                <w:rStyle w:val="a9"/>
                <w:rFonts w:ascii="宋体" w:eastAsia="宋体" w:hAnsi="宋体" w:cs="Arial"/>
                <w:color w:val="auto"/>
                <w:sz w:val="21"/>
                <w:szCs w:val="21"/>
              </w:rPr>
              <w:t>（三）组织架构及部门职责</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_Toc492472837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7</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8" w:history="1">
            <w:r w:rsidR="005C2705" w:rsidRPr="00634940">
              <w:rPr>
                <w:rStyle w:val="a9"/>
                <w:rFonts w:ascii="宋体" w:eastAsia="宋体" w:hAnsi="宋体" w:cs="Arial"/>
                <w:color w:val="auto"/>
                <w:sz w:val="21"/>
                <w:szCs w:val="21"/>
              </w:rPr>
              <w:t>（四）队伍建设情况</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_Toc492472838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8</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39" w:history="1">
            <w:r w:rsidR="005C2705" w:rsidRPr="00634940">
              <w:rPr>
                <w:rStyle w:val="a9"/>
                <w:rFonts w:ascii="宋体" w:eastAsia="宋体" w:hAnsi="宋体" w:cs="Arial"/>
                <w:color w:val="auto"/>
                <w:sz w:val="21"/>
                <w:szCs w:val="21"/>
              </w:rPr>
              <w:t>（五）经营范围</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_Toc492472839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9</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40" w:history="1">
            <w:r w:rsidR="005C2705" w:rsidRPr="00634940">
              <w:rPr>
                <w:rStyle w:val="a9"/>
                <w:rFonts w:ascii="宋体" w:eastAsia="宋体" w:hAnsi="宋体" w:cs="Arial"/>
                <w:color w:val="auto"/>
                <w:sz w:val="21"/>
                <w:szCs w:val="21"/>
              </w:rPr>
              <w:t>（六）行业排名</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_Toc492472840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9</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41" w:history="1">
            <w:r w:rsidR="005C2705" w:rsidRPr="00634940">
              <w:rPr>
                <w:rStyle w:val="a9"/>
                <w:rFonts w:ascii="宋体" w:eastAsia="宋体" w:hAnsi="宋体" w:cs="Arial"/>
                <w:color w:val="auto"/>
                <w:sz w:val="21"/>
                <w:szCs w:val="21"/>
              </w:rPr>
              <w:t>（七）主要合作金融机构</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_Toc492472841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10</w:t>
            </w:r>
            <w:r w:rsidR="005C2705" w:rsidRPr="00634940">
              <w:rPr>
                <w:rFonts w:ascii="宋体" w:eastAsia="宋体" w:hAnsi="宋体" w:cs="Arial"/>
                <w:webHidden/>
                <w:sz w:val="21"/>
                <w:szCs w:val="21"/>
              </w:rPr>
              <w:fldChar w:fldCharType="end"/>
            </w:r>
          </w:hyperlink>
        </w:p>
        <w:p w:rsidR="005C2705" w:rsidRPr="00634940" w:rsidRDefault="00030F82" w:rsidP="005C2705">
          <w:pPr>
            <w:pStyle w:val="11"/>
            <w:spacing w:line="360" w:lineRule="auto"/>
            <w:rPr>
              <w:rFonts w:ascii="宋体" w:eastAsia="宋体" w:hAnsi="宋体" w:cs="Arial"/>
              <w:b w:val="0"/>
              <w:bCs w:val="0"/>
              <w:caps w:val="0"/>
              <w:sz w:val="21"/>
              <w:szCs w:val="21"/>
            </w:rPr>
          </w:pPr>
          <w:hyperlink w:anchor="_Toc492472842" w:history="1">
            <w:r w:rsidR="005C2705" w:rsidRPr="00634940">
              <w:rPr>
                <w:rStyle w:val="a9"/>
                <w:rFonts w:ascii="宋体" w:eastAsia="宋体" w:hAnsi="宋体" w:cs="Arial"/>
                <w:color w:val="auto"/>
                <w:sz w:val="21"/>
                <w:szCs w:val="21"/>
              </w:rPr>
              <w:t>（八）服务优势及风险控制措施</w:t>
            </w:r>
            <w:r w:rsidR="005C2705" w:rsidRPr="00634940">
              <w:rPr>
                <w:rFonts w:ascii="宋体" w:eastAsia="宋体" w:hAnsi="宋体" w:cs="Arial"/>
                <w:webHidden/>
                <w:sz w:val="21"/>
                <w:szCs w:val="21"/>
              </w:rPr>
              <w:tab/>
            </w:r>
            <w:r w:rsidR="005C2705" w:rsidRPr="00634940">
              <w:rPr>
                <w:rFonts w:ascii="宋体" w:eastAsia="宋体" w:hAnsi="宋体" w:cs="Arial"/>
                <w:webHidden/>
                <w:sz w:val="21"/>
                <w:szCs w:val="21"/>
              </w:rPr>
              <w:fldChar w:fldCharType="begin"/>
            </w:r>
            <w:r w:rsidR="005C2705" w:rsidRPr="00634940">
              <w:rPr>
                <w:rFonts w:ascii="宋体" w:eastAsia="宋体" w:hAnsi="宋体" w:cs="Arial"/>
                <w:webHidden/>
                <w:sz w:val="21"/>
                <w:szCs w:val="21"/>
              </w:rPr>
              <w:instrText xml:space="preserve"> PAGEREF _Toc492472842 \h </w:instrText>
            </w:r>
            <w:r w:rsidR="005C2705" w:rsidRPr="00634940">
              <w:rPr>
                <w:rFonts w:ascii="宋体" w:eastAsia="宋体" w:hAnsi="宋体" w:cs="Arial"/>
                <w:webHidden/>
                <w:sz w:val="21"/>
                <w:szCs w:val="21"/>
              </w:rPr>
            </w:r>
            <w:r w:rsidR="005C2705" w:rsidRPr="00634940">
              <w:rPr>
                <w:rFonts w:ascii="宋体" w:eastAsia="宋体" w:hAnsi="宋体" w:cs="Arial"/>
                <w:webHidden/>
                <w:sz w:val="21"/>
                <w:szCs w:val="21"/>
              </w:rPr>
              <w:fldChar w:fldCharType="separate"/>
            </w:r>
            <w:r w:rsidR="001C011D">
              <w:rPr>
                <w:rFonts w:ascii="宋体" w:eastAsia="宋体" w:hAnsi="宋体" w:cs="Arial"/>
                <w:webHidden/>
                <w:sz w:val="21"/>
                <w:szCs w:val="21"/>
              </w:rPr>
              <w:t>14</w:t>
            </w:r>
            <w:r w:rsidR="005C2705" w:rsidRPr="00634940">
              <w:rPr>
                <w:rFonts w:ascii="宋体" w:eastAsia="宋体" w:hAnsi="宋体" w:cs="Arial"/>
                <w:webHidden/>
                <w:sz w:val="21"/>
                <w:szCs w:val="21"/>
              </w:rPr>
              <w:fldChar w:fldCharType="end"/>
            </w:r>
          </w:hyperlink>
        </w:p>
        <w:p w:rsidR="005C2705" w:rsidRPr="00634940" w:rsidRDefault="005C2705" w:rsidP="005C2705">
          <w:pPr>
            <w:spacing w:line="360" w:lineRule="auto"/>
            <w:rPr>
              <w:rFonts w:ascii="宋体" w:eastAsia="宋体" w:hAnsi="宋体" w:cs="Arial"/>
              <w:szCs w:val="21"/>
            </w:rPr>
          </w:pPr>
          <w:r w:rsidRPr="00634940">
            <w:rPr>
              <w:rFonts w:ascii="宋体" w:eastAsia="宋体" w:hAnsi="宋体" w:cs="Arial"/>
              <w:b/>
              <w:bCs/>
              <w:szCs w:val="21"/>
              <w:lang w:val="zh-CN"/>
            </w:rPr>
            <w:fldChar w:fldCharType="end"/>
          </w:r>
        </w:p>
      </w:sdtContent>
    </w:sdt>
    <w:p w:rsidR="005C2705" w:rsidRPr="00634940" w:rsidRDefault="005C2705" w:rsidP="00634940">
      <w:pPr>
        <w:spacing w:line="360" w:lineRule="auto"/>
        <w:ind w:firstLineChars="200" w:firstLine="422"/>
        <w:outlineLvl w:val="0"/>
        <w:rPr>
          <w:rFonts w:ascii="宋体" w:eastAsia="宋体" w:hAnsi="宋体" w:cs="Arial"/>
          <w:b/>
          <w:szCs w:val="21"/>
        </w:rPr>
      </w:pPr>
    </w:p>
    <w:p w:rsidR="005C2705" w:rsidRPr="00634940" w:rsidRDefault="005C2705" w:rsidP="00634940">
      <w:pPr>
        <w:spacing w:line="360" w:lineRule="auto"/>
        <w:ind w:firstLineChars="200" w:firstLine="422"/>
        <w:outlineLvl w:val="0"/>
        <w:rPr>
          <w:rFonts w:ascii="宋体" w:eastAsia="宋体" w:hAnsi="宋体" w:cs="Arial"/>
          <w:b/>
          <w:szCs w:val="21"/>
        </w:rPr>
      </w:pPr>
    </w:p>
    <w:p w:rsidR="005C2705" w:rsidRPr="00634940" w:rsidRDefault="005C2705" w:rsidP="00634940">
      <w:pPr>
        <w:spacing w:line="360" w:lineRule="auto"/>
        <w:ind w:firstLineChars="200" w:firstLine="422"/>
        <w:outlineLvl w:val="0"/>
        <w:rPr>
          <w:rFonts w:ascii="宋体" w:eastAsia="宋体" w:hAnsi="宋体" w:cs="Arial"/>
          <w:b/>
          <w:szCs w:val="21"/>
        </w:rPr>
      </w:pPr>
    </w:p>
    <w:p w:rsidR="005C2705" w:rsidRPr="00634940" w:rsidRDefault="005C2705" w:rsidP="00634940">
      <w:pPr>
        <w:spacing w:line="360" w:lineRule="auto"/>
        <w:ind w:firstLineChars="200" w:firstLine="422"/>
        <w:outlineLvl w:val="0"/>
        <w:rPr>
          <w:rFonts w:ascii="宋体" w:eastAsia="宋体" w:hAnsi="宋体" w:cs="Arial"/>
          <w:b/>
          <w:szCs w:val="21"/>
        </w:rPr>
      </w:pPr>
    </w:p>
    <w:p w:rsidR="005C2705" w:rsidRDefault="005C2705" w:rsidP="00634940">
      <w:pPr>
        <w:spacing w:line="360" w:lineRule="auto"/>
        <w:ind w:firstLineChars="200" w:firstLine="422"/>
        <w:outlineLvl w:val="0"/>
        <w:rPr>
          <w:rFonts w:ascii="宋体" w:eastAsia="宋体" w:hAnsi="宋体" w:cs="Arial"/>
          <w:b/>
          <w:szCs w:val="21"/>
        </w:rPr>
      </w:pPr>
    </w:p>
    <w:p w:rsidR="00634940" w:rsidRDefault="00634940" w:rsidP="00634940">
      <w:pPr>
        <w:spacing w:line="360" w:lineRule="auto"/>
        <w:ind w:firstLineChars="200" w:firstLine="422"/>
        <w:outlineLvl w:val="0"/>
        <w:rPr>
          <w:rFonts w:ascii="宋体" w:eastAsia="宋体" w:hAnsi="宋体" w:cs="Arial"/>
          <w:b/>
          <w:szCs w:val="21"/>
        </w:rPr>
      </w:pPr>
    </w:p>
    <w:p w:rsidR="00634940" w:rsidRDefault="00634940" w:rsidP="00634940">
      <w:pPr>
        <w:spacing w:line="360" w:lineRule="auto"/>
        <w:ind w:firstLineChars="200" w:firstLine="422"/>
        <w:outlineLvl w:val="0"/>
        <w:rPr>
          <w:rFonts w:ascii="宋体" w:eastAsia="宋体" w:hAnsi="宋体" w:cs="Arial"/>
          <w:b/>
          <w:szCs w:val="21"/>
        </w:rPr>
      </w:pPr>
    </w:p>
    <w:p w:rsidR="00634940" w:rsidRPr="00634940" w:rsidRDefault="00634940" w:rsidP="00634940">
      <w:pPr>
        <w:spacing w:line="360" w:lineRule="auto"/>
        <w:ind w:firstLineChars="200" w:firstLine="422"/>
        <w:outlineLvl w:val="0"/>
        <w:rPr>
          <w:rFonts w:ascii="宋体" w:eastAsia="宋体" w:hAnsi="宋体" w:cs="Arial"/>
          <w:b/>
          <w:szCs w:val="21"/>
        </w:rPr>
      </w:pPr>
    </w:p>
    <w:p w:rsidR="005C2705" w:rsidRPr="00634940" w:rsidRDefault="005C2705" w:rsidP="00634940">
      <w:pPr>
        <w:spacing w:line="360" w:lineRule="auto"/>
        <w:ind w:firstLineChars="200" w:firstLine="422"/>
        <w:outlineLvl w:val="0"/>
        <w:rPr>
          <w:rFonts w:ascii="宋体" w:eastAsia="宋体" w:hAnsi="宋体" w:cs="Arial"/>
          <w:b/>
          <w:szCs w:val="21"/>
        </w:rPr>
      </w:pPr>
    </w:p>
    <w:p w:rsidR="005C2705" w:rsidRPr="00634940" w:rsidRDefault="005C2705" w:rsidP="00634940">
      <w:pPr>
        <w:spacing w:line="360" w:lineRule="auto"/>
        <w:ind w:firstLineChars="200" w:firstLine="422"/>
        <w:outlineLvl w:val="0"/>
        <w:rPr>
          <w:rFonts w:ascii="宋体" w:eastAsia="宋体" w:hAnsi="宋体" w:cs="Arial"/>
          <w:b/>
          <w:szCs w:val="21"/>
        </w:rPr>
      </w:pPr>
    </w:p>
    <w:p w:rsidR="005C2705" w:rsidRPr="00634940" w:rsidRDefault="005C2705" w:rsidP="00634940">
      <w:pPr>
        <w:spacing w:line="360" w:lineRule="auto"/>
        <w:ind w:firstLineChars="200" w:firstLine="422"/>
        <w:outlineLvl w:val="0"/>
        <w:rPr>
          <w:rFonts w:ascii="宋体" w:eastAsia="宋体" w:hAnsi="宋体" w:cs="Arial"/>
          <w:b/>
          <w:szCs w:val="21"/>
        </w:rPr>
      </w:pPr>
    </w:p>
    <w:p w:rsidR="001A19E8" w:rsidRPr="00634940" w:rsidRDefault="005C2705" w:rsidP="00634940">
      <w:pPr>
        <w:spacing w:line="360" w:lineRule="auto"/>
        <w:ind w:firstLineChars="200" w:firstLine="422"/>
        <w:outlineLvl w:val="0"/>
        <w:rPr>
          <w:rFonts w:ascii="宋体" w:eastAsia="宋体" w:hAnsi="宋体" w:cs="Arial"/>
          <w:b/>
          <w:szCs w:val="21"/>
        </w:rPr>
      </w:pPr>
      <w:bookmarkStart w:id="0" w:name="_Toc492472831"/>
      <w:r w:rsidRPr="00634940">
        <w:rPr>
          <w:rFonts w:ascii="宋体" w:eastAsia="宋体" w:hAnsi="宋体" w:cs="Arial"/>
          <w:b/>
          <w:szCs w:val="21"/>
        </w:rPr>
        <w:lastRenderedPageBreak/>
        <w:t>一、</w:t>
      </w:r>
      <w:r w:rsidR="0023083E" w:rsidRPr="00634940">
        <w:rPr>
          <w:rFonts w:ascii="宋体" w:eastAsia="宋体" w:hAnsi="宋体" w:cs="Arial"/>
          <w:b/>
          <w:szCs w:val="21"/>
        </w:rPr>
        <w:t>工作计划</w:t>
      </w:r>
      <w:bookmarkEnd w:id="0"/>
    </w:p>
    <w:p w:rsidR="001A19E8" w:rsidRPr="00634940" w:rsidRDefault="001A19E8" w:rsidP="00634940">
      <w:pPr>
        <w:spacing w:line="480" w:lineRule="auto"/>
        <w:ind w:firstLineChars="200" w:firstLine="420"/>
        <w:rPr>
          <w:rFonts w:ascii="宋体" w:eastAsia="宋体" w:hAnsi="宋体" w:cs="Arial"/>
          <w:szCs w:val="21"/>
        </w:rPr>
      </w:pPr>
      <w:r w:rsidRPr="00634940">
        <w:rPr>
          <w:rFonts w:ascii="宋体" w:eastAsia="宋体" w:hAnsi="宋体" w:cs="Arial"/>
          <w:szCs w:val="21"/>
        </w:rPr>
        <w:t>针对贵司房地产评估的需求，我公司特制定了相应的操作流程，在勘察完现场，并且在估价委托人提供资料齐全的前提下保证</w:t>
      </w:r>
      <w:r w:rsidR="00AD07D7" w:rsidRPr="00634940">
        <w:rPr>
          <w:rFonts w:ascii="宋体" w:eastAsia="宋体" w:hAnsi="宋体" w:cs="Arial"/>
          <w:szCs w:val="21"/>
        </w:rPr>
        <w:t>5～</w:t>
      </w:r>
      <w:r w:rsidR="00634940" w:rsidRPr="00634940">
        <w:rPr>
          <w:rFonts w:ascii="宋体" w:eastAsia="宋体" w:hAnsi="宋体" w:cs="Arial" w:hint="eastAsia"/>
          <w:szCs w:val="21"/>
        </w:rPr>
        <w:t>9</w:t>
      </w:r>
      <w:r w:rsidRPr="00634940">
        <w:rPr>
          <w:rFonts w:ascii="宋体" w:eastAsia="宋体" w:hAnsi="宋体" w:cs="Arial"/>
          <w:szCs w:val="21"/>
        </w:rPr>
        <w:t>个工作日出具评估报告（或</w:t>
      </w:r>
      <w:r w:rsidR="00551993" w:rsidRPr="00634940">
        <w:rPr>
          <w:rFonts w:ascii="宋体" w:eastAsia="宋体" w:hAnsi="宋体" w:cs="Arial"/>
          <w:szCs w:val="21"/>
        </w:rPr>
        <w:t>预评估报告</w:t>
      </w:r>
      <w:r w:rsidRPr="00634940">
        <w:rPr>
          <w:rFonts w:ascii="宋体" w:eastAsia="宋体" w:hAnsi="宋体" w:cs="Arial"/>
          <w:szCs w:val="21"/>
        </w:rPr>
        <w:t>），具体工作时间如下表：</w:t>
      </w:r>
    </w:p>
    <w:tbl>
      <w:tblPr>
        <w:tblW w:w="4953" w:type="pct"/>
        <w:jc w:val="center"/>
        <w:tblInd w:w="85" w:type="dxa"/>
        <w:tblBorders>
          <w:top w:val="double" w:sz="4" w:space="0" w:color="auto"/>
          <w:left w:val="dotted" w:sz="4" w:space="0" w:color="auto"/>
          <w:bottom w:val="double"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30"/>
        <w:gridCol w:w="1767"/>
        <w:gridCol w:w="5507"/>
        <w:gridCol w:w="1757"/>
      </w:tblGrid>
      <w:tr w:rsidR="007F60DC" w:rsidRPr="0015036B" w:rsidTr="0015036B">
        <w:trPr>
          <w:trHeight w:val="443"/>
          <w:jc w:val="center"/>
        </w:trPr>
        <w:tc>
          <w:tcPr>
            <w:tcW w:w="374"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序号</w:t>
            </w:r>
          </w:p>
        </w:tc>
        <w:tc>
          <w:tcPr>
            <w:tcW w:w="905"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工作流程</w:t>
            </w:r>
          </w:p>
        </w:tc>
        <w:tc>
          <w:tcPr>
            <w:tcW w:w="2821"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工作计划及内容</w:t>
            </w:r>
          </w:p>
        </w:tc>
        <w:tc>
          <w:tcPr>
            <w:tcW w:w="900"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工作进度</w:t>
            </w:r>
          </w:p>
        </w:tc>
      </w:tr>
      <w:tr w:rsidR="007F60DC" w:rsidRPr="0015036B" w:rsidTr="0015036B">
        <w:trPr>
          <w:trHeight w:val="490"/>
          <w:jc w:val="center"/>
        </w:trPr>
        <w:tc>
          <w:tcPr>
            <w:tcW w:w="374"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1</w:t>
            </w:r>
          </w:p>
        </w:tc>
        <w:tc>
          <w:tcPr>
            <w:tcW w:w="905"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接受委托及前期准备</w:t>
            </w:r>
          </w:p>
        </w:tc>
        <w:tc>
          <w:tcPr>
            <w:tcW w:w="2821"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针对项目特点，优化小组人员配置，与委托方沟通制定工作方案，研究调查方案的可行性，并考虑可能遇到的特殊情况</w:t>
            </w:r>
          </w:p>
        </w:tc>
        <w:tc>
          <w:tcPr>
            <w:tcW w:w="900"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0～</w:t>
            </w:r>
            <w:r w:rsidR="00567706" w:rsidRPr="0015036B">
              <w:rPr>
                <w:rFonts w:ascii="华文细黑" w:eastAsia="华文细黑" w:hAnsi="华文细黑" w:cs="Arial"/>
                <w:szCs w:val="21"/>
              </w:rPr>
              <w:t>0.5</w:t>
            </w:r>
            <w:r w:rsidRPr="0015036B">
              <w:rPr>
                <w:rFonts w:ascii="华文细黑" w:eastAsia="华文细黑" w:hAnsi="华文细黑" w:cs="Arial"/>
                <w:szCs w:val="21"/>
              </w:rPr>
              <w:t>工作日</w:t>
            </w:r>
          </w:p>
        </w:tc>
      </w:tr>
      <w:tr w:rsidR="007F60DC" w:rsidRPr="0015036B" w:rsidTr="0015036B">
        <w:trPr>
          <w:trHeight w:val="490"/>
          <w:jc w:val="center"/>
        </w:trPr>
        <w:tc>
          <w:tcPr>
            <w:tcW w:w="374"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2</w:t>
            </w:r>
          </w:p>
        </w:tc>
        <w:tc>
          <w:tcPr>
            <w:tcW w:w="905"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现场勘察及市场调查</w:t>
            </w:r>
          </w:p>
        </w:tc>
        <w:tc>
          <w:tcPr>
            <w:tcW w:w="2821"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对拟评估对象及其周边环境进行现场勘查，并对周边房地产市场状况进行详细调查</w:t>
            </w:r>
          </w:p>
        </w:tc>
        <w:tc>
          <w:tcPr>
            <w:tcW w:w="900"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0.5～</w:t>
            </w:r>
            <w:r w:rsidR="00AD07D7" w:rsidRPr="0015036B">
              <w:rPr>
                <w:rFonts w:ascii="华文细黑" w:eastAsia="华文细黑" w:hAnsi="华文细黑" w:cs="Arial"/>
                <w:szCs w:val="21"/>
              </w:rPr>
              <w:t>1</w:t>
            </w:r>
            <w:r w:rsidRPr="0015036B">
              <w:rPr>
                <w:rFonts w:ascii="华文细黑" w:eastAsia="华文细黑" w:hAnsi="华文细黑" w:cs="Arial"/>
                <w:szCs w:val="21"/>
              </w:rPr>
              <w:t>工作日</w:t>
            </w:r>
          </w:p>
        </w:tc>
      </w:tr>
      <w:tr w:rsidR="007F60DC" w:rsidRPr="0015036B" w:rsidTr="0015036B">
        <w:trPr>
          <w:trHeight w:val="490"/>
          <w:jc w:val="center"/>
        </w:trPr>
        <w:tc>
          <w:tcPr>
            <w:tcW w:w="374"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3</w:t>
            </w:r>
          </w:p>
        </w:tc>
        <w:tc>
          <w:tcPr>
            <w:tcW w:w="905"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价格测算</w:t>
            </w:r>
            <w:r w:rsidR="00CF4E8C" w:rsidRPr="0015036B">
              <w:rPr>
                <w:rFonts w:ascii="华文细黑" w:eastAsia="华文细黑" w:hAnsi="华文细黑" w:cs="Arial"/>
                <w:szCs w:val="21"/>
              </w:rPr>
              <w:t>及审核</w:t>
            </w:r>
          </w:p>
        </w:tc>
        <w:tc>
          <w:tcPr>
            <w:tcW w:w="2821" w:type="pct"/>
            <w:vAlign w:val="center"/>
          </w:tcPr>
          <w:p w:rsidR="001A19E8" w:rsidRPr="0015036B" w:rsidRDefault="001A19E8" w:rsidP="0015036B">
            <w:pPr>
              <w:rPr>
                <w:rFonts w:ascii="华文细黑" w:eastAsia="华文细黑" w:hAnsi="华文细黑" w:cs="Arial"/>
                <w:szCs w:val="21"/>
              </w:rPr>
            </w:pPr>
            <w:r w:rsidRPr="0015036B">
              <w:rPr>
                <w:rFonts w:ascii="华文细黑" w:eastAsia="华文细黑" w:hAnsi="华文细黑" w:cs="Arial"/>
                <w:szCs w:val="21"/>
              </w:rPr>
              <w:t>整理调查结果，确定评估方案，并综合各种影响房地产价格的因素，估算拟估对象价值</w:t>
            </w:r>
            <w:r w:rsidR="00CF4E8C" w:rsidRPr="0015036B">
              <w:rPr>
                <w:rFonts w:ascii="华文细黑" w:eastAsia="华文细黑" w:hAnsi="华文细黑" w:cs="Arial"/>
                <w:szCs w:val="21"/>
              </w:rPr>
              <w:t>，测算完成后，实行估算价格三级审核制度</w:t>
            </w:r>
          </w:p>
        </w:tc>
        <w:tc>
          <w:tcPr>
            <w:tcW w:w="900" w:type="pct"/>
            <w:vAlign w:val="center"/>
          </w:tcPr>
          <w:p w:rsidR="001A19E8" w:rsidRPr="0015036B" w:rsidRDefault="00A7368F" w:rsidP="0015036B">
            <w:pPr>
              <w:rPr>
                <w:rFonts w:ascii="华文细黑" w:eastAsia="华文细黑" w:hAnsi="华文细黑" w:cs="Arial"/>
                <w:szCs w:val="21"/>
              </w:rPr>
            </w:pPr>
            <w:r w:rsidRPr="0015036B">
              <w:rPr>
                <w:rFonts w:ascii="华文细黑" w:eastAsia="华文细黑" w:hAnsi="华文细黑" w:cs="Arial" w:hint="eastAsia"/>
                <w:szCs w:val="21"/>
              </w:rPr>
              <w:t>1</w:t>
            </w:r>
            <w:r w:rsidR="001A19E8" w:rsidRPr="0015036B">
              <w:rPr>
                <w:rFonts w:ascii="华文细黑" w:eastAsia="华文细黑" w:hAnsi="华文细黑" w:cs="Arial"/>
                <w:szCs w:val="21"/>
              </w:rPr>
              <w:t>～</w:t>
            </w:r>
            <w:r w:rsidRPr="0015036B">
              <w:rPr>
                <w:rFonts w:ascii="华文细黑" w:eastAsia="华文细黑" w:hAnsi="华文细黑" w:cs="Arial" w:hint="eastAsia"/>
                <w:szCs w:val="21"/>
              </w:rPr>
              <w:t>2</w:t>
            </w:r>
            <w:r w:rsidR="001A19E8" w:rsidRPr="0015036B">
              <w:rPr>
                <w:rFonts w:ascii="华文细黑" w:eastAsia="华文细黑" w:hAnsi="华文细黑" w:cs="Arial"/>
                <w:szCs w:val="21"/>
              </w:rPr>
              <w:t>工作日</w:t>
            </w:r>
          </w:p>
        </w:tc>
      </w:tr>
      <w:tr w:rsidR="00CF4E8C" w:rsidRPr="0015036B" w:rsidTr="0015036B">
        <w:trPr>
          <w:trHeight w:val="490"/>
          <w:jc w:val="center"/>
        </w:trPr>
        <w:tc>
          <w:tcPr>
            <w:tcW w:w="374" w:type="pct"/>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4</w:t>
            </w:r>
          </w:p>
        </w:tc>
        <w:tc>
          <w:tcPr>
            <w:tcW w:w="905" w:type="pct"/>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出具预评估报告</w:t>
            </w:r>
          </w:p>
        </w:tc>
        <w:tc>
          <w:tcPr>
            <w:tcW w:w="2821" w:type="pct"/>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撰写、出具预评估报告</w:t>
            </w:r>
          </w:p>
        </w:tc>
        <w:tc>
          <w:tcPr>
            <w:tcW w:w="900" w:type="pct"/>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1～2工作日</w:t>
            </w:r>
          </w:p>
        </w:tc>
      </w:tr>
      <w:tr w:rsidR="00CF4E8C" w:rsidRPr="0015036B" w:rsidTr="0015036B">
        <w:trPr>
          <w:trHeight w:val="490"/>
          <w:jc w:val="center"/>
        </w:trPr>
        <w:tc>
          <w:tcPr>
            <w:tcW w:w="374" w:type="pct"/>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5</w:t>
            </w:r>
          </w:p>
        </w:tc>
        <w:tc>
          <w:tcPr>
            <w:tcW w:w="905" w:type="pct"/>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出具评估报告及审核、装订</w:t>
            </w:r>
          </w:p>
        </w:tc>
        <w:tc>
          <w:tcPr>
            <w:tcW w:w="2821" w:type="pct"/>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撰写评估报告，实行报告三级审核制度</w:t>
            </w:r>
          </w:p>
        </w:tc>
        <w:tc>
          <w:tcPr>
            <w:tcW w:w="900" w:type="pct"/>
            <w:vAlign w:val="center"/>
          </w:tcPr>
          <w:p w:rsidR="00CF4E8C" w:rsidRPr="0015036B" w:rsidRDefault="00A7368F" w:rsidP="0015036B">
            <w:pPr>
              <w:rPr>
                <w:rFonts w:ascii="华文细黑" w:eastAsia="华文细黑" w:hAnsi="华文细黑" w:cs="Arial"/>
                <w:szCs w:val="21"/>
              </w:rPr>
            </w:pPr>
            <w:r w:rsidRPr="0015036B">
              <w:rPr>
                <w:rFonts w:ascii="华文细黑" w:eastAsia="华文细黑" w:hAnsi="华文细黑" w:cs="Arial" w:hint="eastAsia"/>
                <w:szCs w:val="21"/>
              </w:rPr>
              <w:t>2</w:t>
            </w:r>
            <w:r w:rsidR="00CF4E8C" w:rsidRPr="0015036B">
              <w:rPr>
                <w:rFonts w:ascii="华文细黑" w:eastAsia="华文细黑" w:hAnsi="华文细黑" w:cs="Arial"/>
                <w:szCs w:val="21"/>
              </w:rPr>
              <w:t>～</w:t>
            </w:r>
            <w:r w:rsidR="00634940" w:rsidRPr="0015036B">
              <w:rPr>
                <w:rFonts w:ascii="华文细黑" w:eastAsia="华文细黑" w:hAnsi="华文细黑" w:cs="Arial" w:hint="eastAsia"/>
                <w:szCs w:val="21"/>
              </w:rPr>
              <w:t>4</w:t>
            </w:r>
            <w:r w:rsidR="00CF4E8C" w:rsidRPr="0015036B">
              <w:rPr>
                <w:rFonts w:ascii="华文细黑" w:eastAsia="华文细黑" w:hAnsi="华文细黑" w:cs="Arial"/>
                <w:szCs w:val="21"/>
              </w:rPr>
              <w:t>工作日</w:t>
            </w:r>
          </w:p>
        </w:tc>
      </w:tr>
      <w:tr w:rsidR="00CF4E8C" w:rsidRPr="0015036B" w:rsidTr="0015036B">
        <w:trPr>
          <w:trHeight w:val="490"/>
          <w:jc w:val="center"/>
        </w:trPr>
        <w:tc>
          <w:tcPr>
            <w:tcW w:w="5000" w:type="pct"/>
            <w:gridSpan w:val="4"/>
            <w:vAlign w:val="center"/>
          </w:tcPr>
          <w:p w:rsidR="00CF4E8C" w:rsidRPr="0015036B" w:rsidRDefault="00CF4E8C" w:rsidP="006407AE">
            <w:pPr>
              <w:jc w:val="center"/>
              <w:rPr>
                <w:rFonts w:ascii="华文细黑" w:eastAsia="华文细黑" w:hAnsi="华文细黑" w:cs="Arial"/>
                <w:szCs w:val="21"/>
              </w:rPr>
            </w:pPr>
            <w:r w:rsidRPr="0015036B">
              <w:rPr>
                <w:rFonts w:ascii="华文细黑" w:eastAsia="华文细黑" w:hAnsi="华文细黑" w:cs="Arial"/>
                <w:szCs w:val="21"/>
              </w:rPr>
              <w:t>共计</w:t>
            </w:r>
            <w:r w:rsidR="00404B5E" w:rsidRPr="0015036B">
              <w:rPr>
                <w:rFonts w:ascii="华文细黑" w:eastAsia="华文细黑" w:hAnsi="华文细黑" w:cs="Arial"/>
                <w:szCs w:val="21"/>
              </w:rPr>
              <w:t>5</w:t>
            </w:r>
            <w:r w:rsidRPr="0015036B">
              <w:rPr>
                <w:rFonts w:ascii="华文细黑" w:eastAsia="华文细黑" w:hAnsi="华文细黑" w:cs="Arial"/>
                <w:szCs w:val="21"/>
              </w:rPr>
              <w:t>～</w:t>
            </w:r>
            <w:r w:rsidR="00634940" w:rsidRPr="0015036B">
              <w:rPr>
                <w:rFonts w:ascii="华文细黑" w:eastAsia="华文细黑" w:hAnsi="华文细黑" w:cs="Arial" w:hint="eastAsia"/>
                <w:szCs w:val="21"/>
              </w:rPr>
              <w:t>9</w:t>
            </w:r>
            <w:r w:rsidRPr="0015036B">
              <w:rPr>
                <w:rFonts w:ascii="华文细黑" w:eastAsia="华文细黑" w:hAnsi="华文细黑" w:cs="Arial"/>
                <w:szCs w:val="21"/>
              </w:rPr>
              <w:t>个工作日</w:t>
            </w:r>
          </w:p>
        </w:tc>
      </w:tr>
    </w:tbl>
    <w:p w:rsidR="005C2705" w:rsidRPr="00634940" w:rsidRDefault="005C2705" w:rsidP="00634940">
      <w:pPr>
        <w:spacing w:line="360" w:lineRule="auto"/>
        <w:ind w:firstLineChars="200" w:firstLine="422"/>
        <w:outlineLvl w:val="0"/>
        <w:rPr>
          <w:rFonts w:ascii="宋体" w:eastAsia="宋体" w:hAnsi="宋体" w:cs="Arial"/>
          <w:b/>
          <w:szCs w:val="21"/>
        </w:rPr>
      </w:pPr>
    </w:p>
    <w:p w:rsidR="001A19E8" w:rsidRPr="00634940" w:rsidRDefault="005C2705" w:rsidP="00634940">
      <w:pPr>
        <w:spacing w:line="360" w:lineRule="auto"/>
        <w:ind w:firstLineChars="200" w:firstLine="422"/>
        <w:outlineLvl w:val="0"/>
        <w:rPr>
          <w:rFonts w:ascii="宋体" w:eastAsia="宋体" w:hAnsi="宋体" w:cs="Arial"/>
          <w:b/>
          <w:szCs w:val="21"/>
        </w:rPr>
      </w:pPr>
      <w:bookmarkStart w:id="1" w:name="_Toc492472832"/>
      <w:r w:rsidRPr="00634940">
        <w:rPr>
          <w:rFonts w:ascii="宋体" w:eastAsia="宋体" w:hAnsi="宋体" w:cs="Arial"/>
          <w:b/>
          <w:szCs w:val="21"/>
        </w:rPr>
        <w:t>二、</w:t>
      </w:r>
      <w:r w:rsidR="0023083E" w:rsidRPr="00634940">
        <w:rPr>
          <w:rFonts w:ascii="宋体" w:eastAsia="宋体" w:hAnsi="宋体" w:cs="Arial"/>
          <w:b/>
          <w:szCs w:val="21"/>
        </w:rPr>
        <w:t>人员安排</w:t>
      </w:r>
      <w:bookmarkEnd w:id="1"/>
    </w:p>
    <w:tbl>
      <w:tblPr>
        <w:tblStyle w:val="a7"/>
        <w:tblW w:w="88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29"/>
        <w:gridCol w:w="2140"/>
        <w:gridCol w:w="5436"/>
      </w:tblGrid>
      <w:tr w:rsidR="0023083E" w:rsidRPr="0015036B" w:rsidTr="0015036B">
        <w:trPr>
          <w:trHeight w:val="422"/>
          <w:jc w:val="center"/>
        </w:trPr>
        <w:tc>
          <w:tcPr>
            <w:tcW w:w="1229" w:type="dxa"/>
            <w:tcBorders>
              <w:top w:val="double" w:sz="4" w:space="0" w:color="auto"/>
            </w:tcBorders>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序号</w:t>
            </w:r>
          </w:p>
        </w:tc>
        <w:tc>
          <w:tcPr>
            <w:tcW w:w="2140" w:type="dxa"/>
            <w:tcBorders>
              <w:top w:val="double" w:sz="4" w:space="0" w:color="auto"/>
            </w:tcBorders>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姓名</w:t>
            </w:r>
          </w:p>
        </w:tc>
        <w:tc>
          <w:tcPr>
            <w:tcW w:w="5436" w:type="dxa"/>
            <w:tcBorders>
              <w:top w:val="double" w:sz="4" w:space="0" w:color="auto"/>
            </w:tcBorders>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工作内容</w:t>
            </w:r>
          </w:p>
        </w:tc>
      </w:tr>
      <w:tr w:rsidR="0023083E" w:rsidRPr="0015036B" w:rsidTr="0015036B">
        <w:trPr>
          <w:trHeight w:val="623"/>
          <w:jc w:val="center"/>
        </w:trPr>
        <w:tc>
          <w:tcPr>
            <w:tcW w:w="1229"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1</w:t>
            </w:r>
          </w:p>
        </w:tc>
        <w:tc>
          <w:tcPr>
            <w:tcW w:w="2140"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吴薇</w:t>
            </w:r>
          </w:p>
        </w:tc>
        <w:tc>
          <w:tcPr>
            <w:tcW w:w="5436"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项目负责人，</w:t>
            </w:r>
            <w:r w:rsidR="00634940" w:rsidRPr="0015036B">
              <w:rPr>
                <w:rFonts w:ascii="华文细黑" w:eastAsia="华文细黑" w:hAnsi="华文细黑" w:cs="Arial" w:hint="eastAsia"/>
                <w:szCs w:val="21"/>
              </w:rPr>
              <w:t>从事房地产评估工作1</w:t>
            </w:r>
            <w:r w:rsidR="006407AE">
              <w:rPr>
                <w:rFonts w:ascii="华文细黑" w:eastAsia="华文细黑" w:hAnsi="华文细黑" w:cs="Arial" w:hint="eastAsia"/>
                <w:szCs w:val="21"/>
              </w:rPr>
              <w:t>7</w:t>
            </w:r>
            <w:r w:rsidR="00634940" w:rsidRPr="0015036B">
              <w:rPr>
                <w:rFonts w:ascii="华文细黑" w:eastAsia="华文细黑" w:hAnsi="华文细黑" w:cs="Arial" w:hint="eastAsia"/>
                <w:szCs w:val="21"/>
              </w:rPr>
              <w:t>年，房地产估价师、土地估价师。</w:t>
            </w:r>
            <w:r w:rsidRPr="0015036B">
              <w:rPr>
                <w:rFonts w:ascii="华文细黑" w:eastAsia="华文细黑" w:hAnsi="华文细黑" w:cs="Arial"/>
                <w:szCs w:val="21"/>
              </w:rPr>
              <w:t>负责与估价委托人进行前期沟通，并制定工作方案，确定技术思路及价格水平</w:t>
            </w:r>
          </w:p>
        </w:tc>
      </w:tr>
      <w:tr w:rsidR="0023083E" w:rsidRPr="0015036B" w:rsidTr="0015036B">
        <w:trPr>
          <w:trHeight w:val="1045"/>
          <w:jc w:val="center"/>
        </w:trPr>
        <w:tc>
          <w:tcPr>
            <w:tcW w:w="1229"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2</w:t>
            </w:r>
          </w:p>
        </w:tc>
        <w:tc>
          <w:tcPr>
            <w:tcW w:w="2140" w:type="dxa"/>
            <w:vAlign w:val="center"/>
          </w:tcPr>
          <w:p w:rsidR="0023083E" w:rsidRPr="0015036B" w:rsidRDefault="0062001D" w:rsidP="0015036B">
            <w:pPr>
              <w:rPr>
                <w:rFonts w:ascii="华文细黑" w:eastAsia="华文细黑" w:hAnsi="华文细黑" w:cs="Arial"/>
                <w:szCs w:val="21"/>
              </w:rPr>
            </w:pPr>
            <w:r w:rsidRPr="0015036B">
              <w:rPr>
                <w:rFonts w:ascii="华文细黑" w:eastAsia="华文细黑" w:hAnsi="华文细黑" w:cs="Arial" w:hint="eastAsia"/>
                <w:szCs w:val="21"/>
              </w:rPr>
              <w:t>崔锴</w:t>
            </w:r>
          </w:p>
        </w:tc>
        <w:tc>
          <w:tcPr>
            <w:tcW w:w="5436"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项目制作人，</w:t>
            </w:r>
            <w:r w:rsidR="00634940" w:rsidRPr="0015036B">
              <w:rPr>
                <w:rFonts w:ascii="华文细黑" w:eastAsia="华文细黑" w:hAnsi="华文细黑" w:cs="Arial" w:hint="eastAsia"/>
                <w:szCs w:val="21"/>
              </w:rPr>
              <w:t>从事房地产评估工作</w:t>
            </w:r>
            <w:r w:rsidR="006407AE">
              <w:rPr>
                <w:rFonts w:ascii="华文细黑" w:eastAsia="华文细黑" w:hAnsi="华文细黑" w:cs="Arial" w:hint="eastAsia"/>
                <w:szCs w:val="21"/>
              </w:rPr>
              <w:t>15</w:t>
            </w:r>
            <w:r w:rsidR="00634940" w:rsidRPr="0015036B">
              <w:rPr>
                <w:rFonts w:ascii="华文细黑" w:eastAsia="华文细黑" w:hAnsi="华文细黑" w:cs="Arial" w:hint="eastAsia"/>
                <w:szCs w:val="21"/>
              </w:rPr>
              <w:t>年，房地产估价师、土地估价师。</w:t>
            </w:r>
            <w:r w:rsidRPr="0015036B">
              <w:rPr>
                <w:rFonts w:ascii="华文细黑" w:eastAsia="华文细黑" w:hAnsi="华文细黑" w:cs="Arial"/>
                <w:szCs w:val="21"/>
              </w:rPr>
              <w:t>负责对拟评估对象确定评估方案，并综合各种影响房地产价格的因素，</w:t>
            </w:r>
            <w:r w:rsidR="00634940" w:rsidRPr="0015036B">
              <w:rPr>
                <w:rFonts w:ascii="华文细黑" w:eastAsia="华文细黑" w:hAnsi="华文细黑" w:cs="Arial" w:hint="eastAsia"/>
                <w:szCs w:val="21"/>
              </w:rPr>
              <w:t>对</w:t>
            </w:r>
            <w:r w:rsidRPr="0015036B">
              <w:rPr>
                <w:rFonts w:ascii="华文细黑" w:eastAsia="华文细黑" w:hAnsi="华文细黑" w:cs="Arial"/>
                <w:szCs w:val="21"/>
              </w:rPr>
              <w:t>拟估对象价值</w:t>
            </w:r>
            <w:r w:rsidR="00634940" w:rsidRPr="0015036B">
              <w:rPr>
                <w:rFonts w:ascii="华文细黑" w:eastAsia="华文细黑" w:hAnsi="华文细黑" w:cs="Arial" w:hint="eastAsia"/>
                <w:szCs w:val="21"/>
              </w:rPr>
              <w:t>及报告进行审核</w:t>
            </w:r>
            <w:r w:rsidRPr="0015036B">
              <w:rPr>
                <w:rFonts w:ascii="华文细黑" w:eastAsia="华文细黑" w:hAnsi="华文细黑" w:cs="Arial"/>
                <w:szCs w:val="21"/>
              </w:rPr>
              <w:t>。</w:t>
            </w:r>
          </w:p>
        </w:tc>
      </w:tr>
      <w:tr w:rsidR="0023083E" w:rsidRPr="0015036B" w:rsidTr="0015036B">
        <w:trPr>
          <w:trHeight w:val="843"/>
          <w:jc w:val="center"/>
        </w:trPr>
        <w:tc>
          <w:tcPr>
            <w:tcW w:w="1229"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3</w:t>
            </w:r>
          </w:p>
        </w:tc>
        <w:tc>
          <w:tcPr>
            <w:tcW w:w="2140"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王超岳</w:t>
            </w:r>
          </w:p>
        </w:tc>
        <w:tc>
          <w:tcPr>
            <w:tcW w:w="5436" w:type="dxa"/>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项目制作人，</w:t>
            </w:r>
            <w:r w:rsidR="00634940" w:rsidRPr="0015036B">
              <w:rPr>
                <w:rFonts w:ascii="华文细黑" w:eastAsia="华文细黑" w:hAnsi="华文细黑" w:cs="Arial" w:hint="eastAsia"/>
                <w:szCs w:val="21"/>
              </w:rPr>
              <w:t>从事房地产评估工作5年，</w:t>
            </w:r>
            <w:r w:rsidRPr="0015036B">
              <w:rPr>
                <w:rFonts w:ascii="华文细黑" w:eastAsia="华文细黑" w:hAnsi="华文细黑" w:cs="Arial"/>
                <w:szCs w:val="21"/>
              </w:rPr>
              <w:t>负责对拟评估对象进行现场勘查，确定评估方案，并综合各种影响房地产价格的因素，估算拟估对象价值，撰写报告。</w:t>
            </w:r>
          </w:p>
        </w:tc>
      </w:tr>
      <w:tr w:rsidR="0023083E" w:rsidRPr="0015036B" w:rsidTr="0015036B">
        <w:trPr>
          <w:trHeight w:val="96"/>
          <w:jc w:val="center"/>
        </w:trPr>
        <w:tc>
          <w:tcPr>
            <w:tcW w:w="1229" w:type="dxa"/>
            <w:tcBorders>
              <w:bottom w:val="double" w:sz="4" w:space="0" w:color="auto"/>
            </w:tcBorders>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4</w:t>
            </w:r>
          </w:p>
        </w:tc>
        <w:tc>
          <w:tcPr>
            <w:tcW w:w="2140" w:type="dxa"/>
            <w:tcBorders>
              <w:bottom w:val="double" w:sz="4" w:space="0" w:color="auto"/>
            </w:tcBorders>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张若雯</w:t>
            </w:r>
          </w:p>
        </w:tc>
        <w:tc>
          <w:tcPr>
            <w:tcW w:w="5436" w:type="dxa"/>
            <w:tcBorders>
              <w:bottom w:val="double" w:sz="4" w:space="0" w:color="auto"/>
            </w:tcBorders>
            <w:vAlign w:val="center"/>
          </w:tcPr>
          <w:p w:rsidR="0023083E" w:rsidRPr="0015036B" w:rsidRDefault="0023083E" w:rsidP="0015036B">
            <w:pPr>
              <w:rPr>
                <w:rFonts w:ascii="华文细黑" w:eastAsia="华文细黑" w:hAnsi="华文细黑" w:cs="Arial"/>
                <w:szCs w:val="21"/>
              </w:rPr>
            </w:pPr>
            <w:r w:rsidRPr="0015036B">
              <w:rPr>
                <w:rFonts w:ascii="华文细黑" w:eastAsia="华文细黑" w:hAnsi="华文细黑" w:cs="Arial"/>
                <w:szCs w:val="21"/>
              </w:rPr>
              <w:t>项目制作人，</w:t>
            </w:r>
            <w:r w:rsidR="00634940" w:rsidRPr="0015036B">
              <w:rPr>
                <w:rFonts w:ascii="华文细黑" w:eastAsia="华文细黑" w:hAnsi="华文细黑" w:cs="Arial" w:hint="eastAsia"/>
                <w:szCs w:val="21"/>
              </w:rPr>
              <w:t>从事房地产评估工作</w:t>
            </w:r>
            <w:r w:rsidR="006407AE">
              <w:rPr>
                <w:rFonts w:ascii="华文细黑" w:eastAsia="华文细黑" w:hAnsi="华文细黑" w:cs="Arial" w:hint="eastAsia"/>
                <w:szCs w:val="21"/>
              </w:rPr>
              <w:t>5</w:t>
            </w:r>
            <w:bookmarkStart w:id="2" w:name="_GoBack"/>
            <w:bookmarkEnd w:id="2"/>
            <w:r w:rsidR="00634940" w:rsidRPr="0015036B">
              <w:rPr>
                <w:rFonts w:ascii="华文细黑" w:eastAsia="华文细黑" w:hAnsi="华文细黑" w:cs="Arial" w:hint="eastAsia"/>
                <w:szCs w:val="21"/>
              </w:rPr>
              <w:t>年，</w:t>
            </w:r>
            <w:r w:rsidRPr="0015036B">
              <w:rPr>
                <w:rFonts w:ascii="华文细黑" w:eastAsia="华文细黑" w:hAnsi="华文细黑" w:cs="Arial"/>
                <w:szCs w:val="21"/>
              </w:rPr>
              <w:t>负责对拟评估对象进行现场勘查，确定评估方案，并综合各种影响房地产价格的因素，估算拟估对象价值，撰写报告。</w:t>
            </w:r>
          </w:p>
        </w:tc>
      </w:tr>
    </w:tbl>
    <w:p w:rsidR="007F60DC" w:rsidRPr="00634940" w:rsidRDefault="0023083E" w:rsidP="00634940">
      <w:pPr>
        <w:spacing w:line="360" w:lineRule="auto"/>
        <w:ind w:firstLineChars="200" w:firstLine="422"/>
        <w:rPr>
          <w:rFonts w:ascii="宋体" w:eastAsia="宋体" w:hAnsi="宋体" w:cs="Arial"/>
          <w:b/>
          <w:szCs w:val="21"/>
        </w:rPr>
      </w:pPr>
      <w:r w:rsidRPr="00634940">
        <w:rPr>
          <w:rFonts w:ascii="宋体" w:eastAsia="宋体" w:hAnsi="宋体" w:cs="Arial"/>
          <w:b/>
          <w:szCs w:val="21"/>
        </w:rPr>
        <w:t>现场查勘事项，与吴薇联系，联系方式：13911004117</w:t>
      </w:r>
    </w:p>
    <w:p w:rsidR="00634940" w:rsidRDefault="00634940" w:rsidP="0015036B">
      <w:pPr>
        <w:spacing w:line="360" w:lineRule="auto"/>
        <w:rPr>
          <w:rFonts w:ascii="宋体" w:eastAsia="宋体" w:hAnsi="宋体" w:cs="Arial"/>
          <w:szCs w:val="21"/>
        </w:rPr>
      </w:pPr>
    </w:p>
    <w:p w:rsidR="0015036B" w:rsidRPr="00634940" w:rsidRDefault="0015036B" w:rsidP="0015036B">
      <w:pPr>
        <w:spacing w:line="360" w:lineRule="auto"/>
        <w:rPr>
          <w:rFonts w:ascii="宋体" w:eastAsia="宋体" w:hAnsi="宋体" w:cs="Arial"/>
          <w:szCs w:val="21"/>
        </w:rPr>
      </w:pPr>
    </w:p>
    <w:p w:rsidR="001A19E8" w:rsidRPr="00634940" w:rsidRDefault="005C2705" w:rsidP="00634940">
      <w:pPr>
        <w:spacing w:line="360" w:lineRule="auto"/>
        <w:ind w:firstLineChars="200" w:firstLine="422"/>
        <w:outlineLvl w:val="0"/>
        <w:rPr>
          <w:rFonts w:ascii="宋体" w:eastAsia="宋体" w:hAnsi="宋体" w:cs="Arial"/>
          <w:b/>
          <w:szCs w:val="21"/>
        </w:rPr>
      </w:pPr>
      <w:bookmarkStart w:id="3" w:name="_Toc492472833"/>
      <w:r w:rsidRPr="00634940">
        <w:rPr>
          <w:rFonts w:ascii="宋体" w:eastAsia="宋体" w:hAnsi="宋体" w:cs="Arial"/>
          <w:b/>
          <w:szCs w:val="21"/>
        </w:rPr>
        <w:lastRenderedPageBreak/>
        <w:t>三、</w:t>
      </w:r>
      <w:r w:rsidR="001A19E8" w:rsidRPr="00634940">
        <w:rPr>
          <w:rFonts w:ascii="宋体" w:eastAsia="宋体" w:hAnsi="宋体" w:cs="Arial"/>
          <w:b/>
          <w:szCs w:val="21"/>
        </w:rPr>
        <w:t>评估报价</w:t>
      </w:r>
      <w:bookmarkEnd w:id="3"/>
    </w:p>
    <w:p w:rsidR="00C72469" w:rsidRPr="00634940" w:rsidRDefault="00C72469" w:rsidP="0015036B">
      <w:pPr>
        <w:spacing w:line="480" w:lineRule="auto"/>
        <w:ind w:firstLineChars="150" w:firstLine="315"/>
        <w:rPr>
          <w:rFonts w:ascii="宋体" w:eastAsia="宋体" w:hAnsi="宋体" w:cs="Arial"/>
          <w:szCs w:val="21"/>
        </w:rPr>
      </w:pPr>
      <w:r w:rsidRPr="00634940">
        <w:rPr>
          <w:rFonts w:ascii="宋体" w:eastAsia="宋体" w:hAnsi="宋体" w:cs="Arial"/>
          <w:szCs w:val="21"/>
        </w:rPr>
        <w:t>根据北京市发展和改革委员会、北京市住房和城乡建设委员会联合下发的《关于房地产价格评估收费有关问题的通知》京发改〔2013〕1522号规定，</w:t>
      </w:r>
      <w:r w:rsidR="00CF4E8C" w:rsidRPr="00634940">
        <w:rPr>
          <w:rFonts w:ascii="宋体" w:eastAsia="宋体" w:hAnsi="宋体" w:cs="Arial"/>
          <w:szCs w:val="21"/>
        </w:rPr>
        <w:t>此次</w:t>
      </w:r>
      <w:r w:rsidRPr="00634940">
        <w:rPr>
          <w:rFonts w:ascii="宋体" w:eastAsia="宋体" w:hAnsi="宋体" w:cs="Arial"/>
          <w:szCs w:val="21"/>
        </w:rPr>
        <w:t>评估根据评估值按照上述标准确定应收评估费用。</w:t>
      </w:r>
    </w:p>
    <w:tbl>
      <w:tblPr>
        <w:tblStyle w:val="a7"/>
        <w:tblW w:w="0" w:type="auto"/>
        <w:jc w:val="center"/>
        <w:tblLook w:val="04A0" w:firstRow="1" w:lastRow="0" w:firstColumn="1" w:lastColumn="0" w:noHBand="0" w:noVBand="1"/>
      </w:tblPr>
      <w:tblGrid>
        <w:gridCol w:w="3936"/>
        <w:gridCol w:w="2551"/>
        <w:gridCol w:w="2035"/>
      </w:tblGrid>
      <w:tr w:rsidR="00CF4E8C" w:rsidRPr="0015036B" w:rsidTr="0015036B">
        <w:trPr>
          <w:jc w:val="center"/>
        </w:trPr>
        <w:tc>
          <w:tcPr>
            <w:tcW w:w="3936" w:type="dxa"/>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项目名称</w:t>
            </w:r>
          </w:p>
        </w:tc>
        <w:tc>
          <w:tcPr>
            <w:tcW w:w="2551" w:type="dxa"/>
            <w:vAlign w:val="center"/>
          </w:tcPr>
          <w:p w:rsidR="00404B5E"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收费金额</w:t>
            </w:r>
          </w:p>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（人民币、万元）</w:t>
            </w:r>
          </w:p>
        </w:tc>
        <w:tc>
          <w:tcPr>
            <w:tcW w:w="2035" w:type="dxa"/>
            <w:vAlign w:val="center"/>
          </w:tcPr>
          <w:p w:rsidR="00CF4E8C" w:rsidRPr="0015036B" w:rsidRDefault="00CF4E8C" w:rsidP="0015036B">
            <w:pPr>
              <w:rPr>
                <w:rFonts w:ascii="华文细黑" w:eastAsia="华文细黑" w:hAnsi="华文细黑" w:cs="Arial"/>
                <w:szCs w:val="21"/>
              </w:rPr>
            </w:pPr>
            <w:r w:rsidRPr="0015036B">
              <w:rPr>
                <w:rFonts w:ascii="华文细黑" w:eastAsia="华文细黑" w:hAnsi="华文细黑" w:cs="Arial"/>
                <w:szCs w:val="21"/>
              </w:rPr>
              <w:t>大写（人民币）</w:t>
            </w:r>
          </w:p>
        </w:tc>
      </w:tr>
      <w:tr w:rsidR="0062001D" w:rsidRPr="0015036B" w:rsidTr="0015036B">
        <w:trPr>
          <w:jc w:val="center"/>
        </w:trPr>
        <w:tc>
          <w:tcPr>
            <w:tcW w:w="3936" w:type="dxa"/>
            <w:vAlign w:val="center"/>
          </w:tcPr>
          <w:p w:rsidR="0062001D" w:rsidRPr="0015036B" w:rsidRDefault="00634940" w:rsidP="0015036B">
            <w:pPr>
              <w:rPr>
                <w:rFonts w:ascii="华文细黑" w:eastAsia="华文细黑" w:hAnsi="华文细黑" w:cs="Arial"/>
                <w:szCs w:val="21"/>
              </w:rPr>
            </w:pPr>
            <w:r w:rsidRPr="0015036B">
              <w:rPr>
                <w:rFonts w:ascii="华文细黑" w:eastAsia="华文细黑" w:hAnsi="华文细黑" w:cs="Arial" w:hint="eastAsia"/>
                <w:szCs w:val="21"/>
              </w:rPr>
              <w:t>北京市海淀区羊坊店路9号3号楼（京门大厦）7层701-710、722、723号以及10层1001-1022号办公用房房地产</w:t>
            </w:r>
          </w:p>
        </w:tc>
        <w:tc>
          <w:tcPr>
            <w:tcW w:w="2551" w:type="dxa"/>
            <w:vMerge w:val="restart"/>
            <w:vAlign w:val="center"/>
          </w:tcPr>
          <w:p w:rsidR="0062001D" w:rsidRPr="0015036B" w:rsidRDefault="00634940" w:rsidP="0015036B">
            <w:pPr>
              <w:rPr>
                <w:rFonts w:ascii="华文细黑" w:eastAsia="华文细黑" w:hAnsi="华文细黑" w:cs="Arial"/>
                <w:b/>
                <w:szCs w:val="21"/>
              </w:rPr>
            </w:pPr>
            <w:r w:rsidRPr="0015036B">
              <w:rPr>
                <w:rFonts w:ascii="华文细黑" w:eastAsia="华文细黑" w:hAnsi="华文细黑" w:cs="Arial" w:hint="eastAsia"/>
                <w:b/>
                <w:szCs w:val="21"/>
              </w:rPr>
              <w:t>100000</w:t>
            </w:r>
          </w:p>
        </w:tc>
        <w:tc>
          <w:tcPr>
            <w:tcW w:w="2035" w:type="dxa"/>
            <w:vMerge w:val="restart"/>
            <w:vAlign w:val="center"/>
          </w:tcPr>
          <w:p w:rsidR="0062001D" w:rsidRPr="0015036B" w:rsidRDefault="00634940" w:rsidP="0015036B">
            <w:pPr>
              <w:rPr>
                <w:rFonts w:ascii="华文细黑" w:eastAsia="华文细黑" w:hAnsi="华文细黑" w:cs="Arial"/>
                <w:b/>
                <w:szCs w:val="21"/>
              </w:rPr>
            </w:pPr>
            <w:r w:rsidRPr="0015036B">
              <w:rPr>
                <w:rFonts w:ascii="华文细黑" w:eastAsia="华文细黑" w:hAnsi="华文细黑" w:cs="Arial" w:hint="eastAsia"/>
                <w:b/>
                <w:szCs w:val="21"/>
              </w:rPr>
              <w:t>拾</w:t>
            </w:r>
            <w:r w:rsidRPr="0015036B">
              <w:rPr>
                <w:rFonts w:ascii="华文细黑" w:eastAsia="华文细黑" w:hAnsi="华文细黑" w:cs="Arial"/>
                <w:b/>
                <w:szCs w:val="21"/>
              </w:rPr>
              <w:t>万元整</w:t>
            </w:r>
          </w:p>
        </w:tc>
      </w:tr>
      <w:tr w:rsidR="0062001D" w:rsidRPr="0015036B" w:rsidTr="0015036B">
        <w:trPr>
          <w:jc w:val="center"/>
        </w:trPr>
        <w:tc>
          <w:tcPr>
            <w:tcW w:w="3936" w:type="dxa"/>
            <w:vAlign w:val="center"/>
          </w:tcPr>
          <w:p w:rsidR="0062001D" w:rsidRPr="0015036B" w:rsidRDefault="00634940" w:rsidP="0015036B">
            <w:pPr>
              <w:rPr>
                <w:rFonts w:ascii="华文细黑" w:eastAsia="华文细黑" w:hAnsi="华文细黑" w:cs="Arial"/>
                <w:szCs w:val="21"/>
              </w:rPr>
            </w:pPr>
            <w:r w:rsidRPr="0015036B">
              <w:rPr>
                <w:rFonts w:ascii="华文细黑" w:eastAsia="华文细黑" w:hAnsi="华文细黑" w:cs="Arial" w:hint="eastAsia"/>
                <w:szCs w:val="21"/>
              </w:rPr>
              <w:t>天津市武清区开发区福源道北（天鹅湖温泉度假村）商业用房房地产</w:t>
            </w:r>
          </w:p>
        </w:tc>
        <w:tc>
          <w:tcPr>
            <w:tcW w:w="2551" w:type="dxa"/>
            <w:vMerge/>
            <w:vAlign w:val="center"/>
          </w:tcPr>
          <w:p w:rsidR="0062001D" w:rsidRPr="0015036B" w:rsidRDefault="0062001D" w:rsidP="0015036B">
            <w:pPr>
              <w:rPr>
                <w:rFonts w:ascii="华文细黑" w:eastAsia="华文细黑" w:hAnsi="华文细黑" w:cs="Arial"/>
                <w:szCs w:val="21"/>
              </w:rPr>
            </w:pPr>
          </w:p>
        </w:tc>
        <w:tc>
          <w:tcPr>
            <w:tcW w:w="2035" w:type="dxa"/>
            <w:vMerge/>
            <w:vAlign w:val="center"/>
          </w:tcPr>
          <w:p w:rsidR="0062001D" w:rsidRPr="0015036B" w:rsidRDefault="0062001D" w:rsidP="0015036B">
            <w:pPr>
              <w:rPr>
                <w:rFonts w:ascii="华文细黑" w:eastAsia="华文细黑" w:hAnsi="华文细黑" w:cs="Arial"/>
                <w:szCs w:val="21"/>
              </w:rPr>
            </w:pPr>
          </w:p>
        </w:tc>
      </w:tr>
      <w:tr w:rsidR="0062001D" w:rsidRPr="0015036B" w:rsidTr="0015036B">
        <w:trPr>
          <w:jc w:val="center"/>
        </w:trPr>
        <w:tc>
          <w:tcPr>
            <w:tcW w:w="3936" w:type="dxa"/>
            <w:vAlign w:val="center"/>
          </w:tcPr>
          <w:p w:rsidR="0062001D" w:rsidRPr="0015036B" w:rsidRDefault="0062001D" w:rsidP="0015036B">
            <w:pPr>
              <w:rPr>
                <w:rFonts w:ascii="华文细黑" w:eastAsia="华文细黑" w:hAnsi="华文细黑" w:cs="Arial"/>
                <w:szCs w:val="21"/>
              </w:rPr>
            </w:pPr>
            <w:r w:rsidRPr="0015036B">
              <w:rPr>
                <w:rFonts w:ascii="华文细黑" w:eastAsia="华文细黑" w:hAnsi="华文细黑" w:cs="Arial" w:hint="eastAsia"/>
                <w:szCs w:val="21"/>
              </w:rPr>
              <w:t>总计</w:t>
            </w:r>
          </w:p>
        </w:tc>
        <w:tc>
          <w:tcPr>
            <w:tcW w:w="2551" w:type="dxa"/>
            <w:vAlign w:val="center"/>
          </w:tcPr>
          <w:p w:rsidR="0062001D" w:rsidRPr="0015036B" w:rsidRDefault="0062001D" w:rsidP="0015036B">
            <w:pPr>
              <w:rPr>
                <w:rFonts w:ascii="华文细黑" w:eastAsia="华文细黑" w:hAnsi="华文细黑" w:cs="Arial"/>
                <w:b/>
                <w:szCs w:val="21"/>
              </w:rPr>
            </w:pPr>
            <w:r w:rsidRPr="0015036B">
              <w:rPr>
                <w:rFonts w:ascii="华文细黑" w:eastAsia="华文细黑" w:hAnsi="华文细黑" w:cs="Arial" w:hint="eastAsia"/>
                <w:b/>
                <w:szCs w:val="21"/>
              </w:rPr>
              <w:t>100000</w:t>
            </w:r>
          </w:p>
        </w:tc>
        <w:tc>
          <w:tcPr>
            <w:tcW w:w="2035" w:type="dxa"/>
            <w:vAlign w:val="center"/>
          </w:tcPr>
          <w:p w:rsidR="0062001D" w:rsidRPr="0015036B" w:rsidRDefault="0062001D" w:rsidP="0015036B">
            <w:pPr>
              <w:rPr>
                <w:rFonts w:ascii="华文细黑" w:eastAsia="华文细黑" w:hAnsi="华文细黑" w:cs="Arial"/>
                <w:b/>
                <w:szCs w:val="21"/>
              </w:rPr>
            </w:pPr>
            <w:r w:rsidRPr="0015036B">
              <w:rPr>
                <w:rFonts w:ascii="华文细黑" w:eastAsia="华文细黑" w:hAnsi="华文细黑" w:cs="Arial" w:hint="eastAsia"/>
                <w:b/>
                <w:szCs w:val="21"/>
              </w:rPr>
              <w:t>拾</w:t>
            </w:r>
            <w:r w:rsidRPr="0015036B">
              <w:rPr>
                <w:rFonts w:ascii="华文细黑" w:eastAsia="华文细黑" w:hAnsi="华文细黑" w:cs="Arial"/>
                <w:b/>
                <w:szCs w:val="21"/>
              </w:rPr>
              <w:t>万元整</w:t>
            </w:r>
          </w:p>
        </w:tc>
      </w:tr>
    </w:tbl>
    <w:p w:rsidR="007F60DC" w:rsidRPr="00634940" w:rsidRDefault="00634940" w:rsidP="00634940">
      <w:pPr>
        <w:spacing w:line="360" w:lineRule="auto"/>
        <w:ind w:firstLineChars="150" w:firstLine="315"/>
        <w:rPr>
          <w:rFonts w:ascii="宋体" w:eastAsia="宋体" w:hAnsi="宋体" w:cs="Arial"/>
          <w:szCs w:val="21"/>
        </w:rPr>
      </w:pPr>
      <w:r w:rsidRPr="00634940">
        <w:rPr>
          <w:rFonts w:ascii="宋体" w:eastAsia="宋体" w:hAnsi="宋体" w:cs="Arial" w:hint="eastAsia"/>
          <w:szCs w:val="21"/>
        </w:rPr>
        <w:t>上述价格已包含差旅费等所有费用。</w:t>
      </w:r>
    </w:p>
    <w:p w:rsidR="00634940" w:rsidRPr="00634940" w:rsidRDefault="00634940" w:rsidP="00634940">
      <w:pPr>
        <w:spacing w:line="360" w:lineRule="auto"/>
        <w:ind w:firstLineChars="150" w:firstLine="315"/>
        <w:rPr>
          <w:rFonts w:ascii="宋体" w:eastAsia="宋体" w:hAnsi="宋体" w:cs="Arial"/>
          <w:szCs w:val="21"/>
        </w:rPr>
      </w:pPr>
    </w:p>
    <w:p w:rsidR="001A19E8" w:rsidRPr="00634940" w:rsidRDefault="005C2705" w:rsidP="0015036B">
      <w:pPr>
        <w:spacing w:line="480" w:lineRule="auto"/>
        <w:ind w:firstLineChars="200" w:firstLine="422"/>
        <w:outlineLvl w:val="0"/>
        <w:rPr>
          <w:rFonts w:ascii="宋体" w:eastAsia="宋体" w:hAnsi="宋体" w:cs="Arial"/>
          <w:b/>
          <w:szCs w:val="21"/>
        </w:rPr>
      </w:pPr>
      <w:bookmarkStart w:id="4" w:name="_Toc492472834"/>
      <w:r w:rsidRPr="00634940">
        <w:rPr>
          <w:rFonts w:ascii="宋体" w:eastAsia="宋体" w:hAnsi="宋体" w:cs="Arial"/>
          <w:b/>
          <w:szCs w:val="21"/>
        </w:rPr>
        <w:t>四、公司简介</w:t>
      </w:r>
      <w:bookmarkEnd w:id="4"/>
    </w:p>
    <w:p w:rsidR="005C2705" w:rsidRPr="00634940" w:rsidRDefault="005C2705" w:rsidP="0015036B">
      <w:pPr>
        <w:spacing w:line="480" w:lineRule="auto"/>
        <w:ind w:firstLineChars="200" w:firstLine="422"/>
        <w:outlineLvl w:val="0"/>
        <w:rPr>
          <w:rFonts w:ascii="宋体" w:eastAsia="宋体" w:hAnsi="宋体" w:cs="Arial"/>
          <w:b/>
          <w:szCs w:val="21"/>
        </w:rPr>
      </w:pPr>
      <w:bookmarkStart w:id="5" w:name="_Toc481133770"/>
      <w:bookmarkStart w:id="6" w:name="_Toc492472835"/>
      <w:r w:rsidRPr="00634940">
        <w:rPr>
          <w:rFonts w:ascii="宋体" w:eastAsia="宋体" w:hAnsi="宋体" w:cs="Arial"/>
          <w:b/>
          <w:szCs w:val="21"/>
        </w:rPr>
        <w:t>（一）企业背景</w:t>
      </w:r>
      <w:bookmarkEnd w:id="5"/>
      <w:bookmarkEnd w:id="6"/>
    </w:p>
    <w:p w:rsidR="005C2705" w:rsidRPr="00634940" w:rsidRDefault="005C2705" w:rsidP="0015036B">
      <w:pPr>
        <w:spacing w:line="480" w:lineRule="auto"/>
        <w:ind w:firstLineChars="200" w:firstLine="420"/>
        <w:rPr>
          <w:rFonts w:ascii="宋体" w:eastAsia="宋体" w:hAnsi="宋体" w:cs="Arial"/>
          <w:szCs w:val="21"/>
        </w:rPr>
      </w:pPr>
      <w:bookmarkStart w:id="7" w:name="OLE_LINK2"/>
      <w:r w:rsidRPr="00634940">
        <w:rPr>
          <w:rFonts w:ascii="宋体" w:eastAsia="宋体" w:hAnsi="宋体" w:cs="Arial"/>
          <w:szCs w:val="21"/>
        </w:rPr>
        <w:t>北京康正宏基房地产评估有限公司的前身是北京康正房地产评估事务所，成立于1993年12月，直属于北京市人民政府房改办公室，是伴随着我国房地产评估制度的建立，成立最早的估价机构之一。根据国务院（1999）51号文件有关经济鉴证类中介机构脱钩改制的精神，北京康正房地产评估事务所于2000年11月改制为北京康正宏基房地产评估有限公司,专门从事房地产价值评估、项目可行性研究、交易代理、贷款服务、登记代理等业务。</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北京康正宏基房地产评估公司拥有建设部一级房地产评估资质；全国范围内从事土地评估业务资质；北京市拆迁评估资格；北京市土地增值税评估资格；北京市房屋质量缺陷评估资质;北京市房地产经纪资质；是最高人民法院、北京市高级法院司法鉴定人。北京康正国际资产评估有限公司具有资产评估资质。</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经过24年的发展，北京康正宏基房地产评估有限公司注册资金达1000万元，拥有200多名专业的估价人员和房地产经纪人员，成为房地产评估行业中资质最高、规模最大、业绩突出、实力最强的公司之一，能够在全国范围内从事各种类型的房地产评估业务。我公司经营范围：房地产价值评估；造价评估；咨询</w:t>
      </w:r>
      <w:r w:rsidRPr="00634940">
        <w:rPr>
          <w:rFonts w:ascii="宋体" w:eastAsia="宋体" w:hAnsi="宋体" w:cs="Arial"/>
          <w:szCs w:val="21"/>
        </w:rPr>
        <w:lastRenderedPageBreak/>
        <w:t>代理；评估人员培训；从事房地产经纪业务。</w:t>
      </w:r>
      <w:bookmarkEnd w:id="7"/>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具体业务类型如下：</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①</w:t>
      </w:r>
      <w:r w:rsidRPr="00634940">
        <w:rPr>
          <w:rFonts w:ascii="宋体" w:eastAsia="宋体" w:hAnsi="宋体" w:cs="Arial"/>
          <w:szCs w:val="21"/>
        </w:rPr>
        <w:t xml:space="preserve"> 房地产抵押贷款评估；</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②</w:t>
      </w:r>
      <w:r w:rsidRPr="00634940">
        <w:rPr>
          <w:rFonts w:ascii="宋体" w:eastAsia="宋体" w:hAnsi="宋体" w:cs="Arial"/>
          <w:szCs w:val="21"/>
        </w:rPr>
        <w:t xml:space="preserve"> 项目贷款评估、项目可行性研究、项目投资分析、项目市场分析； </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③</w:t>
      </w:r>
      <w:r w:rsidRPr="00634940">
        <w:rPr>
          <w:rFonts w:ascii="宋体" w:eastAsia="宋体" w:hAnsi="宋体" w:cs="Arial"/>
          <w:szCs w:val="21"/>
        </w:rPr>
        <w:t xml:space="preserve"> 土地出让招、拍、挂底价评估；</w:t>
      </w:r>
    </w:p>
    <w:p w:rsidR="005C2705" w:rsidRPr="00634940" w:rsidRDefault="005C2705" w:rsidP="0015036B">
      <w:pPr>
        <w:spacing w:line="480" w:lineRule="auto"/>
        <w:ind w:firstLineChars="200" w:firstLine="420"/>
        <w:rPr>
          <w:rFonts w:ascii="宋体" w:eastAsia="宋体" w:hAnsi="宋体" w:cs="Arial"/>
          <w:color w:val="FF0000"/>
          <w:szCs w:val="21"/>
        </w:rPr>
      </w:pPr>
      <w:r w:rsidRPr="00634940">
        <w:rPr>
          <w:rFonts w:ascii="宋体" w:eastAsia="宋体" w:hAnsi="宋体" w:cs="宋体" w:hint="eastAsia"/>
          <w:szCs w:val="21"/>
        </w:rPr>
        <w:t>④</w:t>
      </w:r>
      <w:r w:rsidRPr="00634940">
        <w:rPr>
          <w:rFonts w:ascii="宋体" w:eastAsia="宋体" w:hAnsi="宋体" w:cs="Arial"/>
          <w:szCs w:val="21"/>
        </w:rPr>
        <w:t xml:space="preserve"> 土地一级开发实施方案；</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⑤</w:t>
      </w:r>
      <w:r w:rsidRPr="00634940">
        <w:rPr>
          <w:rFonts w:ascii="宋体" w:eastAsia="宋体" w:hAnsi="宋体" w:cs="Arial"/>
          <w:szCs w:val="21"/>
        </w:rPr>
        <w:t xml:space="preserve"> 司法仲裁涉及到的房地产估价；</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⑥</w:t>
      </w:r>
      <w:r w:rsidRPr="00634940">
        <w:rPr>
          <w:rFonts w:ascii="宋体" w:eastAsia="宋体" w:hAnsi="宋体" w:cs="Arial"/>
          <w:szCs w:val="21"/>
        </w:rPr>
        <w:t xml:space="preserve"> 拆迁评估；</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⑦</w:t>
      </w:r>
      <w:r w:rsidRPr="00634940">
        <w:rPr>
          <w:rFonts w:ascii="宋体" w:eastAsia="宋体" w:hAnsi="宋体" w:cs="Arial"/>
          <w:szCs w:val="21"/>
        </w:rPr>
        <w:t xml:space="preserve"> 各类房地产税费涉及的房地产估价；</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⑧</w:t>
      </w:r>
      <w:r w:rsidRPr="00634940">
        <w:rPr>
          <w:rFonts w:ascii="宋体" w:eastAsia="宋体" w:hAnsi="宋体" w:cs="Arial"/>
          <w:szCs w:val="21"/>
        </w:rPr>
        <w:t xml:space="preserve"> 企业兼并、破产、清产核资、股份制改造等涉及的房地产估价；</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宋体" w:hint="eastAsia"/>
          <w:szCs w:val="21"/>
        </w:rPr>
        <w:t>⑨</w:t>
      </w:r>
      <w:r w:rsidRPr="00634940">
        <w:rPr>
          <w:rFonts w:ascii="宋体" w:eastAsia="宋体" w:hAnsi="宋体" w:cs="Arial"/>
          <w:szCs w:val="21"/>
        </w:rPr>
        <w:t xml:space="preserve"> 各类单项资产及整体企业股权资产评估。</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为金融机构提供的创新业务包括：</w:t>
      </w:r>
    </w:p>
    <w:p w:rsidR="005C2705" w:rsidRPr="00634940" w:rsidRDefault="005C2705" w:rsidP="0015036B">
      <w:pPr>
        <w:numPr>
          <w:ilvl w:val="0"/>
          <w:numId w:val="2"/>
        </w:numPr>
        <w:spacing w:line="480" w:lineRule="auto"/>
        <w:rPr>
          <w:rFonts w:ascii="宋体" w:eastAsia="宋体" w:hAnsi="宋体" w:cs="Arial"/>
          <w:szCs w:val="21"/>
        </w:rPr>
      </w:pPr>
      <w:r w:rsidRPr="00634940">
        <w:rPr>
          <w:rFonts w:ascii="宋体" w:eastAsia="宋体" w:hAnsi="宋体" w:cs="Arial"/>
          <w:szCs w:val="21"/>
        </w:rPr>
        <w:t>贷后监管业务；</w:t>
      </w:r>
    </w:p>
    <w:p w:rsidR="005C2705" w:rsidRPr="00634940" w:rsidRDefault="005C2705" w:rsidP="0015036B">
      <w:pPr>
        <w:numPr>
          <w:ilvl w:val="0"/>
          <w:numId w:val="2"/>
        </w:numPr>
        <w:spacing w:line="480" w:lineRule="auto"/>
        <w:rPr>
          <w:rFonts w:ascii="宋体" w:eastAsia="宋体" w:hAnsi="宋体" w:cs="Arial"/>
          <w:szCs w:val="21"/>
        </w:rPr>
      </w:pPr>
      <w:r w:rsidRPr="00634940">
        <w:rPr>
          <w:rFonts w:ascii="宋体" w:eastAsia="宋体" w:hAnsi="宋体" w:cs="Arial"/>
          <w:szCs w:val="21"/>
        </w:rPr>
        <w:t>房地产项目尽职调查业务；</w:t>
      </w:r>
    </w:p>
    <w:p w:rsidR="005C2705" w:rsidRPr="00634940" w:rsidRDefault="005C2705" w:rsidP="0015036B">
      <w:pPr>
        <w:numPr>
          <w:ilvl w:val="0"/>
          <w:numId w:val="2"/>
        </w:numPr>
        <w:spacing w:line="480" w:lineRule="auto"/>
        <w:rPr>
          <w:rFonts w:ascii="宋体" w:eastAsia="宋体" w:hAnsi="宋体" w:cs="Arial"/>
          <w:szCs w:val="21"/>
        </w:rPr>
      </w:pPr>
      <w:r w:rsidRPr="00634940">
        <w:rPr>
          <w:rFonts w:ascii="宋体" w:eastAsia="宋体" w:hAnsi="宋体" w:cs="Arial"/>
          <w:szCs w:val="21"/>
        </w:rPr>
        <w:t>融资推介业务。</w:t>
      </w:r>
    </w:p>
    <w:p w:rsidR="005C2705" w:rsidRPr="00634940" w:rsidRDefault="005C2705" w:rsidP="0015036B">
      <w:pPr>
        <w:spacing w:line="480" w:lineRule="auto"/>
        <w:ind w:firstLineChars="200" w:firstLine="422"/>
        <w:outlineLvl w:val="0"/>
        <w:rPr>
          <w:rFonts w:ascii="宋体" w:eastAsia="宋体" w:hAnsi="宋体" w:cs="Arial"/>
          <w:b/>
          <w:szCs w:val="21"/>
        </w:rPr>
      </w:pPr>
      <w:bookmarkStart w:id="8" w:name="_Toc481133771"/>
      <w:bookmarkStart w:id="9" w:name="_Toc492472836"/>
      <w:r w:rsidRPr="00634940">
        <w:rPr>
          <w:rFonts w:ascii="宋体" w:eastAsia="宋体" w:hAnsi="宋体" w:cs="Arial"/>
          <w:b/>
          <w:szCs w:val="21"/>
        </w:rPr>
        <w:t>（二）股东及专业人员情况</w:t>
      </w:r>
      <w:bookmarkEnd w:id="8"/>
      <w:bookmarkEnd w:id="9"/>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1.股东</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（1）齐宏  董事长</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北京大学博士，现任中国房地产估价师与房地产经纪人学会常务理事、北京房地产估价师和土地估价师协会副会长及常务理事、北京市评标专家库专家、北京非公有制经济人士联谊会（分会）第一届理事会副会长、常务理事，北京大学土地科学中心兼职教授。</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lastRenderedPageBreak/>
        <w:t>1993年---2000年，北京市人民政府房改办（北京康正房地产评估事所主任）;2000年成立北京康正宏基房地产评估有限公司，在10多年的时间里成长为估价行业全国规模前列的房地产评估公司;2003年成立北京市东君房地产开发公司，开发建设北京市顺义区的万万树项目,该项目创造了开盘两个月销售率95%以上的业绩。2006年成立了北京时代华人房地产开发公司，2007年同重庆龙湖共同竞得中关村甲三号项目（唐宁ONE），该项目销售均价达到6万元以上。2010年签订了崇礼太舞四季文化旅游度假区项目投资确认书，总开发面积为40平方公里。齐宏先生具有很强的资源、资本整合以及项目开发、控制能力。其深厚的学术背景使其具备敏锐的市场感知力，具有引领新兴产业发展并壮大的能力。</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（2）梁津  总经理</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从事房地产估价工作近20年， 注册房地产估价师、土地估价师、房地产经纪人、土地登记代理人、高级工程师、英国皇家特许测量师学会会员。</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1992年毕业于北京农业大学土地利用规划专业，2002年毕业于北京大学法学院获法律硕士学位。在国家土地管理局地价所、国土资源部咨询研究中心从事地价评估理论、土地管理政策研究近10年。曾参与地价指数、地价内涵、地价与房价关系等多项课题研究，是《中国地价》、《全国土地利用总体规划》编委。发表过《基准地价须适时更新》、《基准地价与招拍挂底价关系》、《发挥土地估价在集体建设用地流转中的作用》、《海峡两岸工程款优先权立法比较及其在不动产抵押估价中的应用》等多篇论文。主持过多项基准地价、股份制改造、房地产抵押、土地出让评估项目。</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2008年成为中国土地估价师协会认定的首批资深会员，同时是重大项目评审专家，继续教育授课专家，土地估价师实践考核面试考官，2010年当选中国土地估价师协会第四届理事会理事。</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2007年成为英国皇家特许测量师学会会员，2008年成为APC面试考官，2009年连任RICS中国分会成员，目前是专业胜任能力评核（APC）委员会主席。</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北京房地产估价师和土地估价师协会规划发展委员会秘书长，专家委员会专家，《北京市房屋质量缺</w:t>
      </w:r>
      <w:r w:rsidRPr="00634940">
        <w:rPr>
          <w:rFonts w:ascii="宋体" w:eastAsia="宋体" w:hAnsi="宋体" w:cs="Arial"/>
          <w:color w:val="000000"/>
          <w:szCs w:val="21"/>
        </w:rPr>
        <w:lastRenderedPageBreak/>
        <w:t>陷损失评估规程》起草人之一。北京市人事局聘为评标专家，可以参加房地产类的评标工作。</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2.管理人员</w:t>
      </w:r>
    </w:p>
    <w:p w:rsidR="005C2705" w:rsidRPr="00634940" w:rsidRDefault="005C2705" w:rsidP="0015036B">
      <w:pPr>
        <w:spacing w:line="480" w:lineRule="auto"/>
        <w:ind w:firstLineChars="200" w:firstLine="420"/>
        <w:rPr>
          <w:rFonts w:ascii="宋体" w:eastAsia="宋体" w:hAnsi="宋体" w:cs="Arial"/>
          <w:color w:val="000000"/>
          <w:szCs w:val="21"/>
        </w:rPr>
      </w:pPr>
      <w:bookmarkStart w:id="10" w:name="_Toc327362312"/>
      <w:bookmarkStart w:id="11" w:name="_Toc349653410"/>
      <w:bookmarkStart w:id="12" w:name="_Toc356997588"/>
      <w:bookmarkStart w:id="13" w:name="_Toc356998147"/>
      <w:bookmarkStart w:id="14" w:name="_Toc357002943"/>
      <w:bookmarkStart w:id="15" w:name="_Toc357007549"/>
      <w:bookmarkStart w:id="16" w:name="_Toc409686682"/>
      <w:r w:rsidRPr="00634940">
        <w:rPr>
          <w:rFonts w:ascii="宋体" w:eastAsia="宋体" w:hAnsi="宋体" w:cs="Arial"/>
          <w:color w:val="000000"/>
          <w:szCs w:val="21"/>
        </w:rPr>
        <w:t>（1）王鹏 副总经理</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注册房地产估价师、土地估价师、土地登记代理人。</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长期从事房地产评估工作。曾参与中国移动、中国电信、工商银行、建设银行股改上市项目。从业以来先后主持参与了上千项房地产评估、咨询工作，业务涉及了金融机构房地产抵押及资产处理、司法鉴定、企业上市重组、征地拆迁等多个方面，积累了丰富的经验。</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2012年5月入职北京康正宏基房地产评估有限公司，任公司副总经理。</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（2）刘俊财  技术总监</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从事房地产估价工作近20年，律师、房地产估价师、土地估价师、土地登记代理人、房地产经纪人、英国皇家特许测量师学会会员（MRICS）、美国评估学会会员（MAI）。第一届北京房协专家委员会委员、北京房协房屋拆迁评估专家委员会专家、北京房协房屋评估专家委员会第一届基准价格专家库成员、北京房协技术标准委员会专家委员、北京房协土地估价师考试培训专家、中国土地估价师协会专家、北京市城市地价动态监测专家组成员、2011年北京等18个重点城市受邀专家。</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熟悉国家有关金融法律法规及政策方针，熟悉经济、金融、统计、商业银行经营管理等基础理论知识及现代商业银行风险管理理论，熟悉合规管理的政策、制度和各类业务操作流程；在房地产项目工程开发建设、金融机构贷款抵押物评估、建设项目评估、房地产信托投资性物业评估等领域积累了丰富的工作经验，对资产的风险监控与处置有着丰富的经验，深谙法律、信贷业务规程及当前的信贷政策，密切关注宏观经济形势，累计完成房地产类项目上百宗。</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（3）叶凌  培训研发总监</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中国注册房地产估价师，中国注册土地估价师，中国注册资产评估师，英国皇家特许测量师，澳洲注</w:t>
      </w:r>
      <w:r w:rsidRPr="00634940">
        <w:rPr>
          <w:rFonts w:ascii="宋体" w:eastAsia="宋体" w:hAnsi="宋体" w:cs="Arial"/>
          <w:color w:val="000000"/>
          <w:szCs w:val="21"/>
        </w:rPr>
        <w:lastRenderedPageBreak/>
        <w:t>册会计师，高级经济师，北京市评标专家。经济学硕士、会计学硕士。</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从事房地产评估、土地评估、资产评估20余年，具有丰富的房地产评估、土地评估的经验，尤其对于金融机构融资项目、资产作价入股与合资、一级土地收储整理、二级土地开发等各种多类型的评估有较多从业经历和见解，多次参与中国土地估价师协会、北京房地产估价师和土地估价师协会组织的报告评审，对于评估报告质量的理解和认识深刻且严格。</w:t>
      </w:r>
    </w:p>
    <w:p w:rsidR="005C2705" w:rsidRPr="00634940" w:rsidRDefault="005C2705" w:rsidP="0015036B">
      <w:pPr>
        <w:spacing w:line="480" w:lineRule="auto"/>
        <w:ind w:firstLineChars="200" w:firstLine="420"/>
        <w:rPr>
          <w:rFonts w:ascii="宋体" w:eastAsia="宋体" w:hAnsi="宋体" w:cs="Arial"/>
          <w:color w:val="000000"/>
          <w:szCs w:val="21"/>
        </w:rPr>
      </w:pPr>
    </w:p>
    <w:p w:rsidR="005C2705" w:rsidRPr="00634940" w:rsidRDefault="005C2705" w:rsidP="0015036B">
      <w:pPr>
        <w:spacing w:line="480" w:lineRule="auto"/>
        <w:ind w:firstLineChars="200" w:firstLine="422"/>
        <w:outlineLvl w:val="0"/>
        <w:rPr>
          <w:rFonts w:ascii="宋体" w:eastAsia="宋体" w:hAnsi="宋体" w:cs="Arial"/>
          <w:szCs w:val="21"/>
        </w:rPr>
      </w:pPr>
      <w:bookmarkStart w:id="17" w:name="_Toc481133772"/>
      <w:bookmarkStart w:id="18" w:name="_Toc492472837"/>
      <w:bookmarkEnd w:id="10"/>
      <w:bookmarkEnd w:id="11"/>
      <w:bookmarkEnd w:id="12"/>
      <w:bookmarkEnd w:id="13"/>
      <w:bookmarkEnd w:id="14"/>
      <w:bookmarkEnd w:id="15"/>
      <w:r w:rsidRPr="00634940">
        <w:rPr>
          <w:rFonts w:ascii="宋体" w:eastAsia="宋体" w:hAnsi="宋体" w:cs="Arial"/>
          <w:b/>
          <w:bCs/>
          <w:szCs w:val="21"/>
        </w:rPr>
        <w:t>（三）组织架构及部门职责</w:t>
      </w:r>
      <w:bookmarkEnd w:id="16"/>
      <w:bookmarkEnd w:id="17"/>
      <w:bookmarkEnd w:id="18"/>
    </w:p>
    <w:p w:rsidR="005C2705" w:rsidRPr="00634940" w:rsidRDefault="005C2705" w:rsidP="0015036B">
      <w:pPr>
        <w:spacing w:line="480" w:lineRule="auto"/>
        <w:ind w:firstLineChars="200" w:firstLine="422"/>
        <w:rPr>
          <w:rFonts w:ascii="宋体" w:eastAsia="宋体" w:hAnsi="宋体" w:cs="Arial"/>
          <w:b/>
          <w:bCs/>
          <w:color w:val="000000"/>
          <w:szCs w:val="21"/>
        </w:rPr>
      </w:pPr>
      <w:r w:rsidRPr="00634940">
        <w:rPr>
          <w:rFonts w:ascii="宋体" w:eastAsia="宋体" w:hAnsi="宋体" w:cs="Arial"/>
          <w:b/>
          <w:bCs/>
          <w:color w:val="000000"/>
          <w:szCs w:val="21"/>
        </w:rPr>
        <w:t>（1）组织机构</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公司分设对公综合事业部、公积金贷款事业部、零贷事业部、信息研究部、行政部、人事部、财务部七个部门。</w:t>
      </w:r>
    </w:p>
    <w:tbl>
      <w:tblPr>
        <w:tblW w:w="4914" w:type="pct"/>
        <w:tblCellSpacing w:w="0" w:type="dxa"/>
        <w:shd w:val="clear" w:color="auto" w:fill="FFFFFF"/>
        <w:tblCellMar>
          <w:left w:w="0" w:type="dxa"/>
          <w:right w:w="0" w:type="dxa"/>
        </w:tblCellMar>
        <w:tblLook w:val="04A0" w:firstRow="1" w:lastRow="0" w:firstColumn="1" w:lastColumn="0" w:noHBand="0" w:noVBand="1"/>
      </w:tblPr>
      <w:tblGrid>
        <w:gridCol w:w="9472"/>
      </w:tblGrid>
      <w:tr w:rsidR="005C2705" w:rsidRPr="00634940" w:rsidTr="00634940">
        <w:trPr>
          <w:trHeight w:val="604"/>
          <w:tblCellSpacing w:w="0" w:type="dxa"/>
        </w:trPr>
        <w:tc>
          <w:tcPr>
            <w:tcW w:w="0" w:type="auto"/>
            <w:shd w:val="clear" w:color="auto" w:fill="FFFFFF"/>
            <w:vAlign w:val="center"/>
            <w:hideMark/>
          </w:tcPr>
          <w:tbl>
            <w:tblPr>
              <w:tblW w:w="4865" w:type="pct"/>
              <w:jc w:val="center"/>
              <w:tblCellSpacing w:w="0" w:type="dxa"/>
              <w:tblCellMar>
                <w:left w:w="0" w:type="dxa"/>
                <w:right w:w="0" w:type="dxa"/>
              </w:tblCellMar>
              <w:tblLook w:val="04A0" w:firstRow="1" w:lastRow="0" w:firstColumn="1" w:lastColumn="0" w:noHBand="0" w:noVBand="1"/>
            </w:tblPr>
            <w:tblGrid>
              <w:gridCol w:w="9216"/>
            </w:tblGrid>
            <w:tr w:rsidR="005C2705" w:rsidRPr="00634940" w:rsidTr="00634940">
              <w:trPr>
                <w:trHeight w:val="605"/>
                <w:tblCellSpacing w:w="0" w:type="dxa"/>
                <w:jc w:val="center"/>
              </w:trPr>
              <w:tc>
                <w:tcPr>
                  <w:tcW w:w="0" w:type="auto"/>
                  <w:vAlign w:val="center"/>
                  <w:hideMark/>
                </w:tcPr>
                <w:p w:rsidR="005C2705" w:rsidRPr="00634940" w:rsidRDefault="005C2705" w:rsidP="0015036B">
                  <w:pPr>
                    <w:widowControl/>
                    <w:spacing w:line="480" w:lineRule="auto"/>
                    <w:rPr>
                      <w:rFonts w:ascii="宋体" w:eastAsia="宋体" w:hAnsi="宋体" w:cs="Arial"/>
                      <w:b/>
                      <w:bCs/>
                      <w:color w:val="951516"/>
                      <w:kern w:val="0"/>
                      <w:szCs w:val="21"/>
                    </w:rPr>
                  </w:pPr>
                  <w:r w:rsidRPr="00634940">
                    <w:rPr>
                      <w:rFonts w:ascii="宋体" w:eastAsia="宋体" w:hAnsi="宋体" w:cs="Arial"/>
                      <w:b/>
                      <w:bCs/>
                      <w:color w:val="951516"/>
                      <w:kern w:val="0"/>
                      <w:szCs w:val="21"/>
                    </w:rPr>
                    <w:t>组织构架</w:t>
                  </w:r>
                </w:p>
              </w:tc>
            </w:tr>
          </w:tbl>
          <w:p w:rsidR="005C2705" w:rsidRPr="00634940" w:rsidRDefault="005C2705" w:rsidP="0015036B">
            <w:pPr>
              <w:widowControl/>
              <w:spacing w:line="480" w:lineRule="auto"/>
              <w:rPr>
                <w:rFonts w:ascii="宋体" w:eastAsia="宋体" w:hAnsi="宋体" w:cs="Arial"/>
                <w:kern w:val="0"/>
                <w:szCs w:val="21"/>
              </w:rPr>
            </w:pPr>
          </w:p>
        </w:tc>
      </w:tr>
      <w:tr w:rsidR="005C2705" w:rsidRPr="00634940" w:rsidTr="00634940">
        <w:trPr>
          <w:trHeight w:val="604"/>
          <w:tblCellSpacing w:w="0" w:type="dxa"/>
        </w:trPr>
        <w:tc>
          <w:tcPr>
            <w:tcW w:w="0" w:type="auto"/>
            <w:shd w:val="clear" w:color="auto" w:fill="FFFFFF"/>
            <w:vAlign w:val="center"/>
            <w:hideMark/>
          </w:tcPr>
          <w:p w:rsidR="005C2705" w:rsidRPr="00634940" w:rsidRDefault="005C2705" w:rsidP="0015036B">
            <w:pPr>
              <w:widowControl/>
              <w:spacing w:line="480" w:lineRule="auto"/>
              <w:rPr>
                <w:rFonts w:ascii="宋体" w:eastAsia="宋体" w:hAnsi="宋体" w:cs="Arial"/>
                <w:b/>
                <w:bCs/>
                <w:color w:val="951516"/>
                <w:kern w:val="0"/>
                <w:szCs w:val="21"/>
              </w:rPr>
            </w:pPr>
            <w:r w:rsidRPr="00634940">
              <w:rPr>
                <w:rFonts w:ascii="宋体" w:eastAsia="宋体" w:hAnsi="宋体" w:cs="Arial"/>
                <w:b/>
                <w:bCs/>
                <w:noProof/>
                <w:color w:val="951516"/>
                <w:kern w:val="0"/>
                <w:szCs w:val="21"/>
              </w:rPr>
              <w:drawing>
                <wp:inline distT="0" distB="0" distL="0" distR="0" wp14:anchorId="5DA3C9C3" wp14:editId="6F802743">
                  <wp:extent cx="4838065" cy="325882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065" cy="3258820"/>
                          </a:xfrm>
                          <a:prstGeom prst="rect">
                            <a:avLst/>
                          </a:prstGeom>
                          <a:noFill/>
                          <a:ln>
                            <a:noFill/>
                          </a:ln>
                        </pic:spPr>
                      </pic:pic>
                    </a:graphicData>
                  </a:graphic>
                </wp:inline>
              </w:drawing>
            </w:r>
          </w:p>
        </w:tc>
      </w:tr>
    </w:tbl>
    <w:p w:rsidR="005C2705" w:rsidRPr="00634940" w:rsidRDefault="005C2705" w:rsidP="0015036B">
      <w:pPr>
        <w:spacing w:line="480" w:lineRule="auto"/>
        <w:ind w:firstLineChars="150" w:firstLine="316"/>
        <w:rPr>
          <w:rFonts w:ascii="宋体" w:eastAsia="宋体" w:hAnsi="宋体" w:cs="Arial"/>
          <w:b/>
          <w:bCs/>
          <w:color w:val="000000"/>
          <w:szCs w:val="21"/>
        </w:rPr>
      </w:pPr>
    </w:p>
    <w:p w:rsidR="005C2705" w:rsidRPr="00634940" w:rsidRDefault="005C2705" w:rsidP="0015036B">
      <w:pPr>
        <w:spacing w:line="480" w:lineRule="auto"/>
        <w:ind w:firstLineChars="150" w:firstLine="316"/>
        <w:rPr>
          <w:rFonts w:ascii="宋体" w:eastAsia="宋体" w:hAnsi="宋体" w:cs="Arial"/>
          <w:b/>
          <w:bCs/>
          <w:color w:val="000000"/>
          <w:szCs w:val="21"/>
        </w:rPr>
      </w:pPr>
      <w:r w:rsidRPr="00634940">
        <w:rPr>
          <w:rFonts w:ascii="宋体" w:eastAsia="宋体" w:hAnsi="宋体" w:cs="Arial"/>
          <w:b/>
          <w:bCs/>
          <w:color w:val="000000"/>
          <w:szCs w:val="21"/>
        </w:rPr>
        <w:t>（2）主要业务部门职责</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lastRenderedPageBreak/>
        <w:t>对公综合事业部：主要向金融机构、大型房地产开发企业、中小企业以及个人经营性贷款融资提供各类房地产价格评估、项目贷款评估等业务。评估项目所涉及的业务领域包括房地产开发建设、酒店经营、商业经营、商务办公、工业生产等。</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公积金贷款事业部：负责为向北京住房公积金管理中心、北京市住房贷款担保中心申请个人住房担保贷款的个人提供抵押物审核评估服务。凭借对于房地产法律法规的全面掌握，通过数万笔个人住房抵押贷款的评估，掌握的上千个楼盘资料，可以提供全方位、动态的权属审核服务，切实保证客户的财产权利。</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零贷事业部：为向商业银行申请个人住房贷款、个人消费贷款、个人经营性贷款等个人信贷业务的申请人，及中小企业经营贷款申请人提供抵押物评估服务。</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资产评估部：主要负责房地产及机器设备等单项资产评估、企业整体价值评估、无形资产评估（包括专利技术、非专利技术、商标及商誉、销售网络及人力资源、特许经营权等评估）、对企业进行以财务报告为目的的评估、投资项目可行性评估、撰写商业计划书；为公司改制、改组、收购、兼并清算等提供策划、咨询、评估方案；不动产及公司整体产权交易的策划、咨询、评估；公司融资咨询及资信等级评定、 推荐投资项目及前期实施方案策划。</w:t>
      </w:r>
    </w:p>
    <w:p w:rsidR="005C2705" w:rsidRPr="00634940" w:rsidRDefault="005C2705" w:rsidP="0015036B">
      <w:pPr>
        <w:spacing w:line="480" w:lineRule="auto"/>
        <w:ind w:firstLineChars="200" w:firstLine="422"/>
        <w:outlineLvl w:val="0"/>
        <w:rPr>
          <w:rFonts w:ascii="宋体" w:eastAsia="宋体" w:hAnsi="宋体" w:cs="Arial"/>
          <w:b/>
          <w:szCs w:val="21"/>
        </w:rPr>
      </w:pPr>
      <w:bookmarkStart w:id="19" w:name="_Toc409686683"/>
      <w:bookmarkStart w:id="20" w:name="_Toc481133773"/>
      <w:bookmarkStart w:id="21" w:name="_Toc492472838"/>
      <w:r w:rsidRPr="00634940">
        <w:rPr>
          <w:rFonts w:ascii="宋体" w:eastAsia="宋体" w:hAnsi="宋体" w:cs="Arial"/>
          <w:b/>
          <w:szCs w:val="21"/>
        </w:rPr>
        <w:t>（四）队伍建设情况</w:t>
      </w:r>
      <w:bookmarkEnd w:id="19"/>
      <w:bookmarkEnd w:id="20"/>
      <w:bookmarkEnd w:id="21"/>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公司拥有一支具有深厚的专业背景、丰富的估价经验、年轻而富有朝气的专业估价师团队。我公司现有员工200人，分设</w:t>
      </w:r>
      <w:r w:rsidRPr="00634940">
        <w:rPr>
          <w:rFonts w:ascii="宋体" w:eastAsia="宋体" w:hAnsi="宋体" w:cs="Arial"/>
          <w:szCs w:val="21"/>
        </w:rPr>
        <w:t>对公综合事业部、公积金贷款事业部、零贷事业部、信息研究部、行政部、人事部、财务部七个部门</w:t>
      </w:r>
      <w:r w:rsidRPr="00634940">
        <w:rPr>
          <w:rFonts w:ascii="宋体" w:eastAsia="宋体" w:hAnsi="宋体" w:cs="Arial"/>
          <w:color w:val="000000"/>
          <w:szCs w:val="21"/>
        </w:rPr>
        <w:t>。现有具有专职注册房地产估价师资格35人（其中资深房地产估价师1人），注册土地估价师资格25人（其中资深土地估价师1人），注册资产估价师7人，注册房地产经纪人10人，注册土地登记代理人6人，注册咨询工程师（投资）3人，注册造价工程师2人，英国皇家评估特许测量师（RICS）4人，香港测量师2人，财务人员14名。专业遍布城市规划、土地管理、工程建筑、投资经济、资产评估、法律等领域，均为本科以上学历，其中博士、硕士多名。</w:t>
      </w:r>
    </w:p>
    <w:p w:rsidR="005C2705" w:rsidRPr="00634940" w:rsidRDefault="005C2705" w:rsidP="0015036B">
      <w:pPr>
        <w:spacing w:line="480" w:lineRule="auto"/>
        <w:ind w:firstLineChars="200" w:firstLine="422"/>
        <w:outlineLvl w:val="0"/>
        <w:rPr>
          <w:rFonts w:ascii="宋体" w:eastAsia="宋体" w:hAnsi="宋体" w:cs="Arial"/>
          <w:b/>
          <w:szCs w:val="21"/>
        </w:rPr>
      </w:pPr>
      <w:bookmarkStart w:id="22" w:name="_Toc409686684"/>
      <w:bookmarkStart w:id="23" w:name="_Toc481133774"/>
      <w:bookmarkStart w:id="24" w:name="_Toc492472839"/>
      <w:r w:rsidRPr="00634940">
        <w:rPr>
          <w:rFonts w:ascii="宋体" w:eastAsia="宋体" w:hAnsi="宋体" w:cs="Arial"/>
          <w:b/>
          <w:szCs w:val="21"/>
        </w:rPr>
        <w:lastRenderedPageBreak/>
        <w:t>（五）经营范围</w:t>
      </w:r>
      <w:bookmarkEnd w:id="22"/>
      <w:bookmarkEnd w:id="23"/>
      <w:bookmarkEnd w:id="24"/>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我公司经营范围：房地产价格评估；造价评估；咨询代理；评估人员培训；从事房地产经纪业务。</w:t>
      </w:r>
    </w:p>
    <w:p w:rsidR="005C2705" w:rsidRPr="00634940" w:rsidRDefault="005C2705" w:rsidP="0015036B">
      <w:pPr>
        <w:spacing w:line="480" w:lineRule="auto"/>
        <w:ind w:firstLineChars="200" w:firstLine="422"/>
        <w:outlineLvl w:val="0"/>
        <w:rPr>
          <w:rFonts w:ascii="宋体" w:eastAsia="宋体" w:hAnsi="宋体" w:cs="Arial"/>
          <w:b/>
          <w:szCs w:val="21"/>
        </w:rPr>
      </w:pPr>
      <w:bookmarkStart w:id="25" w:name="_Toc409686685"/>
      <w:bookmarkStart w:id="26" w:name="_Toc481133775"/>
      <w:bookmarkStart w:id="27" w:name="_Toc492472840"/>
      <w:r w:rsidRPr="00634940">
        <w:rPr>
          <w:rFonts w:ascii="宋体" w:eastAsia="宋体" w:hAnsi="宋体" w:cs="Arial"/>
          <w:b/>
          <w:szCs w:val="21"/>
        </w:rPr>
        <w:t>（六）行业排名</w:t>
      </w:r>
      <w:bookmarkEnd w:id="25"/>
      <w:bookmarkEnd w:id="26"/>
      <w:bookmarkEnd w:id="27"/>
    </w:p>
    <w:p w:rsidR="005C2705" w:rsidRPr="00634940" w:rsidRDefault="005C2705" w:rsidP="0015036B">
      <w:pPr>
        <w:spacing w:line="480" w:lineRule="auto"/>
        <w:ind w:firstLineChars="200" w:firstLine="420"/>
        <w:rPr>
          <w:rFonts w:ascii="宋体" w:eastAsia="宋体" w:hAnsi="宋体" w:cs="Arial"/>
          <w:szCs w:val="21"/>
        </w:rPr>
      </w:pPr>
      <w:bookmarkStart w:id="28" w:name="_Toc409686686"/>
      <w:r w:rsidRPr="00634940">
        <w:rPr>
          <w:rFonts w:ascii="宋体" w:eastAsia="宋体" w:hAnsi="宋体" w:cs="Arial"/>
          <w:szCs w:val="21"/>
        </w:rPr>
        <w:t>在2014年中国土地估价师协会组织的土地估价机构A级评选中，位列全国第8名。</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2015年度全国一级资质房地产估价机构业绩排名：按营业总收入排名，我公司位列全国第九；按房地产估价业务收入排名，我公司位列全国第八；按评估建筑面积排名，我公司位列全国第八；按评估总价值排名，我公司位列全国第十。</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2016年度全国一级资质房地产估价机构业绩排名：按营业总收入排名，我公司位列全国第九；按房地产估价业务收入排名，我公司位列全国第八；按评估建筑面积排名，我公司位列全国第九。</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具体详见下表：</w:t>
      </w:r>
    </w:p>
    <w:p w:rsidR="005C2705" w:rsidRPr="00634940" w:rsidRDefault="005C2705" w:rsidP="00634940">
      <w:pPr>
        <w:spacing w:line="360" w:lineRule="auto"/>
        <w:ind w:firstLineChars="200" w:firstLine="422"/>
        <w:jc w:val="center"/>
        <w:rPr>
          <w:rFonts w:ascii="宋体" w:eastAsia="宋体" w:hAnsi="宋体" w:cs="Arial"/>
          <w:b/>
          <w:bCs/>
          <w:szCs w:val="21"/>
        </w:rPr>
      </w:pPr>
      <w:r w:rsidRPr="00634940">
        <w:rPr>
          <w:rFonts w:ascii="宋体" w:eastAsia="宋体" w:hAnsi="宋体" w:cs="Arial"/>
          <w:b/>
          <w:bCs/>
          <w:szCs w:val="21"/>
        </w:rPr>
        <w:t>2014——2016年房地产抵押评估业绩统计表</w:t>
      </w:r>
    </w:p>
    <w:tbl>
      <w:tblPr>
        <w:tblW w:w="8522" w:type="dxa"/>
        <w:jc w:val="center"/>
        <w:tblLook w:val="00A0" w:firstRow="1" w:lastRow="0" w:firstColumn="1" w:lastColumn="0" w:noHBand="0" w:noVBand="0"/>
      </w:tblPr>
      <w:tblGrid>
        <w:gridCol w:w="2133"/>
        <w:gridCol w:w="2296"/>
        <w:gridCol w:w="1408"/>
        <w:gridCol w:w="1393"/>
        <w:gridCol w:w="1292"/>
      </w:tblGrid>
      <w:tr w:rsidR="005C2705" w:rsidRPr="00634940" w:rsidTr="00634940">
        <w:trPr>
          <w:trHeight w:val="273"/>
          <w:jc w:val="center"/>
        </w:trPr>
        <w:tc>
          <w:tcPr>
            <w:tcW w:w="2133" w:type="dxa"/>
            <w:tcBorders>
              <w:top w:val="single" w:sz="8" w:space="0" w:color="auto"/>
              <w:left w:val="single" w:sz="8" w:space="0" w:color="auto"/>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b/>
                <w:bCs/>
                <w:kern w:val="0"/>
                <w:szCs w:val="21"/>
              </w:rPr>
            </w:pPr>
            <w:r w:rsidRPr="00634940">
              <w:rPr>
                <w:rFonts w:ascii="宋体" w:eastAsia="宋体" w:hAnsi="宋体" w:cs="Arial"/>
                <w:b/>
                <w:bCs/>
                <w:kern w:val="0"/>
                <w:szCs w:val="21"/>
              </w:rPr>
              <w:t>报告类型</w:t>
            </w:r>
          </w:p>
        </w:tc>
        <w:tc>
          <w:tcPr>
            <w:tcW w:w="2296" w:type="dxa"/>
            <w:tcBorders>
              <w:top w:val="single" w:sz="8" w:space="0" w:color="auto"/>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b/>
                <w:bCs/>
                <w:kern w:val="0"/>
                <w:szCs w:val="21"/>
              </w:rPr>
            </w:pPr>
            <w:r w:rsidRPr="00634940">
              <w:rPr>
                <w:rFonts w:ascii="宋体" w:eastAsia="宋体" w:hAnsi="宋体" w:cs="Arial"/>
                <w:b/>
                <w:bCs/>
                <w:kern w:val="0"/>
                <w:szCs w:val="21"/>
              </w:rPr>
              <w:t>科目</w:t>
            </w:r>
          </w:p>
        </w:tc>
        <w:tc>
          <w:tcPr>
            <w:tcW w:w="1408" w:type="dxa"/>
            <w:tcBorders>
              <w:top w:val="single" w:sz="8" w:space="0" w:color="auto"/>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
                <w:bCs/>
                <w:kern w:val="0"/>
                <w:szCs w:val="21"/>
              </w:rPr>
            </w:pPr>
            <w:r w:rsidRPr="00634940">
              <w:rPr>
                <w:rFonts w:ascii="宋体" w:eastAsia="宋体" w:hAnsi="宋体" w:cs="Arial"/>
                <w:b/>
                <w:bCs/>
                <w:kern w:val="0"/>
                <w:szCs w:val="21"/>
              </w:rPr>
              <w:t>2014年</w:t>
            </w:r>
          </w:p>
        </w:tc>
        <w:tc>
          <w:tcPr>
            <w:tcW w:w="1393" w:type="dxa"/>
            <w:tcBorders>
              <w:top w:val="single" w:sz="8" w:space="0" w:color="auto"/>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
                <w:bCs/>
                <w:kern w:val="0"/>
                <w:szCs w:val="21"/>
              </w:rPr>
            </w:pPr>
            <w:r w:rsidRPr="00634940">
              <w:rPr>
                <w:rFonts w:ascii="宋体" w:eastAsia="宋体" w:hAnsi="宋体" w:cs="Arial"/>
                <w:b/>
                <w:bCs/>
                <w:kern w:val="0"/>
                <w:szCs w:val="21"/>
              </w:rPr>
              <w:t>2015年</w:t>
            </w:r>
          </w:p>
        </w:tc>
        <w:tc>
          <w:tcPr>
            <w:tcW w:w="1292" w:type="dxa"/>
            <w:tcBorders>
              <w:top w:val="single" w:sz="8" w:space="0" w:color="auto"/>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
                <w:bCs/>
                <w:kern w:val="0"/>
                <w:szCs w:val="21"/>
              </w:rPr>
            </w:pPr>
            <w:r w:rsidRPr="00634940">
              <w:rPr>
                <w:rFonts w:ascii="宋体" w:eastAsia="宋体" w:hAnsi="宋体" w:cs="Arial"/>
                <w:b/>
                <w:bCs/>
                <w:kern w:val="0"/>
                <w:szCs w:val="21"/>
              </w:rPr>
              <w:t>2016年</w:t>
            </w:r>
          </w:p>
        </w:tc>
      </w:tr>
      <w:tr w:rsidR="005C2705" w:rsidRPr="00634940" w:rsidTr="00634940">
        <w:trPr>
          <w:trHeight w:val="273"/>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项目贷款评估报告</w:t>
            </w: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个数</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41</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26</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22</w:t>
            </w:r>
          </w:p>
        </w:tc>
      </w:tr>
      <w:tr w:rsidR="005C2705" w:rsidRPr="00634940" w:rsidTr="00634940">
        <w:trPr>
          <w:trHeight w:val="274"/>
          <w:jc w:val="center"/>
        </w:trPr>
        <w:tc>
          <w:tcPr>
            <w:tcW w:w="2133" w:type="dxa"/>
            <w:vMerge/>
            <w:tcBorders>
              <w:top w:val="nil"/>
              <w:left w:val="single" w:sz="8" w:space="0" w:color="auto"/>
              <w:bottom w:val="single" w:sz="8" w:space="0" w:color="000000"/>
              <w:right w:val="single" w:sz="8" w:space="0" w:color="auto"/>
            </w:tcBorders>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建筑面积（万㎡）</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454.95</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color w:val="000000"/>
                <w:kern w:val="0"/>
                <w:szCs w:val="21"/>
              </w:rPr>
            </w:pPr>
            <w:r w:rsidRPr="00634940">
              <w:rPr>
                <w:rFonts w:ascii="宋体" w:eastAsia="宋体" w:hAnsi="宋体" w:cs="Arial"/>
                <w:color w:val="000000"/>
                <w:kern w:val="0"/>
                <w:szCs w:val="21"/>
              </w:rPr>
              <w:t>435.5</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168.3</w:t>
            </w:r>
          </w:p>
        </w:tc>
      </w:tr>
      <w:tr w:rsidR="005C2705" w:rsidRPr="00634940" w:rsidTr="0063494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评估值（亿元）</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515.81</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color w:val="000000"/>
                <w:kern w:val="0"/>
                <w:szCs w:val="21"/>
              </w:rPr>
            </w:pPr>
            <w:r w:rsidRPr="00634940">
              <w:rPr>
                <w:rFonts w:ascii="宋体" w:eastAsia="宋体" w:hAnsi="宋体" w:cs="Arial"/>
                <w:color w:val="000000"/>
                <w:kern w:val="0"/>
                <w:szCs w:val="21"/>
              </w:rPr>
              <w:t>554.6</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411.5</w:t>
            </w:r>
          </w:p>
        </w:tc>
      </w:tr>
      <w:tr w:rsidR="005C2705" w:rsidRPr="00634940" w:rsidTr="00634940">
        <w:trPr>
          <w:trHeight w:val="274"/>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土地出让、司法鉴定及其他</w:t>
            </w: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个数</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230</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183</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107</w:t>
            </w:r>
          </w:p>
        </w:tc>
      </w:tr>
      <w:tr w:rsidR="005C2705" w:rsidRPr="00634940" w:rsidTr="0063494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建筑面积（万㎡）</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141.9</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color w:val="000000"/>
                <w:kern w:val="0"/>
                <w:szCs w:val="21"/>
              </w:rPr>
            </w:pPr>
            <w:r w:rsidRPr="00634940">
              <w:rPr>
                <w:rFonts w:ascii="宋体" w:eastAsia="宋体" w:hAnsi="宋体" w:cs="Arial"/>
                <w:color w:val="000000"/>
                <w:kern w:val="0"/>
                <w:szCs w:val="21"/>
              </w:rPr>
              <w:t>78.3</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5.8</w:t>
            </w:r>
          </w:p>
        </w:tc>
      </w:tr>
      <w:tr w:rsidR="005C2705" w:rsidRPr="00634940" w:rsidTr="0063494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评估值（亿元）</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146.4</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color w:val="000000"/>
                <w:kern w:val="0"/>
                <w:szCs w:val="21"/>
              </w:rPr>
            </w:pPr>
            <w:r w:rsidRPr="00634940">
              <w:rPr>
                <w:rFonts w:ascii="宋体" w:eastAsia="宋体" w:hAnsi="宋体" w:cs="Arial"/>
                <w:color w:val="000000"/>
                <w:kern w:val="0"/>
                <w:szCs w:val="21"/>
              </w:rPr>
              <w:t>107.4</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8.4</w:t>
            </w:r>
          </w:p>
        </w:tc>
      </w:tr>
      <w:tr w:rsidR="005C2705" w:rsidRPr="00634940" w:rsidTr="00634940">
        <w:trPr>
          <w:trHeight w:val="274"/>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企业贷款、开发贷款抵押物价格评估</w:t>
            </w: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个数</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1185</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885</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929</w:t>
            </w:r>
          </w:p>
        </w:tc>
      </w:tr>
      <w:tr w:rsidR="005C2705" w:rsidRPr="00634940" w:rsidTr="00634940">
        <w:trPr>
          <w:trHeight w:val="273"/>
          <w:jc w:val="center"/>
        </w:trPr>
        <w:tc>
          <w:tcPr>
            <w:tcW w:w="2133" w:type="dxa"/>
            <w:vMerge/>
            <w:tcBorders>
              <w:top w:val="nil"/>
              <w:left w:val="single" w:sz="8" w:space="0" w:color="auto"/>
              <w:bottom w:val="single" w:sz="8" w:space="0" w:color="000000"/>
              <w:right w:val="single" w:sz="8" w:space="0" w:color="auto"/>
            </w:tcBorders>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建筑面积（万㎡）</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11860.31</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color w:val="000000"/>
                <w:kern w:val="0"/>
                <w:szCs w:val="21"/>
              </w:rPr>
            </w:pPr>
            <w:r w:rsidRPr="00634940">
              <w:rPr>
                <w:rFonts w:ascii="宋体" w:eastAsia="宋体" w:hAnsi="宋体" w:cs="Arial"/>
                <w:color w:val="000000"/>
                <w:kern w:val="0"/>
                <w:szCs w:val="21"/>
              </w:rPr>
              <w:t>10023.4</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10205.9</w:t>
            </w:r>
          </w:p>
        </w:tc>
      </w:tr>
      <w:tr w:rsidR="005C2705" w:rsidRPr="00634940" w:rsidTr="00634940">
        <w:trPr>
          <w:trHeight w:val="274"/>
          <w:jc w:val="center"/>
        </w:trPr>
        <w:tc>
          <w:tcPr>
            <w:tcW w:w="2133" w:type="dxa"/>
            <w:vMerge/>
            <w:tcBorders>
              <w:top w:val="nil"/>
              <w:left w:val="single" w:sz="8" w:space="0" w:color="auto"/>
              <w:bottom w:val="single" w:sz="8" w:space="0" w:color="000000"/>
              <w:right w:val="single" w:sz="8" w:space="0" w:color="auto"/>
            </w:tcBorders>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评估值（亿元）</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6949.56</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color w:val="000000"/>
                <w:kern w:val="0"/>
                <w:szCs w:val="21"/>
              </w:rPr>
            </w:pPr>
            <w:r w:rsidRPr="00634940">
              <w:rPr>
                <w:rFonts w:ascii="宋体" w:eastAsia="宋体" w:hAnsi="宋体" w:cs="Arial"/>
                <w:color w:val="000000"/>
                <w:kern w:val="0"/>
                <w:szCs w:val="21"/>
              </w:rPr>
              <w:t>6497.1</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7756.7</w:t>
            </w:r>
          </w:p>
        </w:tc>
      </w:tr>
      <w:tr w:rsidR="005C2705" w:rsidRPr="00634940" w:rsidTr="00634940">
        <w:trPr>
          <w:trHeight w:val="273"/>
          <w:jc w:val="center"/>
        </w:trPr>
        <w:tc>
          <w:tcPr>
            <w:tcW w:w="2133" w:type="dxa"/>
            <w:vMerge w:val="restart"/>
            <w:tcBorders>
              <w:top w:val="nil"/>
              <w:left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个人住房贷款</w:t>
            </w:r>
          </w:p>
          <w:p w:rsidR="005C2705" w:rsidRPr="00634940" w:rsidRDefault="005C2705" w:rsidP="005C2705">
            <w:pPr>
              <w:jc w:val="center"/>
              <w:rPr>
                <w:rFonts w:ascii="宋体" w:eastAsia="宋体" w:hAnsi="宋体" w:cs="Arial"/>
                <w:kern w:val="0"/>
                <w:szCs w:val="21"/>
              </w:rPr>
            </w:pPr>
            <w:r w:rsidRPr="00634940">
              <w:rPr>
                <w:rFonts w:ascii="宋体" w:eastAsia="宋体" w:hAnsi="宋体" w:cs="Arial"/>
                <w:kern w:val="0"/>
                <w:szCs w:val="21"/>
              </w:rPr>
              <w:t>抵押物评估</w:t>
            </w: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个数</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69535</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72841</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87733</w:t>
            </w:r>
          </w:p>
        </w:tc>
      </w:tr>
      <w:tr w:rsidR="005C2705" w:rsidRPr="00634940" w:rsidTr="00634940">
        <w:trPr>
          <w:trHeight w:val="273"/>
          <w:jc w:val="center"/>
        </w:trPr>
        <w:tc>
          <w:tcPr>
            <w:tcW w:w="2133" w:type="dxa"/>
            <w:vMerge/>
            <w:tcBorders>
              <w:left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建筑面积（万㎡）</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791</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610</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742.1</w:t>
            </w:r>
          </w:p>
        </w:tc>
      </w:tr>
      <w:tr w:rsidR="005C2705" w:rsidRPr="00634940" w:rsidTr="00634940">
        <w:trPr>
          <w:trHeight w:val="274"/>
          <w:jc w:val="center"/>
        </w:trPr>
        <w:tc>
          <w:tcPr>
            <w:tcW w:w="2133" w:type="dxa"/>
            <w:vMerge/>
            <w:tcBorders>
              <w:left w:val="single" w:sz="8" w:space="0" w:color="auto"/>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评估值（亿元）</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1907</w:t>
            </w:r>
          </w:p>
        </w:tc>
        <w:tc>
          <w:tcPr>
            <w:tcW w:w="1393" w:type="dxa"/>
            <w:tcBorders>
              <w:top w:val="nil"/>
              <w:left w:val="nil"/>
              <w:bottom w:val="single" w:sz="8" w:space="0" w:color="auto"/>
              <w:right w:val="single" w:sz="8" w:space="0" w:color="auto"/>
            </w:tcBorders>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1752</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2475.4</w:t>
            </w:r>
          </w:p>
        </w:tc>
      </w:tr>
      <w:tr w:rsidR="005C2705" w:rsidRPr="00634940" w:rsidTr="00634940">
        <w:trPr>
          <w:trHeight w:val="273"/>
          <w:jc w:val="center"/>
        </w:trPr>
        <w:tc>
          <w:tcPr>
            <w:tcW w:w="2133" w:type="dxa"/>
            <w:vMerge w:val="restart"/>
            <w:tcBorders>
              <w:top w:val="nil"/>
              <w:left w:val="single" w:sz="8" w:space="0" w:color="auto"/>
              <w:bottom w:val="single" w:sz="8" w:space="0" w:color="000000"/>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合计</w:t>
            </w: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建筑面积（万㎡）</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13248.16</w:t>
            </w:r>
          </w:p>
        </w:tc>
        <w:tc>
          <w:tcPr>
            <w:tcW w:w="1393"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11147.2</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 xml:space="preserve">11122 </w:t>
            </w:r>
          </w:p>
        </w:tc>
      </w:tr>
      <w:tr w:rsidR="005C2705" w:rsidRPr="00634940" w:rsidTr="00634940">
        <w:trPr>
          <w:trHeight w:val="274"/>
          <w:jc w:val="center"/>
        </w:trPr>
        <w:tc>
          <w:tcPr>
            <w:tcW w:w="2133" w:type="dxa"/>
            <w:vMerge/>
            <w:tcBorders>
              <w:top w:val="nil"/>
              <w:left w:val="single" w:sz="8" w:space="0" w:color="auto"/>
              <w:bottom w:val="single" w:sz="8" w:space="0" w:color="000000"/>
              <w:right w:val="single" w:sz="8" w:space="0" w:color="auto"/>
            </w:tcBorders>
            <w:vAlign w:val="center"/>
          </w:tcPr>
          <w:p w:rsidR="005C2705" w:rsidRPr="00634940" w:rsidRDefault="005C2705" w:rsidP="005C2705">
            <w:pPr>
              <w:widowControl/>
              <w:jc w:val="center"/>
              <w:rPr>
                <w:rFonts w:ascii="宋体" w:eastAsia="宋体" w:hAnsi="宋体" w:cs="Arial"/>
                <w:kern w:val="0"/>
                <w:szCs w:val="21"/>
              </w:rPr>
            </w:pPr>
          </w:p>
        </w:tc>
        <w:tc>
          <w:tcPr>
            <w:tcW w:w="2296" w:type="dxa"/>
            <w:tcBorders>
              <w:top w:val="nil"/>
              <w:left w:val="nil"/>
              <w:bottom w:val="single" w:sz="8" w:space="0" w:color="auto"/>
              <w:right w:val="single" w:sz="8" w:space="0" w:color="auto"/>
            </w:tcBorders>
            <w:noWrap/>
            <w:vAlign w:val="center"/>
          </w:tcPr>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kern w:val="0"/>
                <w:szCs w:val="21"/>
              </w:rPr>
              <w:t>评估值（亿元）</w:t>
            </w:r>
          </w:p>
        </w:tc>
        <w:tc>
          <w:tcPr>
            <w:tcW w:w="1408" w:type="dxa"/>
            <w:tcBorders>
              <w:top w:val="nil"/>
              <w:left w:val="nil"/>
              <w:bottom w:val="single" w:sz="8" w:space="0" w:color="auto"/>
              <w:right w:val="single" w:sz="8" w:space="0" w:color="auto"/>
            </w:tcBorders>
            <w:vAlign w:val="center"/>
          </w:tcPr>
          <w:p w:rsidR="005C2705" w:rsidRPr="00634940" w:rsidRDefault="005C2705" w:rsidP="005C2705">
            <w:pPr>
              <w:widowControl/>
              <w:jc w:val="center"/>
              <w:rPr>
                <w:rFonts w:ascii="宋体" w:eastAsia="宋体" w:hAnsi="宋体" w:cs="Arial"/>
                <w:bCs/>
                <w:kern w:val="0"/>
                <w:szCs w:val="21"/>
              </w:rPr>
            </w:pPr>
            <w:r w:rsidRPr="00634940">
              <w:rPr>
                <w:rFonts w:ascii="宋体" w:eastAsia="宋体" w:hAnsi="宋体" w:cs="Arial"/>
                <w:bCs/>
                <w:kern w:val="0"/>
                <w:szCs w:val="21"/>
              </w:rPr>
              <w:t>9518.77</w:t>
            </w:r>
          </w:p>
        </w:tc>
        <w:tc>
          <w:tcPr>
            <w:tcW w:w="1393"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8911.1</w:t>
            </w:r>
          </w:p>
        </w:tc>
        <w:tc>
          <w:tcPr>
            <w:tcW w:w="1292" w:type="dxa"/>
            <w:tcBorders>
              <w:top w:val="nil"/>
              <w:left w:val="nil"/>
              <w:bottom w:val="single" w:sz="8" w:space="0" w:color="auto"/>
              <w:right w:val="single" w:sz="8" w:space="0" w:color="auto"/>
            </w:tcBorders>
            <w:vAlign w:val="center"/>
          </w:tcPr>
          <w:p w:rsidR="005C2705" w:rsidRPr="00634940" w:rsidRDefault="005C2705" w:rsidP="005C2705">
            <w:pPr>
              <w:jc w:val="center"/>
              <w:rPr>
                <w:rFonts w:ascii="宋体" w:eastAsia="宋体" w:hAnsi="宋体" w:cs="Arial"/>
                <w:color w:val="000000"/>
                <w:szCs w:val="21"/>
              </w:rPr>
            </w:pPr>
            <w:r w:rsidRPr="00634940">
              <w:rPr>
                <w:rFonts w:ascii="宋体" w:eastAsia="宋体" w:hAnsi="宋体" w:cs="Arial"/>
                <w:color w:val="000000"/>
                <w:szCs w:val="21"/>
              </w:rPr>
              <w:t xml:space="preserve">10652 </w:t>
            </w:r>
          </w:p>
        </w:tc>
      </w:tr>
    </w:tbl>
    <w:p w:rsidR="005C2705" w:rsidRPr="00634940" w:rsidRDefault="005C2705" w:rsidP="00634940">
      <w:pPr>
        <w:pStyle w:val="CharCharCharCharCharCharCharCharCharCharCharCharCharCharCharCharCharCharChar"/>
        <w:ind w:firstLineChars="150" w:firstLine="316"/>
        <w:rPr>
          <w:rFonts w:ascii="宋体" w:hAnsi="宋体" w:cs="Arial"/>
          <w:b/>
          <w:sz w:val="21"/>
          <w:szCs w:val="21"/>
        </w:rPr>
      </w:pPr>
      <w:r w:rsidRPr="00634940">
        <w:rPr>
          <w:rFonts w:ascii="宋体" w:hAnsi="宋体" w:cs="Arial"/>
          <w:b/>
          <w:sz w:val="21"/>
          <w:szCs w:val="21"/>
        </w:rPr>
        <w:t>我公司在24年经营活动中，无任何其他负面信息。</w:t>
      </w:r>
    </w:p>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noProof/>
          <w:kern w:val="0"/>
          <w:szCs w:val="21"/>
        </w:rPr>
        <w:lastRenderedPageBreak/>
        <w:drawing>
          <wp:inline distT="0" distB="0" distL="0" distR="0" wp14:anchorId="226F24FC" wp14:editId="1CEAA3C0">
            <wp:extent cx="5709477" cy="2352502"/>
            <wp:effectExtent l="0" t="0" r="5715" b="0"/>
            <wp:docPr id="2" name="图片 2" descr="C:\Documents and Settings\Administrator\Application Data\Tencent\Users\943616301\QQ\WinTemp\RichOle\(4315QY(827_{T72(VZ8F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C:\Documents and Settings\Administrator\Application Data\Tencent\Users\943616301\QQ\WinTemp\RichOle\(4315QY(827_{T72(VZ8FV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9745" cy="2352612"/>
                    </a:xfrm>
                    <a:prstGeom prst="rect">
                      <a:avLst/>
                    </a:prstGeom>
                    <a:noFill/>
                    <a:ln>
                      <a:noFill/>
                    </a:ln>
                  </pic:spPr>
                </pic:pic>
              </a:graphicData>
            </a:graphic>
          </wp:inline>
        </w:drawing>
      </w:r>
    </w:p>
    <w:p w:rsidR="005C2705" w:rsidRPr="00634940" w:rsidRDefault="005C2705" w:rsidP="005C2705">
      <w:pPr>
        <w:widowControl/>
        <w:jc w:val="center"/>
        <w:rPr>
          <w:rFonts w:ascii="宋体" w:eastAsia="宋体" w:hAnsi="宋体" w:cs="Arial"/>
          <w:kern w:val="0"/>
          <w:szCs w:val="21"/>
        </w:rPr>
      </w:pPr>
      <w:r w:rsidRPr="00634940">
        <w:rPr>
          <w:rFonts w:ascii="宋体" w:eastAsia="宋体" w:hAnsi="宋体" w:cs="Arial"/>
          <w:noProof/>
          <w:kern w:val="0"/>
          <w:szCs w:val="21"/>
        </w:rPr>
        <w:drawing>
          <wp:inline distT="0" distB="0" distL="0" distR="0" wp14:anchorId="7098CC2C" wp14:editId="30DDA281">
            <wp:extent cx="5752408" cy="2293029"/>
            <wp:effectExtent l="0" t="0" r="1270" b="0"/>
            <wp:docPr id="1" name="图片 1" descr="C:\Documents and Settings\Administrator\Application Data\Tencent\Users\943616301\QQ\WinTemp\RichOle\_4}3RMNLM~V_T[50_Z1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Documents and Settings\Administrator\Application Data\Tencent\Users\943616301\QQ\WinTemp\RichOle\_4}3RMNLM~V_T[50_Z1I{{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2269" cy="2292974"/>
                    </a:xfrm>
                    <a:prstGeom prst="rect">
                      <a:avLst/>
                    </a:prstGeom>
                    <a:noFill/>
                    <a:ln>
                      <a:noFill/>
                    </a:ln>
                  </pic:spPr>
                </pic:pic>
              </a:graphicData>
            </a:graphic>
          </wp:inline>
        </w:drawing>
      </w:r>
    </w:p>
    <w:p w:rsidR="005C2705" w:rsidRPr="00634940" w:rsidRDefault="005C2705" w:rsidP="005C2705">
      <w:pPr>
        <w:spacing w:line="360" w:lineRule="auto"/>
        <w:rPr>
          <w:rFonts w:ascii="宋体" w:eastAsia="宋体" w:hAnsi="宋体" w:cs="Arial"/>
          <w:b/>
          <w:szCs w:val="21"/>
        </w:rPr>
      </w:pPr>
      <w:r w:rsidRPr="00634940">
        <w:rPr>
          <w:rFonts w:ascii="宋体" w:eastAsia="宋体" w:hAnsi="宋体" w:cs="Arial"/>
          <w:b/>
          <w:szCs w:val="21"/>
        </w:rPr>
        <w:t>我公司连续五年获得A级资信资格。</w:t>
      </w:r>
    </w:p>
    <w:p w:rsidR="005C2705" w:rsidRPr="00634940" w:rsidRDefault="005C2705" w:rsidP="00634940">
      <w:pPr>
        <w:spacing w:line="360" w:lineRule="auto"/>
        <w:ind w:firstLineChars="200" w:firstLine="422"/>
        <w:rPr>
          <w:rFonts w:ascii="宋体" w:eastAsia="宋体" w:hAnsi="宋体" w:cs="Arial"/>
          <w:b/>
          <w:color w:val="000000"/>
          <w:szCs w:val="21"/>
        </w:rPr>
      </w:pPr>
    </w:p>
    <w:p w:rsidR="005C2705" w:rsidRPr="00634940" w:rsidRDefault="005C2705" w:rsidP="0015036B">
      <w:pPr>
        <w:spacing w:line="480" w:lineRule="auto"/>
        <w:ind w:firstLineChars="200" w:firstLine="422"/>
        <w:outlineLvl w:val="0"/>
        <w:rPr>
          <w:rFonts w:ascii="宋体" w:eastAsia="宋体" w:hAnsi="宋体" w:cs="Arial"/>
          <w:b/>
          <w:szCs w:val="21"/>
        </w:rPr>
      </w:pPr>
      <w:bookmarkStart w:id="29" w:name="_Toc481133776"/>
      <w:bookmarkStart w:id="30" w:name="_Toc492472841"/>
      <w:r w:rsidRPr="00634940">
        <w:rPr>
          <w:rFonts w:ascii="宋体" w:eastAsia="宋体" w:hAnsi="宋体" w:cs="Arial"/>
          <w:b/>
          <w:szCs w:val="21"/>
        </w:rPr>
        <w:t>（七）主要合作金融机构</w:t>
      </w:r>
      <w:bookmarkEnd w:id="28"/>
      <w:bookmarkEnd w:id="29"/>
      <w:bookmarkEnd w:id="30"/>
    </w:p>
    <w:p w:rsidR="005C2705" w:rsidRPr="00634940" w:rsidRDefault="005C2705" w:rsidP="0015036B">
      <w:pPr>
        <w:spacing w:line="480" w:lineRule="auto"/>
        <w:ind w:firstLineChars="200" w:firstLine="420"/>
        <w:rPr>
          <w:rFonts w:ascii="宋体" w:eastAsia="宋体" w:hAnsi="宋体" w:cs="Arial"/>
          <w:szCs w:val="21"/>
        </w:rPr>
      </w:pPr>
      <w:bookmarkStart w:id="31" w:name="_Toc409686687"/>
      <w:r w:rsidRPr="00634940">
        <w:rPr>
          <w:rFonts w:ascii="宋体" w:eastAsia="宋体" w:hAnsi="宋体" w:cs="Arial"/>
          <w:szCs w:val="21"/>
        </w:rPr>
        <w:t>经过24年的发展，我公司凭借严谨的工作态度，丰富的信贷业务评估经验，良好的商业信誉，在信贷业务房地产评估领域与众多机构建立了长期稳定的合作关系，并被多家银行及非银行金融机构选聘为认可的评估服务机构：</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中资银行：中国工商银行总行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中国工商银行北京市分行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中国农业银行总行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中国农业银行北京分行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lastRenderedPageBreak/>
        <w:t>中国银行北京分行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中国建设银行北京分行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交通银行北京分行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北京农商银行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招商银行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民生银行北京分行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华夏银行北京分行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中信银行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上海浦东发展银行北京分行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渤海银行北京分行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宁波银行北京分行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中国邮政储蓄银行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昆仑银行总行营业部</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北京银行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光大银行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平安银行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广东发展银行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上海银行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江苏银行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国家开发银行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深圳发展银行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lastRenderedPageBreak/>
        <w:t>进出口银行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富邦华一银行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怀柔融兴村镇银行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河北银行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淮北农村商业银行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乌鲁木齐市商业银行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晋商银行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合肥科技农村商业银行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三河蒙银村镇银行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晋城银行</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外资银行：渣打银行</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 xml:space="preserve"> 韩国外换银行北京分行</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 xml:space="preserve"> 南洋商业银行</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 xml:space="preserve"> 汇丰银行</w:t>
      </w:r>
    </w:p>
    <w:p w:rsidR="005C2705" w:rsidRPr="00634940" w:rsidRDefault="005C2705" w:rsidP="0015036B">
      <w:pPr>
        <w:spacing w:line="480" w:lineRule="auto"/>
        <w:ind w:firstLineChars="700" w:firstLine="1470"/>
        <w:rPr>
          <w:rFonts w:ascii="宋体" w:eastAsia="宋体" w:hAnsi="宋体" w:cs="Arial"/>
          <w:szCs w:val="21"/>
        </w:rPr>
      </w:pPr>
      <w:r w:rsidRPr="00634940">
        <w:rPr>
          <w:rFonts w:ascii="宋体" w:eastAsia="宋体" w:hAnsi="宋体" w:cs="Arial"/>
          <w:szCs w:val="21"/>
        </w:rPr>
        <w:t>韩亚银行</w:t>
      </w:r>
    </w:p>
    <w:p w:rsidR="005C2705" w:rsidRPr="00634940" w:rsidRDefault="005C2705" w:rsidP="0015036B">
      <w:pPr>
        <w:spacing w:line="480" w:lineRule="auto"/>
        <w:ind w:firstLineChars="202" w:firstLine="424"/>
        <w:rPr>
          <w:rFonts w:ascii="宋体" w:eastAsia="宋体" w:hAnsi="宋体" w:cs="Arial"/>
          <w:szCs w:val="21"/>
        </w:rPr>
      </w:pPr>
      <w:r w:rsidRPr="00634940">
        <w:rPr>
          <w:rFonts w:ascii="宋体" w:eastAsia="宋体" w:hAnsi="宋体" w:cs="Arial"/>
          <w:szCs w:val="21"/>
        </w:rPr>
        <w:t>非银行金融机构：中信信托有限责任公司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中诚信托有限责任公司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中国对外经济贸易信托有限公司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交银国际信托有限公司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中国国际金融有限公司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中国长城资产管理公司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lastRenderedPageBreak/>
        <w:t>中国信达资产管理公司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中国华融资产管理公司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山东国际信托公司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建信信托有限公司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五矿国际信托有限公司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昆仑信托有限责任公司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大业信托有限责任公司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国民信托有限公司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中国金谷国际信托</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苏州信托有限公司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中国民生信托有限公司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中融国际信托有限公司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长安国际信托有限公司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渤海国际信托股份有限公司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上海东兴投资控股发展公司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华能贵诚信托有限公司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光大安石(北京)资产管理有限公司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中国东方资产管理公司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华澳国际信托有限公司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北京住房贷款担保中心</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北京市住房公积金管理中心</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lastRenderedPageBreak/>
        <w:t>中信信诚资产管理有限公司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平安信托有限责任公司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华鑫国际信托有限公司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中粮信托有限责任公司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先锋国泰资产管理有限公司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中信证券股份有限公司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华鑫国际信托有限责任公司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信保（天津）股权投资基金管理有限公司</w:t>
      </w:r>
    </w:p>
    <w:p w:rsidR="005C2705" w:rsidRPr="00634940" w:rsidRDefault="005C2705" w:rsidP="0015036B">
      <w:pPr>
        <w:spacing w:line="480" w:lineRule="auto"/>
        <w:ind w:firstLineChars="650" w:firstLine="1365"/>
        <w:rPr>
          <w:rFonts w:ascii="宋体" w:eastAsia="宋体" w:hAnsi="宋体" w:cs="Arial"/>
          <w:szCs w:val="21"/>
        </w:rPr>
      </w:pPr>
      <w:r w:rsidRPr="00634940">
        <w:rPr>
          <w:rFonts w:ascii="宋体" w:eastAsia="宋体" w:hAnsi="宋体" w:cs="Arial"/>
          <w:szCs w:val="21"/>
        </w:rPr>
        <w:t>西藏信托有限公司</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同时，经过24年的房地产估价实践，我公司近年来已完成金融机构、房地产开发企业委托的评估项目上万宗。项目贷款评估及可行性研究也是我公司为金融机构、房地产开发企业提供的咨询服务项目，近年来已完成可行性研究、项目贷款评估上千宗。凭借对北京市房地产市场开发程序的深入理解，熟悉房地产开发项目从立项、土地出让、工程许可到产权办理全过程的程序及相关手续，能够为房地产开发企业提供更加合理的项目可行性建议。我公司同多家金融机构及房地产开发企业保持着良好的合作关系，对房地产开发项目资金需求量、投入周期及相关金融政策十分熟悉，能够为金融机构、房地产开发投资者提供客观、准确的信贷决策、投资决策的依据。</w:t>
      </w:r>
    </w:p>
    <w:p w:rsidR="005C2705" w:rsidRPr="00634940" w:rsidRDefault="005C2705" w:rsidP="0015036B">
      <w:pPr>
        <w:spacing w:line="480" w:lineRule="auto"/>
        <w:outlineLvl w:val="0"/>
        <w:rPr>
          <w:rFonts w:ascii="宋体" w:eastAsia="宋体" w:hAnsi="宋体" w:cs="Arial"/>
          <w:b/>
          <w:szCs w:val="21"/>
        </w:rPr>
      </w:pPr>
    </w:p>
    <w:p w:rsidR="005C2705" w:rsidRPr="00634940" w:rsidRDefault="005C2705" w:rsidP="0015036B">
      <w:pPr>
        <w:spacing w:line="480" w:lineRule="auto"/>
        <w:ind w:firstLineChars="200" w:firstLine="422"/>
        <w:outlineLvl w:val="0"/>
        <w:rPr>
          <w:rFonts w:ascii="宋体" w:eastAsia="宋体" w:hAnsi="宋体" w:cs="Arial"/>
          <w:b/>
          <w:szCs w:val="21"/>
        </w:rPr>
      </w:pPr>
      <w:bookmarkStart w:id="32" w:name="_Toc481133777"/>
      <w:bookmarkStart w:id="33" w:name="_Toc492472842"/>
      <w:r w:rsidRPr="00634940">
        <w:rPr>
          <w:rFonts w:ascii="宋体" w:eastAsia="宋体" w:hAnsi="宋体" w:cs="Arial"/>
          <w:b/>
          <w:szCs w:val="21"/>
        </w:rPr>
        <w:t>（八）</w:t>
      </w:r>
      <w:bookmarkEnd w:id="31"/>
      <w:r w:rsidRPr="00634940">
        <w:rPr>
          <w:rFonts w:ascii="宋体" w:eastAsia="宋体" w:hAnsi="宋体" w:cs="Arial"/>
          <w:b/>
          <w:szCs w:val="21"/>
        </w:rPr>
        <w:t>服务优势及风险控制措施</w:t>
      </w:r>
      <w:bookmarkEnd w:id="32"/>
      <w:bookmarkEnd w:id="33"/>
    </w:p>
    <w:p w:rsidR="005C2705" w:rsidRPr="00634940" w:rsidRDefault="005C2705" w:rsidP="0015036B">
      <w:pPr>
        <w:spacing w:line="480" w:lineRule="auto"/>
        <w:ind w:firstLineChars="200" w:firstLine="422"/>
        <w:outlineLvl w:val="0"/>
        <w:rPr>
          <w:rFonts w:ascii="宋体" w:eastAsia="宋体" w:hAnsi="宋体" w:cs="Arial"/>
          <w:b/>
          <w:szCs w:val="21"/>
        </w:rPr>
      </w:pPr>
      <w:bookmarkStart w:id="34" w:name="_Toc478457740"/>
      <w:bookmarkStart w:id="35" w:name="_Toc478459481"/>
      <w:bookmarkStart w:id="36" w:name="_Toc478459505"/>
      <w:bookmarkStart w:id="37" w:name="_Toc478469072"/>
      <w:bookmarkStart w:id="38" w:name="_Toc478469201"/>
      <w:bookmarkStart w:id="39" w:name="_Toc481133779"/>
      <w:bookmarkStart w:id="40" w:name="_Toc492472843"/>
      <w:r w:rsidRPr="00634940">
        <w:rPr>
          <w:rFonts w:ascii="宋体" w:eastAsia="宋体" w:hAnsi="宋体" w:cs="Arial"/>
          <w:b/>
          <w:szCs w:val="21"/>
        </w:rPr>
        <w:t>1.服务优势</w:t>
      </w:r>
      <w:bookmarkEnd w:id="34"/>
      <w:bookmarkEnd w:id="35"/>
      <w:bookmarkEnd w:id="36"/>
      <w:bookmarkEnd w:id="37"/>
      <w:bookmarkEnd w:id="38"/>
      <w:bookmarkEnd w:id="39"/>
      <w:bookmarkEnd w:id="40"/>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同时，对于信贷业务房地产评估服务，我公司具有以下服务优势：</w:t>
      </w:r>
    </w:p>
    <w:p w:rsidR="005C2705" w:rsidRPr="00634940" w:rsidRDefault="005C2705" w:rsidP="0015036B">
      <w:pPr>
        <w:spacing w:line="480" w:lineRule="auto"/>
        <w:ind w:firstLineChars="200" w:firstLine="422"/>
        <w:rPr>
          <w:rFonts w:ascii="宋体" w:eastAsia="宋体" w:hAnsi="宋体" w:cs="Arial"/>
          <w:b/>
          <w:szCs w:val="21"/>
        </w:rPr>
      </w:pPr>
      <w:bookmarkStart w:id="41" w:name="_Toc340489927"/>
      <w:r w:rsidRPr="00634940">
        <w:rPr>
          <w:rFonts w:ascii="宋体" w:eastAsia="宋体" w:hAnsi="宋体" w:cs="Arial"/>
          <w:b/>
          <w:szCs w:val="21"/>
        </w:rPr>
        <w:t>（1）雄厚的技术实力</w:t>
      </w:r>
      <w:bookmarkEnd w:id="41"/>
    </w:p>
    <w:p w:rsidR="005C2705" w:rsidRPr="00634940" w:rsidRDefault="005C2705" w:rsidP="0015036B">
      <w:pPr>
        <w:spacing w:line="480" w:lineRule="auto"/>
        <w:ind w:firstLineChars="200" w:firstLine="420"/>
        <w:rPr>
          <w:rFonts w:ascii="宋体" w:eastAsia="宋体" w:hAnsi="宋体" w:cs="Arial"/>
          <w:noProof/>
          <w:color w:val="000000"/>
          <w:szCs w:val="21"/>
        </w:rPr>
      </w:pPr>
      <w:bookmarkStart w:id="42" w:name="_Toc340489928"/>
      <w:r w:rsidRPr="00634940">
        <w:rPr>
          <w:rFonts w:ascii="宋体" w:eastAsia="宋体" w:hAnsi="宋体" w:cs="Arial"/>
          <w:noProof/>
          <w:color w:val="000000"/>
          <w:szCs w:val="21"/>
        </w:rPr>
        <w:lastRenderedPageBreak/>
        <w:t>我公司评估业务部人员都具有系统和深厚的理论基础知识，其专业背景覆盖多个领域，具有各项专业执业资质的共60余人次。估价人员拥有丰富的从业经验，参与涉及抵押贷款评估、项目可行性研究、项目投资分析、土地一级开发、司法仲裁涉及到的房地产估价等多种业务类型。能够为委托方和报告使用者提供专业化、准确化的评估服务。</w:t>
      </w:r>
    </w:p>
    <w:p w:rsidR="005C2705" w:rsidRPr="00634940" w:rsidRDefault="005C2705" w:rsidP="0015036B">
      <w:pPr>
        <w:spacing w:line="480" w:lineRule="auto"/>
        <w:ind w:firstLineChars="200" w:firstLine="422"/>
        <w:rPr>
          <w:rFonts w:ascii="宋体" w:eastAsia="宋体" w:hAnsi="宋体" w:cs="Arial"/>
          <w:b/>
          <w:szCs w:val="21"/>
        </w:rPr>
      </w:pPr>
      <w:r w:rsidRPr="00634940">
        <w:rPr>
          <w:rFonts w:ascii="宋体" w:eastAsia="宋体" w:hAnsi="宋体" w:cs="Arial"/>
          <w:b/>
          <w:szCs w:val="21"/>
        </w:rPr>
        <w:t>（2）丰富的信贷业务房地产评估经验</w:t>
      </w:r>
      <w:bookmarkEnd w:id="42"/>
    </w:p>
    <w:p w:rsidR="005C2705" w:rsidRPr="00634940" w:rsidRDefault="005C2705" w:rsidP="0015036B">
      <w:pPr>
        <w:spacing w:line="480" w:lineRule="auto"/>
        <w:ind w:firstLineChars="200" w:firstLine="420"/>
        <w:rPr>
          <w:rFonts w:ascii="宋体" w:eastAsia="宋体" w:hAnsi="宋体" w:cs="Arial"/>
          <w:noProof/>
          <w:color w:val="000000"/>
          <w:szCs w:val="21"/>
        </w:rPr>
      </w:pPr>
      <w:r w:rsidRPr="00634940">
        <w:rPr>
          <w:rFonts w:ascii="宋体" w:eastAsia="宋体" w:hAnsi="宋体" w:cs="Arial"/>
          <w:noProof/>
          <w:color w:val="000000"/>
          <w:szCs w:val="21"/>
        </w:rPr>
        <mc:AlternateContent>
          <mc:Choice Requires="wps">
            <w:drawing>
              <wp:anchor distT="0" distB="0" distL="114300" distR="114300" simplePos="0" relativeHeight="251659264" behindDoc="0" locked="0" layoutInCell="1" allowOverlap="1" wp14:anchorId="204094D0" wp14:editId="6899A489">
                <wp:simplePos x="0" y="0"/>
                <wp:positionH relativeFrom="column">
                  <wp:posOffset>3114675</wp:posOffset>
                </wp:positionH>
                <wp:positionV relativeFrom="paragraph">
                  <wp:posOffset>640080</wp:posOffset>
                </wp:positionV>
                <wp:extent cx="85725" cy="19050"/>
                <wp:effectExtent l="9525" t="9525" r="9525" b="95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4" o:spid="_x0000_s1026" type="#_x0000_t32" style="position:absolute;left:0;text-align:left;margin-left:245.25pt;margin-top:50.4pt;width:6.7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"/>
            </w:pict>
          </mc:Fallback>
        </mc:AlternateContent>
      </w:r>
      <w:r w:rsidRPr="00634940">
        <w:rPr>
          <w:rFonts w:ascii="宋体" w:eastAsia="宋体" w:hAnsi="宋体" w:cs="Arial"/>
          <w:noProof/>
          <w:color w:val="000000"/>
          <w:szCs w:val="21"/>
        </w:rPr>
        <w:t>我公司自1997年即开展个人及对公贷款抵押物评估业务，至今已完成个人住房抵押贷款评估20万余笔、对公抵押贷款评估3000余个项目，项目贷款评估近400个。这不但使我们获得了丰富的评估工作经验，也积累了大量详实的项目权属资料和房屋交易数据。我们楼盘库内的项目资料约占北京市住宅楼盘总量的70%，这使我们能够更全面、具体的了解项目的整体情况。房地产的价格及市场接纳情况不仅仅取决于现在的市场状况，在很大程度上也受到开发历史的影响。正因为我公司在这方面的优势，使得我们的估价人员能够更全面的了解估价对象和市场，从而使我们的评估价格更趋近合理范畴。</w:t>
      </w:r>
    </w:p>
    <w:p w:rsidR="005C2705" w:rsidRPr="00634940" w:rsidRDefault="005C2705" w:rsidP="0015036B">
      <w:pPr>
        <w:spacing w:line="480" w:lineRule="auto"/>
        <w:ind w:firstLineChars="200" w:firstLine="422"/>
        <w:rPr>
          <w:rFonts w:ascii="宋体" w:eastAsia="宋体" w:hAnsi="宋体" w:cs="Arial"/>
          <w:b/>
          <w:szCs w:val="21"/>
        </w:rPr>
      </w:pPr>
      <w:bookmarkStart w:id="43" w:name="_Toc340489929"/>
      <w:r w:rsidRPr="00634940">
        <w:rPr>
          <w:rFonts w:ascii="宋体" w:eastAsia="宋体" w:hAnsi="宋体" w:cs="Arial"/>
          <w:b/>
          <w:szCs w:val="21"/>
        </w:rPr>
        <w:t>（3）完善的评估数据库系统</w:t>
      </w:r>
      <w:bookmarkEnd w:id="43"/>
    </w:p>
    <w:p w:rsidR="005C2705" w:rsidRPr="00634940" w:rsidRDefault="005C2705" w:rsidP="0015036B">
      <w:pPr>
        <w:spacing w:line="480" w:lineRule="auto"/>
        <w:ind w:firstLineChars="200" w:firstLine="420"/>
        <w:rPr>
          <w:rFonts w:ascii="宋体" w:eastAsia="宋体" w:hAnsi="宋体" w:cs="Arial"/>
          <w:color w:val="000000"/>
          <w:szCs w:val="21"/>
        </w:rPr>
      </w:pPr>
      <w:bookmarkStart w:id="44" w:name="_Toc340489930"/>
      <w:r w:rsidRPr="00634940">
        <w:rPr>
          <w:rFonts w:ascii="宋体" w:eastAsia="宋体" w:hAnsi="宋体" w:cs="Arial"/>
          <w:color w:val="000000"/>
          <w:szCs w:val="21"/>
        </w:rPr>
        <w:t>凭借着多年的业务实践，我公司积累了大量的市场交易及市场租金数据，目前拥有超过40万条北京市住宅一手房、二手房的真实交易记录，7000余个住宅小区的项目资料，目前正在逐步建立完善写字楼、商业市场的买卖、租赁交易案例库。为日常评估业务提供了有力的数据支持系统，也可以为金融机构提供相应的数据服务。目前我公司建立的数据库有：</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（1）北京市一手房市场交易数据库</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（2）北京市二手房市场交易数据库</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（3）北京市住宅与非住宅市场租金数据库</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（4）土地成交价格数据库</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完善的数据库系统为信贷业务房地产押品评估提供了强大的技术支持，为实现评估结果的客观、公正、</w:t>
      </w:r>
      <w:r w:rsidRPr="00634940">
        <w:rPr>
          <w:rFonts w:ascii="宋体" w:eastAsia="宋体" w:hAnsi="宋体" w:cs="Arial"/>
          <w:color w:val="000000"/>
          <w:szCs w:val="21"/>
        </w:rPr>
        <w:lastRenderedPageBreak/>
        <w:t>并为金融机构有效地控制风险提供了有力的保证。</w:t>
      </w:r>
    </w:p>
    <w:p w:rsidR="005C2705" w:rsidRPr="00634940" w:rsidRDefault="005C2705" w:rsidP="0015036B">
      <w:pPr>
        <w:spacing w:line="480" w:lineRule="auto"/>
        <w:ind w:firstLineChars="200" w:firstLine="422"/>
        <w:rPr>
          <w:rFonts w:ascii="宋体" w:eastAsia="宋体" w:hAnsi="宋体" w:cs="Arial"/>
          <w:b/>
          <w:szCs w:val="21"/>
        </w:rPr>
      </w:pPr>
      <w:r w:rsidRPr="00634940">
        <w:rPr>
          <w:rFonts w:ascii="宋体" w:eastAsia="宋体" w:hAnsi="宋体" w:cs="Arial"/>
          <w:b/>
          <w:szCs w:val="21"/>
        </w:rPr>
        <w:t>（4）广泛的地域覆盖</w:t>
      </w:r>
      <w:bookmarkEnd w:id="44"/>
    </w:p>
    <w:p w:rsidR="005C2705" w:rsidRPr="00634940" w:rsidRDefault="005C2705" w:rsidP="0015036B">
      <w:pPr>
        <w:spacing w:line="480" w:lineRule="auto"/>
        <w:ind w:firstLineChars="200" w:firstLine="420"/>
        <w:rPr>
          <w:rFonts w:ascii="宋体" w:eastAsia="宋体" w:hAnsi="宋体" w:cs="Arial"/>
          <w:color w:val="000000"/>
          <w:szCs w:val="21"/>
        </w:rPr>
      </w:pPr>
      <w:bookmarkStart w:id="45" w:name="_Toc340489931"/>
      <w:r w:rsidRPr="00634940">
        <w:rPr>
          <w:rFonts w:ascii="宋体" w:eastAsia="宋体" w:hAnsi="宋体" w:cs="Arial"/>
          <w:color w:val="000000"/>
          <w:szCs w:val="21"/>
        </w:rPr>
        <w:t>我公司信贷业务房地产抵押物评估业务覆盖全市19个区县及20个省市自治区。远郊区县的查勘评估工作均由本公司内部专人负责，可使远郊区县的房屋无论评估速度与评估质量均能与市区保持一致。</w:t>
      </w:r>
    </w:p>
    <w:p w:rsidR="005C2705" w:rsidRPr="00634940" w:rsidRDefault="005C2705" w:rsidP="0015036B">
      <w:pPr>
        <w:spacing w:line="480" w:lineRule="auto"/>
        <w:ind w:firstLineChars="200" w:firstLine="422"/>
        <w:rPr>
          <w:rFonts w:ascii="宋体" w:eastAsia="宋体" w:hAnsi="宋体" w:cs="Arial"/>
          <w:b/>
          <w:szCs w:val="21"/>
        </w:rPr>
      </w:pPr>
      <w:r w:rsidRPr="00634940">
        <w:rPr>
          <w:rFonts w:ascii="宋体" w:eastAsia="宋体" w:hAnsi="宋体" w:cs="Arial"/>
          <w:b/>
          <w:szCs w:val="21"/>
        </w:rPr>
        <w:t>（5）保护客户利益</w:t>
      </w:r>
      <w:bookmarkEnd w:id="45"/>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为了方便金融机构检验报告真伪，保证贷款安全，我公司自</w:t>
      </w:r>
      <w:smartTag w:uri="urn:schemas-microsoft-com:office:smarttags" w:element="chsdate">
        <w:smartTagPr>
          <w:attr w:name="IsROCDate" w:val="False"/>
          <w:attr w:name="IsLunarDate" w:val="False"/>
          <w:attr w:name="Day" w:val="8"/>
          <w:attr w:name="Month" w:val="12"/>
          <w:attr w:name="Year" w:val="2008"/>
        </w:smartTagPr>
        <w:r w:rsidRPr="00634940">
          <w:rPr>
            <w:rFonts w:ascii="宋体" w:eastAsia="宋体" w:hAnsi="宋体" w:cs="Arial"/>
            <w:color w:val="000000"/>
            <w:szCs w:val="21"/>
          </w:rPr>
          <w:t>2008年12月8日起</w:t>
        </w:r>
      </w:smartTag>
      <w:r w:rsidRPr="00634940">
        <w:rPr>
          <w:rFonts w:ascii="宋体" w:eastAsia="宋体" w:hAnsi="宋体" w:cs="Arial"/>
          <w:color w:val="000000"/>
          <w:szCs w:val="21"/>
        </w:rPr>
        <w:t>，对所出具的房地产价格评估报告书（个人商业贷款类）进行验证编码，委托方、合作机构及报告使用者，可通过我公司网站http://www.kz-consult.com点击进入“评估报告验证查询”页面，输入评估报告书中所列明的验证码，即可查询评估报告相关内容的一致性。我公司所出具的全部评估报告书（个人商业贷款类）均可在上述网站中查验，且显示内容与报告文本相应内容一致。</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（1）我公司的现场勘查工作均由具有估价师资格或估价员资格，并接受专业培训，拥有一定工作经验，了解市场状况的专业人员承担。</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（2）每个抵押物的评估价格，我们均实行评估价格的三审制度，价格审核人员均为具有5年以上评估经验的估价师。</w:t>
      </w:r>
    </w:p>
    <w:p w:rsidR="005C2705" w:rsidRPr="00634940" w:rsidRDefault="005C2705" w:rsidP="0015036B">
      <w:pPr>
        <w:spacing w:line="480" w:lineRule="auto"/>
        <w:ind w:firstLineChars="200" w:firstLine="422"/>
        <w:rPr>
          <w:rFonts w:ascii="宋体" w:eastAsia="宋体" w:hAnsi="宋体" w:cs="Arial"/>
          <w:b/>
          <w:szCs w:val="21"/>
        </w:rPr>
      </w:pPr>
      <w:bookmarkStart w:id="46" w:name="_Toc340489932"/>
      <w:r w:rsidRPr="00634940">
        <w:rPr>
          <w:rFonts w:ascii="宋体" w:eastAsia="宋体" w:hAnsi="宋体" w:cs="Arial"/>
          <w:b/>
          <w:szCs w:val="21"/>
        </w:rPr>
        <w:t>（6）严谨的工作流程</w:t>
      </w:r>
      <w:bookmarkEnd w:id="46"/>
    </w:p>
    <w:p w:rsidR="005C2705" w:rsidRPr="00634940" w:rsidRDefault="005C2705" w:rsidP="0015036B">
      <w:pPr>
        <w:spacing w:line="480" w:lineRule="auto"/>
        <w:ind w:firstLineChars="200" w:firstLine="420"/>
        <w:rPr>
          <w:rFonts w:ascii="宋体" w:eastAsia="宋体" w:hAnsi="宋体" w:cs="Arial"/>
          <w:color w:val="000000"/>
          <w:szCs w:val="21"/>
        </w:rPr>
      </w:pPr>
      <w:bookmarkStart w:id="47" w:name="_Toc340489933"/>
      <w:r w:rsidRPr="00634940">
        <w:rPr>
          <w:rFonts w:ascii="宋体" w:eastAsia="宋体" w:hAnsi="宋体" w:cs="Arial"/>
          <w:color w:val="000000"/>
          <w:szCs w:val="21"/>
        </w:rPr>
        <w:t>（1）评估工作中涉及的每一步骤均设置专门的岗位，包括业务承接、现场查勘、价格审核、报告制作、报告审核、进度监控。每一步骤工作都由后一步骤人员对其进行完成度的审查，由专门人员对每一单的进度进行跟踪监测，并有完善的办公系统进行技术支持。</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（2）评估价格均由现场查勘人员进行初步测算。</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（3）评估价格均严格执行三级审核制度。</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（4）评估报告均严格执行三级审核制度。</w:t>
      </w:r>
    </w:p>
    <w:p w:rsidR="005C2705" w:rsidRPr="00634940" w:rsidRDefault="005C2705" w:rsidP="0015036B">
      <w:pPr>
        <w:spacing w:line="480" w:lineRule="auto"/>
        <w:ind w:firstLineChars="200" w:firstLine="422"/>
        <w:rPr>
          <w:rFonts w:ascii="宋体" w:eastAsia="宋体" w:hAnsi="宋体" w:cs="Arial"/>
          <w:b/>
          <w:szCs w:val="21"/>
        </w:rPr>
      </w:pPr>
      <w:r w:rsidRPr="00634940">
        <w:rPr>
          <w:rFonts w:ascii="宋体" w:eastAsia="宋体" w:hAnsi="宋体" w:cs="Arial"/>
          <w:b/>
          <w:szCs w:val="21"/>
        </w:rPr>
        <w:lastRenderedPageBreak/>
        <w:t>（7）快速、稳定的服务质量</w:t>
      </w:r>
      <w:bookmarkEnd w:id="47"/>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在正常情况下，我公司承诺在接到评估委托后三个工作日内出具评估报告（或评估结果函），如银行有特殊要求，我们还可做加急处理。由于有严谨流畅的流程设置和充足的人员，我们所提供的评估服务无论在速度上还是质量上都保持一贯的稳定性。</w:t>
      </w:r>
    </w:p>
    <w:p w:rsidR="005C2705" w:rsidRPr="00634940" w:rsidRDefault="005C2705" w:rsidP="0015036B">
      <w:pPr>
        <w:spacing w:line="480" w:lineRule="auto"/>
        <w:ind w:firstLineChars="200" w:firstLine="422"/>
        <w:rPr>
          <w:rFonts w:ascii="宋体" w:eastAsia="宋体" w:hAnsi="宋体" w:cs="Arial"/>
          <w:b/>
          <w:szCs w:val="21"/>
        </w:rPr>
      </w:pPr>
      <w:bookmarkStart w:id="48" w:name="_Toc340489934"/>
      <w:r w:rsidRPr="00634940">
        <w:rPr>
          <w:rFonts w:ascii="宋体" w:eastAsia="宋体" w:hAnsi="宋体" w:cs="Arial"/>
          <w:b/>
          <w:szCs w:val="21"/>
        </w:rPr>
        <w:t>（8）完善的客户服务</w:t>
      </w:r>
      <w:bookmarkEnd w:id="48"/>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（1）通畅的询价渠道。我们安排多个人员，设置多条电话线路，以满足越来越多的评估价格预评咨询，并设有专门系统对其进行数据支持和信息留存。</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（2）多种报单途径。我们除提供电话报单、电子传真等传统途径外，还专门设置了康正评估网上报单系统，方便合作方随时报送业务和对业务进度进行时时跟踪。</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3）及时的信息反馈。我们将评估过程中遇到的问题进行及时沟通、反馈。诸如评估资料不全、由于客户原因无法及时完成入户勘查等情况，都会由专门人员在第一时间通知业务报单人员,并可在公司网站中通过用户名和密码进行进度查询。</w:t>
      </w:r>
    </w:p>
    <w:p w:rsidR="005C2705" w:rsidRPr="00634940" w:rsidRDefault="005C2705" w:rsidP="0015036B">
      <w:pPr>
        <w:spacing w:line="480" w:lineRule="auto"/>
        <w:ind w:firstLineChars="200" w:firstLine="420"/>
        <w:rPr>
          <w:rFonts w:ascii="宋体" w:eastAsia="宋体" w:hAnsi="宋体" w:cs="Arial"/>
          <w:color w:val="000000"/>
          <w:szCs w:val="21"/>
        </w:rPr>
      </w:pPr>
      <w:r w:rsidRPr="00634940">
        <w:rPr>
          <w:rFonts w:ascii="宋体" w:eastAsia="宋体" w:hAnsi="宋体" w:cs="Arial"/>
          <w:color w:val="000000"/>
          <w:szCs w:val="21"/>
        </w:rPr>
        <w:t>（4）灵活的时间安排。当客户由于特殊情况不便在工作时间协助现场查勘，我们可配合客户在非工作时间完成相应工作。</w:t>
      </w:r>
    </w:p>
    <w:p w:rsidR="005C2705" w:rsidRPr="00634940" w:rsidRDefault="005C2705" w:rsidP="0015036B">
      <w:pPr>
        <w:spacing w:line="480" w:lineRule="auto"/>
        <w:ind w:firstLineChars="200" w:firstLine="422"/>
        <w:rPr>
          <w:rFonts w:ascii="宋体" w:eastAsia="宋体" w:hAnsi="宋体" w:cs="Arial"/>
          <w:b/>
          <w:szCs w:val="21"/>
        </w:rPr>
      </w:pPr>
      <w:bookmarkStart w:id="49" w:name="_Toc340489935"/>
      <w:r w:rsidRPr="00634940">
        <w:rPr>
          <w:rFonts w:ascii="宋体" w:eastAsia="宋体" w:hAnsi="宋体" w:cs="Arial"/>
          <w:b/>
          <w:szCs w:val="21"/>
        </w:rPr>
        <w:t>（9）优良的行业信誉</w:t>
      </w:r>
      <w:bookmarkEnd w:id="49"/>
    </w:p>
    <w:p w:rsidR="005C2705" w:rsidRPr="00634940" w:rsidRDefault="005C2705" w:rsidP="0015036B">
      <w:pPr>
        <w:spacing w:line="480" w:lineRule="auto"/>
        <w:ind w:firstLineChars="200" w:firstLine="420"/>
        <w:rPr>
          <w:rFonts w:ascii="宋体" w:eastAsia="宋体" w:hAnsi="宋体" w:cs="Arial"/>
          <w:color w:val="000000"/>
          <w:szCs w:val="21"/>
        </w:rPr>
      </w:pPr>
      <w:bookmarkStart w:id="50" w:name="_Toc340489936"/>
      <w:r w:rsidRPr="00634940">
        <w:rPr>
          <w:rFonts w:ascii="宋体" w:eastAsia="宋体" w:hAnsi="宋体" w:cs="Arial"/>
          <w:color w:val="000000"/>
          <w:szCs w:val="21"/>
        </w:rPr>
        <w:t>我公司从事各类评估工作已有21年的历史，无论在行业内部或是房地产开发企业、房地产经纪机构及金融机构均给予我公司高度的评价和极大信任，建立了长期稳固的合作关系。</w:t>
      </w:r>
    </w:p>
    <w:p w:rsidR="005C2705" w:rsidRPr="00634940" w:rsidRDefault="005C2705" w:rsidP="0015036B">
      <w:pPr>
        <w:spacing w:line="480" w:lineRule="auto"/>
        <w:ind w:firstLineChars="200" w:firstLine="422"/>
        <w:outlineLvl w:val="0"/>
        <w:rPr>
          <w:rFonts w:ascii="宋体" w:eastAsia="宋体" w:hAnsi="宋体" w:cs="Arial"/>
          <w:b/>
          <w:szCs w:val="21"/>
        </w:rPr>
      </w:pPr>
      <w:bookmarkStart w:id="51" w:name="_Toc478457741"/>
      <w:bookmarkStart w:id="52" w:name="_Toc478459482"/>
      <w:bookmarkStart w:id="53" w:name="_Toc478459506"/>
      <w:bookmarkStart w:id="54" w:name="_Toc478469073"/>
      <w:bookmarkStart w:id="55" w:name="_Toc478469202"/>
      <w:bookmarkStart w:id="56" w:name="_Toc481133780"/>
      <w:bookmarkStart w:id="57" w:name="_Toc492472844"/>
      <w:bookmarkEnd w:id="50"/>
      <w:r w:rsidRPr="00634940">
        <w:rPr>
          <w:rFonts w:ascii="宋体" w:eastAsia="宋体" w:hAnsi="宋体" w:cs="Arial"/>
          <w:b/>
          <w:szCs w:val="21"/>
        </w:rPr>
        <w:t>2.评估风险控制措施</w:t>
      </w:r>
      <w:bookmarkEnd w:id="51"/>
      <w:bookmarkEnd w:id="52"/>
      <w:bookmarkEnd w:id="53"/>
      <w:bookmarkEnd w:id="54"/>
      <w:bookmarkEnd w:id="55"/>
      <w:bookmarkEnd w:id="56"/>
      <w:bookmarkEnd w:id="57"/>
    </w:p>
    <w:p w:rsidR="005C2705" w:rsidRPr="00634940" w:rsidRDefault="005C2705" w:rsidP="0015036B">
      <w:pPr>
        <w:spacing w:line="480" w:lineRule="auto"/>
        <w:ind w:firstLineChars="200" w:firstLine="422"/>
        <w:rPr>
          <w:rFonts w:ascii="宋体" w:eastAsia="宋体" w:hAnsi="宋体" w:cs="Arial"/>
          <w:b/>
          <w:szCs w:val="21"/>
        </w:rPr>
      </w:pPr>
      <w:bookmarkStart w:id="58" w:name="_Toc406139829"/>
      <w:r w:rsidRPr="00634940">
        <w:rPr>
          <w:rFonts w:ascii="宋体" w:eastAsia="宋体" w:hAnsi="宋体" w:cs="Arial"/>
          <w:b/>
          <w:szCs w:val="21"/>
        </w:rPr>
        <w:t>（1）估价人员质量保证制度</w:t>
      </w:r>
      <w:bookmarkEnd w:id="58"/>
    </w:p>
    <w:p w:rsidR="005C2705" w:rsidRPr="00634940" w:rsidRDefault="005C2705" w:rsidP="0015036B">
      <w:pPr>
        <w:spacing w:line="480" w:lineRule="auto"/>
        <w:ind w:firstLineChars="150" w:firstLine="315"/>
        <w:rPr>
          <w:rFonts w:ascii="宋体" w:eastAsia="宋体" w:hAnsi="宋体" w:cs="Arial"/>
          <w:szCs w:val="21"/>
        </w:rPr>
      </w:pPr>
      <w:r w:rsidRPr="00634940">
        <w:rPr>
          <w:rFonts w:ascii="宋体" w:eastAsia="宋体" w:hAnsi="宋体" w:cs="Arial"/>
          <w:szCs w:val="21"/>
        </w:rPr>
        <w:t>（1）人员引进及执业制度</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本公司从事评估业务的人员需具有</w:t>
      </w:r>
      <w:r w:rsidRPr="00634940">
        <w:rPr>
          <w:rFonts w:ascii="宋体" w:eastAsia="宋体" w:hAnsi="宋体" w:cs="Arial"/>
          <w:color w:val="000000"/>
          <w:szCs w:val="21"/>
        </w:rPr>
        <w:t>本科或专科以上</w:t>
      </w:r>
      <w:r w:rsidRPr="00634940">
        <w:rPr>
          <w:rFonts w:ascii="宋体" w:eastAsia="宋体" w:hAnsi="宋体" w:cs="Arial"/>
          <w:szCs w:val="21"/>
        </w:rPr>
        <w:t>学历，具有认定的相关专业背景或拥有两年以上相</w:t>
      </w:r>
      <w:r w:rsidRPr="00634940">
        <w:rPr>
          <w:rFonts w:ascii="宋体" w:eastAsia="宋体" w:hAnsi="宋体" w:cs="Arial"/>
          <w:szCs w:val="21"/>
        </w:rPr>
        <w:lastRenderedPageBreak/>
        <w:t>关工作经验，具有一定的知识水平和实践能力，并将个人档案调入公司实行统一管理。</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执业人员无论在进入我公司前是否拥有相关工作经验或执业资格，均需按公司要求接受包含相关法律法规、专业知识、职业道德准则、内部岗位职责、操作模式与流程以及市场调研等实践能力的多方面培训，通过统一考核后，方能独立执业。所有执业人员均需具有估价员或估价师专业资格</w:t>
      </w:r>
    </w:p>
    <w:p w:rsidR="005C2705" w:rsidRPr="00634940" w:rsidRDefault="005C2705" w:rsidP="0015036B">
      <w:pPr>
        <w:spacing w:line="480" w:lineRule="auto"/>
        <w:ind w:firstLineChars="150" w:firstLine="315"/>
        <w:rPr>
          <w:rFonts w:ascii="宋体" w:eastAsia="宋体" w:hAnsi="宋体" w:cs="Arial"/>
          <w:szCs w:val="21"/>
        </w:rPr>
      </w:pPr>
      <w:r w:rsidRPr="00634940">
        <w:rPr>
          <w:rFonts w:ascii="宋体" w:eastAsia="宋体" w:hAnsi="宋体" w:cs="Arial"/>
          <w:szCs w:val="21"/>
        </w:rPr>
        <w:t>（2）人员奖惩制度</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每一岗位均有其明确职责，当所负责工作内容连续三次出现错误、遭到投诉，且确定为个人操作原因，而非系统设置缺陷，则对执行人员和审核人员都将采取惩罚措施。而当工作人员由于对系统设置提出有效建议、自身工作受到客户表扬、对公司业务发展或团队建设做出贡献等都会得到有效激励。</w:t>
      </w:r>
    </w:p>
    <w:p w:rsidR="005C2705" w:rsidRPr="00634940" w:rsidRDefault="005C2705" w:rsidP="0015036B">
      <w:pPr>
        <w:spacing w:line="480" w:lineRule="auto"/>
        <w:ind w:firstLineChars="150" w:firstLine="315"/>
        <w:rPr>
          <w:rFonts w:ascii="宋体" w:eastAsia="宋体" w:hAnsi="宋体" w:cs="Arial"/>
          <w:szCs w:val="21"/>
        </w:rPr>
      </w:pPr>
      <w:r w:rsidRPr="00634940">
        <w:rPr>
          <w:rFonts w:ascii="宋体" w:eastAsia="宋体" w:hAnsi="宋体" w:cs="Arial"/>
          <w:szCs w:val="21"/>
        </w:rPr>
        <w:t>（3）人员再培训制度</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我公司建立有定期专业培训制度，内容涉及：职业道德和行为准则、政策法规、评估方法及评估技能、</w:t>
      </w:r>
      <w:r w:rsidRPr="00634940">
        <w:rPr>
          <w:rFonts w:ascii="宋体" w:eastAsia="宋体" w:hAnsi="宋体" w:cs="Arial"/>
          <w:color w:val="000000"/>
          <w:szCs w:val="21"/>
        </w:rPr>
        <w:t>房地产开发与房地产交易</w:t>
      </w:r>
      <w:r w:rsidRPr="00634940">
        <w:rPr>
          <w:rFonts w:ascii="宋体" w:eastAsia="宋体" w:hAnsi="宋体" w:cs="Arial"/>
          <w:szCs w:val="21"/>
        </w:rPr>
        <w:t>流程及贷款流程介绍等多方面内容。我们每周进行部门内部及部门之间的业务交流，包括</w:t>
      </w:r>
      <w:r w:rsidRPr="00634940">
        <w:rPr>
          <w:rFonts w:ascii="宋体" w:eastAsia="宋体" w:hAnsi="宋体" w:cs="Arial"/>
          <w:color w:val="000000"/>
          <w:szCs w:val="21"/>
        </w:rPr>
        <w:t>房地产开发与管理的新政策、</w:t>
      </w:r>
      <w:r w:rsidRPr="00634940">
        <w:rPr>
          <w:rFonts w:ascii="宋体" w:eastAsia="宋体" w:hAnsi="宋体" w:cs="Arial"/>
          <w:szCs w:val="21"/>
        </w:rPr>
        <w:t>房地产市场动态、新上市楼盘介绍、现场调查过程中遇到的问题及经验交流、特殊项目及楼宇的信息共享等。通过这一制度，我们使估价人员能够全面、整体的了解市场状况及客户和报告使用者的需要，有效的提高我们的服务质量和人员素质。此外，我们对从业人员的专业水平和执业能力进行定期考核、评价，并将评价结果作为其内部晋升的主要指标。</w:t>
      </w:r>
    </w:p>
    <w:p w:rsidR="005C2705" w:rsidRPr="00634940" w:rsidRDefault="005C2705" w:rsidP="0015036B">
      <w:pPr>
        <w:spacing w:line="480" w:lineRule="auto"/>
        <w:ind w:firstLineChars="200" w:firstLine="422"/>
        <w:rPr>
          <w:rFonts w:ascii="宋体" w:eastAsia="宋体" w:hAnsi="宋体" w:cs="Arial"/>
          <w:b/>
          <w:szCs w:val="21"/>
        </w:rPr>
      </w:pPr>
      <w:bookmarkStart w:id="59" w:name="_Toc406139830"/>
      <w:r w:rsidRPr="00634940">
        <w:rPr>
          <w:rFonts w:ascii="宋体" w:eastAsia="宋体" w:hAnsi="宋体" w:cs="Arial"/>
          <w:b/>
          <w:szCs w:val="21"/>
        </w:rPr>
        <w:t>（2）技术负责人制度</w:t>
      </w:r>
      <w:bookmarkEnd w:id="59"/>
    </w:p>
    <w:p w:rsidR="005C2705" w:rsidRPr="00634940" w:rsidRDefault="005C2705" w:rsidP="0015036B">
      <w:pPr>
        <w:spacing w:line="480" w:lineRule="auto"/>
        <w:ind w:firstLineChars="150" w:firstLine="315"/>
        <w:rPr>
          <w:rFonts w:ascii="宋体" w:eastAsia="宋体" w:hAnsi="宋体" w:cs="Arial"/>
          <w:szCs w:val="21"/>
        </w:rPr>
      </w:pPr>
      <w:r w:rsidRPr="00634940">
        <w:rPr>
          <w:rFonts w:ascii="宋体" w:eastAsia="宋体" w:hAnsi="宋体" w:cs="Arial"/>
          <w:szCs w:val="21"/>
        </w:rPr>
        <w:t>（1）技术负责人的任命</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一般工作由部门内部技术负责人负责，评估标的额较高、估价对象情况复杂、难度大或为</w:t>
      </w:r>
      <w:r w:rsidRPr="00634940">
        <w:rPr>
          <w:rFonts w:ascii="宋体" w:eastAsia="宋体" w:hAnsi="宋体" w:cs="Arial"/>
          <w:color w:val="000000"/>
          <w:szCs w:val="21"/>
        </w:rPr>
        <w:t>新类型的评</w:t>
      </w:r>
      <w:r w:rsidRPr="00634940">
        <w:rPr>
          <w:rFonts w:ascii="宋体" w:eastAsia="宋体" w:hAnsi="宋体" w:cs="Arial"/>
          <w:szCs w:val="21"/>
        </w:rPr>
        <w:t>估业务等情况需由总技术负责人负责。</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（2）技术负责人的要求</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技术负责人需具有房地产估价师和土地估价师执业资格，并具有5年以上相关工作经验，在本公司任</w:t>
      </w:r>
      <w:r w:rsidRPr="00634940">
        <w:rPr>
          <w:rFonts w:ascii="宋体" w:eastAsia="宋体" w:hAnsi="宋体" w:cs="Arial"/>
          <w:szCs w:val="21"/>
        </w:rPr>
        <w:lastRenderedPageBreak/>
        <w:t>职2年以上。技术负责人需了解北京市房地产市场，并熟悉房地产评估行业；熟练掌握房地产相关法律、法规，以及行业规章和估价技术规范；能根据不同估价目的，估价对象情况，熟练、准确拟订估价技术路线和运用评估方法。技术负责人需具有良好的沟通、协调能力，并对工作具有强烈责任感。</w:t>
      </w:r>
    </w:p>
    <w:p w:rsidR="005C2705" w:rsidRPr="00634940" w:rsidRDefault="005C2705" w:rsidP="0015036B">
      <w:pPr>
        <w:spacing w:line="480" w:lineRule="auto"/>
        <w:ind w:firstLineChars="100" w:firstLine="210"/>
        <w:rPr>
          <w:rFonts w:ascii="宋体" w:eastAsia="宋体" w:hAnsi="宋体" w:cs="Arial"/>
          <w:szCs w:val="21"/>
        </w:rPr>
      </w:pPr>
      <w:r w:rsidRPr="00634940">
        <w:rPr>
          <w:rFonts w:ascii="宋体" w:eastAsia="宋体" w:hAnsi="宋体" w:cs="Arial"/>
          <w:szCs w:val="21"/>
        </w:rPr>
        <w:t>（3）技术负责人的职责</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1 \* GB3 </w:instrText>
      </w:r>
      <w:r w:rsidRPr="00634940">
        <w:rPr>
          <w:rFonts w:ascii="宋体" w:eastAsia="宋体" w:hAnsi="宋体" w:cs="Arial"/>
          <w:szCs w:val="21"/>
        </w:rPr>
        <w:fldChar w:fldCharType="separate"/>
      </w:r>
      <w:r w:rsidRPr="00634940">
        <w:rPr>
          <w:rFonts w:ascii="宋体" w:eastAsia="宋体" w:hAnsi="宋体" w:cs="宋体" w:hint="eastAsia"/>
          <w:szCs w:val="21"/>
        </w:rPr>
        <w:t>①</w:t>
      </w:r>
      <w:r w:rsidRPr="00634940">
        <w:rPr>
          <w:rFonts w:ascii="宋体" w:eastAsia="宋体" w:hAnsi="宋体" w:cs="Arial"/>
          <w:szCs w:val="21"/>
        </w:rPr>
        <w:fldChar w:fldCharType="end"/>
      </w:r>
      <w:r w:rsidRPr="00634940">
        <w:rPr>
          <w:rFonts w:ascii="宋体" w:eastAsia="宋体" w:hAnsi="宋体" w:cs="Arial"/>
          <w:szCs w:val="21"/>
        </w:rPr>
        <w:t xml:space="preserve"> 组织部门内部人员，解决工作中遇到的技术问题；</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2 \* GB3 </w:instrText>
      </w:r>
      <w:r w:rsidRPr="00634940">
        <w:rPr>
          <w:rFonts w:ascii="宋体" w:eastAsia="宋体" w:hAnsi="宋体" w:cs="Arial"/>
          <w:szCs w:val="21"/>
        </w:rPr>
        <w:fldChar w:fldCharType="separate"/>
      </w:r>
      <w:r w:rsidRPr="00634940">
        <w:rPr>
          <w:rFonts w:ascii="宋体" w:eastAsia="宋体" w:hAnsi="宋体" w:cs="宋体" w:hint="eastAsia"/>
          <w:szCs w:val="21"/>
        </w:rPr>
        <w:t>②</w:t>
      </w:r>
      <w:r w:rsidRPr="00634940">
        <w:rPr>
          <w:rFonts w:ascii="宋体" w:eastAsia="宋体" w:hAnsi="宋体" w:cs="Arial"/>
          <w:szCs w:val="21"/>
        </w:rPr>
        <w:fldChar w:fldCharType="end"/>
      </w:r>
      <w:r w:rsidRPr="00634940">
        <w:rPr>
          <w:rFonts w:ascii="宋体" w:eastAsia="宋体" w:hAnsi="宋体" w:cs="Arial"/>
          <w:szCs w:val="21"/>
        </w:rPr>
        <w:t xml:space="preserve"> 负责对出具的评估报告进行复审，并对评估值、结论及报告内容承担相应责任；</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3 \* GB3 </w:instrText>
      </w:r>
      <w:r w:rsidRPr="00634940">
        <w:rPr>
          <w:rFonts w:ascii="宋体" w:eastAsia="宋体" w:hAnsi="宋体" w:cs="Arial"/>
          <w:szCs w:val="21"/>
        </w:rPr>
        <w:fldChar w:fldCharType="separate"/>
      </w:r>
      <w:r w:rsidRPr="00634940">
        <w:rPr>
          <w:rFonts w:ascii="宋体" w:eastAsia="宋体" w:hAnsi="宋体" w:cs="宋体" w:hint="eastAsia"/>
          <w:szCs w:val="21"/>
        </w:rPr>
        <w:t>③</w:t>
      </w:r>
      <w:r w:rsidRPr="00634940">
        <w:rPr>
          <w:rFonts w:ascii="宋体" w:eastAsia="宋体" w:hAnsi="宋体" w:cs="Arial"/>
          <w:szCs w:val="21"/>
        </w:rPr>
        <w:fldChar w:fldCharType="end"/>
      </w:r>
      <w:r w:rsidRPr="00634940">
        <w:rPr>
          <w:rFonts w:ascii="宋体" w:eastAsia="宋体" w:hAnsi="宋体" w:cs="Arial"/>
          <w:szCs w:val="21"/>
        </w:rPr>
        <w:t xml:space="preserve"> 组织贯彻、执行国家及北京市公布的，有关房地产和房地产评估的法律、法规、规范以及公司内部有关评估技术管理的规定；</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4 \* GB3 </w:instrText>
      </w:r>
      <w:r w:rsidRPr="00634940">
        <w:rPr>
          <w:rFonts w:ascii="宋体" w:eastAsia="宋体" w:hAnsi="宋体" w:cs="Arial"/>
          <w:szCs w:val="21"/>
        </w:rPr>
        <w:fldChar w:fldCharType="separate"/>
      </w:r>
      <w:r w:rsidRPr="00634940">
        <w:rPr>
          <w:rFonts w:ascii="宋体" w:eastAsia="宋体" w:hAnsi="宋体" w:cs="宋体" w:hint="eastAsia"/>
          <w:szCs w:val="21"/>
        </w:rPr>
        <w:t>④</w:t>
      </w:r>
      <w:r w:rsidRPr="00634940">
        <w:rPr>
          <w:rFonts w:ascii="宋体" w:eastAsia="宋体" w:hAnsi="宋体" w:cs="Arial"/>
          <w:szCs w:val="21"/>
        </w:rPr>
        <w:fldChar w:fldCharType="end"/>
      </w:r>
      <w:r w:rsidRPr="00634940">
        <w:rPr>
          <w:rFonts w:ascii="宋体" w:eastAsia="宋体" w:hAnsi="宋体" w:cs="Arial"/>
          <w:szCs w:val="21"/>
        </w:rPr>
        <w:t xml:space="preserve"> 制定内部评估技术规定和工作流程，并协助制定公司内有关评估技术管理的规定；</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5 \* GB3 </w:instrText>
      </w:r>
      <w:r w:rsidRPr="00634940">
        <w:rPr>
          <w:rFonts w:ascii="宋体" w:eastAsia="宋体" w:hAnsi="宋体" w:cs="Arial"/>
          <w:szCs w:val="21"/>
        </w:rPr>
        <w:fldChar w:fldCharType="separate"/>
      </w:r>
      <w:r w:rsidRPr="00634940">
        <w:rPr>
          <w:rFonts w:ascii="宋体" w:eastAsia="宋体" w:hAnsi="宋体" w:cs="宋体" w:hint="eastAsia"/>
          <w:szCs w:val="21"/>
        </w:rPr>
        <w:t>⑤</w:t>
      </w:r>
      <w:r w:rsidRPr="00634940">
        <w:rPr>
          <w:rFonts w:ascii="宋体" w:eastAsia="宋体" w:hAnsi="宋体" w:cs="Arial"/>
          <w:szCs w:val="21"/>
        </w:rPr>
        <w:fldChar w:fldCharType="end"/>
      </w:r>
      <w:r w:rsidRPr="00634940">
        <w:rPr>
          <w:rFonts w:ascii="宋体" w:eastAsia="宋体" w:hAnsi="宋体" w:cs="Arial"/>
          <w:szCs w:val="21"/>
        </w:rPr>
        <w:t xml:space="preserve"> 组织人员进行技术学习、交流，努力提高人员的技术水平，从而提高评估报告质量和工作效率；</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6 \* GB3 </w:instrText>
      </w:r>
      <w:r w:rsidRPr="00634940">
        <w:rPr>
          <w:rFonts w:ascii="宋体" w:eastAsia="宋体" w:hAnsi="宋体" w:cs="Arial"/>
          <w:szCs w:val="21"/>
        </w:rPr>
        <w:fldChar w:fldCharType="separate"/>
      </w:r>
      <w:r w:rsidRPr="00634940">
        <w:rPr>
          <w:rFonts w:ascii="宋体" w:eastAsia="宋体" w:hAnsi="宋体" w:cs="宋体" w:hint="eastAsia"/>
          <w:szCs w:val="21"/>
        </w:rPr>
        <w:t>⑥</w:t>
      </w:r>
      <w:r w:rsidRPr="00634940">
        <w:rPr>
          <w:rFonts w:ascii="宋体" w:eastAsia="宋体" w:hAnsi="宋体" w:cs="Arial"/>
          <w:szCs w:val="21"/>
        </w:rPr>
        <w:fldChar w:fldCharType="end"/>
      </w:r>
      <w:r w:rsidRPr="00634940">
        <w:rPr>
          <w:rFonts w:ascii="宋体" w:eastAsia="宋体" w:hAnsi="宋体" w:cs="Arial"/>
          <w:szCs w:val="21"/>
        </w:rPr>
        <w:t xml:space="preserve"> 监督、审核估价师的日常工作以及估价报告完成的质量和进度；</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7 \* GB3 </w:instrText>
      </w:r>
      <w:r w:rsidRPr="00634940">
        <w:rPr>
          <w:rFonts w:ascii="宋体" w:eastAsia="宋体" w:hAnsi="宋体" w:cs="Arial"/>
          <w:szCs w:val="21"/>
        </w:rPr>
        <w:fldChar w:fldCharType="separate"/>
      </w:r>
      <w:r w:rsidRPr="00634940">
        <w:rPr>
          <w:rFonts w:ascii="宋体" w:eastAsia="宋体" w:hAnsi="宋体" w:cs="宋体" w:hint="eastAsia"/>
          <w:szCs w:val="21"/>
        </w:rPr>
        <w:t>⑦</w:t>
      </w:r>
      <w:r w:rsidRPr="00634940">
        <w:rPr>
          <w:rFonts w:ascii="宋体" w:eastAsia="宋体" w:hAnsi="宋体" w:cs="Arial"/>
          <w:szCs w:val="21"/>
        </w:rPr>
        <w:fldChar w:fldCharType="end"/>
      </w:r>
      <w:r w:rsidRPr="00634940">
        <w:rPr>
          <w:rFonts w:ascii="宋体" w:eastAsia="宋体" w:hAnsi="宋体" w:cs="Arial"/>
          <w:szCs w:val="21"/>
        </w:rPr>
        <w:t xml:space="preserve"> 负责组织市场信息、评估案例的收集和评估数据的整理、分析；</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8 \* GB3 </w:instrText>
      </w:r>
      <w:r w:rsidRPr="00634940">
        <w:rPr>
          <w:rFonts w:ascii="宋体" w:eastAsia="宋体" w:hAnsi="宋体" w:cs="Arial"/>
          <w:szCs w:val="21"/>
        </w:rPr>
        <w:fldChar w:fldCharType="separate"/>
      </w:r>
      <w:r w:rsidRPr="00634940">
        <w:rPr>
          <w:rFonts w:ascii="宋体" w:eastAsia="宋体" w:hAnsi="宋体" w:cs="宋体" w:hint="eastAsia"/>
          <w:szCs w:val="21"/>
        </w:rPr>
        <w:t>⑧</w:t>
      </w:r>
      <w:r w:rsidRPr="00634940">
        <w:rPr>
          <w:rFonts w:ascii="宋体" w:eastAsia="宋体" w:hAnsi="宋体" w:cs="Arial"/>
          <w:szCs w:val="21"/>
        </w:rPr>
        <w:fldChar w:fldCharType="end"/>
      </w:r>
      <w:r w:rsidRPr="00634940">
        <w:rPr>
          <w:rFonts w:ascii="宋体" w:eastAsia="宋体" w:hAnsi="宋体" w:cs="Arial"/>
          <w:szCs w:val="21"/>
        </w:rPr>
        <w:t xml:space="preserve"> 协助解答委托方提出的有关评估技术方面的问题，并受理相关投诉；</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9 \* GB3 </w:instrText>
      </w:r>
      <w:r w:rsidRPr="00634940">
        <w:rPr>
          <w:rFonts w:ascii="宋体" w:eastAsia="宋体" w:hAnsi="宋体" w:cs="Arial"/>
          <w:szCs w:val="21"/>
        </w:rPr>
        <w:fldChar w:fldCharType="separate"/>
      </w:r>
      <w:r w:rsidRPr="00634940">
        <w:rPr>
          <w:rFonts w:ascii="宋体" w:eastAsia="宋体" w:hAnsi="宋体" w:cs="宋体" w:hint="eastAsia"/>
          <w:szCs w:val="21"/>
        </w:rPr>
        <w:t>⑨</w:t>
      </w:r>
      <w:r w:rsidRPr="00634940">
        <w:rPr>
          <w:rFonts w:ascii="宋体" w:eastAsia="宋体" w:hAnsi="宋体" w:cs="Arial"/>
          <w:szCs w:val="21"/>
        </w:rPr>
        <w:fldChar w:fldCharType="end"/>
      </w:r>
      <w:r w:rsidRPr="00634940">
        <w:rPr>
          <w:rFonts w:ascii="宋体" w:eastAsia="宋体" w:hAnsi="宋体" w:cs="Arial"/>
          <w:szCs w:val="21"/>
        </w:rPr>
        <w:t xml:space="preserve"> 对自己不能解决的问题及时上报。</w:t>
      </w:r>
    </w:p>
    <w:p w:rsidR="005C2705" w:rsidRPr="00634940" w:rsidRDefault="005C2705" w:rsidP="0015036B">
      <w:pPr>
        <w:spacing w:line="480" w:lineRule="auto"/>
        <w:ind w:firstLineChars="200" w:firstLine="422"/>
        <w:rPr>
          <w:rFonts w:ascii="宋体" w:eastAsia="宋体" w:hAnsi="宋体" w:cs="Arial"/>
          <w:b/>
          <w:szCs w:val="21"/>
        </w:rPr>
      </w:pPr>
      <w:bookmarkStart w:id="60" w:name="_Toc406139831"/>
      <w:r w:rsidRPr="00634940">
        <w:rPr>
          <w:rFonts w:ascii="宋体" w:eastAsia="宋体" w:hAnsi="宋体" w:cs="Arial"/>
          <w:b/>
          <w:szCs w:val="21"/>
        </w:rPr>
        <w:t>3、严格的评估价格及评估报告三级审核制度</w:t>
      </w:r>
      <w:bookmarkEnd w:id="60"/>
      <w:r w:rsidRPr="00634940">
        <w:rPr>
          <w:rFonts w:ascii="宋体" w:eastAsia="宋体" w:hAnsi="宋体" w:cs="Arial"/>
          <w:b/>
          <w:szCs w:val="21"/>
        </w:rPr>
        <w:tab/>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（1）审核准则</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根据《城镇土地估价规程》、《房地产估价规范》(以下简称《规范》)要求，估价报告的内部审核必须明确和坚持合法性准则、合理性准则和合规性准则。</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1 \* GB3 </w:instrText>
      </w:r>
      <w:r w:rsidRPr="00634940">
        <w:rPr>
          <w:rFonts w:ascii="宋体" w:eastAsia="宋体" w:hAnsi="宋体" w:cs="Arial"/>
          <w:szCs w:val="21"/>
        </w:rPr>
        <w:fldChar w:fldCharType="separate"/>
      </w:r>
      <w:r w:rsidRPr="00634940">
        <w:rPr>
          <w:rFonts w:ascii="宋体" w:eastAsia="宋体" w:hAnsi="宋体" w:cs="宋体" w:hint="eastAsia"/>
          <w:szCs w:val="21"/>
        </w:rPr>
        <w:t>①</w:t>
      </w:r>
      <w:r w:rsidRPr="00634940">
        <w:rPr>
          <w:rFonts w:ascii="宋体" w:eastAsia="宋体" w:hAnsi="宋体" w:cs="Arial"/>
          <w:szCs w:val="21"/>
        </w:rPr>
        <w:fldChar w:fldCharType="end"/>
      </w:r>
      <w:r w:rsidRPr="00634940">
        <w:rPr>
          <w:rFonts w:ascii="宋体" w:eastAsia="宋体" w:hAnsi="宋体" w:cs="Arial"/>
          <w:szCs w:val="21"/>
        </w:rPr>
        <w:t xml:space="preserve"> 合法性准则 </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合法性准则，实际上是从有关法律法规和现行政策的角度，评判一项房地产估价活动和一份房地产估价报告是否合法的重要依据。</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lastRenderedPageBreak/>
        <w:fldChar w:fldCharType="begin"/>
      </w:r>
      <w:r w:rsidRPr="00634940">
        <w:rPr>
          <w:rFonts w:ascii="宋体" w:eastAsia="宋体" w:hAnsi="宋体" w:cs="Arial"/>
          <w:szCs w:val="21"/>
        </w:rPr>
        <w:instrText xml:space="preserve"> = 2 \* GB3 </w:instrText>
      </w:r>
      <w:r w:rsidRPr="00634940">
        <w:rPr>
          <w:rFonts w:ascii="宋体" w:eastAsia="宋体" w:hAnsi="宋体" w:cs="Arial"/>
          <w:szCs w:val="21"/>
        </w:rPr>
        <w:fldChar w:fldCharType="separate"/>
      </w:r>
      <w:r w:rsidRPr="00634940">
        <w:rPr>
          <w:rFonts w:ascii="宋体" w:eastAsia="宋体" w:hAnsi="宋体" w:cs="宋体" w:hint="eastAsia"/>
          <w:szCs w:val="21"/>
        </w:rPr>
        <w:t>②</w:t>
      </w:r>
      <w:r w:rsidRPr="00634940">
        <w:rPr>
          <w:rFonts w:ascii="宋体" w:eastAsia="宋体" w:hAnsi="宋体" w:cs="Arial"/>
          <w:szCs w:val="21"/>
        </w:rPr>
        <w:fldChar w:fldCharType="end"/>
      </w:r>
      <w:r w:rsidRPr="00634940">
        <w:rPr>
          <w:rFonts w:ascii="宋体" w:eastAsia="宋体" w:hAnsi="宋体" w:cs="Arial"/>
          <w:szCs w:val="21"/>
        </w:rPr>
        <w:t xml:space="preserve"> 合理性准则 </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合理性准则主要是指，应在独立、客观、公正地进行房地产估价活动的基础上，得出合理的估价结果。</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合理性准则，实际上是从使用的角度，评判一份房地产估价报告是应该基本肯定还是应该基本否定的重要依据。</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3 \* GB3 </w:instrText>
      </w:r>
      <w:r w:rsidRPr="00634940">
        <w:rPr>
          <w:rFonts w:ascii="宋体" w:eastAsia="宋体" w:hAnsi="宋体" w:cs="Arial"/>
          <w:szCs w:val="21"/>
        </w:rPr>
        <w:fldChar w:fldCharType="separate"/>
      </w:r>
      <w:r w:rsidRPr="00634940">
        <w:rPr>
          <w:rFonts w:ascii="宋体" w:eastAsia="宋体" w:hAnsi="宋体" w:cs="宋体" w:hint="eastAsia"/>
          <w:szCs w:val="21"/>
        </w:rPr>
        <w:t>③</w:t>
      </w:r>
      <w:r w:rsidRPr="00634940">
        <w:rPr>
          <w:rFonts w:ascii="宋体" w:eastAsia="宋体" w:hAnsi="宋体" w:cs="Arial"/>
          <w:szCs w:val="21"/>
        </w:rPr>
        <w:fldChar w:fldCharType="end"/>
      </w:r>
      <w:r w:rsidRPr="00634940">
        <w:rPr>
          <w:rFonts w:ascii="宋体" w:eastAsia="宋体" w:hAnsi="宋体" w:cs="Arial"/>
          <w:szCs w:val="21"/>
        </w:rPr>
        <w:t xml:space="preserve"> 合规性准则 </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合规性准则主要是指，一份房地产估价报告从形式到内容，都应该符合《规范》的要求，符合国家现行有关标准、规范的规定，以及符合其他的行业性要求。</w:t>
      </w:r>
    </w:p>
    <w:p w:rsidR="005C2705" w:rsidRPr="00634940" w:rsidRDefault="005C2705" w:rsidP="0015036B">
      <w:pPr>
        <w:spacing w:line="480" w:lineRule="auto"/>
        <w:ind w:firstLineChars="150" w:firstLine="315"/>
        <w:rPr>
          <w:rFonts w:ascii="宋体" w:eastAsia="宋体" w:hAnsi="宋体" w:cs="Arial"/>
          <w:szCs w:val="21"/>
        </w:rPr>
      </w:pPr>
      <w:r w:rsidRPr="00634940">
        <w:rPr>
          <w:rFonts w:ascii="宋体" w:eastAsia="宋体" w:hAnsi="宋体" w:cs="Arial"/>
          <w:szCs w:val="21"/>
        </w:rPr>
        <w:t>（2）审核程序及内容</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1 \* GB3 </w:instrText>
      </w:r>
      <w:r w:rsidRPr="00634940">
        <w:rPr>
          <w:rFonts w:ascii="宋体" w:eastAsia="宋体" w:hAnsi="宋体" w:cs="Arial"/>
          <w:szCs w:val="21"/>
        </w:rPr>
        <w:fldChar w:fldCharType="separate"/>
      </w:r>
      <w:r w:rsidRPr="00634940">
        <w:rPr>
          <w:rFonts w:ascii="宋体" w:eastAsia="宋体" w:hAnsi="宋体" w:cs="宋体" w:hint="eastAsia"/>
          <w:szCs w:val="21"/>
        </w:rPr>
        <w:t>①</w:t>
      </w:r>
      <w:r w:rsidRPr="00634940">
        <w:rPr>
          <w:rFonts w:ascii="宋体" w:eastAsia="宋体" w:hAnsi="宋体" w:cs="Arial"/>
          <w:szCs w:val="21"/>
        </w:rPr>
        <w:fldChar w:fldCharType="end"/>
      </w:r>
      <w:r w:rsidRPr="00634940">
        <w:rPr>
          <w:rFonts w:ascii="宋体" w:eastAsia="宋体" w:hAnsi="宋体" w:cs="Arial"/>
          <w:szCs w:val="21"/>
        </w:rPr>
        <w:t xml:space="preserve"> 初审人员应根据有关审核要求，对估价报告全文和全部估价资料进行全面检查。其审核关注的重点是：</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a.报告的格式和各部分内容的构成是否依据本公司提供的标准电子文档，估价对象权属证明及其他估价依据资料是否真实和收集齐全；</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b.估价技术思路和估价方法是否正确；</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c.估价测算过程中采用的可比案例、各种原始数据，以及选择的各种参数和系数，是否确有依据，计算是否正确，估价结果是否合理；</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d.报告文字表述是否准确、精炼，有无逻辑错误，估价中发现的有关重大问题是否进行披露；</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e.对初审中发现的问题，估价报告撰写人是否进行认真考虑和改正。</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2 \* GB3 </w:instrText>
      </w:r>
      <w:r w:rsidRPr="00634940">
        <w:rPr>
          <w:rFonts w:ascii="宋体" w:eastAsia="宋体" w:hAnsi="宋体" w:cs="Arial"/>
          <w:szCs w:val="21"/>
        </w:rPr>
        <w:fldChar w:fldCharType="separate"/>
      </w:r>
      <w:r w:rsidRPr="00634940">
        <w:rPr>
          <w:rFonts w:ascii="宋体" w:eastAsia="宋体" w:hAnsi="宋体" w:cs="宋体" w:hint="eastAsia"/>
          <w:szCs w:val="21"/>
        </w:rPr>
        <w:t>②</w:t>
      </w:r>
      <w:r w:rsidRPr="00634940">
        <w:rPr>
          <w:rFonts w:ascii="宋体" w:eastAsia="宋体" w:hAnsi="宋体" w:cs="Arial"/>
          <w:szCs w:val="21"/>
        </w:rPr>
        <w:fldChar w:fldCharType="end"/>
      </w:r>
      <w:r w:rsidRPr="00634940">
        <w:rPr>
          <w:rFonts w:ascii="宋体" w:eastAsia="宋体" w:hAnsi="宋体" w:cs="Arial"/>
          <w:szCs w:val="21"/>
        </w:rPr>
        <w:t xml:space="preserve"> 二审人员，应在初审的基础上，进一步对估价报告全文和全部估价资料进行全面检查。</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a.估价对象权属证明及其他估价依据资料的真实性和完整性，以及估价技术思路和估价方法；</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b.估价测算过程步骤清晰，依据充分，计算正确，结果合理；</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c.报告文字表述准确、精炼，无逻辑错误；</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lastRenderedPageBreak/>
        <w:t>d.估价中发现的有关重大问题进行披露，对二审中发现的问题，估价报告撰写人已进行了认真考虑和改正。</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fldChar w:fldCharType="begin"/>
      </w:r>
      <w:r w:rsidRPr="00634940">
        <w:rPr>
          <w:rFonts w:ascii="宋体" w:eastAsia="宋体" w:hAnsi="宋体" w:cs="Arial"/>
          <w:szCs w:val="21"/>
        </w:rPr>
        <w:instrText xml:space="preserve"> = 3 \* GB3 </w:instrText>
      </w:r>
      <w:r w:rsidRPr="00634940">
        <w:rPr>
          <w:rFonts w:ascii="宋体" w:eastAsia="宋体" w:hAnsi="宋体" w:cs="Arial"/>
          <w:szCs w:val="21"/>
        </w:rPr>
        <w:fldChar w:fldCharType="separate"/>
      </w:r>
      <w:r w:rsidRPr="00634940">
        <w:rPr>
          <w:rFonts w:ascii="宋体" w:eastAsia="宋体" w:hAnsi="宋体" w:cs="宋体" w:hint="eastAsia"/>
          <w:szCs w:val="21"/>
        </w:rPr>
        <w:t>③</w:t>
      </w:r>
      <w:r w:rsidRPr="00634940">
        <w:rPr>
          <w:rFonts w:ascii="宋体" w:eastAsia="宋体" w:hAnsi="宋体" w:cs="Arial"/>
          <w:szCs w:val="21"/>
        </w:rPr>
        <w:fldChar w:fldCharType="end"/>
      </w:r>
      <w:r w:rsidRPr="00634940">
        <w:rPr>
          <w:rFonts w:ascii="宋体" w:eastAsia="宋体" w:hAnsi="宋体" w:cs="Arial"/>
          <w:szCs w:val="21"/>
        </w:rPr>
        <w:t xml:space="preserve"> 终审人员是报告质量的最终负责人。最终确认：</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a.初审和二审是否按本公司规定的有关程序和要求认真进行；</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b. 初审和二审中发现的问题是否已经解决；</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c.对估价结果的合理性再次进行审核；对估价结果报告中的关键内容的文字表述再次进行严格审查和推敲；</w:t>
      </w:r>
    </w:p>
    <w:p w:rsidR="005C2705" w:rsidRPr="00634940" w:rsidRDefault="005C2705" w:rsidP="0015036B">
      <w:pPr>
        <w:spacing w:line="480" w:lineRule="auto"/>
        <w:ind w:firstLineChars="200" w:firstLine="420"/>
        <w:rPr>
          <w:rFonts w:ascii="宋体" w:eastAsia="宋体" w:hAnsi="宋体" w:cs="Arial"/>
          <w:szCs w:val="21"/>
        </w:rPr>
      </w:pPr>
      <w:r w:rsidRPr="00634940">
        <w:rPr>
          <w:rFonts w:ascii="宋体" w:eastAsia="宋体" w:hAnsi="宋体" w:cs="Arial"/>
          <w:szCs w:val="21"/>
        </w:rPr>
        <w:t>d.最终决定如何要求估价人员补做工作，或者决定是否出具报告。</w:t>
      </w:r>
    </w:p>
    <w:p w:rsidR="00C72469" w:rsidRPr="00634940" w:rsidRDefault="00C72469" w:rsidP="00634940">
      <w:pPr>
        <w:spacing w:line="360" w:lineRule="auto"/>
        <w:ind w:firstLineChars="200" w:firstLine="420"/>
        <w:rPr>
          <w:rFonts w:ascii="宋体" w:eastAsia="宋体" w:hAnsi="宋体" w:cs="Arial"/>
          <w:szCs w:val="21"/>
        </w:rPr>
      </w:pPr>
    </w:p>
    <w:sectPr w:rsidR="00C72469" w:rsidRPr="00634940" w:rsidSect="00634940">
      <w:headerReference w:type="default" r:id="rId12"/>
      <w:footerReference w:type="default" r:id="rId13"/>
      <w:pgSz w:w="11906" w:h="16838"/>
      <w:pgMar w:top="1843" w:right="1134" w:bottom="1134" w:left="1134" w:header="851" w:footer="992" w:gutter="0"/>
      <w:pgNumType w:start="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F82" w:rsidRDefault="00030F82" w:rsidP="001A19E8">
      <w:r>
        <w:separator/>
      </w:r>
    </w:p>
  </w:endnote>
  <w:endnote w:type="continuationSeparator" w:id="0">
    <w:p w:rsidR="00030F82" w:rsidRDefault="00030F82" w:rsidP="001A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40" w:rsidRPr="00C72469" w:rsidRDefault="00634940" w:rsidP="00C72469">
    <w:pPr>
      <w:pStyle w:val="a4"/>
      <w:pBdr>
        <w:top w:val="thinThickSmallGap" w:sz="24" w:space="8" w:color="A50021"/>
      </w:pBdr>
      <w:tabs>
        <w:tab w:val="clear" w:pos="8306"/>
        <w:tab w:val="right" w:pos="7946"/>
      </w:tabs>
      <w:ind w:right="360"/>
      <w:jc w:val="both"/>
      <w:rPr>
        <w:rFonts w:ascii="宋体"/>
      </w:rPr>
    </w:pPr>
    <w:r w:rsidRPr="00CB3F32">
      <w:rPr>
        <w:rFonts w:hint="eastAsia"/>
      </w:rPr>
      <w:t xml:space="preserve"> </w:t>
    </w:r>
    <w:r w:rsidRPr="002E78D1">
      <w:rPr>
        <w:rFonts w:hint="eastAsia"/>
      </w:rPr>
      <w:t xml:space="preserve">    </w:t>
    </w:r>
    <w:r>
      <w:rPr>
        <w:rFonts w:hint="eastAsia"/>
      </w:rPr>
      <w:t>北京康正宏基房地产评估有限公司</w:t>
    </w:r>
    <w:r>
      <w:rPr>
        <w:rFonts w:hint="eastAsia"/>
      </w:rPr>
      <w:t xml:space="preserve">   </w:t>
    </w:r>
    <w:r>
      <w:tab/>
    </w:r>
    <w:r>
      <w:rPr>
        <w:rFonts w:hint="eastAsia"/>
      </w:rPr>
      <w:t>电话：</w:t>
    </w:r>
    <w:r>
      <w:rPr>
        <w:rFonts w:hint="eastAsia"/>
      </w:rPr>
      <w:t>010-</w:t>
    </w:r>
    <w:r w:rsidRPr="00EA57CE">
      <w:t>8225</w:t>
    </w:r>
    <w:r w:rsidRPr="00EA57CE">
      <w:rPr>
        <w:rFonts w:hint="eastAsia"/>
      </w:rPr>
      <w:t xml:space="preserve">3558  </w:t>
    </w:r>
    <w:r>
      <w:rPr>
        <w:rFonts w:ascii="宋体" w:hAnsi="宋体" w:hint="eastAsia"/>
      </w:rPr>
      <w:t xml:space="preserve">                </w:t>
    </w:r>
    <w:r w:rsidRPr="004C1066">
      <w:rPr>
        <w:rFonts w:ascii="宋体" w:hAnsi="宋体"/>
      </w:rPr>
      <w:fldChar w:fldCharType="begin"/>
    </w:r>
    <w:r w:rsidRPr="004C1066">
      <w:rPr>
        <w:rFonts w:ascii="宋体" w:hAnsi="宋体"/>
      </w:rPr>
      <w:instrText xml:space="preserve"> PAGE   \* MERGEFORMAT </w:instrText>
    </w:r>
    <w:r w:rsidRPr="004C1066">
      <w:rPr>
        <w:rFonts w:ascii="宋体" w:hAnsi="宋体"/>
      </w:rPr>
      <w:fldChar w:fldCharType="separate"/>
    </w:r>
    <w:r w:rsidR="006407AE" w:rsidRPr="006407AE">
      <w:rPr>
        <w:rFonts w:ascii="宋体" w:hAnsi="宋体"/>
        <w:noProof/>
        <w:lang w:val="zh-CN"/>
      </w:rPr>
      <w:t>5</w:t>
    </w:r>
    <w:r w:rsidRPr="004C1066">
      <w:rPr>
        <w:rFonts w:ascii="宋体" w:hAnsi="宋体"/>
      </w:rPr>
      <w:fldChar w:fldCharType="end"/>
    </w:r>
    <w:r>
      <w:rPr>
        <w:rFonts w:ascii="宋体" w:hAnsi="宋体"/>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F82" w:rsidRDefault="00030F82" w:rsidP="001A19E8">
      <w:r>
        <w:separator/>
      </w:r>
    </w:p>
  </w:footnote>
  <w:footnote w:type="continuationSeparator" w:id="0">
    <w:p w:rsidR="00030F82" w:rsidRDefault="00030F82" w:rsidP="001A19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4940" w:rsidRPr="0015036B" w:rsidRDefault="0015036B" w:rsidP="0015036B">
    <w:pPr>
      <w:pStyle w:val="a3"/>
    </w:pPr>
    <w:r>
      <w:rPr>
        <w:noProof/>
      </w:rPr>
      <w:drawing>
        <wp:inline distT="0" distB="0" distL="0" distR="0" wp14:anchorId="7FE522DE" wp14:editId="14779497">
          <wp:extent cx="5904865" cy="285719"/>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srcRect/>
                  <a:stretch>
                    <a:fillRect/>
                  </a:stretch>
                </pic:blipFill>
                <pic:spPr bwMode="auto">
                  <a:xfrm>
                    <a:off x="0" y="0"/>
                    <a:ext cx="5904865" cy="28571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B0B6D"/>
    <w:multiLevelType w:val="hybridMultilevel"/>
    <w:tmpl w:val="EAD45B12"/>
    <w:lvl w:ilvl="0" w:tplc="B1B640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6B45281"/>
    <w:multiLevelType w:val="hybridMultilevel"/>
    <w:tmpl w:val="DC0429F6"/>
    <w:lvl w:ilvl="0" w:tplc="F7D8CBB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56"/>
    <w:rsid w:val="0001495C"/>
    <w:rsid w:val="00030F82"/>
    <w:rsid w:val="00035785"/>
    <w:rsid w:val="000A5A9F"/>
    <w:rsid w:val="0015036B"/>
    <w:rsid w:val="001A19E8"/>
    <w:rsid w:val="001C011D"/>
    <w:rsid w:val="001C399C"/>
    <w:rsid w:val="0023083E"/>
    <w:rsid w:val="00256620"/>
    <w:rsid w:val="00286DBA"/>
    <w:rsid w:val="002952A3"/>
    <w:rsid w:val="002D64B2"/>
    <w:rsid w:val="00371DFD"/>
    <w:rsid w:val="00396FBE"/>
    <w:rsid w:val="00404B5E"/>
    <w:rsid w:val="004B0BD3"/>
    <w:rsid w:val="00551993"/>
    <w:rsid w:val="00566C6C"/>
    <w:rsid w:val="00567706"/>
    <w:rsid w:val="00573D38"/>
    <w:rsid w:val="005B0456"/>
    <w:rsid w:val="005B0975"/>
    <w:rsid w:val="005C2705"/>
    <w:rsid w:val="0062001D"/>
    <w:rsid w:val="00634940"/>
    <w:rsid w:val="006407AE"/>
    <w:rsid w:val="0066565A"/>
    <w:rsid w:val="006B115F"/>
    <w:rsid w:val="007B1DF3"/>
    <w:rsid w:val="007E2202"/>
    <w:rsid w:val="007F60DC"/>
    <w:rsid w:val="008C69C4"/>
    <w:rsid w:val="009E3266"/>
    <w:rsid w:val="00A37DB2"/>
    <w:rsid w:val="00A50B42"/>
    <w:rsid w:val="00A7368F"/>
    <w:rsid w:val="00AD07D7"/>
    <w:rsid w:val="00BE025B"/>
    <w:rsid w:val="00C03B37"/>
    <w:rsid w:val="00C72469"/>
    <w:rsid w:val="00CF383F"/>
    <w:rsid w:val="00CF4E8C"/>
    <w:rsid w:val="00D340F8"/>
    <w:rsid w:val="00D7118E"/>
    <w:rsid w:val="00F26864"/>
    <w:rsid w:val="00FA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E8"/>
    <w:pPr>
      <w:widowControl w:val="0"/>
      <w:jc w:val="both"/>
    </w:pPr>
  </w:style>
  <w:style w:type="paragraph" w:styleId="1">
    <w:name w:val="heading 1"/>
    <w:basedOn w:val="a"/>
    <w:next w:val="a"/>
    <w:link w:val="1Char"/>
    <w:uiPriority w:val="9"/>
    <w:qFormat/>
    <w:rsid w:val="005C270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19E8"/>
    <w:rPr>
      <w:sz w:val="18"/>
      <w:szCs w:val="18"/>
    </w:rPr>
  </w:style>
  <w:style w:type="paragraph" w:styleId="a4">
    <w:name w:val="footer"/>
    <w:basedOn w:val="a"/>
    <w:link w:val="Char0"/>
    <w:uiPriority w:val="99"/>
    <w:unhideWhenUsed/>
    <w:rsid w:val="001A19E8"/>
    <w:pPr>
      <w:tabs>
        <w:tab w:val="center" w:pos="4153"/>
        <w:tab w:val="right" w:pos="8306"/>
      </w:tabs>
      <w:snapToGrid w:val="0"/>
      <w:jc w:val="left"/>
    </w:pPr>
    <w:rPr>
      <w:sz w:val="18"/>
      <w:szCs w:val="18"/>
    </w:rPr>
  </w:style>
  <w:style w:type="character" w:customStyle="1" w:styleId="Char0">
    <w:name w:val="页脚 Char"/>
    <w:basedOn w:val="a0"/>
    <w:link w:val="a4"/>
    <w:uiPriority w:val="99"/>
    <w:rsid w:val="001A19E8"/>
    <w:rPr>
      <w:sz w:val="18"/>
      <w:szCs w:val="18"/>
    </w:rPr>
  </w:style>
  <w:style w:type="paragraph" w:styleId="a5">
    <w:name w:val="List Paragraph"/>
    <w:basedOn w:val="a"/>
    <w:uiPriority w:val="34"/>
    <w:qFormat/>
    <w:rsid w:val="001A19E8"/>
    <w:pPr>
      <w:ind w:firstLineChars="200" w:firstLine="420"/>
    </w:pPr>
  </w:style>
  <w:style w:type="paragraph" w:customStyle="1" w:styleId="10">
    <w:name w:val="正文1"/>
    <w:rsid w:val="00C72469"/>
    <w:pPr>
      <w:widowControl w:val="0"/>
      <w:adjustRightInd w:val="0"/>
      <w:spacing w:line="360" w:lineRule="atLeast"/>
      <w:textAlignment w:val="baseline"/>
    </w:pPr>
    <w:rPr>
      <w:rFonts w:ascii="宋体" w:eastAsia="宋体" w:hAnsi="Times New Roman" w:cs="Times New Roman"/>
      <w:kern w:val="0"/>
      <w:sz w:val="34"/>
      <w:szCs w:val="20"/>
    </w:rPr>
  </w:style>
  <w:style w:type="paragraph" w:styleId="a6">
    <w:name w:val="Balloon Text"/>
    <w:basedOn w:val="a"/>
    <w:link w:val="Char1"/>
    <w:uiPriority w:val="99"/>
    <w:semiHidden/>
    <w:unhideWhenUsed/>
    <w:rsid w:val="00C72469"/>
    <w:rPr>
      <w:sz w:val="18"/>
      <w:szCs w:val="18"/>
    </w:rPr>
  </w:style>
  <w:style w:type="character" w:customStyle="1" w:styleId="Char1">
    <w:name w:val="批注框文本 Char"/>
    <w:basedOn w:val="a0"/>
    <w:link w:val="a6"/>
    <w:uiPriority w:val="99"/>
    <w:semiHidden/>
    <w:rsid w:val="00C72469"/>
    <w:rPr>
      <w:sz w:val="18"/>
      <w:szCs w:val="18"/>
    </w:rPr>
  </w:style>
  <w:style w:type="table" w:styleId="a7">
    <w:name w:val="Table Grid"/>
    <w:basedOn w:val="a1"/>
    <w:uiPriority w:val="59"/>
    <w:rsid w:val="00CF4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5C2705"/>
  </w:style>
  <w:style w:type="character" w:styleId="a9">
    <w:name w:val="Hyperlink"/>
    <w:uiPriority w:val="99"/>
    <w:rsid w:val="005C2705"/>
    <w:rPr>
      <w:strike w:val="0"/>
      <w:dstrike w:val="0"/>
      <w:color w:val="000000"/>
      <w:sz w:val="18"/>
      <w:szCs w:val="18"/>
      <w:u w:val="none"/>
      <w:effect w:val="none"/>
      <w:bdr w:val="none" w:sz="0" w:space="0" w:color="auto" w:frame="1"/>
    </w:rPr>
  </w:style>
  <w:style w:type="paragraph" w:styleId="11">
    <w:name w:val="toc 1"/>
    <w:basedOn w:val="a"/>
    <w:next w:val="a"/>
    <w:autoRedefine/>
    <w:uiPriority w:val="39"/>
    <w:unhideWhenUsed/>
    <w:rsid w:val="005C2705"/>
    <w:pPr>
      <w:tabs>
        <w:tab w:val="right" w:leader="dot" w:pos="8296"/>
      </w:tabs>
      <w:spacing w:before="120" w:after="120"/>
      <w:jc w:val="left"/>
    </w:pPr>
    <w:rPr>
      <w:rFonts w:ascii="楷体_GB2312" w:eastAsia="楷体_GB2312" w:hAnsi="Times New Roman" w:cs="Times New Roman"/>
      <w:b/>
      <w:bCs/>
      <w:caps/>
      <w:noProof/>
      <w:sz w:val="24"/>
      <w:szCs w:val="24"/>
    </w:rPr>
  </w:style>
  <w:style w:type="paragraph" w:customStyle="1" w:styleId="CharCharCharCharCharCharCharCharCharCharCharCharCharCharCharCharCharCharChar">
    <w:name w:val="Char Char Char Char Char Char Char Char Char Char Char Char Char Char Char Char Char Char Char"/>
    <w:basedOn w:val="a"/>
    <w:rsid w:val="005C2705"/>
    <w:pPr>
      <w:spacing w:line="360" w:lineRule="auto"/>
    </w:pPr>
    <w:rPr>
      <w:rFonts w:ascii="Tahoma" w:eastAsia="宋体" w:hAnsi="Tahoma" w:cs="Times New Roman"/>
      <w:sz w:val="24"/>
      <w:szCs w:val="20"/>
    </w:rPr>
  </w:style>
  <w:style w:type="character" w:customStyle="1" w:styleId="1Char">
    <w:name w:val="标题 1 Char"/>
    <w:basedOn w:val="a0"/>
    <w:link w:val="1"/>
    <w:uiPriority w:val="9"/>
    <w:rsid w:val="005C2705"/>
    <w:rPr>
      <w:b/>
      <w:bCs/>
      <w:kern w:val="44"/>
      <w:sz w:val="44"/>
      <w:szCs w:val="44"/>
    </w:rPr>
  </w:style>
  <w:style w:type="paragraph" w:styleId="TOC">
    <w:name w:val="TOC Heading"/>
    <w:basedOn w:val="1"/>
    <w:next w:val="a"/>
    <w:uiPriority w:val="39"/>
    <w:semiHidden/>
    <w:unhideWhenUsed/>
    <w:qFormat/>
    <w:rsid w:val="005C270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9E8"/>
    <w:pPr>
      <w:widowControl w:val="0"/>
      <w:jc w:val="both"/>
    </w:pPr>
  </w:style>
  <w:style w:type="paragraph" w:styleId="1">
    <w:name w:val="heading 1"/>
    <w:basedOn w:val="a"/>
    <w:next w:val="a"/>
    <w:link w:val="1Char"/>
    <w:uiPriority w:val="9"/>
    <w:qFormat/>
    <w:rsid w:val="005C270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9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A19E8"/>
    <w:rPr>
      <w:sz w:val="18"/>
      <w:szCs w:val="18"/>
    </w:rPr>
  </w:style>
  <w:style w:type="paragraph" w:styleId="a4">
    <w:name w:val="footer"/>
    <w:basedOn w:val="a"/>
    <w:link w:val="Char0"/>
    <w:uiPriority w:val="99"/>
    <w:unhideWhenUsed/>
    <w:rsid w:val="001A19E8"/>
    <w:pPr>
      <w:tabs>
        <w:tab w:val="center" w:pos="4153"/>
        <w:tab w:val="right" w:pos="8306"/>
      </w:tabs>
      <w:snapToGrid w:val="0"/>
      <w:jc w:val="left"/>
    </w:pPr>
    <w:rPr>
      <w:sz w:val="18"/>
      <w:szCs w:val="18"/>
    </w:rPr>
  </w:style>
  <w:style w:type="character" w:customStyle="1" w:styleId="Char0">
    <w:name w:val="页脚 Char"/>
    <w:basedOn w:val="a0"/>
    <w:link w:val="a4"/>
    <w:uiPriority w:val="99"/>
    <w:rsid w:val="001A19E8"/>
    <w:rPr>
      <w:sz w:val="18"/>
      <w:szCs w:val="18"/>
    </w:rPr>
  </w:style>
  <w:style w:type="paragraph" w:styleId="a5">
    <w:name w:val="List Paragraph"/>
    <w:basedOn w:val="a"/>
    <w:uiPriority w:val="34"/>
    <w:qFormat/>
    <w:rsid w:val="001A19E8"/>
    <w:pPr>
      <w:ind w:firstLineChars="200" w:firstLine="420"/>
    </w:pPr>
  </w:style>
  <w:style w:type="paragraph" w:customStyle="1" w:styleId="10">
    <w:name w:val="正文1"/>
    <w:rsid w:val="00C72469"/>
    <w:pPr>
      <w:widowControl w:val="0"/>
      <w:adjustRightInd w:val="0"/>
      <w:spacing w:line="360" w:lineRule="atLeast"/>
      <w:textAlignment w:val="baseline"/>
    </w:pPr>
    <w:rPr>
      <w:rFonts w:ascii="宋体" w:eastAsia="宋体" w:hAnsi="Times New Roman" w:cs="Times New Roman"/>
      <w:kern w:val="0"/>
      <w:sz w:val="34"/>
      <w:szCs w:val="20"/>
    </w:rPr>
  </w:style>
  <w:style w:type="paragraph" w:styleId="a6">
    <w:name w:val="Balloon Text"/>
    <w:basedOn w:val="a"/>
    <w:link w:val="Char1"/>
    <w:uiPriority w:val="99"/>
    <w:semiHidden/>
    <w:unhideWhenUsed/>
    <w:rsid w:val="00C72469"/>
    <w:rPr>
      <w:sz w:val="18"/>
      <w:szCs w:val="18"/>
    </w:rPr>
  </w:style>
  <w:style w:type="character" w:customStyle="1" w:styleId="Char1">
    <w:name w:val="批注框文本 Char"/>
    <w:basedOn w:val="a0"/>
    <w:link w:val="a6"/>
    <w:uiPriority w:val="99"/>
    <w:semiHidden/>
    <w:rsid w:val="00C72469"/>
    <w:rPr>
      <w:sz w:val="18"/>
      <w:szCs w:val="18"/>
    </w:rPr>
  </w:style>
  <w:style w:type="table" w:styleId="a7">
    <w:name w:val="Table Grid"/>
    <w:basedOn w:val="a1"/>
    <w:uiPriority w:val="59"/>
    <w:rsid w:val="00CF4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5C2705"/>
  </w:style>
  <w:style w:type="character" w:styleId="a9">
    <w:name w:val="Hyperlink"/>
    <w:uiPriority w:val="99"/>
    <w:rsid w:val="005C2705"/>
    <w:rPr>
      <w:strike w:val="0"/>
      <w:dstrike w:val="0"/>
      <w:color w:val="000000"/>
      <w:sz w:val="18"/>
      <w:szCs w:val="18"/>
      <w:u w:val="none"/>
      <w:effect w:val="none"/>
      <w:bdr w:val="none" w:sz="0" w:space="0" w:color="auto" w:frame="1"/>
    </w:rPr>
  </w:style>
  <w:style w:type="paragraph" w:styleId="11">
    <w:name w:val="toc 1"/>
    <w:basedOn w:val="a"/>
    <w:next w:val="a"/>
    <w:autoRedefine/>
    <w:uiPriority w:val="39"/>
    <w:unhideWhenUsed/>
    <w:rsid w:val="005C2705"/>
    <w:pPr>
      <w:tabs>
        <w:tab w:val="right" w:leader="dot" w:pos="8296"/>
      </w:tabs>
      <w:spacing w:before="120" w:after="120"/>
      <w:jc w:val="left"/>
    </w:pPr>
    <w:rPr>
      <w:rFonts w:ascii="楷体_GB2312" w:eastAsia="楷体_GB2312" w:hAnsi="Times New Roman" w:cs="Times New Roman"/>
      <w:b/>
      <w:bCs/>
      <w:caps/>
      <w:noProof/>
      <w:sz w:val="24"/>
      <w:szCs w:val="24"/>
    </w:rPr>
  </w:style>
  <w:style w:type="paragraph" w:customStyle="1" w:styleId="CharCharCharCharCharCharCharCharCharCharCharCharCharCharCharCharCharCharChar">
    <w:name w:val="Char Char Char Char Char Char Char Char Char Char Char Char Char Char Char Char Char Char Char"/>
    <w:basedOn w:val="a"/>
    <w:rsid w:val="005C2705"/>
    <w:pPr>
      <w:spacing w:line="360" w:lineRule="auto"/>
    </w:pPr>
    <w:rPr>
      <w:rFonts w:ascii="Tahoma" w:eastAsia="宋体" w:hAnsi="Tahoma" w:cs="Times New Roman"/>
      <w:sz w:val="24"/>
      <w:szCs w:val="20"/>
    </w:rPr>
  </w:style>
  <w:style w:type="character" w:customStyle="1" w:styleId="1Char">
    <w:name w:val="标题 1 Char"/>
    <w:basedOn w:val="a0"/>
    <w:link w:val="1"/>
    <w:uiPriority w:val="9"/>
    <w:rsid w:val="005C2705"/>
    <w:rPr>
      <w:b/>
      <w:bCs/>
      <w:kern w:val="44"/>
      <w:sz w:val="44"/>
      <w:szCs w:val="44"/>
    </w:rPr>
  </w:style>
  <w:style w:type="paragraph" w:styleId="TOC">
    <w:name w:val="TOC Heading"/>
    <w:basedOn w:val="1"/>
    <w:next w:val="a"/>
    <w:uiPriority w:val="39"/>
    <w:semiHidden/>
    <w:unhideWhenUsed/>
    <w:qFormat/>
    <w:rsid w:val="005C270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B4D3-1112-418A-9714-8306CC3D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1821</Words>
  <Characters>10380</Characters>
  <Application>Microsoft Office Word</Application>
  <DocSecurity>0</DocSecurity>
  <Lines>86</Lines>
  <Paragraphs>24</Paragraphs>
  <ScaleCrop>false</ScaleCrop>
  <Company>CHINA</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2016-09-22T03:05:00Z</cp:lastPrinted>
  <dcterms:created xsi:type="dcterms:W3CDTF">2017-09-06T06:33:00Z</dcterms:created>
  <dcterms:modified xsi:type="dcterms:W3CDTF">2017-11-29T01:14:00Z</dcterms:modified>
</cp:coreProperties>
</file>