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12631"/>
      <w:bookmarkStart w:id="1" w:name="_Toc26632"/>
      <w:bookmarkStart w:id="2" w:name="_Toc6414"/>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2020年</w:t>
      </w:r>
      <w:r>
        <w:rPr>
          <w:rFonts w:hint="eastAsia" w:ascii="Arial" w:hAnsi="Arial" w:cs="Arial"/>
          <w:b/>
          <w:color w:val="000000"/>
          <w:spacing w:val="60"/>
          <w:kern w:val="10"/>
          <w:sz w:val="36"/>
          <w:szCs w:val="36"/>
        </w:rPr>
        <w:t>6</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监管人员：付采萌、</w:t>
      </w:r>
      <w:bookmarkEnd w:id="7"/>
      <w:r>
        <w:rPr>
          <w:rFonts w:hint="eastAsia" w:ascii="Arial" w:hAnsi="Arial" w:cs="Arial"/>
          <w:b/>
          <w:color w:val="000000"/>
          <w:szCs w:val="21"/>
        </w:rPr>
        <w:t>王靓玉</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日期：二〇二〇年</w:t>
      </w:r>
      <w:r>
        <w:rPr>
          <w:rFonts w:hint="eastAsia" w:ascii="Arial" w:hAnsi="Arial" w:cs="Arial"/>
          <w:b/>
          <w:color w:val="000000"/>
          <w:szCs w:val="21"/>
        </w:rPr>
        <w:t>七</w:t>
      </w:r>
      <w:r>
        <w:rPr>
          <w:rFonts w:ascii="Arial" w:hAnsi="Arial" w:cs="Arial"/>
          <w:b/>
          <w:color w:val="000000"/>
          <w:szCs w:val="21"/>
        </w:rPr>
        <w:t>月</w:t>
      </w:r>
      <w:r>
        <w:rPr>
          <w:rFonts w:hint="eastAsia" w:ascii="Arial" w:hAnsi="Arial" w:cs="Arial"/>
          <w:b/>
          <w:color w:val="000000"/>
          <w:szCs w:val="21"/>
        </w:rPr>
        <w:t>十</w:t>
      </w:r>
      <w:r>
        <w:rPr>
          <w:rFonts w:ascii="Arial" w:hAnsi="Arial" w:cs="Arial"/>
          <w:b/>
          <w:color w:val="000000"/>
          <w:szCs w:val="21"/>
        </w:rPr>
        <w:t>日</w:t>
      </w:r>
      <w:bookmarkEnd w:id="8"/>
    </w:p>
    <w:p>
      <w:pPr>
        <w:pStyle w:val="10"/>
        <w:spacing w:after="0" w:line="360" w:lineRule="auto"/>
        <w:jc w:val="center"/>
        <w:rPr>
          <w:rFonts w:ascii="Arial" w:hAnsi="Arial" w:cs="Arial"/>
          <w:b/>
          <w:bCs/>
          <w:sz w:val="28"/>
          <w:szCs w:val="28"/>
        </w:rPr>
      </w:pPr>
      <w:r>
        <w:rPr>
          <w:rFonts w:ascii="Arial" w:hAnsi="Arial" w:cs="Arial"/>
          <w:b/>
          <w:bCs/>
          <w:sz w:val="28"/>
          <w:szCs w:val="28"/>
        </w:rPr>
        <w:t>目录</w:t>
      </w:r>
    </w:p>
    <w:p>
      <w:pPr>
        <w:pStyle w:val="10"/>
        <w:tabs>
          <w:tab w:val="right" w:leader="dot" w:pos="9298"/>
          <w:tab w:val="clear" w:pos="8302"/>
        </w:tabs>
      </w:pPr>
      <w:r>
        <w:rPr>
          <w:rFonts w:ascii="Arial" w:hAnsi="Arial" w:cs="Arial"/>
          <w:sz w:val="21"/>
          <w:szCs w:val="21"/>
        </w:rPr>
        <w:fldChar w:fldCharType="begin"/>
      </w:r>
      <w:r>
        <w:rPr>
          <w:rStyle w:val="17"/>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"_Toc8010" </w:instrText>
      </w:r>
      <w:r>
        <w:fldChar w:fldCharType="separate"/>
      </w:r>
      <w:r>
        <w:rPr>
          <w:rFonts w:ascii="Arial" w:hAnsi="Arial" w:cs="Arial"/>
          <w:szCs w:val="24"/>
        </w:rPr>
        <w:t>1重大事件披露</w:t>
      </w:r>
      <w:r>
        <w:tab/>
      </w:r>
      <w:r>
        <w:fldChar w:fldCharType="end"/>
      </w:r>
    </w:p>
    <w:p>
      <w:pPr>
        <w:pStyle w:val="10"/>
        <w:tabs>
          <w:tab w:val="right" w:leader="dot" w:pos="9298"/>
          <w:tab w:val="clear" w:pos="8302"/>
        </w:tabs>
      </w:pPr>
      <w:r>
        <w:fldChar w:fldCharType="begin"/>
      </w:r>
      <w:r>
        <w:instrText xml:space="preserve"> HYPERLINK \l "_Toc9061" </w:instrText>
      </w:r>
      <w:r>
        <w:fldChar w:fldCharType="separate"/>
      </w:r>
      <w:r>
        <w:rPr>
          <w:rFonts w:ascii="Arial" w:hAnsi="Arial" w:cs="Arial"/>
          <w:szCs w:val="24"/>
        </w:rPr>
        <w:t>2工程进度</w:t>
      </w:r>
      <w:r>
        <w:tab/>
      </w:r>
      <w:r>
        <w:fldChar w:fldCharType="end"/>
      </w:r>
    </w:p>
    <w:p>
      <w:pPr>
        <w:pStyle w:val="11"/>
        <w:tabs>
          <w:tab w:val="right" w:leader="dot" w:pos="9298"/>
          <w:tab w:val="clear" w:pos="8302"/>
        </w:tabs>
      </w:pPr>
      <w:r>
        <w:fldChar w:fldCharType="begin"/>
      </w:r>
      <w:r>
        <w:instrText xml:space="preserve"> HYPERLINK \l "_Toc10526" </w:instrText>
      </w:r>
      <w:r>
        <w:fldChar w:fldCharType="separate"/>
      </w:r>
      <w:r>
        <w:rPr>
          <w:rFonts w:cs="Arial"/>
          <w:szCs w:val="24"/>
        </w:rPr>
        <w:t xml:space="preserve">2.1  </w:t>
      </w:r>
      <w:r>
        <w:rPr>
          <w:rFonts w:cs="Arial" w:eastAsiaTheme="minorEastAsia"/>
          <w:kern w:val="44"/>
          <w:szCs w:val="24"/>
        </w:rPr>
        <w:t>2020年</w:t>
      </w:r>
      <w:r>
        <w:rPr>
          <w:rFonts w:hint="eastAsia" w:cs="Arial" w:eastAsiaTheme="minorEastAsia"/>
          <w:kern w:val="44"/>
          <w:szCs w:val="24"/>
        </w:rPr>
        <w:t>6</w:t>
      </w:r>
      <w:r>
        <w:rPr>
          <w:rFonts w:cs="Arial" w:eastAsiaTheme="minorEastAsia"/>
          <w:kern w:val="44"/>
          <w:szCs w:val="24"/>
        </w:rPr>
        <w:t>月项目现场情况</w:t>
      </w:r>
      <w:r>
        <w:tab/>
      </w:r>
      <w:r>
        <w:fldChar w:fldCharType="end"/>
      </w:r>
    </w:p>
    <w:p>
      <w:pPr>
        <w:pStyle w:val="11"/>
        <w:tabs>
          <w:tab w:val="right" w:leader="dot" w:pos="9298"/>
          <w:tab w:val="clear" w:pos="8302"/>
        </w:tabs>
      </w:pPr>
      <w:r>
        <w:fldChar w:fldCharType="begin"/>
      </w:r>
      <w:r>
        <w:instrText xml:space="preserve"> HYPERLINK \l "_Toc11207" </w:instrText>
      </w:r>
      <w:r>
        <w:fldChar w:fldCharType="separate"/>
      </w:r>
      <w:r>
        <w:rPr>
          <w:rFonts w:cs="Arial"/>
          <w:szCs w:val="24"/>
        </w:rPr>
        <w:t>2.2证照办理情况说明</w:t>
      </w:r>
      <w:r>
        <w:tab/>
      </w:r>
      <w:r>
        <w:fldChar w:fldCharType="end"/>
      </w:r>
    </w:p>
    <w:p>
      <w:pPr>
        <w:pStyle w:val="10"/>
        <w:tabs>
          <w:tab w:val="right" w:leader="dot" w:pos="9298"/>
          <w:tab w:val="clear" w:pos="8302"/>
        </w:tabs>
      </w:pPr>
      <w:r>
        <w:fldChar w:fldCharType="begin"/>
      </w:r>
      <w:r>
        <w:instrText xml:space="preserve"> HYPERLINK \l "_Toc19074" </w:instrText>
      </w:r>
      <w:r>
        <w:fldChar w:fldCharType="separate"/>
      </w:r>
      <w:r>
        <w:rPr>
          <w:rFonts w:ascii="Arial" w:hAnsi="Arial" w:cs="Arial"/>
          <w:szCs w:val="24"/>
        </w:rPr>
        <w:t>3资金情况</w:t>
      </w:r>
      <w:r>
        <w:tab/>
      </w:r>
      <w:r>
        <w:fldChar w:fldCharType="end"/>
      </w:r>
    </w:p>
    <w:p>
      <w:pPr>
        <w:pStyle w:val="11"/>
        <w:tabs>
          <w:tab w:val="right" w:leader="dot" w:pos="9298"/>
          <w:tab w:val="clear" w:pos="8302"/>
        </w:tabs>
      </w:pPr>
      <w:r>
        <w:fldChar w:fldCharType="begin"/>
      </w:r>
      <w:r>
        <w:instrText xml:space="preserve"> HYPERLINK \l "_Toc5019" </w:instrText>
      </w:r>
      <w:r>
        <w:fldChar w:fldCharType="separate"/>
      </w:r>
      <w:r>
        <w:rPr>
          <w:rFonts w:cs="Arial"/>
        </w:rPr>
        <w:t>3.1资金流出情况</w:t>
      </w:r>
      <w:r>
        <w:tab/>
      </w:r>
      <w:r>
        <w:fldChar w:fldCharType="end"/>
      </w:r>
    </w:p>
    <w:p>
      <w:pPr>
        <w:pStyle w:val="11"/>
        <w:tabs>
          <w:tab w:val="right" w:leader="dot" w:pos="9298"/>
          <w:tab w:val="clear" w:pos="8302"/>
        </w:tabs>
      </w:pPr>
      <w:r>
        <w:fldChar w:fldCharType="begin"/>
      </w:r>
      <w:r>
        <w:instrText xml:space="preserve"> HYPERLINK \l "_Toc15395" </w:instrText>
      </w:r>
      <w:r>
        <w:fldChar w:fldCharType="separate"/>
      </w:r>
      <w:r>
        <w:rPr>
          <w:rFonts w:cs="Arial"/>
        </w:rPr>
        <w:t>3.2资金流入情况</w:t>
      </w:r>
      <w:r>
        <w:tab/>
      </w:r>
      <w:r>
        <w:fldChar w:fldCharType="end"/>
      </w:r>
    </w:p>
    <w:p>
      <w:pPr>
        <w:pStyle w:val="10"/>
        <w:tabs>
          <w:tab w:val="right" w:leader="dot" w:pos="9298"/>
          <w:tab w:val="clear" w:pos="8302"/>
        </w:tabs>
      </w:pPr>
      <w:r>
        <w:fldChar w:fldCharType="begin"/>
      </w:r>
      <w:r>
        <w:instrText xml:space="preserve"> HYPERLINK \l "_Toc7166" </w:instrText>
      </w:r>
      <w:r>
        <w:fldChar w:fldCharType="separate"/>
      </w:r>
      <w:r>
        <w:rPr>
          <w:rFonts w:ascii="Arial" w:hAnsi="Arial" w:cs="Arial"/>
          <w:szCs w:val="24"/>
        </w:rPr>
        <w:t>4项目销售情况</w:t>
      </w:r>
      <w:r>
        <w:tab/>
      </w:r>
      <w:r>
        <w:fldChar w:fldCharType="end"/>
      </w:r>
    </w:p>
    <w:p>
      <w:pPr>
        <w:pStyle w:val="10"/>
        <w:tabs>
          <w:tab w:val="right" w:leader="dot" w:pos="9298"/>
          <w:tab w:val="clear" w:pos="8302"/>
        </w:tabs>
      </w:pPr>
      <w:r>
        <w:fldChar w:fldCharType="begin"/>
      </w:r>
      <w:r>
        <w:instrText xml:space="preserve"> HYPERLINK \l "_Toc325" </w:instrText>
      </w:r>
      <w:r>
        <w:fldChar w:fldCharType="separate"/>
      </w:r>
      <w:r>
        <w:rPr>
          <w:rFonts w:ascii="Arial" w:hAnsi="Arial" w:cs="Arial"/>
          <w:szCs w:val="24"/>
        </w:rPr>
        <w:t>5印章、证照使用情况</w:t>
      </w:r>
      <w:r>
        <w:tab/>
      </w:r>
      <w:r>
        <w:fldChar w:fldCharType="end"/>
      </w:r>
    </w:p>
    <w:p>
      <w:pPr>
        <w:pStyle w:val="10"/>
        <w:tabs>
          <w:tab w:val="right" w:leader="dot" w:pos="9298"/>
          <w:tab w:val="clear" w:pos="8302"/>
        </w:tabs>
      </w:pPr>
      <w:r>
        <w:fldChar w:fldCharType="begin"/>
      </w:r>
      <w:r>
        <w:instrText xml:space="preserve"> HYPERLINK \l "_Toc20312" </w:instrText>
      </w:r>
      <w:r>
        <w:fldChar w:fldCharType="separate"/>
      </w:r>
      <w:r>
        <w:rPr>
          <w:rFonts w:ascii="Arial" w:hAnsi="Arial" w:cs="Arial"/>
          <w:szCs w:val="24"/>
        </w:rPr>
        <w:t>6合同签订情况</w:t>
      </w:r>
      <w:r>
        <w:tab/>
      </w:r>
      <w:r>
        <w:fldChar w:fldCharType="end"/>
      </w:r>
    </w:p>
    <w:p>
      <w:pPr>
        <w:pStyle w:val="10"/>
        <w:tabs>
          <w:tab w:val="right" w:leader="dot" w:pos="9298"/>
          <w:tab w:val="clear" w:pos="8302"/>
        </w:tabs>
      </w:pPr>
      <w:r>
        <w:fldChar w:fldCharType="begin"/>
      </w:r>
      <w:r>
        <w:instrText xml:space="preserve"> HYPERLINK \l "_Toc1562" </w:instrText>
      </w:r>
      <w:r>
        <w:fldChar w:fldCharType="separate"/>
      </w:r>
      <w:r>
        <w:rPr>
          <w:rFonts w:ascii="Arial" w:hAnsi="Arial" w:cs="Arial"/>
          <w:szCs w:val="24"/>
        </w:rPr>
        <w:t>7资金结算</w:t>
      </w:r>
      <w:r>
        <w:tab/>
      </w:r>
      <w:r>
        <w:fldChar w:fldCharType="end"/>
      </w:r>
    </w:p>
    <w:p>
      <w:pPr>
        <w:pStyle w:val="11"/>
        <w:tabs>
          <w:tab w:val="right" w:leader="dot" w:pos="9298"/>
          <w:tab w:val="clear" w:pos="8302"/>
        </w:tabs>
      </w:pPr>
      <w:r>
        <w:fldChar w:fldCharType="begin"/>
      </w:r>
      <w:r>
        <w:instrText xml:space="preserve"> HYPERLINK \l "_Toc28371" </w:instrText>
      </w:r>
      <w:r>
        <w:fldChar w:fldCharType="separate"/>
      </w:r>
      <w:r>
        <w:rPr>
          <w:rFonts w:cs="Arial"/>
        </w:rPr>
        <w:t>7.1</w:t>
      </w:r>
      <w:r>
        <w:rPr>
          <w:rFonts w:cs="Arial" w:eastAsiaTheme="minorEastAsia"/>
          <w:kern w:val="44"/>
          <w:szCs w:val="24"/>
        </w:rPr>
        <w:t>丹龙置业常州有限公司各资金账户流量情况</w:t>
      </w:r>
      <w:r>
        <w:tab/>
      </w:r>
      <w:r>
        <w:fldChar w:fldCharType="end"/>
      </w:r>
    </w:p>
    <w:p>
      <w:pPr>
        <w:pStyle w:val="11"/>
        <w:tabs>
          <w:tab w:val="right" w:leader="dot" w:pos="9298"/>
          <w:tab w:val="clear" w:pos="8302"/>
        </w:tabs>
      </w:pPr>
      <w:r>
        <w:fldChar w:fldCharType="begin"/>
      </w:r>
      <w:r>
        <w:instrText xml:space="preserve"> HYPERLINK \l "_Toc32221" </w:instrText>
      </w:r>
      <w:r>
        <w:fldChar w:fldCharType="separate"/>
      </w:r>
      <w:r>
        <w:rPr>
          <w:rFonts w:cs="Arial"/>
        </w:rPr>
        <w:t>7.2</w:t>
      </w:r>
      <w:r>
        <w:rPr>
          <w:rFonts w:cs="Arial" w:eastAsiaTheme="minorEastAsia"/>
          <w:kern w:val="44"/>
          <w:szCs w:val="24"/>
        </w:rPr>
        <w:t>收取各类保证金余额</w:t>
      </w:r>
      <w:r>
        <w:rPr>
          <w:rFonts w:cs="Arial"/>
        </w:rPr>
        <w:t>情况</w:t>
      </w:r>
      <w:r>
        <w:tab/>
      </w:r>
      <w:r>
        <w:fldChar w:fldCharType="end"/>
      </w:r>
    </w:p>
    <w:p>
      <w:pPr>
        <w:pStyle w:val="10"/>
        <w:tabs>
          <w:tab w:val="right" w:leader="dot" w:pos="9298"/>
          <w:tab w:val="clear" w:pos="8302"/>
        </w:tabs>
      </w:pPr>
      <w:r>
        <w:fldChar w:fldCharType="begin"/>
      </w:r>
      <w:r>
        <w:instrText xml:space="preserve"> HYPERLINK \l "_Toc25745" </w:instrText>
      </w:r>
      <w:r>
        <w:fldChar w:fldCharType="separate"/>
      </w:r>
      <w:r>
        <w:rPr>
          <w:rFonts w:ascii="Arial" w:hAnsi="Arial" w:cs="Arial"/>
          <w:szCs w:val="24"/>
        </w:rPr>
        <w:t>附件</w:t>
      </w:r>
      <w:r>
        <w:tab/>
      </w:r>
      <w:r>
        <w:fldChar w:fldCharType="end"/>
      </w:r>
    </w:p>
    <w:p>
      <w:pPr>
        <w:pStyle w:val="11"/>
        <w:tabs>
          <w:tab w:val="right" w:leader="dot" w:pos="9298"/>
          <w:tab w:val="clear" w:pos="8302"/>
        </w:tabs>
      </w:pPr>
      <w:r>
        <w:fldChar w:fldCharType="begin"/>
      </w:r>
      <w:r>
        <w:instrText xml:space="preserve"> HYPERLINK \l "_Toc26290" </w:instrText>
      </w:r>
      <w:r>
        <w:fldChar w:fldCharType="separate"/>
      </w:r>
      <w:r>
        <w:rPr>
          <w:rFonts w:cs="Arial"/>
        </w:rPr>
        <w:t xml:space="preserve">附件一 </w:t>
      </w:r>
      <w:r>
        <w:rPr>
          <w:rFonts w:hint="eastAsia" w:cs="Arial"/>
        </w:rPr>
        <w:t>商品房预售许可证</w:t>
      </w:r>
      <w:r>
        <w:tab/>
      </w:r>
      <w:r>
        <w:fldChar w:fldCharType="end"/>
      </w:r>
    </w:p>
    <w:p>
      <w:pPr>
        <w:pStyle w:val="11"/>
        <w:tabs>
          <w:tab w:val="right" w:leader="dot" w:pos="9298"/>
          <w:tab w:val="clear" w:pos="8302"/>
        </w:tabs>
      </w:pPr>
      <w:r>
        <w:fldChar w:fldCharType="begin"/>
      </w:r>
      <w:r>
        <w:instrText xml:space="preserve"> HYPERLINK \l "_Toc10371" </w:instrText>
      </w:r>
      <w:r>
        <w:fldChar w:fldCharType="separate"/>
      </w:r>
      <w:r>
        <w:rPr>
          <w:rFonts w:hint="eastAsia" w:cs="Arial"/>
        </w:rPr>
        <w:t xml:space="preserve">附件二 </w:t>
      </w:r>
      <w:r>
        <w:rPr>
          <w:rFonts w:cs="Arial"/>
        </w:rPr>
        <w:t>银行对账单</w:t>
      </w:r>
      <w:r>
        <w:tab/>
      </w:r>
      <w:r>
        <w:fldChar w:fldCharType="end"/>
      </w:r>
    </w:p>
    <w:p>
      <w:pPr>
        <w:pStyle w:val="11"/>
        <w:tabs>
          <w:tab w:val="right" w:leader="dot" w:pos="9298"/>
          <w:tab w:val="clear" w:pos="8302"/>
        </w:tabs>
      </w:pPr>
      <w:r>
        <w:fldChar w:fldCharType="begin"/>
      </w:r>
      <w:r>
        <w:instrText xml:space="preserve"> HYPERLINK \l "_Toc2462" </w:instrText>
      </w:r>
      <w:r>
        <w:fldChar w:fldCharType="separate"/>
      </w:r>
      <w:r>
        <w:rPr>
          <w:rFonts w:cs="Arial"/>
        </w:rPr>
        <w:t>附件</w:t>
      </w:r>
      <w:r>
        <w:rPr>
          <w:rFonts w:hint="eastAsia" w:cs="Arial"/>
        </w:rPr>
        <w:t>三</w:t>
      </w:r>
      <w:r>
        <w:rPr>
          <w:rFonts w:cs="Arial"/>
        </w:rPr>
        <w:t xml:space="preserve"> 各类资金使用统计</w:t>
      </w:r>
      <w:r>
        <w:rPr>
          <w:rFonts w:cs="Arial"/>
          <w:szCs w:val="24"/>
        </w:rPr>
        <w:t>表</w:t>
      </w:r>
      <w:r>
        <w:tab/>
      </w:r>
      <w:r>
        <w:fldChar w:fldCharType="end"/>
      </w:r>
    </w:p>
    <w:p>
      <w:pPr>
        <w:pStyle w:val="19"/>
        <w:keepNext w:val="0"/>
        <w:keepLines w:val="0"/>
        <w:widowControl w:val="0"/>
        <w:spacing w:line="360" w:lineRule="auto"/>
        <w:rPr>
          <w:rFonts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rPr>
      </w:pPr>
      <w:bookmarkStart w:id="10" w:name="_Toc8010"/>
      <w:bookmarkStart w:id="11" w:name="_Toc535580021"/>
      <w:bookmarkStart w:id="12" w:name="_Toc532281655"/>
      <w:bookmarkStart w:id="13" w:name="_Toc535508634"/>
      <w:bookmarkStart w:id="14" w:name="_Toc535580089"/>
      <w:bookmarkStart w:id="15" w:name="_Toc535570748"/>
      <w:r>
        <w:rPr>
          <w:rFonts w:ascii="Arial" w:hAnsi="Arial" w:cs="Arial"/>
          <w:color w:val="000000"/>
          <w:sz w:val="24"/>
          <w:szCs w:val="24"/>
        </w:rPr>
        <w:t>1重大事件披露</w:t>
      </w:r>
      <w:bookmarkEnd w:id="10"/>
      <w:bookmarkEnd w:id="11"/>
      <w:bookmarkEnd w:id="12"/>
      <w:bookmarkEnd w:id="13"/>
      <w:bookmarkEnd w:id="14"/>
      <w:bookmarkEnd w:id="15"/>
    </w:p>
    <w:p>
      <w:pPr>
        <w:spacing w:line="480" w:lineRule="auto"/>
        <w:ind w:firstLine="420" w:firstLineChars="200"/>
        <w:rPr>
          <w:rFonts w:ascii="Arial" w:hAnsi="Arial" w:cs="Arial"/>
        </w:rPr>
      </w:pPr>
      <w:r>
        <w:rPr>
          <w:rFonts w:ascii="Arial" w:hAnsi="Arial" w:cs="Arial"/>
        </w:rPr>
        <w:t>（1）2020年</w:t>
      </w:r>
      <w:r>
        <w:rPr>
          <w:rFonts w:hint="eastAsia" w:ascii="Arial" w:hAnsi="Arial" w:cs="Arial"/>
        </w:rPr>
        <w:t>6</w:t>
      </w:r>
      <w:r>
        <w:rPr>
          <w:rFonts w:ascii="Arial" w:hAnsi="Arial" w:cs="Arial"/>
        </w:rPr>
        <w:t>月</w:t>
      </w:r>
      <w:r>
        <w:rPr>
          <w:rFonts w:hint="eastAsia" w:ascii="Arial" w:hAnsi="Arial" w:cs="Arial"/>
        </w:rPr>
        <w:t>11</w:t>
      </w:r>
      <w:r>
        <w:rPr>
          <w:rFonts w:ascii="Arial" w:hAnsi="Arial" w:cs="Arial"/>
        </w:rPr>
        <w:t>日，项目公司</w:t>
      </w:r>
      <w:r>
        <w:rPr>
          <w:rFonts w:hint="eastAsia" w:ascii="Arial" w:hAnsi="Arial" w:cs="Arial"/>
        </w:rPr>
        <w:t>向常州二建建设有限公司支付项目二三期总包工程预付款39,858,322.14</w:t>
      </w:r>
      <w:r>
        <w:rPr>
          <w:rFonts w:ascii="Arial" w:hAnsi="Arial" w:cs="Arial"/>
        </w:rPr>
        <w:t>元；</w:t>
      </w:r>
    </w:p>
    <w:p>
      <w:pPr>
        <w:spacing w:line="480" w:lineRule="auto"/>
        <w:ind w:firstLine="420" w:firstLineChars="200"/>
        <w:rPr>
          <w:rFonts w:ascii="Arial" w:hAnsi="Arial" w:cs="Arial" w:eastAsiaTheme="minorEastAsia"/>
          <w:szCs w:val="21"/>
        </w:rPr>
      </w:pPr>
      <w:r>
        <w:rPr>
          <w:rFonts w:ascii="Arial" w:hAnsi="Arial" w:cs="Arial"/>
        </w:rPr>
        <w:t>（2）</w:t>
      </w:r>
      <w:r>
        <w:rPr>
          <w:rFonts w:hint="eastAsia" w:ascii="Arial" w:hAnsi="Arial" w:cs="Arial"/>
        </w:rPr>
        <w:t>2020年6月17日，项目公司取得一期二标段1#-7#、13#-15#、18#、19#、22#-24#、28#-31#</w:t>
      </w:r>
      <w:r>
        <w:rPr>
          <w:rFonts w:ascii="Arial" w:hAnsi="Arial" w:cs="Arial" w:eastAsiaTheme="minorEastAsia"/>
          <w:szCs w:val="21"/>
        </w:rPr>
        <w:t>商品房预售许可证</w:t>
      </w:r>
      <w:r>
        <w:rPr>
          <w:rFonts w:hint="eastAsia" w:ascii="Arial" w:hAnsi="Arial" w:cs="Arial" w:eastAsiaTheme="minorEastAsia"/>
          <w:szCs w:val="21"/>
        </w:rPr>
        <w:t>【常武（2020）房预售证第（57）号）】，详见附件一</w:t>
      </w:r>
      <w:r>
        <w:rPr>
          <w:rFonts w:hint="eastAsia" w:ascii="Arial" w:hAnsi="Arial" w:cs="Arial"/>
        </w:rPr>
        <w:t>。</w:t>
      </w:r>
    </w:p>
    <w:p>
      <w:pPr>
        <w:spacing w:line="480" w:lineRule="auto"/>
        <w:ind w:firstLine="420" w:firstLineChars="200"/>
        <w:rPr>
          <w:rFonts w:ascii="Arial" w:hAnsi="Arial" w:cs="Arial"/>
        </w:rPr>
      </w:pPr>
      <w:r>
        <w:rPr>
          <w:rFonts w:hint="eastAsia" w:ascii="Arial" w:hAnsi="Arial" w:cs="Arial"/>
        </w:rPr>
        <w:t>（3）</w:t>
      </w:r>
      <w:r>
        <w:rPr>
          <w:rFonts w:ascii="Arial" w:hAnsi="Arial" w:cs="Arial" w:eastAsiaTheme="minorEastAsia"/>
          <w:szCs w:val="21"/>
        </w:rPr>
        <w:t>2020年</w:t>
      </w:r>
      <w:r>
        <w:rPr>
          <w:rFonts w:hint="eastAsia" w:ascii="Arial" w:hAnsi="Arial" w:cs="Arial" w:eastAsiaTheme="minorEastAsia"/>
          <w:szCs w:val="21"/>
        </w:rPr>
        <w:t>6</w:t>
      </w:r>
      <w:r>
        <w:rPr>
          <w:rFonts w:ascii="Arial" w:hAnsi="Arial" w:cs="Arial" w:eastAsiaTheme="minorEastAsia"/>
          <w:szCs w:val="21"/>
        </w:rPr>
        <w:t>月</w:t>
      </w:r>
      <w:r>
        <w:rPr>
          <w:rFonts w:hint="eastAsia" w:ascii="Arial" w:hAnsi="Arial" w:cs="Arial" w:eastAsiaTheme="minorEastAsia"/>
          <w:szCs w:val="21"/>
        </w:rPr>
        <w:t>18</w:t>
      </w:r>
      <w:r>
        <w:rPr>
          <w:rFonts w:ascii="Arial" w:hAnsi="Arial" w:cs="Arial" w:eastAsiaTheme="minorEastAsia"/>
          <w:szCs w:val="21"/>
        </w:rPr>
        <w:t>日，项目公司</w:t>
      </w:r>
      <w:r>
        <w:rPr>
          <w:rFonts w:hint="eastAsia" w:ascii="Arial" w:hAnsi="Arial" w:cs="Arial" w:eastAsiaTheme="minorEastAsia"/>
          <w:szCs w:val="21"/>
        </w:rPr>
        <w:t>归还</w:t>
      </w:r>
      <w:r>
        <w:rPr>
          <w:rFonts w:ascii="Arial" w:hAnsi="Arial" w:cs="Arial" w:eastAsiaTheme="minorEastAsia"/>
          <w:szCs w:val="21"/>
        </w:rPr>
        <w:t>诚盈</w:t>
      </w:r>
      <w:r>
        <w:rPr>
          <w:rFonts w:hint="eastAsia" w:ascii="Arial" w:hAnsi="Arial" w:cs="Arial" w:eastAsiaTheme="minorEastAsia"/>
          <w:szCs w:val="21"/>
        </w:rPr>
        <w:t>三期借款10,000,000.00</w:t>
      </w:r>
      <w:r>
        <w:rPr>
          <w:rFonts w:ascii="Arial" w:hAnsi="Arial" w:cs="Arial" w:eastAsiaTheme="minorEastAsia"/>
          <w:szCs w:val="21"/>
        </w:rPr>
        <w:t>元</w:t>
      </w:r>
      <w:r>
        <w:rPr>
          <w:rFonts w:hint="eastAsia" w:ascii="Arial" w:hAnsi="Arial" w:cs="Arial" w:eastAsiaTheme="minorEastAsia"/>
          <w:szCs w:val="21"/>
        </w:rPr>
        <w:t>。</w:t>
      </w:r>
    </w:p>
    <w:p>
      <w:pPr>
        <w:spacing w:line="480" w:lineRule="auto"/>
        <w:ind w:firstLine="420" w:firstLineChars="200"/>
        <w:rPr>
          <w:rFonts w:ascii="Arial" w:hAnsi="Arial" w:cs="Arial"/>
        </w:rPr>
      </w:pPr>
      <w:r>
        <w:rPr>
          <w:rFonts w:hint="eastAsia" w:ascii="Arial" w:hAnsi="Arial" w:cs="Arial"/>
        </w:rPr>
        <w:t>（4）2020年6月24日，项目公司营销中心开放，同日，项目低密度区 1#-7#、13#-15#、18#、19#、22#-24#、28#-31#于营销中心开始认筹。</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16" w:name="_Toc9061"/>
      <w:r>
        <w:rPr>
          <w:rFonts w:ascii="Arial" w:hAnsi="Arial" w:cs="Arial"/>
          <w:color w:val="000000"/>
          <w:sz w:val="24"/>
          <w:szCs w:val="24"/>
        </w:rPr>
        <w:t>2工程进度</w:t>
      </w:r>
      <w:bookmarkEnd w:id="16"/>
    </w:p>
    <w:p>
      <w:pPr>
        <w:pStyle w:val="3"/>
        <w:keepNext w:val="0"/>
        <w:keepLines w:val="0"/>
        <w:spacing w:before="300" w:after="300" w:line="360" w:lineRule="exact"/>
        <w:jc w:val="left"/>
        <w:rPr>
          <w:rFonts w:eastAsia="宋体" w:cs="Arial"/>
          <w:sz w:val="24"/>
          <w:szCs w:val="24"/>
        </w:rPr>
      </w:pPr>
      <w:bookmarkStart w:id="17" w:name="_Toc10526"/>
      <w:r>
        <w:rPr>
          <w:rFonts w:eastAsia="宋体" w:cs="Arial"/>
          <w:sz w:val="24"/>
          <w:szCs w:val="24"/>
        </w:rPr>
        <w:t xml:space="preserve">2.1  </w:t>
      </w:r>
      <w:r>
        <w:rPr>
          <w:rFonts w:cs="Arial" w:eastAsiaTheme="minorEastAsia"/>
          <w:kern w:val="44"/>
          <w:sz w:val="24"/>
          <w:szCs w:val="24"/>
        </w:rPr>
        <w:t>2020年</w:t>
      </w:r>
      <w:r>
        <w:rPr>
          <w:rFonts w:hint="eastAsia" w:cs="Arial" w:eastAsiaTheme="minorEastAsia"/>
          <w:kern w:val="44"/>
          <w:sz w:val="24"/>
          <w:szCs w:val="24"/>
        </w:rPr>
        <w:t>6</w:t>
      </w:r>
      <w:r>
        <w:rPr>
          <w:rFonts w:cs="Arial" w:eastAsiaTheme="minorEastAsia"/>
          <w:kern w:val="44"/>
          <w:sz w:val="24"/>
          <w:szCs w:val="24"/>
        </w:rPr>
        <w:t>月项目现场情况</w:t>
      </w:r>
      <w:bookmarkEnd w:id="17"/>
    </w:p>
    <w:p>
      <w:pPr>
        <w:spacing w:line="480" w:lineRule="auto"/>
        <w:ind w:firstLine="420" w:firstLineChars="200"/>
        <w:rPr>
          <w:rFonts w:ascii="Arial" w:hAnsi="Arial" w:cs="Arial"/>
          <w:szCs w:val="21"/>
        </w:rPr>
      </w:pPr>
      <w:r>
        <w:rPr>
          <w:rFonts w:ascii="Arial" w:hAnsi="Arial" w:cs="Arial"/>
          <w:szCs w:val="21"/>
        </w:rPr>
        <w:t>B地块项目一期一标段工程继续施工，39#楼</w:t>
      </w:r>
      <w:r>
        <w:rPr>
          <w:rFonts w:hint="eastAsia" w:ascii="Arial" w:hAnsi="Arial" w:cs="Arial"/>
          <w:szCs w:val="21"/>
        </w:rPr>
        <w:t>、</w:t>
      </w:r>
      <w:r>
        <w:rPr>
          <w:rFonts w:ascii="Arial" w:hAnsi="Arial" w:cs="Arial"/>
          <w:szCs w:val="21"/>
        </w:rPr>
        <w:t>40#楼</w:t>
      </w:r>
      <w:r>
        <w:rPr>
          <w:rFonts w:hint="eastAsia" w:ascii="Arial" w:hAnsi="Arial" w:cs="Arial"/>
          <w:szCs w:val="21"/>
        </w:rPr>
        <w:t>、</w:t>
      </w:r>
      <w:r>
        <w:rPr>
          <w:rFonts w:ascii="Arial" w:hAnsi="Arial" w:cs="Arial"/>
          <w:szCs w:val="21"/>
        </w:rPr>
        <w:t>44#楼</w:t>
      </w:r>
      <w:r>
        <w:rPr>
          <w:rFonts w:hint="eastAsia" w:ascii="Arial" w:hAnsi="Arial" w:cs="Arial"/>
          <w:szCs w:val="21"/>
        </w:rPr>
        <w:t>、</w:t>
      </w:r>
      <w:r>
        <w:rPr>
          <w:rFonts w:ascii="Arial" w:hAnsi="Arial" w:cs="Arial"/>
          <w:szCs w:val="21"/>
        </w:rPr>
        <w:t>45#楼</w:t>
      </w:r>
      <w:r>
        <w:rPr>
          <w:rFonts w:hint="eastAsia" w:ascii="Arial" w:hAnsi="Arial" w:cs="Arial"/>
          <w:szCs w:val="21"/>
        </w:rPr>
        <w:t>主体结构已封顶，39#楼样板间精装修工程施工中</w:t>
      </w:r>
      <w:r>
        <w:rPr>
          <w:rFonts w:ascii="Arial" w:hAnsi="Arial" w:cs="Arial"/>
          <w:szCs w:val="21"/>
        </w:rPr>
        <w:t>；一期二标段继续施工，叠墅13#楼外墙抹灰工程施工中，叠墅28#楼</w:t>
      </w:r>
      <w:r>
        <w:rPr>
          <w:rFonts w:hint="eastAsia" w:ascii="Arial" w:hAnsi="Arial" w:cs="Arial"/>
          <w:szCs w:val="21"/>
        </w:rPr>
        <w:t>四层墙体砌筑中</w:t>
      </w:r>
      <w:r>
        <w:rPr>
          <w:rFonts w:ascii="Arial" w:hAnsi="Arial" w:cs="Arial"/>
          <w:szCs w:val="21"/>
        </w:rPr>
        <w:t>，合院1#楼</w:t>
      </w:r>
      <w:r>
        <w:rPr>
          <w:rFonts w:hint="eastAsia" w:ascii="Arial" w:hAnsi="Arial" w:cs="Arial"/>
          <w:szCs w:val="21"/>
        </w:rPr>
        <w:t>屋面瓦铺设中</w:t>
      </w:r>
      <w:r>
        <w:rPr>
          <w:rFonts w:ascii="Arial" w:hAnsi="Arial" w:cs="Arial"/>
          <w:szCs w:val="21"/>
        </w:rPr>
        <w:t>，合院</w:t>
      </w:r>
      <w:r>
        <w:rPr>
          <w:rFonts w:hint="eastAsia" w:ascii="Arial" w:hAnsi="Arial" w:cs="Arial"/>
          <w:szCs w:val="21"/>
        </w:rPr>
        <w:t>2</w:t>
      </w:r>
      <w:r>
        <w:rPr>
          <w:rFonts w:ascii="Arial" w:hAnsi="Arial" w:cs="Arial"/>
          <w:szCs w:val="21"/>
        </w:rPr>
        <w:t>#楼</w:t>
      </w:r>
      <w:r>
        <w:rPr>
          <w:rFonts w:hint="eastAsia" w:ascii="Arial" w:hAnsi="Arial" w:cs="Arial"/>
          <w:szCs w:val="21"/>
        </w:rPr>
        <w:t>一层铝合金安装中，</w:t>
      </w:r>
      <w:r>
        <w:rPr>
          <w:rFonts w:ascii="Arial" w:hAnsi="Arial" w:cs="Arial"/>
          <w:szCs w:val="21"/>
        </w:rPr>
        <w:t>合院</w:t>
      </w:r>
      <w:r>
        <w:rPr>
          <w:rFonts w:hint="eastAsia" w:ascii="Arial" w:hAnsi="Arial" w:cs="Arial"/>
          <w:szCs w:val="21"/>
        </w:rPr>
        <w:t>3</w:t>
      </w:r>
      <w:r>
        <w:rPr>
          <w:rFonts w:ascii="Arial" w:hAnsi="Arial" w:cs="Arial"/>
          <w:szCs w:val="21"/>
        </w:rPr>
        <w:t>#楼</w:t>
      </w:r>
      <w:r>
        <w:rPr>
          <w:rFonts w:hint="eastAsia" w:ascii="Arial" w:hAnsi="Arial" w:cs="Arial"/>
          <w:szCs w:val="21"/>
        </w:rPr>
        <w:t>巷道脚手架拆除中，</w:t>
      </w:r>
      <w:r>
        <w:rPr>
          <w:rFonts w:ascii="Arial" w:hAnsi="Arial" w:cs="Arial"/>
          <w:szCs w:val="21"/>
        </w:rPr>
        <w:t>营销中心</w:t>
      </w:r>
      <w:r>
        <w:rPr>
          <w:rFonts w:hint="eastAsia" w:ascii="Arial" w:hAnsi="Arial" w:cs="Arial"/>
          <w:szCs w:val="21"/>
        </w:rPr>
        <w:t>已开放</w:t>
      </w:r>
      <w:r>
        <w:rPr>
          <w:rFonts w:ascii="Arial" w:hAnsi="Arial" w:cs="Arial"/>
          <w:szCs w:val="21"/>
        </w:rPr>
        <w:t>；二、三期</w:t>
      </w:r>
      <w:r>
        <w:rPr>
          <w:rFonts w:hint="eastAsia" w:ascii="Arial" w:hAnsi="Arial" w:cs="Arial"/>
          <w:szCs w:val="21"/>
        </w:rPr>
        <w:t>工程继续施工，49#楼地库顶板混凝土浇筑完成，43#楼绑扎地库顶板钢筋，48#楼地库顶板支模完成。</w:t>
      </w:r>
    </w:p>
    <w:p>
      <w:pPr>
        <w:spacing w:line="480" w:lineRule="auto"/>
        <w:ind w:firstLine="420" w:firstLineChars="200"/>
        <w:rPr>
          <w:rFonts w:ascii="Arial" w:hAnsi="Arial" w:cs="Arial"/>
          <w:szCs w:val="21"/>
        </w:rPr>
      </w:pPr>
      <w:r>
        <w:rPr>
          <w:rFonts w:ascii="Arial" w:hAnsi="Arial" w:cs="Arial"/>
          <w:szCs w:val="21"/>
        </w:rPr>
        <w:t>A地块内存在尚未拆迁房屋，现场围挡工程已经完工，现场管理人员办公区临时设施，工人生活区临时设施已施工完毕。</w:t>
      </w:r>
    </w:p>
    <w:p>
      <w:pPr>
        <w:spacing w:line="480" w:lineRule="auto"/>
        <w:ind w:firstLine="420" w:firstLineChars="200"/>
        <w:rPr>
          <w:rFonts w:ascii="Arial" w:hAnsi="Arial" w:cs="Arial"/>
          <w:szCs w:val="21"/>
        </w:rPr>
      </w:pPr>
      <w:r>
        <w:rPr>
          <w:rFonts w:ascii="Arial" w:hAnsi="Arial" w:cs="Arial"/>
          <w:szCs w:val="21"/>
        </w:rPr>
        <w:t>（转下页）</w:t>
      </w:r>
    </w:p>
    <w:p>
      <w:pPr>
        <w:spacing w:line="360" w:lineRule="auto"/>
        <w:rPr>
          <w:rFonts w:ascii="Arial" w:hAnsi="Arial" w:cs="Arial"/>
          <w:b/>
          <w:bCs/>
          <w:kern w:val="44"/>
          <w:szCs w:val="21"/>
        </w:rPr>
      </w:pPr>
      <w:r>
        <w:rPr>
          <w:rFonts w:ascii="Arial" w:hAnsi="Arial" w:cs="Arial"/>
          <w:szCs w:val="21"/>
        </w:rPr>
        <w:br w:type="page"/>
      </w:r>
      <w:bookmarkStart w:id="18" w:name="_Toc14087"/>
      <w:bookmarkStart w:id="19" w:name="_Toc18774"/>
      <w:r>
        <w:rPr>
          <w:rFonts w:ascii="Arial" w:hAnsi="Arial" w:cs="Arial"/>
          <w:b/>
          <w:bCs/>
          <w:kern w:val="44"/>
          <w:szCs w:val="21"/>
        </w:rPr>
        <w:t>B地块现场照片</w:t>
      </w:r>
      <w:bookmarkEnd w:id="18"/>
      <w:bookmarkEnd w:id="19"/>
    </w:p>
    <w:p>
      <w:pPr>
        <w:spacing w:line="360" w:lineRule="auto"/>
        <w:rPr>
          <w:rFonts w:ascii="Arial" w:hAnsi="Arial" w:cs="Arial" w:eastAsiaTheme="minorEastAsia"/>
          <w:b/>
          <w:color w:val="000000"/>
          <w:szCs w:val="21"/>
        </w:rPr>
      </w:pPr>
      <w:r>
        <w:rPr>
          <w:rFonts w:ascii="Arial" w:hAnsi="Arial" w:cs="Arial" w:eastAsiaTheme="minorEastAsia"/>
          <w:color w:val="000000"/>
          <w:sz w:val="18"/>
          <w:szCs w:val="18"/>
        </w:rPr>
        <w:drawing>
          <wp:inline distT="0" distB="0" distL="114300" distR="114300">
            <wp:extent cx="2687955" cy="2016125"/>
            <wp:effectExtent l="0" t="0" r="17145" b="3175"/>
            <wp:docPr id="1" name="图片 1" descr="301d80fd530b93cce62a635c7f7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1d80fd530b93cce62a635c7f7ddc8"/>
                    <pic:cNvPicPr>
                      <a:picLocks noChangeAspect="1"/>
                    </pic:cNvPicPr>
                  </pic:nvPicPr>
                  <pic:blipFill>
                    <a:blip r:embed="rId9"/>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b/>
          <w:color w:val="000000"/>
          <w:szCs w:val="21"/>
        </w:rPr>
        <w:drawing>
          <wp:inline distT="0" distB="0" distL="114300" distR="114300">
            <wp:extent cx="2687955" cy="2016125"/>
            <wp:effectExtent l="0" t="0" r="17145" b="3175"/>
            <wp:docPr id="24" name="图片 24" descr="3ddd9ea303059eb9fdd52ade5d70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ddd9ea303059eb9fdd52ade5d706c9"/>
                    <pic:cNvPicPr>
                      <a:picLocks noChangeAspect="1"/>
                    </pic:cNvPicPr>
                  </pic:nvPicPr>
                  <pic:blipFill>
                    <a:blip r:embed="rId10"/>
                    <a:stretch>
                      <a:fillRect/>
                    </a:stretch>
                  </pic:blipFill>
                  <pic:spPr>
                    <a:xfrm>
                      <a:off x="0" y="0"/>
                      <a:ext cx="2687955" cy="2016125"/>
                    </a:xfrm>
                    <a:prstGeom prst="rect">
                      <a:avLst/>
                    </a:prstGeom>
                  </pic:spPr>
                </pic:pic>
              </a:graphicData>
            </a:graphic>
          </wp:inline>
        </w:drawing>
      </w:r>
    </w:p>
    <w:p>
      <w:pPr>
        <w:spacing w:line="480" w:lineRule="auto"/>
        <w:rPr>
          <w:rFonts w:ascii="Arial" w:hAnsi="Arial" w:cs="Arial"/>
          <w:color w:val="000000"/>
          <w:sz w:val="18"/>
          <w:szCs w:val="18"/>
        </w:rPr>
      </w:pPr>
      <w:bookmarkStart w:id="20" w:name="_Toc29345"/>
      <w:bookmarkStart w:id="21" w:name="_Toc23446"/>
      <w:r>
        <w:rPr>
          <w:rFonts w:ascii="Arial" w:hAnsi="Arial" w:cs="Arial"/>
          <w:sz w:val="18"/>
        </w:rPr>
        <w:t>1、</w:t>
      </w:r>
      <w:r>
        <w:rPr>
          <w:rFonts w:hint="eastAsia" w:ascii="Arial" w:hAnsi="Arial" w:cs="Arial"/>
          <w:sz w:val="18"/>
        </w:rPr>
        <w:t>39#楼、40#楼、44#楼、45#楼主体结构已封顶</w:t>
      </w:r>
      <w:r>
        <w:rPr>
          <w:rFonts w:ascii="Arial" w:hAnsi="Arial" w:cs="Arial"/>
          <w:sz w:val="18"/>
        </w:rPr>
        <w:t xml:space="preserve">   </w:t>
      </w:r>
      <w:r>
        <w:rPr>
          <w:rFonts w:hint="eastAsia" w:ascii="Arial" w:hAnsi="Arial" w:cs="Arial"/>
          <w:sz w:val="18"/>
        </w:rPr>
        <w:t xml:space="preserve">  </w:t>
      </w:r>
      <w:r>
        <w:rPr>
          <w:rFonts w:ascii="Arial" w:hAnsi="Arial" w:cs="Arial"/>
          <w:sz w:val="18"/>
        </w:rPr>
        <w:t>2、</w:t>
      </w:r>
      <w:bookmarkEnd w:id="20"/>
      <w:bookmarkEnd w:id="21"/>
      <w:r>
        <w:rPr>
          <w:rFonts w:hint="eastAsia" w:ascii="Arial" w:hAnsi="Arial" w:cs="Arial"/>
          <w:sz w:val="18"/>
        </w:rPr>
        <w:t>39#楼样板间精装修工程施工中</w:t>
      </w:r>
    </w:p>
    <w:p>
      <w:pPr>
        <w:spacing w:line="480" w:lineRule="auto"/>
        <w:rPr>
          <w:rFonts w:ascii="Arial" w:hAnsi="Arial" w:cs="Arial" w:eastAsiaTheme="minorEastAsia"/>
          <w:color w:val="000000"/>
          <w:sz w:val="18"/>
          <w:szCs w:val="18"/>
        </w:rPr>
      </w:pPr>
      <w:bookmarkStart w:id="22" w:name="_Toc29900"/>
    </w:p>
    <w:p>
      <w:pPr>
        <w:spacing w:line="480" w:lineRule="auto"/>
        <w:rPr>
          <w:rFonts w:ascii="Arial" w:hAnsi="Arial" w:cs="Arial" w:eastAsiaTheme="minorEastAsia"/>
          <w:color w:val="000000"/>
          <w:sz w:val="18"/>
          <w:szCs w:val="18"/>
        </w:rPr>
      </w:pPr>
      <w:bookmarkStart w:id="23" w:name="_Toc12001"/>
      <w:r>
        <w:rPr>
          <w:rFonts w:ascii="Arial" w:hAnsi="Arial" w:cs="Arial" w:eastAsiaTheme="minorEastAsia"/>
          <w:color w:val="000000"/>
          <w:sz w:val="18"/>
          <w:szCs w:val="18"/>
        </w:rPr>
        <w:drawing>
          <wp:inline distT="0" distB="0" distL="114300" distR="114300">
            <wp:extent cx="2687955" cy="2016125"/>
            <wp:effectExtent l="0" t="0" r="17145" b="3175"/>
            <wp:docPr id="3" name="图片 3" descr="4eaf5bafd0a51a281d1065749e6e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af5bafd0a51a281d1065749e6e4a8"/>
                    <pic:cNvPicPr>
                      <a:picLocks noChangeAspect="1"/>
                    </pic:cNvPicPr>
                  </pic:nvPicPr>
                  <pic:blipFill>
                    <a:blip r:embed="rId11"/>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22"/>
      <w:bookmarkEnd w:id="23"/>
      <w:r>
        <w:rPr>
          <w:rFonts w:hint="eastAsia" w:ascii="Arial" w:hAnsi="Arial" w:cs="Arial" w:eastAsiaTheme="minorEastAsia"/>
          <w:color w:val="000000"/>
          <w:sz w:val="18"/>
          <w:szCs w:val="18"/>
        </w:rPr>
        <w:drawing>
          <wp:inline distT="0" distB="0" distL="114300" distR="114300">
            <wp:extent cx="2689860" cy="2016125"/>
            <wp:effectExtent l="0" t="0" r="15240" b="3175"/>
            <wp:docPr id="12" name="图片 12" descr="fc59a3932b4b9d330160d87b37d8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59a3932b4b9d330160d87b37d8f7a"/>
                    <pic:cNvPicPr>
                      <a:picLocks noChangeAspect="1"/>
                    </pic:cNvPicPr>
                  </pic:nvPicPr>
                  <pic:blipFill>
                    <a:blip r:embed="rId12"/>
                    <a:stretch>
                      <a:fillRect/>
                    </a:stretch>
                  </pic:blipFill>
                  <pic:spPr>
                    <a:xfrm>
                      <a:off x="0" y="0"/>
                      <a:ext cx="2689860" cy="2016125"/>
                    </a:xfrm>
                    <a:prstGeom prst="rect">
                      <a:avLst/>
                    </a:prstGeom>
                  </pic:spPr>
                </pic:pic>
              </a:graphicData>
            </a:graphic>
          </wp:inline>
        </w:drawing>
      </w:r>
    </w:p>
    <w:p>
      <w:pPr>
        <w:tabs>
          <w:tab w:val="left" w:pos="5070"/>
        </w:tabs>
        <w:rPr>
          <w:rFonts w:ascii="Arial" w:hAnsi="Arial" w:cs="Arial"/>
          <w:sz w:val="18"/>
        </w:rPr>
      </w:pPr>
      <w:bookmarkStart w:id="24" w:name="_Toc164"/>
      <w:bookmarkStart w:id="25" w:name="_Toc18028"/>
      <w:r>
        <w:rPr>
          <w:rFonts w:ascii="Arial" w:hAnsi="Arial" w:cs="Arial"/>
          <w:sz w:val="18"/>
        </w:rPr>
        <w:t>3、</w:t>
      </w:r>
      <w:r>
        <w:rPr>
          <w:rFonts w:hint="eastAsia" w:ascii="Arial" w:hAnsi="Arial" w:cs="Arial"/>
          <w:sz w:val="18"/>
        </w:rPr>
        <w:t>13#楼外墙抹灰工程施工中</w:t>
      </w:r>
      <w:r>
        <w:rPr>
          <w:rFonts w:ascii="Arial" w:hAnsi="Arial" w:cs="Arial"/>
          <w:sz w:val="18"/>
        </w:rPr>
        <w:t xml:space="preserve">                       4、</w:t>
      </w:r>
      <w:r>
        <w:rPr>
          <w:rFonts w:hint="eastAsia" w:ascii="Arial" w:hAnsi="Arial" w:cs="Arial"/>
          <w:sz w:val="18"/>
        </w:rPr>
        <w:t>28</w:t>
      </w:r>
      <w:r>
        <w:rPr>
          <w:rFonts w:ascii="Arial" w:hAnsi="Arial" w:cs="Arial"/>
          <w:sz w:val="18"/>
        </w:rPr>
        <w:t>#楼</w:t>
      </w:r>
      <w:bookmarkEnd w:id="24"/>
      <w:bookmarkEnd w:id="25"/>
      <w:r>
        <w:rPr>
          <w:rFonts w:hint="eastAsia" w:ascii="Arial" w:hAnsi="Arial" w:cs="Arial"/>
          <w:sz w:val="18"/>
        </w:rPr>
        <w:t>砌筑四层墙体</w:t>
      </w:r>
    </w:p>
    <w:p>
      <w:pPr>
        <w:spacing w:line="480" w:lineRule="auto"/>
        <w:rPr>
          <w:rFonts w:ascii="Arial" w:hAnsi="Arial" w:cs="Arial" w:eastAsiaTheme="minorEastAsia"/>
          <w:color w:val="000000"/>
          <w:sz w:val="18"/>
          <w:szCs w:val="18"/>
        </w:rPr>
      </w:pPr>
      <w:bookmarkStart w:id="26" w:name="_Toc17430"/>
    </w:p>
    <w:p>
      <w:pPr>
        <w:spacing w:line="480" w:lineRule="auto"/>
        <w:rPr>
          <w:rFonts w:ascii="Arial" w:hAnsi="Arial" w:cs="Arial" w:eastAsiaTheme="minorEastAsia"/>
          <w:color w:val="000000"/>
          <w:sz w:val="18"/>
          <w:szCs w:val="18"/>
        </w:rPr>
      </w:pPr>
      <w:bookmarkStart w:id="27" w:name="_Toc7621"/>
      <w:r>
        <w:rPr>
          <w:rFonts w:ascii="Arial" w:hAnsi="Arial" w:cs="Arial" w:eastAsiaTheme="minorEastAsia"/>
          <w:color w:val="000000"/>
          <w:sz w:val="18"/>
          <w:szCs w:val="18"/>
        </w:rPr>
        <w:drawing>
          <wp:inline distT="0" distB="0" distL="114300" distR="114300">
            <wp:extent cx="2676525" cy="2016125"/>
            <wp:effectExtent l="0" t="0" r="9525" b="3175"/>
            <wp:docPr id="4" name="图片 4" descr="cca604337b59c75b6174fa6195e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a604337b59c75b6174fa6195e7b70"/>
                    <pic:cNvPicPr>
                      <a:picLocks noChangeAspect="1"/>
                    </pic:cNvPicPr>
                  </pic:nvPicPr>
                  <pic:blipFill>
                    <a:blip r:embed="rId13"/>
                    <a:stretch>
                      <a:fillRect/>
                    </a:stretch>
                  </pic:blipFill>
                  <pic:spPr>
                    <a:xfrm>
                      <a:off x="0" y="0"/>
                      <a:ext cx="2676525" cy="2016125"/>
                    </a:xfrm>
                    <a:prstGeom prst="rect">
                      <a:avLst/>
                    </a:prstGeom>
                  </pic:spPr>
                </pic:pic>
              </a:graphicData>
            </a:graphic>
          </wp:inline>
        </w:drawing>
      </w:r>
      <w:r>
        <w:rPr>
          <w:rFonts w:ascii="Arial" w:hAnsi="Arial" w:cs="Arial" w:eastAsiaTheme="minorEastAsia"/>
          <w:color w:val="000000"/>
          <w:sz w:val="18"/>
          <w:szCs w:val="18"/>
        </w:rPr>
        <w:t xml:space="preserve"> </w:t>
      </w:r>
      <w:bookmarkEnd w:id="26"/>
      <w:bookmarkEnd w:id="27"/>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75255" cy="2016125"/>
            <wp:effectExtent l="0" t="0" r="10795" b="3175"/>
            <wp:docPr id="5" name="图片 5" descr="85a261a7dcde47738b929b76f8d8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a261a7dcde47738b929b76f8d8e47"/>
                    <pic:cNvPicPr>
                      <a:picLocks noChangeAspect="1"/>
                    </pic:cNvPicPr>
                  </pic:nvPicPr>
                  <pic:blipFill>
                    <a:blip r:embed="rId14"/>
                    <a:stretch>
                      <a:fillRect/>
                    </a:stretch>
                  </pic:blipFill>
                  <pic:spPr>
                    <a:xfrm>
                      <a:off x="0" y="0"/>
                      <a:ext cx="2675255" cy="2016125"/>
                    </a:xfrm>
                    <a:prstGeom prst="rect">
                      <a:avLst/>
                    </a:prstGeom>
                  </pic:spPr>
                </pic:pic>
              </a:graphicData>
            </a:graphic>
          </wp:inline>
        </w:drawing>
      </w:r>
    </w:p>
    <w:p>
      <w:pPr>
        <w:tabs>
          <w:tab w:val="left" w:pos="5070"/>
        </w:tabs>
        <w:rPr>
          <w:rFonts w:ascii="Arial" w:hAnsi="Arial" w:cs="Arial"/>
          <w:sz w:val="18"/>
        </w:rPr>
      </w:pPr>
      <w:bookmarkStart w:id="28" w:name="_Toc17067"/>
      <w:bookmarkStart w:id="29" w:name="_Toc15966"/>
      <w:r>
        <w:rPr>
          <w:rFonts w:ascii="Arial" w:hAnsi="Arial" w:cs="Arial"/>
          <w:sz w:val="18"/>
        </w:rPr>
        <w:t>5、</w:t>
      </w:r>
      <w:r>
        <w:rPr>
          <w:rFonts w:hint="eastAsia" w:ascii="Arial" w:hAnsi="Arial" w:cs="Arial"/>
          <w:sz w:val="18"/>
        </w:rPr>
        <w:t>营销中心已开放</w:t>
      </w:r>
      <w:r>
        <w:rPr>
          <w:rFonts w:ascii="Arial" w:hAnsi="Arial" w:cs="Arial"/>
          <w:sz w:val="18"/>
        </w:rPr>
        <w:t xml:space="preserve">                  </w:t>
      </w:r>
      <w:r>
        <w:rPr>
          <w:rFonts w:hint="eastAsia" w:ascii="Arial" w:hAnsi="Arial" w:cs="Arial"/>
          <w:sz w:val="18"/>
        </w:rPr>
        <w:t xml:space="preserve">              </w:t>
      </w:r>
      <w:r>
        <w:rPr>
          <w:rFonts w:ascii="Arial" w:hAnsi="Arial" w:cs="Arial"/>
          <w:sz w:val="18"/>
        </w:rPr>
        <w:t>6、</w:t>
      </w:r>
      <w:bookmarkEnd w:id="28"/>
      <w:bookmarkEnd w:id="29"/>
      <w:r>
        <w:rPr>
          <w:rFonts w:hint="eastAsia" w:ascii="Arial" w:hAnsi="Arial" w:cs="Arial"/>
          <w:sz w:val="18"/>
        </w:rPr>
        <w:t>项目地块现场概况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r>
        <w:rPr>
          <w:rFonts w:ascii="Arial" w:hAnsi="Arial" w:cs="Arial" w:eastAsiaTheme="minorEastAsia"/>
          <w:color w:val="000000"/>
          <w:szCs w:val="21"/>
        </w:rPr>
        <w:t>(转下页)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p>
    <w:p>
      <w:pPr>
        <w:spacing w:line="360" w:lineRule="auto"/>
        <w:rPr>
          <w:rFonts w:ascii="Arial" w:hAnsi="Arial" w:cs="Arial" w:eastAsiaTheme="minorEastAsia"/>
          <w:b/>
          <w:color w:val="000000"/>
          <w:szCs w:val="21"/>
        </w:rPr>
      </w:pPr>
      <w:bookmarkStart w:id="30" w:name="_Toc12966"/>
      <w:bookmarkStart w:id="31" w:name="_Toc21457"/>
      <w:r>
        <w:rPr>
          <w:rFonts w:ascii="Arial" w:hAnsi="Arial" w:cs="Arial" w:eastAsiaTheme="minorEastAsia"/>
          <w:b/>
          <w:color w:val="000000"/>
          <w:szCs w:val="21"/>
        </w:rPr>
        <w:t>B地块现场照片</w:t>
      </w:r>
      <w:bookmarkEnd w:id="30"/>
      <w:bookmarkEnd w:id="31"/>
    </w:p>
    <w:p>
      <w:pPr>
        <w:spacing w:line="360" w:lineRule="auto"/>
        <w:rPr>
          <w:rFonts w:ascii="Arial" w:hAnsi="Arial" w:cs="Arial" w:eastAsiaTheme="minorEastAsia"/>
          <w:b/>
          <w:color w:val="000000"/>
          <w:szCs w:val="21"/>
        </w:rPr>
      </w:pPr>
    </w:p>
    <w:p>
      <w:pPr>
        <w:spacing w:line="480" w:lineRule="auto"/>
        <w:rPr>
          <w:rFonts w:ascii="Arial" w:hAnsi="Arial" w:cs="Arial" w:eastAsiaTheme="minorEastAsia"/>
          <w:color w:val="000000"/>
          <w:sz w:val="18"/>
          <w:szCs w:val="18"/>
        </w:rPr>
      </w:pPr>
      <w:bookmarkStart w:id="32" w:name="_Toc26676"/>
      <w:bookmarkStart w:id="33" w:name="_Toc7794"/>
      <w:r>
        <w:rPr>
          <w:rFonts w:ascii="Arial" w:hAnsi="Arial" w:cs="Arial" w:eastAsiaTheme="minorEastAsia"/>
          <w:color w:val="000000"/>
          <w:sz w:val="18"/>
          <w:szCs w:val="18"/>
        </w:rPr>
        <w:drawing>
          <wp:inline distT="0" distB="0" distL="114300" distR="114300">
            <wp:extent cx="2687955" cy="2016125"/>
            <wp:effectExtent l="0" t="0" r="17145" b="3175"/>
            <wp:docPr id="10" name="图片 10" descr="11ded2b6222457858001b0509954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ded2b6222457858001b0509954a82"/>
                    <pic:cNvPicPr>
                      <a:picLocks noChangeAspect="1"/>
                    </pic:cNvPicPr>
                  </pic:nvPicPr>
                  <pic:blipFill>
                    <a:blip r:embed="rId15"/>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2"/>
      <w:bookmarkEnd w:id="33"/>
      <w:r>
        <w:rPr>
          <w:rFonts w:hint="eastAsia" w:ascii="Arial" w:hAnsi="Arial" w:cs="Arial" w:eastAsiaTheme="minorEastAsia"/>
          <w:color w:val="000000"/>
          <w:sz w:val="18"/>
          <w:szCs w:val="18"/>
        </w:rPr>
        <w:drawing>
          <wp:inline distT="0" distB="0" distL="114300" distR="114300">
            <wp:extent cx="2687955" cy="2016125"/>
            <wp:effectExtent l="0" t="0" r="17145" b="3175"/>
            <wp:docPr id="11" name="图片 11" descr="f5a804772150487ef96923fb78bd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a804772150487ef96923fb78bd298"/>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34" w:name="_Toc15089"/>
      <w:bookmarkStart w:id="35" w:name="_Toc7416"/>
      <w:r>
        <w:rPr>
          <w:rFonts w:ascii="Arial" w:hAnsi="Arial" w:cs="Arial"/>
          <w:sz w:val="18"/>
        </w:rPr>
        <w:t>7、合院1#楼</w:t>
      </w:r>
      <w:r>
        <w:rPr>
          <w:rFonts w:hint="eastAsia" w:ascii="Arial" w:hAnsi="Arial" w:cs="Arial"/>
          <w:sz w:val="18"/>
        </w:rPr>
        <w:t>屋面瓦铺设中</w:t>
      </w:r>
      <w:r>
        <w:rPr>
          <w:rFonts w:ascii="Arial" w:hAnsi="Arial" w:cs="Arial"/>
          <w:sz w:val="18"/>
        </w:rPr>
        <w:t xml:space="preserve">                  </w:t>
      </w:r>
      <w:r>
        <w:rPr>
          <w:rFonts w:hint="eastAsia" w:ascii="Arial" w:hAnsi="Arial" w:cs="Arial"/>
          <w:sz w:val="18"/>
        </w:rPr>
        <w:t xml:space="preserve">       </w:t>
      </w:r>
      <w:r>
        <w:rPr>
          <w:rFonts w:ascii="Arial" w:hAnsi="Arial" w:cs="Arial"/>
          <w:sz w:val="18"/>
        </w:rPr>
        <w:t xml:space="preserve"> 8、合院2#</w:t>
      </w:r>
      <w:bookmarkEnd w:id="34"/>
      <w:r>
        <w:rPr>
          <w:rFonts w:ascii="Arial" w:hAnsi="Arial" w:cs="Arial"/>
          <w:sz w:val="18"/>
        </w:rPr>
        <w:t>楼</w:t>
      </w:r>
      <w:bookmarkEnd w:id="35"/>
      <w:r>
        <w:rPr>
          <w:rFonts w:hint="eastAsia" w:ascii="Arial" w:hAnsi="Arial" w:cs="Arial"/>
          <w:sz w:val="18"/>
        </w:rPr>
        <w:t>一层铝合金安装中</w:t>
      </w:r>
    </w:p>
    <w:p>
      <w:pPr>
        <w:spacing w:line="480" w:lineRule="auto"/>
        <w:rPr>
          <w:rFonts w:ascii="Arial" w:hAnsi="Arial" w:cs="Arial" w:eastAsiaTheme="minorEastAsia"/>
          <w:color w:val="000000"/>
          <w:sz w:val="18"/>
          <w:szCs w:val="18"/>
        </w:rPr>
      </w:pPr>
      <w:bookmarkStart w:id="36" w:name="_Toc3219"/>
    </w:p>
    <w:p>
      <w:pPr>
        <w:spacing w:line="480" w:lineRule="auto"/>
        <w:rPr>
          <w:rFonts w:ascii="Arial" w:hAnsi="Arial" w:cs="Arial" w:eastAsiaTheme="minorEastAsia"/>
          <w:color w:val="000000"/>
          <w:sz w:val="18"/>
          <w:szCs w:val="18"/>
        </w:rPr>
      </w:pPr>
      <w:bookmarkStart w:id="37" w:name="_Toc22892"/>
      <w:r>
        <w:rPr>
          <w:rFonts w:ascii="Arial" w:hAnsi="Arial" w:cs="Arial" w:eastAsiaTheme="minorEastAsia"/>
          <w:color w:val="000000"/>
          <w:sz w:val="18"/>
          <w:szCs w:val="18"/>
        </w:rPr>
        <w:drawing>
          <wp:inline distT="0" distB="0" distL="114300" distR="114300">
            <wp:extent cx="2687955" cy="2016125"/>
            <wp:effectExtent l="0" t="0" r="17145" b="3175"/>
            <wp:docPr id="6" name="图片 6" descr="b69ea27472e581dc3c2cff682906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9ea27472e581dc3c2cff682906b0d"/>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6"/>
      <w:bookmarkEnd w:id="37"/>
      <w:r>
        <w:rPr>
          <w:rFonts w:hint="eastAsia" w:ascii="Arial" w:hAnsi="Arial" w:cs="Arial" w:eastAsiaTheme="minorEastAsia"/>
          <w:color w:val="000000"/>
          <w:sz w:val="18"/>
          <w:szCs w:val="18"/>
        </w:rPr>
        <w:drawing>
          <wp:inline distT="0" distB="0" distL="114300" distR="114300">
            <wp:extent cx="2687955" cy="2016125"/>
            <wp:effectExtent l="0" t="0" r="17145" b="3175"/>
            <wp:docPr id="8" name="图片 8" descr="7942c6df3232e73c0f881344bff3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42c6df3232e73c0f881344bff37cf"/>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38" w:name="_Toc14155"/>
      <w:bookmarkStart w:id="39" w:name="_Toc10621"/>
      <w:r>
        <w:rPr>
          <w:rFonts w:ascii="Arial" w:hAnsi="Arial" w:cs="Arial"/>
          <w:sz w:val="18"/>
        </w:rPr>
        <w:t>9、合院3#楼</w:t>
      </w:r>
      <w:r>
        <w:rPr>
          <w:rFonts w:hint="eastAsia" w:ascii="Arial" w:hAnsi="Arial" w:cs="Arial"/>
          <w:sz w:val="18"/>
        </w:rPr>
        <w:t>巷道脚手架拆除中</w:t>
      </w:r>
      <w:r>
        <w:rPr>
          <w:rFonts w:ascii="Arial" w:hAnsi="Arial" w:cs="Arial"/>
          <w:sz w:val="18"/>
        </w:rPr>
        <w:t xml:space="preserve">                   </w:t>
      </w:r>
      <w:r>
        <w:rPr>
          <w:rFonts w:hint="eastAsia" w:ascii="Arial" w:hAnsi="Arial" w:cs="Arial"/>
          <w:sz w:val="18"/>
        </w:rPr>
        <w:t xml:space="preserve">  </w:t>
      </w:r>
      <w:r>
        <w:rPr>
          <w:rFonts w:ascii="Arial" w:hAnsi="Arial" w:cs="Arial"/>
          <w:sz w:val="18"/>
        </w:rPr>
        <w:t>10、</w:t>
      </w:r>
      <w:bookmarkEnd w:id="38"/>
      <w:bookmarkEnd w:id="39"/>
      <w:r>
        <w:rPr>
          <w:rFonts w:hint="eastAsia" w:ascii="Arial" w:hAnsi="Arial" w:cs="Arial"/>
          <w:sz w:val="18"/>
        </w:rPr>
        <w:t>49#楼地库顶板混凝土浇筑完成</w:t>
      </w:r>
    </w:p>
    <w:p>
      <w:pPr>
        <w:spacing w:line="480" w:lineRule="auto"/>
        <w:rPr>
          <w:rFonts w:ascii="Arial" w:hAnsi="Arial" w:cs="Arial" w:eastAsiaTheme="minorEastAsia"/>
          <w:color w:val="000000"/>
          <w:sz w:val="18"/>
          <w:szCs w:val="18"/>
        </w:rPr>
      </w:pPr>
    </w:p>
    <w:p>
      <w:pPr>
        <w:widowControl/>
        <w:spacing w:line="480" w:lineRule="auto"/>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7955" cy="2016125"/>
            <wp:effectExtent l="0" t="0" r="17145" b="3175"/>
            <wp:docPr id="7" name="图片 7" descr="46309c267f2b4c3ade19de17756f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6309c267f2b4c3ade19de17756f292"/>
                    <pic:cNvPicPr>
                      <a:picLocks noChangeAspect="1"/>
                    </pic:cNvPicPr>
                  </pic:nvPicPr>
                  <pic:blipFill>
                    <a:blip r:embed="rId19"/>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955" cy="2016125"/>
            <wp:effectExtent l="0" t="0" r="17145" b="3175"/>
            <wp:docPr id="9" name="图片 9" descr="12dce41a7dde4166e016e4fff29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dce41a7dde4166e016e4fff29656e"/>
                    <pic:cNvPicPr>
                      <a:picLocks noChangeAspect="1"/>
                    </pic:cNvPicPr>
                  </pic:nvPicPr>
                  <pic:blipFill>
                    <a:blip r:embed="rId20"/>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40" w:name="_Toc431"/>
      <w:bookmarkStart w:id="41" w:name="_Toc3900"/>
      <w:r>
        <w:rPr>
          <w:rFonts w:ascii="Arial" w:hAnsi="Arial" w:cs="Arial"/>
          <w:sz w:val="18"/>
        </w:rPr>
        <w:t>11、</w:t>
      </w:r>
      <w:r>
        <w:rPr>
          <w:rFonts w:hint="eastAsia" w:ascii="Arial" w:hAnsi="Arial" w:cs="Arial"/>
          <w:sz w:val="18"/>
        </w:rPr>
        <w:t>43#楼绑扎地库顶板钢筋</w:t>
      </w:r>
      <w:r>
        <w:rPr>
          <w:rFonts w:ascii="Arial" w:hAnsi="Arial" w:cs="Arial"/>
          <w:sz w:val="18"/>
        </w:rPr>
        <w:t xml:space="preserve">                        12、</w:t>
      </w:r>
      <w:bookmarkEnd w:id="40"/>
      <w:bookmarkEnd w:id="41"/>
      <w:r>
        <w:rPr>
          <w:rFonts w:hint="eastAsia" w:ascii="Arial" w:hAnsi="Arial" w:cs="Arial"/>
          <w:sz w:val="18"/>
        </w:rPr>
        <w:t>48#楼地库顶板支模完成</w:t>
      </w:r>
    </w:p>
    <w:p>
      <w:pPr>
        <w:spacing w:line="480" w:lineRule="auto"/>
        <w:jc w:val="left"/>
        <w:rPr>
          <w:rFonts w:ascii="Arial" w:hAnsi="Arial" w:cs="Arial" w:eastAsiaTheme="minorEastAsia"/>
          <w:kern w:val="44"/>
          <w:sz w:val="24"/>
        </w:rPr>
      </w:pPr>
    </w:p>
    <w:p>
      <w:pPr>
        <w:spacing w:line="480" w:lineRule="auto"/>
        <w:rPr>
          <w:rFonts w:ascii="Arial" w:hAnsi="Arial" w:cs="Arial"/>
          <w:szCs w:val="21"/>
        </w:rPr>
      </w:pPr>
    </w:p>
    <w:p>
      <w:pPr>
        <w:pStyle w:val="3"/>
        <w:keepNext w:val="0"/>
        <w:keepLines w:val="0"/>
        <w:spacing w:before="300" w:after="300" w:line="360" w:lineRule="exact"/>
        <w:jc w:val="left"/>
        <w:rPr>
          <w:rFonts w:eastAsia="宋体" w:cs="Arial"/>
          <w:sz w:val="24"/>
          <w:szCs w:val="24"/>
        </w:rPr>
      </w:pPr>
      <w:bookmarkStart w:id="42" w:name="_Toc11207"/>
      <w:r>
        <w:rPr>
          <w:rFonts w:eastAsia="宋体" w:cs="Arial"/>
          <w:sz w:val="24"/>
          <w:szCs w:val="24"/>
        </w:rPr>
        <w:t>2.2证照办理情况说明</w:t>
      </w:r>
      <w:bookmarkEnd w:id="42"/>
    </w:p>
    <w:p>
      <w:pPr>
        <w:spacing w:before="240" w:beforeLines="100"/>
        <w:jc w:val="center"/>
        <w:rPr>
          <w:rFonts w:ascii="Arial" w:hAnsi="Arial" w:cs="Arial"/>
          <w:b/>
          <w:color w:val="000000"/>
          <w:sz w:val="24"/>
        </w:rPr>
      </w:pPr>
      <w:bookmarkStart w:id="43" w:name="_Toc13681"/>
      <w:bookmarkStart w:id="44" w:name="_Toc22226"/>
      <w:r>
        <w:rPr>
          <w:rFonts w:ascii="Arial" w:hAnsi="Arial" w:cs="Arial"/>
          <w:b/>
          <w:color w:val="000000"/>
          <w:sz w:val="24"/>
        </w:rPr>
        <w:t>证照办理计划及进度表</w:t>
      </w:r>
      <w:bookmarkEnd w:id="43"/>
      <w:bookmarkEnd w:id="44"/>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A、B地块《国有土地使用证》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A地块：2013年5月6日已取得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A地块：尚未取得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一期二标段1#-7#、13#-15#、18#、19#、22#-24#、28#-31#：2020年6月17日已取得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月13日提报道诚基金的《2020年度项目开发计划》为依据。</w:t>
      </w:r>
    </w:p>
    <w:bookmarkEnd w:id="9"/>
    <w:p>
      <w:pPr>
        <w:pStyle w:val="2"/>
        <w:keepNext w:val="0"/>
        <w:keepLines w:val="0"/>
        <w:spacing w:before="300" w:after="300" w:line="360" w:lineRule="exact"/>
        <w:jc w:val="left"/>
        <w:rPr>
          <w:rFonts w:ascii="Arial" w:hAnsi="Arial" w:cs="Arial"/>
          <w:color w:val="000000"/>
          <w:sz w:val="24"/>
          <w:szCs w:val="24"/>
        </w:rPr>
      </w:pPr>
      <w:bookmarkStart w:id="45" w:name="_Toc19074"/>
      <w:bookmarkStart w:id="46" w:name="_Toc535580094"/>
      <w:bookmarkStart w:id="47" w:name="_Toc532281660"/>
      <w:bookmarkStart w:id="48" w:name="_Toc535580026"/>
      <w:bookmarkStart w:id="49" w:name="_Toc535508639"/>
      <w:bookmarkStart w:id="50" w:name="_Toc535570753"/>
      <w:r>
        <w:rPr>
          <w:rFonts w:ascii="Arial" w:hAnsi="Arial" w:cs="Arial"/>
          <w:color w:val="000000"/>
          <w:sz w:val="24"/>
          <w:szCs w:val="24"/>
        </w:rPr>
        <w:t>3资金情况</w:t>
      </w:r>
      <w:bookmarkEnd w:id="45"/>
    </w:p>
    <w:p>
      <w:pPr>
        <w:pStyle w:val="3"/>
        <w:keepNext w:val="0"/>
        <w:keepLines w:val="0"/>
        <w:tabs>
          <w:tab w:val="center" w:pos="4649"/>
        </w:tabs>
        <w:spacing w:before="300" w:after="300" w:line="360" w:lineRule="exact"/>
        <w:jc w:val="left"/>
        <w:rPr>
          <w:rFonts w:eastAsia="宋体" w:cs="Arial"/>
          <w:sz w:val="24"/>
        </w:rPr>
      </w:pPr>
      <w:bookmarkStart w:id="51" w:name="_Toc5019"/>
      <w:r>
        <w:rPr>
          <w:rFonts w:eastAsia="宋体" w:cs="Arial"/>
          <w:sz w:val="24"/>
        </w:rPr>
        <w:t>3.1资金流出情况</w:t>
      </w:r>
      <w:bookmarkEnd w:id="51"/>
    </w:p>
    <w:p>
      <w:pPr>
        <w:spacing w:before="240" w:beforeLines="100"/>
        <w:jc w:val="center"/>
        <w:rPr>
          <w:rFonts w:ascii="Arial" w:hAnsi="Arial" w:cs="Arial"/>
          <w:b/>
          <w:color w:val="000000"/>
          <w:sz w:val="24"/>
        </w:rPr>
      </w:pPr>
      <w:bookmarkStart w:id="52" w:name="_Toc30107"/>
      <w:bookmarkStart w:id="53" w:name="_Toc23371"/>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月资金流出情况表</w:t>
      </w:r>
      <w:bookmarkEnd w:id="52"/>
      <w:bookmarkEnd w:id="53"/>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27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2020年6月份员工公积金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66,620.00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  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一期工程造价咨询费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中诚工程建设管理（苏州）股份有限公司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83,274.86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保险费（哈弗H7L,2020.6.15-2021.6.14、别克GL8,2020.6.26-2021.6.25、奥迪A6L,2020.6.15-2021.6.14）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中国人民财产保险股份有限公司常州市分公司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25,643.05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项目一期样板房精装修预付款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上海度量衡建筑装饰有限公司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287,815.13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户外大牌（延政路与湖滨路）第一笔款项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常州博纳文化传播有限公司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2020年3月26日至2020年4月25日品牌馆物业服务费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121,885.00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项目市区营销中心2020年4月水电费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星环物业管理（江苏）有限公司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8,512.18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沙盘模型制作第一笔款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上海市山之田模型设计有限公司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w:t>
            </w:r>
            <w:r>
              <w:rPr>
                <w:rFonts w:ascii="Arial" w:hAnsi="Arial" w:cs="Arial" w:eastAsiaTheme="minorEastAsia"/>
                <w:color w:val="000000"/>
                <w:kern w:val="0"/>
                <w:sz w:val="18"/>
                <w:szCs w:val="18"/>
              </w:rPr>
              <w:t>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常州江南里1.14-2.13广告设计策划费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6,776.5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杨晓君报销办公用品、办公杂项、劳保用品、低值耐耗品费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6,337.80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丁玲报销员工伤病慰问实物费（蔡婷婷、高钰龙、杨晓君）</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徐婷报销员工入职体检费（张震宇）</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511.00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徐婷报销员工入职体检费（奚渊）</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474.00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徐婷报销2月份员工防疫物品费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22,625.00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徐婷报销办公区加班点心费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647.63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2,460.01</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2,711.00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2,739.00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2,615.00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2,805.00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846.95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98,231.15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2020年5月非营销员工工资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全体员工（非营销）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350,306.35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项目地块水费（2020.5.6-2020.6.5)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18,637.67</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2020年5月电话费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5,448.23</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5月份预交增值税扣款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372,933.96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5月份城建税及教育费附加税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44,752.08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61"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5月份印花税扣款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12,037.70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5月份预交土增税扣款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263,540.00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预交建设工程合同纠纷（常州佳亚）一案上诉费用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江苏省常州市中级人民法院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2020年5月营销人员工资及佣金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213,148.82</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5月份员工工资个税扣款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31,708.58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10</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项目二三期总包工程预付款（扣专业暂估价后合同金额的10%）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常州二建建设有限公司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39,858,322.14</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蓝城北方工程管理费（2019年9月）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一期低密区（1-7、13-15、18-19、22-24、28-31号楼）及49号楼廉租房配建费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4,908,429.00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户外广告发布（湖塘纺织城、铜马商务楼、湟里）第一笔款项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111,600.00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卓正分销代理2020年4月份佣金付款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常州卓正房地产代理有限公司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3,407.00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项目市区营销中心2020年5月水电费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星环物业管理（江苏）有限公司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14,167.96</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支付杭州杭景营销中心沙盘模型三期款及景观、建筑优化费用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杭州杭景模型有限公司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46,200.00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3月常规物料制作费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常州华麒文化传媒有限公司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68,693.00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户外广告发布（延政路与龙江路高架桥户外广告）第一笔款项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常州市永乐文化传播有限公司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52,200.00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户外广告发布（淹城路落地大牌）尾款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常州市永乐文化传播有限公司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78,400.00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2019年财务报表审计费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尤尼泰振青会计师事务所有限公司江苏分所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公司房地产开发暂定资质办理信息咨询服务费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南京文越企业管理信息服务有限公司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9,100.00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世贸办公区2020年5月电费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896.00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沈娜报销品牌馆5月份办公用品、物业类易耗品费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4,686.99</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沈娜报销营销管理部5月份加班点心费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1,146.01</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万梨花报销1月份品牌馆水果费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徐婷报销新员工入职体检费（董化成）</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徐婷报销项目总经理徐志刚住宿费（2020.06.01-2020.06.30）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591.00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丁玲报销奥迪保养费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4,977.00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11</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2020年5月员工社保</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44,326.17</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归还借款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上海诚盈三期股权投资中心（有限合伙）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项目一期39#、40#、44#、45#楼电梯设备排产价款的60%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90,060.00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2020年6月社保、公积金北京代缴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67,511.65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支付品牌馆物业服务费（2020.4.26-2020.5.25）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121,885.80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支付品牌馆2020年7月-9月租赁费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吴俊</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营销中心6月份办公杂项付款（纯净水）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常州市高露达饮用水有限公司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营销管理部女装7人服装费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泰兴市浩静服装厂</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营销管理部工作服预付款（男装）</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江苏多盈彧贸易有限公司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38,687.00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户外广告分布（铜马商务楼）第一笔款项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42,300.00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员工宿舍莱蒙城57幢2002室2020.6.16-2020.12.15房屋租赁费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顾清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22,800.00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奥迪、别克、哈佛三辆公车油卡充值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预付办公区复印机租赁（2020.6-2020.8）及2020.3-2020.5超出费用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3,681.00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2020年工程系统员工工程服夏装、春秋装费用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杭州阳光服饰有限公司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6,116.00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北京康正宏基房地产评估有限公司2020.2.28-5.27监管服务费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北京康正宏基房地产评估有限公司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二三期造价咨询退投标保证金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江苏城建校工程咨询有限工农公司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沈娜报销品牌馆中央空调维修费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沈娜报销5月份快递费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高钰龙报销别克保养费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3,410.00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邵景健报销一期低密施工图扫描及文本制作费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1,956.00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徐婷报销3月份防疫礼包费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徐婷报销5月份防疫礼品费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徐婷报销新员工入职体检费（戴飞）</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丁玲报销ETC充值款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丁玲报销固定停车费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丁玲报销哈弗保养费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1,412.00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2,946.00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2,420.00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2,667.70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2,632.68</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2,846.00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2,865.00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2,686.00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2,983.00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2,910.00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2,918.00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2,942.00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2,986.00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2,937.00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2,458.00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2,738.00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2,704.00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2,965.00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2019年企业所得税汇算清缴鉴证费用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尤尼泰（常州）税务师事务所有限公司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一期铝合金门窗、幕墙深化设计合同第一次请款付款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安徽新视野门窗幕墙工程有限公司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56,070.00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设计费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常州江南里2020.2.14-2020.3.13广告设计策划费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武进经济开发区四桥头东北角地块项目一期35#、50#（营销中心）软装设计与采购合同第二批次请款付款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杭州必扬装饰工程有限公司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1,041,879.60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61</w:t>
            </w:r>
            <w:r>
              <w:rPr>
                <w:rFonts w:ascii="Arial" w:hAnsi="Arial" w:cs="Arial" w:eastAsiaTheme="minorEastAsia"/>
                <w:color w:val="000000"/>
                <w:sz w:val="18"/>
                <w:szCs w:val="18"/>
              </w:rPr>
              <w:t>,</w:t>
            </w:r>
            <w:r>
              <w:rPr>
                <w:rFonts w:hint="eastAsia" w:ascii="Arial" w:hAnsi="Arial" w:cs="Arial" w:eastAsiaTheme="minorEastAsia"/>
                <w:color w:val="000000"/>
                <w:sz w:val="18"/>
                <w:szCs w:val="18"/>
              </w:rPr>
              <w:t>983</w:t>
            </w:r>
            <w:r>
              <w:rPr>
                <w:rFonts w:ascii="Arial" w:hAnsi="Arial" w:cs="Arial" w:eastAsiaTheme="minorEastAsia"/>
                <w:color w:val="000000"/>
                <w:sz w:val="18"/>
                <w:szCs w:val="18"/>
              </w:rPr>
              <w:t>,</w:t>
            </w:r>
            <w:r>
              <w:rPr>
                <w:rFonts w:hint="eastAsia" w:ascii="Arial" w:hAnsi="Arial" w:cs="Arial" w:eastAsiaTheme="minorEastAsia"/>
                <w:color w:val="000000"/>
                <w:sz w:val="18"/>
                <w:szCs w:val="18"/>
              </w:rPr>
              <w:t>153</w:t>
            </w:r>
            <w:r>
              <w:rPr>
                <w:rFonts w:ascii="Arial" w:hAnsi="Arial" w:cs="Arial" w:eastAsiaTheme="minorEastAsia"/>
                <w:color w:val="000000"/>
                <w:sz w:val="18"/>
                <w:szCs w:val="18"/>
              </w:rPr>
              <w:t>.</w:t>
            </w:r>
            <w:r>
              <w:rPr>
                <w:rFonts w:hint="eastAsia" w:ascii="Arial" w:hAnsi="Arial" w:cs="Arial" w:eastAsiaTheme="minorEastAsia"/>
                <w:color w:val="000000"/>
                <w:sz w:val="18"/>
                <w:szCs w:val="18"/>
              </w:rPr>
              <w:t>35</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注：（1）电信公司电话费、员工社保、公积金、税金等为银行托管项目，银行根据申报金额自动扣款;</w:t>
      </w:r>
    </w:p>
    <w:p>
      <w:pPr>
        <w:rPr>
          <w:rFonts w:ascii="Arial" w:hAnsi="Arial" w:cs="Arial"/>
        </w:rPr>
      </w:pPr>
    </w:p>
    <w:p>
      <w:pPr>
        <w:rPr>
          <w:rFonts w:ascii="Arial" w:hAnsi="Arial" w:cs="Arial"/>
        </w:rPr>
      </w:pPr>
    </w:p>
    <w:p>
      <w:pPr>
        <w:pStyle w:val="3"/>
        <w:keepNext w:val="0"/>
        <w:keepLines w:val="0"/>
        <w:tabs>
          <w:tab w:val="center" w:pos="4649"/>
        </w:tabs>
        <w:spacing w:before="300" w:after="300" w:line="360" w:lineRule="exact"/>
        <w:jc w:val="left"/>
        <w:rPr>
          <w:rFonts w:eastAsia="宋体" w:cs="Arial"/>
          <w:sz w:val="24"/>
        </w:rPr>
      </w:pPr>
      <w:bookmarkStart w:id="54" w:name="_Toc15395"/>
      <w:r>
        <w:rPr>
          <w:rFonts w:eastAsia="宋体" w:cs="Arial"/>
          <w:sz w:val="24"/>
        </w:rPr>
        <w:t>3.2资金流入情况</w:t>
      </w:r>
      <w:bookmarkEnd w:id="54"/>
    </w:p>
    <w:p>
      <w:pPr>
        <w:spacing w:before="300" w:after="300" w:line="360" w:lineRule="exact"/>
        <w:jc w:val="left"/>
        <w:rPr>
          <w:rFonts w:ascii="Arial" w:hAnsi="Arial" w:cs="Arial"/>
          <w:b/>
          <w:sz w:val="24"/>
        </w:rPr>
      </w:pPr>
      <w:r>
        <w:rPr>
          <w:rFonts w:ascii="Arial" w:hAnsi="Arial" w:cs="Arial"/>
          <w:b/>
          <w:sz w:val="24"/>
        </w:rPr>
        <w:t>3.2.1销售回款流入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6</w:t>
      </w:r>
      <w:r>
        <w:rPr>
          <w:rFonts w:ascii="Arial" w:hAnsi="Arial" w:cs="Arial"/>
          <w:bCs/>
          <w:kern w:val="44"/>
          <w:szCs w:val="21"/>
        </w:rPr>
        <w:t>月项目公司销售回款应收总计</w:t>
      </w:r>
      <w:r>
        <w:rPr>
          <w:rFonts w:hint="eastAsia" w:ascii="Arial" w:hAnsi="Arial" w:cs="Arial"/>
          <w:bCs/>
          <w:kern w:val="44"/>
          <w:szCs w:val="21"/>
        </w:rPr>
        <w:t>134,499,139.00</w:t>
      </w:r>
      <w:r>
        <w:rPr>
          <w:rFonts w:ascii="Arial" w:hAnsi="Arial" w:cs="Arial"/>
          <w:bCs/>
          <w:kern w:val="44"/>
          <w:szCs w:val="21"/>
        </w:rPr>
        <w:t>元，其中定金应收款</w:t>
      </w:r>
      <w:r>
        <w:rPr>
          <w:rFonts w:hint="eastAsia" w:ascii="Arial" w:hAnsi="Arial" w:cs="Arial"/>
          <w:bCs/>
          <w:kern w:val="44"/>
          <w:szCs w:val="21"/>
        </w:rPr>
        <w:t>9,300</w:t>
      </w:r>
      <w:r>
        <w:rPr>
          <w:rFonts w:ascii="Arial" w:hAnsi="Arial" w:cs="Arial"/>
          <w:bCs/>
          <w:kern w:val="44"/>
          <w:szCs w:val="21"/>
        </w:rPr>
        <w:t>,000.00元，房款应收款</w:t>
      </w:r>
      <w:r>
        <w:rPr>
          <w:rFonts w:hint="eastAsia" w:ascii="Arial" w:hAnsi="Arial" w:cs="Arial"/>
          <w:bCs/>
          <w:kern w:val="44"/>
          <w:szCs w:val="21"/>
        </w:rPr>
        <w:t>119</w:t>
      </w:r>
      <w:r>
        <w:rPr>
          <w:rFonts w:ascii="Arial" w:hAnsi="Arial" w:cs="Arial"/>
          <w:bCs/>
          <w:kern w:val="44"/>
          <w:szCs w:val="21"/>
        </w:rPr>
        <w:t>,</w:t>
      </w:r>
      <w:r>
        <w:rPr>
          <w:rFonts w:hint="eastAsia" w:ascii="Arial" w:hAnsi="Arial" w:cs="Arial"/>
          <w:bCs/>
          <w:kern w:val="44"/>
          <w:szCs w:val="21"/>
        </w:rPr>
        <w:t>319</w:t>
      </w:r>
      <w:r>
        <w:rPr>
          <w:rFonts w:ascii="Arial" w:hAnsi="Arial" w:cs="Arial"/>
          <w:bCs/>
          <w:kern w:val="44"/>
          <w:szCs w:val="21"/>
        </w:rPr>
        <w:t>,</w:t>
      </w:r>
      <w:r>
        <w:rPr>
          <w:rFonts w:hint="eastAsia" w:ascii="Arial" w:hAnsi="Arial" w:cs="Arial"/>
          <w:bCs/>
          <w:kern w:val="44"/>
          <w:szCs w:val="21"/>
        </w:rPr>
        <w:t>139</w:t>
      </w:r>
      <w:r>
        <w:rPr>
          <w:rFonts w:ascii="Arial" w:hAnsi="Arial" w:cs="Arial"/>
          <w:bCs/>
          <w:kern w:val="44"/>
          <w:szCs w:val="21"/>
        </w:rPr>
        <w:t>.00元，银行按揭放款到第三方正泰托管账户金额</w:t>
      </w:r>
      <w:r>
        <w:rPr>
          <w:rFonts w:hint="eastAsia" w:ascii="Arial" w:hAnsi="Arial" w:cs="Arial"/>
          <w:bCs/>
          <w:kern w:val="44"/>
          <w:szCs w:val="21"/>
        </w:rPr>
        <w:t xml:space="preserve"> 5,880,000.00</w:t>
      </w:r>
      <w:r>
        <w:rPr>
          <w:rFonts w:ascii="Arial" w:hAnsi="Arial" w:cs="Arial"/>
          <w:bCs/>
          <w:kern w:val="44"/>
          <w:szCs w:val="21"/>
        </w:rPr>
        <w:t>元；扣除银行手续费及按揭放款到第三方正泰托管账户金额后项目公司银行账户实际入账</w:t>
      </w:r>
      <w:r>
        <w:rPr>
          <w:rFonts w:hint="eastAsia" w:ascii="Arial" w:hAnsi="Arial" w:cs="Arial"/>
          <w:bCs/>
          <w:kern w:val="44"/>
          <w:szCs w:val="21"/>
        </w:rPr>
        <w:t>128,615,208.03</w:t>
      </w:r>
      <w:r>
        <w:rPr>
          <w:rFonts w:ascii="Arial" w:hAnsi="Arial" w:cs="Arial"/>
          <w:bCs/>
          <w:kern w:val="44"/>
          <w:szCs w:val="21"/>
        </w:rPr>
        <w:t>元，各银行销售回款情况如下：</w:t>
      </w:r>
    </w:p>
    <w:p>
      <w:pPr>
        <w:spacing w:before="240" w:beforeLines="100"/>
        <w:jc w:val="center"/>
        <w:rPr>
          <w:rFonts w:ascii="Arial" w:hAnsi="Arial" w:cs="Arial"/>
          <w:b/>
          <w:color w:val="000000"/>
          <w:sz w:val="24"/>
        </w:rPr>
      </w:pPr>
      <w:bookmarkStart w:id="55" w:name="_Toc29763"/>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月销售回款情况表</w:t>
      </w:r>
      <w:bookmarkEnd w:id="55"/>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7,980</w:t>
            </w:r>
            <w:r>
              <w:rPr>
                <w:rFonts w:ascii="Arial" w:hAnsi="Arial" w:cs="Arial" w:eastAsiaTheme="minorEastAsia"/>
                <w:color w:val="000000"/>
                <w:kern w:val="0"/>
                <w:sz w:val="18"/>
                <w:szCs w:val="18"/>
              </w:rPr>
              <w:t>,000.00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7,980</w:t>
            </w:r>
            <w:r>
              <w:rPr>
                <w:rFonts w:ascii="Arial" w:hAnsi="Arial" w:cs="Arial" w:eastAsiaTheme="minorEastAsia"/>
                <w:color w:val="000000"/>
                <w:kern w:val="0"/>
                <w:sz w:val="18"/>
                <w:szCs w:val="18"/>
              </w:rPr>
              <w:t>,000.00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w:t>
            </w:r>
            <w:r>
              <w:rPr>
                <w:rFonts w:hint="eastAsia" w:ascii="Arial" w:hAnsi="Arial" w:cs="Arial" w:eastAsiaTheme="minorEastAsia"/>
                <w:color w:val="000000"/>
                <w:kern w:val="0"/>
                <w:sz w:val="18"/>
                <w:szCs w:val="18"/>
              </w:rPr>
              <w:t>199,946.00</w:t>
            </w:r>
            <w:r>
              <w:rPr>
                <w:rFonts w:hint="eastAsia" w:ascii="宋体" w:hAnsi="宋体" w:cs="宋体"/>
                <w:color w:val="000000"/>
                <w:kern w:val="0"/>
                <w:sz w:val="20"/>
                <w:szCs w:val="20"/>
                <w:lang w:bidi="ar"/>
              </w:rPr>
              <w:t xml:space="preserve">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54.00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9,299,946.00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54.00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9,300,000.00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hint="eastAsia" w:ascii="Arial" w:hAnsi="Arial" w:cs="Arial" w:eastAsiaTheme="minorEastAsia"/>
                <w:color w:val="000000"/>
                <w:kern w:val="0"/>
                <w:sz w:val="18"/>
                <w:szCs w:val="18"/>
              </w:rPr>
              <w:t>12,587,863.00</w:t>
            </w:r>
            <w:r>
              <w:rPr>
                <w:rFonts w:ascii="Arial" w:hAnsi="Arial" w:cs="Arial" w:eastAsiaTheme="minorEastAsia"/>
                <w:color w:val="000000"/>
                <w:kern w:val="0"/>
                <w:sz w:val="18"/>
                <w:szCs w:val="18"/>
              </w:rPr>
              <w:t xml:space="preserve">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12,587,863.00</w:t>
            </w:r>
            <w:r>
              <w:rPr>
                <w:rFonts w:ascii="Arial" w:hAnsi="Arial" w:cs="Arial" w:eastAsiaTheme="minorEastAsia"/>
                <w:color w:val="000000"/>
                <w:kern w:val="0"/>
                <w:sz w:val="18"/>
                <w:szCs w:val="18"/>
              </w:rPr>
              <w:t xml:space="preserve">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w:t>
            </w:r>
            <w:r>
              <w:rPr>
                <w:rFonts w:hint="eastAsia" w:ascii="Arial" w:hAnsi="Arial" w:cs="Arial" w:eastAsiaTheme="minorEastAsia"/>
                <w:color w:val="000000"/>
                <w:kern w:val="0"/>
                <w:sz w:val="18"/>
                <w:szCs w:val="18"/>
              </w:rPr>
              <w:t xml:space="preserve">3,527,184.00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3,527,184.00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99,870,215.03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3,876.97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99,874,092.00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3,330,000</w:t>
            </w:r>
            <w:r>
              <w:rPr>
                <w:rFonts w:ascii="Arial" w:hAnsi="Arial" w:cs="Arial" w:eastAsiaTheme="minorEastAsia"/>
                <w:color w:val="000000"/>
                <w:kern w:val="0"/>
                <w:sz w:val="18"/>
                <w:szCs w:val="18"/>
              </w:rPr>
              <w:t>.00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3,330,000</w:t>
            </w:r>
            <w:r>
              <w:rPr>
                <w:rFonts w:ascii="Arial" w:hAnsi="Arial" w:cs="Arial" w:eastAsiaTheme="minorEastAsia"/>
                <w:color w:val="000000"/>
                <w:kern w:val="0"/>
                <w:sz w:val="18"/>
                <w:szCs w:val="18"/>
              </w:rPr>
              <w:t>.00</w:t>
            </w:r>
          </w:p>
        </w:tc>
      </w:tr>
      <w:tr>
        <w:tblPrEx>
          <w:tblCellMar>
            <w:top w:w="0" w:type="dxa"/>
            <w:left w:w="0" w:type="dxa"/>
            <w:bottom w:w="0" w:type="dxa"/>
            <w:right w:w="0" w:type="dxa"/>
          </w:tblCellMar>
        </w:tblPrEx>
        <w:trPr>
          <w:trHeight w:val="9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119,315,262.03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bCs/>
                <w:color w:val="000000"/>
                <w:kern w:val="0"/>
                <w:sz w:val="18"/>
                <w:szCs w:val="18"/>
              </w:rPr>
              <w:t>3,876.97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119,319,139.00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128,615,208.03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3,930.97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128,619,139.00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r>
              <w:rPr>
                <w:rFonts w:ascii="Arial" w:hAnsi="Arial" w:cs="Arial" w:eastAsiaTheme="minorEastAsia"/>
                <w:color w:val="00000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r>
              <w:rPr>
                <w:rFonts w:ascii="Arial" w:hAnsi="Arial" w:cs="Arial" w:eastAsiaTheme="minorEastAsia"/>
                <w:color w:val="000000"/>
                <w:sz w:val="18"/>
                <w:szCs w:val="18"/>
              </w:rPr>
              <w:t>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r>
              <w:rPr>
                <w:rFonts w:hint="eastAsia" w:ascii="Arial" w:hAnsi="Arial" w:cs="Arial" w:eastAsiaTheme="minorEastAsia"/>
                <w:color w:val="000000"/>
                <w:kern w:val="0"/>
                <w:sz w:val="18"/>
                <w:szCs w:val="18"/>
              </w:rPr>
              <w:t>500</w:t>
            </w:r>
            <w:r>
              <w:rPr>
                <w:rFonts w:ascii="Arial" w:hAnsi="Arial" w:cs="Arial" w:eastAsiaTheme="minorEastAsia"/>
                <w:color w:val="000000"/>
                <w:kern w:val="0"/>
                <w:sz w:val="18"/>
                <w:szCs w:val="18"/>
              </w:rPr>
              <w:t>,000.00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r>
              <w:rPr>
                <w:rFonts w:hint="eastAsia" w:ascii="Arial" w:hAnsi="Arial" w:cs="Arial" w:eastAsiaTheme="minorEastAsia"/>
                <w:color w:val="000000"/>
                <w:kern w:val="0"/>
                <w:sz w:val="18"/>
                <w:szCs w:val="18"/>
              </w:rPr>
              <w:t>500</w:t>
            </w:r>
            <w:r>
              <w:rPr>
                <w:rFonts w:ascii="Arial" w:hAnsi="Arial" w:cs="Arial" w:eastAsiaTheme="minorEastAsia"/>
                <w:color w:val="000000"/>
                <w:kern w:val="0"/>
                <w:sz w:val="18"/>
                <w:szCs w:val="18"/>
              </w:rPr>
              <w:t>,000.00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15</w:t>
            </w:r>
            <w:r>
              <w:rPr>
                <w:rFonts w:ascii="Arial" w:hAnsi="Arial" w:cs="Arial" w:eastAsiaTheme="minorEastAsia"/>
                <w:color w:val="000000"/>
                <w:kern w:val="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15</w:t>
            </w:r>
            <w:r>
              <w:rPr>
                <w:rFonts w:ascii="Arial" w:hAnsi="Arial" w:cs="Arial" w:eastAsiaTheme="minorEastAsia"/>
                <w:color w:val="000000"/>
                <w:kern w:val="0"/>
                <w:sz w:val="18"/>
                <w:szCs w:val="18"/>
              </w:rPr>
              <w:t>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农业银行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w:t>
            </w:r>
            <w:r>
              <w:rPr>
                <w:rFonts w:ascii="Arial" w:hAnsi="Arial" w:cs="Arial" w:eastAsiaTheme="minorEastAsia"/>
                <w:b/>
                <w:color w:val="000000"/>
                <w:kern w:val="0"/>
                <w:sz w:val="18"/>
                <w:szCs w:val="18"/>
              </w:rPr>
              <w:t>,</w:t>
            </w:r>
            <w:r>
              <w:rPr>
                <w:rFonts w:hint="eastAsia" w:ascii="Arial" w:hAnsi="Arial" w:cs="Arial" w:eastAsiaTheme="minorEastAsia"/>
                <w:b/>
                <w:color w:val="000000"/>
                <w:kern w:val="0"/>
                <w:sz w:val="18"/>
                <w:szCs w:val="18"/>
              </w:rPr>
              <w:t>88</w:t>
            </w:r>
            <w:r>
              <w:rPr>
                <w:rFonts w:ascii="Arial" w:hAnsi="Arial" w:cs="Arial" w:eastAsiaTheme="minorEastAsia"/>
                <w:b/>
                <w:color w:val="000000"/>
                <w:kern w:val="0"/>
                <w:sz w:val="18"/>
                <w:szCs w:val="18"/>
              </w:rPr>
              <w:t>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w:t>
            </w:r>
            <w:r>
              <w:rPr>
                <w:rFonts w:ascii="Arial" w:hAnsi="Arial" w:cs="Arial" w:eastAsiaTheme="minorEastAsia"/>
                <w:b/>
                <w:color w:val="000000"/>
                <w:kern w:val="0"/>
                <w:sz w:val="18"/>
                <w:szCs w:val="18"/>
              </w:rPr>
              <w:t>,</w:t>
            </w:r>
            <w:r>
              <w:rPr>
                <w:rFonts w:hint="eastAsia" w:ascii="Arial" w:hAnsi="Arial" w:cs="Arial" w:eastAsiaTheme="minorEastAsia"/>
                <w:b/>
                <w:color w:val="000000"/>
                <w:kern w:val="0"/>
                <w:sz w:val="18"/>
                <w:szCs w:val="18"/>
              </w:rPr>
              <w:t>88</w:t>
            </w:r>
            <w:r>
              <w:rPr>
                <w:rFonts w:ascii="Arial" w:hAnsi="Arial" w:cs="Arial" w:eastAsiaTheme="minorEastAsia"/>
                <w:b/>
                <w:color w:val="000000"/>
                <w:kern w:val="0"/>
                <w:sz w:val="18"/>
                <w:szCs w:val="18"/>
              </w:rPr>
              <w:t>0,000.00</w:t>
            </w:r>
          </w:p>
        </w:tc>
      </w:tr>
      <w:tr>
        <w:tblPrEx>
          <w:tblCellMar>
            <w:top w:w="0" w:type="dxa"/>
            <w:left w:w="0" w:type="dxa"/>
            <w:bottom w:w="0" w:type="dxa"/>
            <w:right w:w="0" w:type="dxa"/>
          </w:tblCellMar>
        </w:tblPrEx>
        <w:trPr>
          <w:trHeight w:val="300" w:hRule="atLeast"/>
        </w:trPr>
        <w:tc>
          <w:tcPr>
            <w:tcW w:w="36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134,495,208.03</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3.930.97</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134,499,139.00</w:t>
            </w:r>
          </w:p>
        </w:tc>
      </w:tr>
    </w:tbl>
    <w:p>
      <w:pPr>
        <w:spacing w:before="300" w:after="300" w:line="360" w:lineRule="exact"/>
        <w:jc w:val="left"/>
        <w:rPr>
          <w:rFonts w:ascii="Arial" w:hAnsi="Arial" w:cs="Arial"/>
          <w:b/>
          <w:sz w:val="24"/>
        </w:rPr>
      </w:pPr>
      <w:r>
        <w:rPr>
          <w:rFonts w:ascii="Arial" w:hAnsi="Arial" w:cs="Arial"/>
          <w:b/>
          <w:sz w:val="24"/>
        </w:rPr>
        <w:t>3.2.2其他资金流入</w:t>
      </w:r>
    </w:p>
    <w:p>
      <w:pPr>
        <w:spacing w:before="120" w:beforeLines="50" w:after="120" w:afterLines="50"/>
        <w:jc w:val="center"/>
        <w:rPr>
          <w:rFonts w:ascii="Arial" w:hAnsi="Arial" w:cs="Arial"/>
          <w:b/>
          <w:color w:val="000000"/>
          <w:sz w:val="24"/>
        </w:rPr>
      </w:pPr>
      <w:bookmarkStart w:id="56" w:name="_Toc5432"/>
      <w:bookmarkStart w:id="57" w:name="_Toc1505"/>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月其他资金流入情况表</w:t>
      </w:r>
      <w:bookmarkEnd w:id="56"/>
      <w:bookmarkEnd w:id="57"/>
    </w:p>
    <w:tbl>
      <w:tblPr>
        <w:tblStyle w:val="13"/>
        <w:tblW w:w="9321" w:type="dxa"/>
        <w:tblInd w:w="0" w:type="dxa"/>
        <w:tblLayout w:type="fixed"/>
        <w:tblCellMar>
          <w:top w:w="0" w:type="dxa"/>
          <w:left w:w="0" w:type="dxa"/>
          <w:bottom w:w="0" w:type="dxa"/>
          <w:right w:w="0" w:type="dxa"/>
        </w:tblCellMar>
      </w:tblPr>
      <w:tblGrid>
        <w:gridCol w:w="392"/>
        <w:gridCol w:w="2119"/>
        <w:gridCol w:w="2153"/>
        <w:gridCol w:w="1691"/>
        <w:gridCol w:w="1514"/>
        <w:gridCol w:w="1452"/>
      </w:tblGrid>
      <w:tr>
        <w:tblPrEx>
          <w:tblCellMar>
            <w:top w:w="0" w:type="dxa"/>
            <w:left w:w="0" w:type="dxa"/>
            <w:bottom w:w="0" w:type="dxa"/>
            <w:right w:w="0" w:type="dxa"/>
          </w:tblCellMar>
        </w:tblPrEx>
        <w:trPr>
          <w:trHeight w:val="225" w:hRule="atLeast"/>
          <w:tblHeader/>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中行常州武进支行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81,337.82</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20</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留抵退税</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中行常州武进支行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6,279,553.40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22</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eastAsiaTheme="minorEastAsia"/>
                <w:color w:val="000000"/>
                <w:kern w:val="0"/>
                <w:sz w:val="18"/>
                <w:szCs w:val="18"/>
              </w:rPr>
              <w:t xml:space="preserve"> 615.38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w:t>
            </w:r>
            <w:r>
              <w:rPr>
                <w:rFonts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南京银行常州分行</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eastAsiaTheme="minorEastAsia"/>
                <w:color w:val="000000"/>
                <w:kern w:val="0"/>
                <w:sz w:val="18"/>
                <w:szCs w:val="18"/>
              </w:rPr>
              <w:t xml:space="preserve"> 66,384.75</w:t>
            </w:r>
            <w:r>
              <w:rPr>
                <w:rFonts w:hint="eastAsia" w:ascii="宋体" w:hAnsi="宋体" w:cs="宋体"/>
                <w:color w:val="000000"/>
                <w:kern w:val="0"/>
                <w:sz w:val="20"/>
                <w:szCs w:val="20"/>
                <w:lang w:bidi="ar"/>
              </w:rPr>
              <w:t xml:space="preserve">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月21日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0.17</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银行结息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 xml:space="preserve"> 92,082.28</w:t>
            </w:r>
            <w:r>
              <w:rPr>
                <w:rFonts w:hint="eastAsia" w:ascii="宋体" w:hAnsi="宋体" w:cs="宋体"/>
                <w:color w:val="000000"/>
                <w:kern w:val="0"/>
                <w:sz w:val="22"/>
                <w:szCs w:val="22"/>
                <w:lang w:bidi="ar"/>
              </w:rPr>
              <w:t xml:space="preserve">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邮储</w:t>
            </w:r>
            <w:r>
              <w:rPr>
                <w:rFonts w:ascii="Arial" w:hAnsi="Arial" w:cs="Arial" w:eastAsiaTheme="minorEastAsia"/>
                <w:color w:val="000000"/>
                <w:kern w:val="0"/>
                <w:sz w:val="18"/>
                <w:szCs w:val="18"/>
              </w:rPr>
              <w:t>银行</w:t>
            </w:r>
            <w:r>
              <w:rPr>
                <w:rFonts w:hint="eastAsia" w:ascii="Arial" w:hAnsi="Arial" w:cs="Arial" w:eastAsiaTheme="minorEastAsia"/>
                <w:color w:val="000000"/>
                <w:kern w:val="0"/>
                <w:sz w:val="18"/>
                <w:szCs w:val="18"/>
              </w:rPr>
              <w:t>一般户</w:t>
            </w:r>
          </w:p>
        </w:tc>
      </w:tr>
      <w:tr>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427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46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6,519,973.8</w:t>
            </w: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58" w:name="_Toc7166"/>
      <w:r>
        <w:rPr>
          <w:rStyle w:val="27"/>
          <w:rFonts w:ascii="Arial" w:hAnsi="Arial" w:cs="Arial"/>
          <w:sz w:val="24"/>
          <w:szCs w:val="24"/>
        </w:rPr>
        <w:t>4项目销售情况</w:t>
      </w:r>
      <w:bookmarkEnd w:id="58"/>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根据项目公司提供的2020年</w:t>
      </w:r>
      <w:r>
        <w:rPr>
          <w:rFonts w:hint="eastAsia" w:ascii="Arial" w:hAnsi="Arial" w:cs="Arial"/>
          <w:bCs/>
          <w:kern w:val="44"/>
          <w:szCs w:val="21"/>
        </w:rPr>
        <w:t>6</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日月桂江南里销售台账，项目已取得可售套数共计</w:t>
      </w:r>
      <w:r>
        <w:rPr>
          <w:rFonts w:hint="eastAsia" w:ascii="Arial" w:hAnsi="Arial" w:cs="Arial"/>
          <w:bCs/>
          <w:kern w:val="44"/>
          <w:szCs w:val="21"/>
        </w:rPr>
        <w:t>334</w:t>
      </w:r>
      <w:r>
        <w:rPr>
          <w:rFonts w:ascii="Arial" w:hAnsi="Arial" w:cs="Arial"/>
          <w:bCs/>
          <w:kern w:val="44"/>
          <w:szCs w:val="21"/>
        </w:rPr>
        <w:t>套（未包含2套样板房），可售面积共计</w:t>
      </w:r>
      <w:r>
        <w:rPr>
          <w:rFonts w:hint="eastAsia" w:ascii="Arial" w:hAnsi="Arial" w:cs="Arial"/>
          <w:bCs/>
          <w:kern w:val="44"/>
          <w:szCs w:val="21"/>
        </w:rPr>
        <w:t>51651.1</w:t>
      </w:r>
      <w:r>
        <w:rPr>
          <w:rFonts w:ascii="Arial" w:hAnsi="Arial" w:cs="Arial"/>
          <w:bCs/>
          <w:kern w:val="44"/>
          <w:szCs w:val="21"/>
        </w:rPr>
        <w:t>㎡；已认购、签约套数共计</w:t>
      </w:r>
      <w:r>
        <w:rPr>
          <w:rFonts w:hint="eastAsia" w:ascii="Arial" w:hAnsi="Arial" w:cs="Arial"/>
          <w:bCs/>
          <w:kern w:val="44"/>
          <w:szCs w:val="21"/>
        </w:rPr>
        <w:t>322</w:t>
      </w:r>
      <w:r>
        <w:rPr>
          <w:rFonts w:ascii="Arial" w:hAnsi="Arial" w:cs="Arial"/>
          <w:bCs/>
          <w:kern w:val="44"/>
          <w:szCs w:val="21"/>
        </w:rPr>
        <w:t>套，其中认购套数</w:t>
      </w:r>
      <w:r>
        <w:rPr>
          <w:rFonts w:hint="eastAsia" w:ascii="Arial" w:hAnsi="Arial" w:cs="Arial"/>
          <w:bCs/>
          <w:kern w:val="44"/>
          <w:szCs w:val="21"/>
        </w:rPr>
        <w:t>15</w:t>
      </w:r>
      <w:r>
        <w:rPr>
          <w:rFonts w:ascii="Arial" w:hAnsi="Arial" w:cs="Arial"/>
          <w:bCs/>
          <w:kern w:val="44"/>
          <w:szCs w:val="21"/>
        </w:rPr>
        <w:t>套，签约套数</w:t>
      </w:r>
      <w:r>
        <w:rPr>
          <w:rFonts w:hint="eastAsia" w:ascii="Arial" w:hAnsi="Arial" w:cs="Arial"/>
          <w:bCs/>
          <w:kern w:val="44"/>
          <w:szCs w:val="21"/>
        </w:rPr>
        <w:t>307</w:t>
      </w:r>
      <w:r>
        <w:rPr>
          <w:rFonts w:ascii="Arial" w:hAnsi="Arial" w:cs="Arial"/>
          <w:bCs/>
          <w:kern w:val="44"/>
          <w:szCs w:val="21"/>
        </w:rPr>
        <w:t>套；已认购、签约面积共计</w:t>
      </w:r>
      <w:r>
        <w:rPr>
          <w:rFonts w:hint="eastAsia" w:ascii="Arial" w:hAnsi="Arial" w:cs="Arial"/>
          <w:bCs/>
          <w:kern w:val="44"/>
          <w:szCs w:val="21"/>
        </w:rPr>
        <w:t>48976.06</w:t>
      </w:r>
      <w:r>
        <w:rPr>
          <w:rFonts w:ascii="Arial" w:hAnsi="Arial" w:cs="Arial"/>
          <w:bCs/>
          <w:kern w:val="44"/>
          <w:szCs w:val="21"/>
        </w:rPr>
        <w:t>㎡，占已取得可售面积的</w:t>
      </w:r>
      <w:r>
        <w:rPr>
          <w:rFonts w:hint="eastAsia" w:ascii="Arial" w:hAnsi="Arial" w:cs="Arial"/>
          <w:bCs/>
          <w:kern w:val="44"/>
          <w:szCs w:val="21"/>
        </w:rPr>
        <w:t>94.82</w:t>
      </w:r>
      <w:r>
        <w:rPr>
          <w:rFonts w:ascii="Arial" w:hAnsi="Arial" w:cs="Arial"/>
          <w:bCs/>
          <w:kern w:val="44"/>
          <w:szCs w:val="21"/>
        </w:rPr>
        <w:t>%，其中认购面积</w:t>
      </w:r>
      <w:r>
        <w:rPr>
          <w:rFonts w:hint="eastAsia" w:ascii="Arial" w:hAnsi="Arial" w:cs="Arial"/>
          <w:bCs/>
          <w:kern w:val="44"/>
          <w:szCs w:val="21"/>
        </w:rPr>
        <w:t>3369.58</w:t>
      </w:r>
      <w:r>
        <w:rPr>
          <w:rFonts w:ascii="Arial" w:hAnsi="Arial" w:cs="Arial"/>
          <w:bCs/>
          <w:kern w:val="44"/>
          <w:szCs w:val="21"/>
        </w:rPr>
        <w:t>㎡，签约面积</w:t>
      </w:r>
      <w:r>
        <w:rPr>
          <w:rFonts w:hint="eastAsia" w:ascii="Arial" w:hAnsi="Arial" w:cs="Arial"/>
          <w:bCs/>
          <w:kern w:val="44"/>
          <w:szCs w:val="21"/>
        </w:rPr>
        <w:t>45606.48</w:t>
      </w:r>
      <w:r>
        <w:rPr>
          <w:rFonts w:ascii="Arial" w:hAnsi="Arial" w:cs="Arial"/>
          <w:bCs/>
          <w:kern w:val="44"/>
          <w:szCs w:val="21"/>
        </w:rPr>
        <w:t>㎡；累计认购、签约合同总价</w:t>
      </w:r>
      <w:r>
        <w:rPr>
          <w:rFonts w:hint="eastAsia" w:ascii="Arial" w:hAnsi="Arial" w:cs="Arial"/>
          <w:bCs/>
          <w:kern w:val="44"/>
          <w:szCs w:val="21"/>
        </w:rPr>
        <w:t>838,565,482.00</w:t>
      </w:r>
      <w:r>
        <w:rPr>
          <w:rFonts w:ascii="Arial" w:hAnsi="Arial" w:cs="Arial"/>
          <w:bCs/>
          <w:kern w:val="44"/>
          <w:szCs w:val="21"/>
        </w:rPr>
        <w:t>元，其中认购合同总价</w:t>
      </w:r>
      <w:r>
        <w:rPr>
          <w:rFonts w:hint="eastAsia" w:ascii="Arial" w:hAnsi="Arial" w:cs="Arial"/>
          <w:bCs/>
          <w:kern w:val="44"/>
          <w:szCs w:val="21"/>
        </w:rPr>
        <w:t>94,274,066.00</w:t>
      </w:r>
      <w:r>
        <w:rPr>
          <w:rFonts w:ascii="Arial" w:hAnsi="Arial" w:cs="Arial"/>
          <w:bCs/>
          <w:kern w:val="44"/>
          <w:szCs w:val="21"/>
        </w:rPr>
        <w:t>元，签约合同总价</w:t>
      </w:r>
      <w:r>
        <w:rPr>
          <w:rFonts w:hint="eastAsia" w:ascii="Arial" w:hAnsi="Arial" w:cs="Arial"/>
          <w:bCs/>
          <w:kern w:val="44"/>
          <w:szCs w:val="21"/>
        </w:rPr>
        <w:t>744,291,416.00</w:t>
      </w:r>
      <w:r>
        <w:rPr>
          <w:rFonts w:ascii="Arial" w:hAnsi="Arial" w:cs="Arial"/>
          <w:bCs/>
          <w:kern w:val="44"/>
          <w:szCs w:val="21"/>
        </w:rPr>
        <w:t>元；累计收款额</w:t>
      </w:r>
      <w:r>
        <w:rPr>
          <w:rFonts w:hint="eastAsia" w:ascii="Arial" w:hAnsi="Arial" w:cs="Arial"/>
          <w:bCs/>
          <w:kern w:val="44"/>
          <w:szCs w:val="21"/>
        </w:rPr>
        <w:t>579,679,725.00</w:t>
      </w:r>
      <w:r>
        <w:rPr>
          <w:rFonts w:ascii="Arial" w:hAnsi="Arial" w:cs="Arial"/>
          <w:bCs/>
          <w:kern w:val="44"/>
          <w:szCs w:val="21"/>
        </w:rPr>
        <w:t xml:space="preserve"> 元，其中认购收款额</w:t>
      </w:r>
      <w:r>
        <w:rPr>
          <w:rFonts w:hint="eastAsia" w:ascii="Arial" w:hAnsi="Arial" w:cs="Arial"/>
          <w:bCs/>
          <w:kern w:val="44"/>
          <w:szCs w:val="21"/>
        </w:rPr>
        <w:t>3,740,000.00</w:t>
      </w:r>
      <w:r>
        <w:rPr>
          <w:rFonts w:ascii="Arial" w:hAnsi="Arial" w:cs="Arial"/>
          <w:bCs/>
          <w:kern w:val="44"/>
          <w:szCs w:val="21"/>
        </w:rPr>
        <w:t>元，签约收款额</w:t>
      </w:r>
      <w:r>
        <w:rPr>
          <w:rFonts w:hint="eastAsia" w:ascii="Arial" w:hAnsi="Arial" w:cs="Arial"/>
          <w:bCs/>
          <w:kern w:val="44"/>
          <w:szCs w:val="21"/>
        </w:rPr>
        <w:t>575,939,725.00</w:t>
      </w:r>
      <w:r>
        <w:rPr>
          <w:rFonts w:ascii="Arial" w:hAnsi="Arial" w:cs="Arial"/>
          <w:bCs/>
          <w:kern w:val="44"/>
          <w:szCs w:val="21"/>
        </w:rPr>
        <w:t>元。</w:t>
      </w:r>
    </w:p>
    <w:p>
      <w:pPr>
        <w:spacing w:before="120" w:beforeLines="50" w:after="120" w:afterLines="50"/>
        <w:jc w:val="center"/>
        <w:rPr>
          <w:rFonts w:ascii="Arial" w:hAnsi="Arial" w:cs="Arial"/>
          <w:b/>
          <w:color w:val="000000"/>
          <w:sz w:val="24"/>
        </w:rPr>
      </w:pPr>
      <w:bookmarkStart w:id="59" w:name="_Toc9611"/>
      <w:bookmarkStart w:id="60" w:name="_Toc22045"/>
      <w:r>
        <w:rPr>
          <w:rFonts w:ascii="Arial" w:hAnsi="Arial" w:cs="Arial"/>
          <w:b/>
          <w:color w:val="000000"/>
          <w:sz w:val="24"/>
        </w:rPr>
        <w:t>截至2020年</w:t>
      </w:r>
      <w:r>
        <w:rPr>
          <w:rFonts w:hint="eastAsia" w:ascii="Arial" w:hAnsi="Arial" w:cs="Arial"/>
          <w:b/>
          <w:color w:val="000000"/>
          <w:sz w:val="24"/>
        </w:rPr>
        <w:t>6</w:t>
      </w:r>
      <w:r>
        <w:rPr>
          <w:rFonts w:ascii="Arial" w:hAnsi="Arial" w:cs="Arial"/>
          <w:b/>
          <w:color w:val="000000"/>
          <w:sz w:val="24"/>
        </w:rPr>
        <w:t>月</w:t>
      </w:r>
      <w:r>
        <w:rPr>
          <w:rFonts w:hint="eastAsia" w:ascii="Arial" w:hAnsi="Arial" w:cs="Arial"/>
          <w:b/>
          <w:color w:val="000000"/>
          <w:sz w:val="24"/>
        </w:rPr>
        <w:t>30</w:t>
      </w:r>
      <w:r>
        <w:rPr>
          <w:rFonts w:ascii="Arial" w:hAnsi="Arial" w:cs="Arial"/>
          <w:b/>
          <w:color w:val="000000"/>
          <w:sz w:val="24"/>
        </w:rPr>
        <w:t>日销售情况表</w:t>
      </w:r>
      <w:bookmarkEnd w:id="59"/>
      <w:bookmarkEnd w:id="60"/>
    </w:p>
    <w:tbl>
      <w:tblPr>
        <w:tblStyle w:val="13"/>
        <w:tblW w:w="9447" w:type="dxa"/>
        <w:tblInd w:w="-122" w:type="dxa"/>
        <w:tblLayout w:type="fixed"/>
        <w:tblCellMar>
          <w:top w:w="0" w:type="dxa"/>
          <w:left w:w="0" w:type="dxa"/>
          <w:bottom w:w="0" w:type="dxa"/>
          <w:right w:w="0" w:type="dxa"/>
        </w:tblCellMar>
      </w:tblPr>
      <w:tblGrid>
        <w:gridCol w:w="785"/>
        <w:gridCol w:w="934"/>
        <w:gridCol w:w="934"/>
        <w:gridCol w:w="1282"/>
        <w:gridCol w:w="1470"/>
        <w:gridCol w:w="750"/>
        <w:gridCol w:w="1282"/>
        <w:gridCol w:w="2010"/>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3369.58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94,274,066.00</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3,740,000.00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307</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45606.48</w:t>
            </w:r>
          </w:p>
        </w:tc>
        <w:tc>
          <w:tcPr>
            <w:tcW w:w="128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744,291,416.00</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kern w:val="0"/>
                <w:sz w:val="18"/>
                <w:szCs w:val="18"/>
              </w:rPr>
              <w:t>70,366,500</w:t>
            </w:r>
            <w:r>
              <w:rPr>
                <w:rFonts w:ascii="Arial" w:hAnsi="Arial" w:cs="Arial" w:eastAsiaTheme="minorEastAsia"/>
                <w:kern w:val="0"/>
                <w:sz w:val="18"/>
                <w:szCs w:val="18"/>
              </w:rPr>
              <w:t>.00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15</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80</w:t>
            </w:r>
            <w:r>
              <w:rPr>
                <w:rFonts w:ascii="Arial" w:hAnsi="Arial" w:cs="Arial" w:eastAsiaTheme="minorEastAsia"/>
                <w:color w:val="000000"/>
                <w:kern w:val="0"/>
                <w:sz w:val="18"/>
                <w:szCs w:val="18"/>
              </w:rPr>
              <w:t>9,460.00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346</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763</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765</w:t>
            </w:r>
            <w:r>
              <w:rPr>
                <w:rFonts w:ascii="Arial" w:hAnsi="Arial" w:cs="Arial" w:eastAsiaTheme="minorEastAsia"/>
                <w:color w:val="000000"/>
                <w:kern w:val="0"/>
                <w:sz w:val="18"/>
                <w:szCs w:val="18"/>
              </w:rPr>
              <w:t>.00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小计</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575,939,725.00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322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b/>
                <w:color w:val="000000"/>
                <w:kern w:val="0"/>
                <w:sz w:val="18"/>
                <w:szCs w:val="18"/>
              </w:rPr>
              <w:t>48976.06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b/>
                <w:color w:val="000000"/>
                <w:kern w:val="0"/>
                <w:sz w:val="18"/>
                <w:szCs w:val="18"/>
              </w:rPr>
              <w:t>838,565,482.00</w:t>
            </w:r>
          </w:p>
        </w:tc>
        <w:tc>
          <w:tcPr>
            <w:tcW w:w="35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kern w:val="0"/>
                <w:sz w:val="18"/>
                <w:szCs w:val="18"/>
              </w:rPr>
              <w:t>579,679,725.00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61" w:name="_Toc325"/>
      <w:r>
        <w:rPr>
          <w:rStyle w:val="27"/>
          <w:rFonts w:ascii="Arial" w:hAnsi="Arial" w:cs="Arial"/>
          <w:sz w:val="24"/>
          <w:szCs w:val="24"/>
        </w:rPr>
        <w:t>5印章、证照使用情况</w:t>
      </w:r>
      <w:bookmarkEnd w:id="61"/>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月印鉴使用登记表</w:t>
      </w:r>
    </w:p>
    <w:tbl>
      <w:tblPr>
        <w:tblStyle w:val="13"/>
        <w:tblW w:w="9709" w:type="dxa"/>
        <w:tblInd w:w="-136" w:type="dxa"/>
        <w:tblLayout w:type="fixed"/>
        <w:tblCellMar>
          <w:top w:w="0" w:type="dxa"/>
          <w:left w:w="0" w:type="dxa"/>
          <w:bottom w:w="0" w:type="dxa"/>
          <w:right w:w="0" w:type="dxa"/>
        </w:tblCellMar>
      </w:tblPr>
      <w:tblGrid>
        <w:gridCol w:w="1663"/>
        <w:gridCol w:w="2562"/>
        <w:gridCol w:w="2609"/>
        <w:gridCol w:w="1090"/>
        <w:gridCol w:w="641"/>
        <w:gridCol w:w="1144"/>
      </w:tblGrid>
      <w:tr>
        <w:tblPrEx>
          <w:tblCellMar>
            <w:top w:w="0" w:type="dxa"/>
            <w:left w:w="0" w:type="dxa"/>
            <w:bottom w:w="0" w:type="dxa"/>
            <w:right w:w="0" w:type="dxa"/>
          </w:tblCellMar>
        </w:tblPrEx>
        <w:trPr>
          <w:cantSplit/>
          <w:trHeight w:val="465" w:hRule="atLeast"/>
          <w:tblHeader/>
        </w:trPr>
        <w:tc>
          <w:tcPr>
            <w:tcW w:w="166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p>
        </w:tc>
        <w:tc>
          <w:tcPr>
            <w:tcW w:w="114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CellMar>
            <w:top w:w="0" w:type="dxa"/>
            <w:left w:w="0" w:type="dxa"/>
            <w:bottom w:w="0" w:type="dxa"/>
            <w:right w:w="0" w:type="dxa"/>
          </w:tblCellMar>
        </w:tblPrEx>
        <w:trPr>
          <w:cantSplit/>
          <w:trHeight w:val="56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关于办理营销中心网络固话相关事宜用印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《单位电信业务办理授权委托书》、营业执照（副本）</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关于员工《劳动合同》（奚渊）及《专项附加扣除信息采集表》用印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《劳动合同》、《专项附加扣除信息采集表》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关于武进经济开发区四桥头东北角地块项目一期35#、50#（营销中心）软装设计与采购合同审批及用印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武进经济开发区四桥头东北角地块项目一期35#、50#（营销中心）软装设计与采购合同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公章（12）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关于常州市武进区夜间施工证明书用印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《常州市武进区夜间施工证明书》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关于绿杨路（绿杨桥至菱香路段）西侧人行道提升改造的申请材料用印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关于绿杨路（绿杨桥至菱香路段）西侧人行道提升改造的申请、市政人行道铺装详图、改造后市政人行道效果图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《工程管理部通知单》（CZJNL01-1-TZ041）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4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关于实习生王迎杰《实习合同》用印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《实习合同》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关于常州江南里项目二三期项目检测工程中标结果公示用印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中标结果公示</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关于建设合同（佳亚建设公司）纠纷案件的民事上诉状用印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民事上诉状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关于签订《委托办理房地产开发资质服务合同》用印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《委托办理房地产开发资质服务合同》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关于项目二、三总包预付款工程款支付报审表用印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关于武进经济开发区四桥头东北角地块项目一期叠墅电梯安装合同用印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武进经济开发区四桥头东北角地块项目一期叠墅电梯安装合同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关于武进经济开发区四桥头东北角地块项目一期叠墅电梯采购合同用印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武进经济开发区四桥头东北角地块项目一期叠墅电梯采购合同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关于公司3辆车的《保险投保单》用印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机动车商业保险/机动车交通事故责任强制保险投保单（1184640、1184641、1184642）</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关于《丹龙置业常州有限公司专线协议》用印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《丹龙置业常州有限公司专线协议》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关于一期一标段现场结构实体检测方案的用印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丹龙置业常州有限公司武进经济开发区四桥头东北角地块项目一期39#、40#、44#、45#楼及地下车库现场结构实体检测方案（编号：FA2020047）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关于二三期桩基工程技术核定单用印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楼桩基工程68#、70#桩做法核定的《技术核定单》、43#楼电梯井和集水井管桩技术核定的《技术核定单》、37#楼桩基工程91#、18#、35#桩做法核定的《技术核定单》、48#楼桩基工程87#桩做法核定的《技术核定单》、49#楼桩基工程47#桩做法核定的《技术核定单》、地下车库389#桩做法核定的《技术核定单》、41#楼桩基工程140#、34#、10#桩做法核定的《技术核定单》、47#楼桩基工程37#桩做法核定的《技术核定单》、48#楼桩基工程132#、79#桩做法核定的《技术核定单》、43#楼桩基工程56#桩做法核定的《技术核定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工程章（72）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20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44#、45#消防主管及喷淋安装的技术核定的《工程技术核定单》、39#、40#、44#、45#户内配电箱安装高度的技术核定的《工程技术核定单》、39#、40#、44#、45#楼梯口冷热水管入户管道的技术核定的《工程技术核定单》、39#、40#、44#、45#卫生间排气孔安装的技术核定的《工程技术核定单》、44#一层卫生间的技术核定的《工程技术核定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工程章（45）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关于工程项目安全生产标准化自评表用印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《工程项目安全生产标准化自评表》（二三期2020年5月）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关于常州江南里项目二三检测工程中标通知书用印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中标通知书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关于续签员工宿舍《房屋租赁合同》用印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《房屋租赁合同》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关于《DLZY-HT-YX-089常州江南里月度活动执行类合同》用印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《武进经济开发区四桥头东北角地块项目月度活动执行类合同》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9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关于39#、40#、44#、45#楼电梯土建图纸用印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39#、40#、44#、45#楼电梯土建图纸</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陈政</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63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关于常州江南里项目营销中心增加亮化事宜的工程联系单用印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工程联系单（CZJNL01-2-GCLXD010)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魏超</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5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关于二三期人防检测合同用印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《人防工程设备质量检测合同》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6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关于规划验线检测测量高程相关数据确认单用印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规划验线检测测量高程相关数据确认单（二三期49#、48#、43#楼）、规划验线检测测量高程相关数据确认单（一期一标段14#楼及地下车库）</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关于《DLZY-HT-YX-061-1户外广告发布合同补充协议（九仰）》及《DLZY-HT-YX-061-1户外广告发布合同合同补充协议（永乐）》用印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解除协议（永乐）、补充协议（九仰）</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4"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关于常州江南里项目2020年5月物料确认单用印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丹龙置业常州有限公司2020年5月物料确认单（凯迪）</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关于常州江南里项目2020年5月印刷物料确认单（东岗）用印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丹龙置业常州有限公司2020年5月印刷类确认单（东岗）</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1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关于《DLZY-HT-YX-093-常州江南里项目派单服务合同》用印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《武进经济开发区四桥头东北角地块项目派单服务合同》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关于《DLZY-HT-YX-092-常州江南里项目户外广告发布合同（绿杨路道旗）》用印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关于《DLZY-HT-YX-094-常州江南里项目网络类广告发布合同（安居客）》用印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《武进经济开发区四桥头东北角地块项目网络类广告发布合同》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关于建设工程合同（常州佳亚）纠纷案件的民事上诉状（更新版）用印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民事上诉状（更新版）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关于申请退还增值税留抵退税额相关资料用印（印鉴外出）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增值税纳税申报表(一般纳税人使用）、增值税纳税申报表附列资料（二）、2019年4月-2020年5月增值税进项明细、退抵税申请表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关于申请支付常州江南里项目二三期总包预付款的说明用印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关于申请支付常州江南里项目二三期总包预付款的说明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莫惠芬</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34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关于《搬运合同》用印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《搬运合同》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4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关于办理B地块不动产登记簿查询证明用印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介绍信、营业执照（副本）、不动产权证书（第2036337号）（复印件）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关于常州江南里项目二三期项目检测工程定标及合同审批用印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《武进经济开发区四桥头东北角地块二、三期项目检测合同》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公章（12）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王玉佩</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5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2020年6月11日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关于建筑市场检查整改回复书（一期二标）的用印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建筑市场检查整改回复书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关于一期小高层外墙保温变更报审资料用印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常州市武进区建设工程施工图设计变更审查报表（B）</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关于二三期图纸会审文件用印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图纸会审、设计变更、洽商记录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公章（104）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1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关于常州市市政府车辆通行证办理用印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常州市市级机关汽车通行证申领表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关于武进经济开发区四桥头东北角地块项目一期智能化工程中标结果公示用印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武进区建设工程中标结果公示</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关于武进经济开发区四桥头东北角地块项目一期智能化工程开标会议现场需提供《招标人健康信息登记表》用印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健康信息登记表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9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关于常州江南里营销管理部打印机租赁合同用印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《租机合同》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关于一期低密区及二三期部分洋房商品房销售价格申报材料用印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常州市武进区商品房价格申报表、月桂江南里商品房销售价目表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公章（27）</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6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关于常州江南里项目一期低密度及二三期四栋洋房产品定价建议的报告用印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关于常州江南里项目一期低密度及二三期四栋洋房产品定价建议的报告审批表（2020-CZ008）、关于常州江南里项目一期低密度及二三期四栋洋房产品定价建议的报告（丹龙常州请【2020】10号）</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r>
      <w:tr>
        <w:tblPrEx>
          <w:tblCellMar>
            <w:top w:w="0" w:type="dxa"/>
            <w:left w:w="0" w:type="dxa"/>
            <w:bottom w:w="0" w:type="dxa"/>
            <w:right w:w="0" w:type="dxa"/>
          </w:tblCellMar>
        </w:tblPrEx>
        <w:trPr>
          <w:cantSplit/>
          <w:trHeight w:val="53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关于二三期塔吊安装情况说明用印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情况说明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关于要求一期一标段配合39#楼样板房开放事宜的工程联系单用印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《工程联系单》（CZJNL01-1-GCLXD020）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4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《工程管理部通知单》（CZJNL01-2-TZ021)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关于一期一标段优质结构工程评审资料用印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常州市武进区优质结构工程评审申报表、常州市优质结构工程评审申报表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关于一期一标段建设工程施工安全隐患整改完成报告书用印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建设工程施工安全隐患整改完成报告书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6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关于营销管理部2020年服装采购合同用印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《服装采购合同书》（男款）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2020年6月15日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关于办理一期低密区预售许可相关材料用印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商品房预售许可申请书、商品房预售许可申请表、暂定资质证书副本、营业执照副本、B地块不动产登记证、B地块不到产登记证查询证明、土地出让合同、项目规划条件、投资项目备案证、B地块建设用地规划许可证、B地块建设用地规划许可证附图、一期建设工程规划许可证、一期工程设计总平面图（施工图）、一期低密区规划分层平面图、一期低密区施工蓝图复印件、一期二标段第一批施工许可证、一期二标段第二批施工许可证、一期二标段工程施工合同、一期二标段工程进度计划、前期物业服务合同、商品房预售托管协议、邮储商品房预售资金监管协议、邮储商品房预售资金监管证明、预售方案、商品房价格备案批复、商品房销售价目表、投资资金估算表及明细表、已投入开发建设资金发票、一期面积测绘报告、公建配套计划表、规划设计方案总平面图、一期区域景观设计批复、白蚁防治公共服务受理单、廉租房移建缴清通知书、一期公安技防论证意见书、商品房销售承诺书、申报材料封面、申报材料目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公章（352）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关于B地块人防工程质量监督申报材料用印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人防工程质量监督注册申请书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关于二三期工程桩检测选桩方案用印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《工程桩检测选桩方案》及桩位图（二三期41#、46#楼、二三期人防地库AW-BP交51-74轴、二三期地库AX-BP交2-74轴东侧轴线及AD-AW交27-70轴）</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公章（19）</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关于常州江南里项目二三期智能化报审相关资料用印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《常州江南里B地块二期住宅项目设计方案》、论证申请表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陈政</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11"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关于《常州江南里项目销售代理合同》合同终止协议用印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终止协议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关于渠道分销代理合同用印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《DLZY-HT-YX-104-常州江南里项目卓正渠道分销代理合同》、《DLZY-HT-YX-105-常州江南里项目中居联渠道分销代理合同》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合同章（24）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86"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关于《DLZY-HT-YX-101-常州江南里项目活动执行类合同》用印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《武进经济开发区四桥头东北角地块项目活动执行类合同》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08"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关于《DLZY-HT-YX-095-常州江南里营销中心物业服务协议》用印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常州江南里项目体验中心物业服务协议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2020年6月16日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关于营销管理部2020年服装采购合同用印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《服装采购合同书》（女款）</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关于使用手填式三联收据以及机打式三联收据用印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手填收据（收据号：2354281-2354340/2371681-2371780）、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机打收据（收据号：19100601-19101100）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手开收据（收据号：2354221-2354240/3954221-3954240）</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财务章（1400）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关于实习生许沈龙《实习合同》用印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《实习合同》（许沈龙）</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关于员工《劳动合同》（董化成、王利利、戴飞）用印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《劳动合同》（董化成、王利利、戴飞）</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2020年6月17日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关于二三期公安技防方案论证研究、意见书用印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常州市武进区居住小区安全防范设施建设项目方案论证意见书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关于常州江南里项目一期低密、二三期洋房认筹协议用印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认筹协议（低密认筹协议号001-090；洋房001-060；35份备用协议）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合同章（370）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6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关于2020年度社保缴费基数调整事项及2019年应付职工薪酬明细账用印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2019年应付职工薪酬明细账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3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2020年6月19日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关于华夏银行常州分行销户的用印（印鉴外出）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撤销银行结算账户申请书、单位账户业务授权委托书、法人及被委托人身份证复印件（袁聚宝、姜莉）</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公章（7）</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关于常州江南里项目一期低密区、二三期洋房认购协议用印（印鉴外出）</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常州江南里商品房认购协议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合同章（310）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关于2019年度企业所得税汇算清缴签证业务约定书签订用印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涉税业务约定书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公章（4）</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3432"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关于2019年年报审计资料用印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层声明书、未审计财务报表、已更正错误汇总表、审计意见征询函、2019年度审计报告、库存现金盘点、银行对账单及余额调节表、一期建设工程规划许可证、B地块建设用地规划许可证、一期建筑工程施工许可证、一期二标段建筑工程施工许可证、不动产权证、商品房预售许可证（45/40/44/39、车辆行驶证、税金申报表及完税凭证、签订合同及协议、记账凭证附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公章（50）</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707"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关于办理公司房地产开发暂定（贰级）申报材料用印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丹龙置业常州有限公司任命书、房地产开发企业资质申报表、房地产开发企业近三年开发项目确认表、无重大工程质量事故证明、劳动合同（袁聚宝）</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法人章（15）</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5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关于邮储银行监管户资金转至中国银行基本户的用印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情况说明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57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关于一期低密区景观设计文本报批相关资料用印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申请材料清单、申请表、授权委托书、营业执照-副本、投资项目备案证、董事长身份证扫描件、邵景健身份证扫描件</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1629"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2020年6月22日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关于常州江南里项目39#楼精装修样板房南侧阳台吊顶拆除工程联系单用印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《常州江南里项目39#楼精装修样板房南侧阳台吊顶拆除工程联系单》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杨波</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5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关于三期49#楼预售许可相关材料用印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商品房预售许可申请书、商品房预售许可申请表、暂定资质证书副本、营业执照副本、B地块不动产登记证、B地块不到产登记证查询证明、土地出让合同、项目规划条件、投资项目备案证、B地块建设用地规划许可证、B地块建设用地规划许可证附图、二三期建设工程规划许可证、二三期工程设计总平面图（施工图）、49#规划分层平面图、49#楼建设平面图、二三期施工许可证、二三期工程施工合同、二三期49#工程进度计划、前期物业服务合同、商品房预售托管协议、邮储商品房预售资金监管协议、邮储商品房预售资金监管证明、预售方案、商品房价格备案批复、商品房销售价目表、投资资金估算表及明细表、已投入开发建设资金发票、二三期面积测绘报告、公建配套计划表、规划设计方案总平面图、景观设计批复、白蚁防治公共服务受理单、廉租房移建缴清通知书、二三期公安技防论证意见书、商品房销售承诺书、申报材料封面、申报材料目录</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公章（312）</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关于续签员工宿舍《房屋租赁合同》用印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《房屋租赁合同》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合同章（8）</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653"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关于19#号楼1套商品房《按揭贷款合同》用印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招商银行个人住房借款合同、办贷明细</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公章（4）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关于49#楼1套商品房买卖合同、购房提示书、备案确认书、告知书、商品房预售资金托管三方协议的用印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19#楼需用印房号明细表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公章（8）</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合同章（24）</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8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关于一期一标段工程款支付报审表用印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工程章（4）</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720"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2020年6月23日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关于营销中心宴会厅厨房操作间厨具设备采购合同用印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《厨房设备供货及安装工程合同》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武进经济开发区四桥头东北角地块项目一期智能化工程中标通知书及相关文件用印申请</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中标通知书、代理评价表、书面报告</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公章（9）</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法人章（9）</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谢国志</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关于2019年度企业所得税汇算清缴签证资料用印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客户管理当局声明书、与客户交换意见记录、2019年财务报表（审计后）、2019年企业所得税汇算清单审核报告</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公章（9）</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关于中国银行低密度住宅按揭准入材料用印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信用信息查询及报送授权书（2018年版）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        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关于中国农业银行按揭贷款业务合作协议书用印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一手房贷款业务银企合作协议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公章（4）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关于品牌馆绿城物业服务合同续签用印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 市区品牌生活体验馆物业服务协议》</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2020年6月24日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关于《DLZY-HT-YX-091武进经济开发区四桥头东北角地块项目物品定制（营销中心物业开办物料）合同》用印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合同章（12）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449"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一期营销中心古建工程关于《工程款支付报审表》的用印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工程款支付报审表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孙源</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关于江苏省建设工程施工项目部关键岗位人员变更申请表的用印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《江苏省建设工程施工项目部关键岗位人员变更申请表》</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公章（3）   </w:t>
            </w:r>
          </w:p>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法人章（3）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办理项目公司暂定资质证书的资料的用印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项目一期未售房源数量及面积的说明</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2020年6月28日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关于招商银行低密度住宅按揭准入材料用印申请</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授权书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公章（1）法人章（1）</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金美娟</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关于二三期桩基工程技术核定单用印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技术核定单》-17#房东16#房西桩基工程634#桩做法核定、《技术核定单》-地下车库M轴672#、668#桩做法核定、《技术核定单》-48#楼桩基工程25#、26#、28#、29#、113#桩的做法核定、《技术核定单》-地下车库AB轴交59轴562#桩做法核定、《技术核定单》-地下车库塔吊桩位调整的做法核定</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徐杰</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关于一期一标段幕墙样板事宜的工程管理部通知单的用印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关于一期一标段幕墙样板事宜的工程管理部通知单 (编号：CZJNL01-1-TZ043）</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关于一期一标段现场进度及质量事宜的工程管理部通知单的用印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关于一期一标段现场进度及质量事宜的工程管理部通知单 (编号：CZJNL01-1-TZ047）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关于做好现场防汛、防暑工作的工程管理部通知单（编号：CZJNL01-1-TZ045）</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关于加快样板房看房通道施工进度的工程管理部通知单用印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关于加快样板房看房通道施工进度的工程管理部通知单（编号：CZJNL01-1-TZ044）</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关于中电建签证联系单回复事宜的工程管理部通知单用印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关于中电建签证联系单回复事宜的工程管理部通知单（编号：CZJNL01-1-TZ046）</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关于做好红樱路规划建设对接事宜的工程管理部通知单用印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关于做好红樱路规划建设对接事宜的工程管理部通知单（编号：CZJNL02-TZ007）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关于做好现场防汛、防暑工作的工程管理部通知单用印</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关于工程交底样板实施、现场模板更换相关事宜的通知单用印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关于工程交底样板实施、现场模板更换相关事宜的工程管理部通知单（编号：CZJNL02-TZ005</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沈锦</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关于常州市武进区夜间施工证明书的用印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常州市武进区夜间施工证明书》</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公章（6）</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《工程项目安全生产标准化自评表》（二三期2020年6月）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关于委派管理人员的委派合同的用印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关于委派管理人员的委派合同</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公章（3）</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《工程项目安全生产标准化自评表》（一期二标段2020年6月）</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徐志刚OA</w:t>
            </w:r>
          </w:p>
        </w:tc>
      </w:tr>
      <w:tr>
        <w:tblPrEx>
          <w:tblCellMar>
            <w:top w:w="0" w:type="dxa"/>
            <w:left w:w="0" w:type="dxa"/>
            <w:bottom w:w="0" w:type="dxa"/>
            <w:right w:w="0" w:type="dxa"/>
          </w:tblCellMar>
        </w:tblPrEx>
        <w:trPr>
          <w:cantSplit/>
          <w:trHeight w:val="285" w:hRule="atLeast"/>
        </w:trPr>
        <w:tc>
          <w:tcPr>
            <w:tcW w:w="1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2020年6月30日</w:t>
            </w:r>
          </w:p>
        </w:tc>
        <w:tc>
          <w:tcPr>
            <w:tcW w:w="25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规划验线检测测量高程相关数据确认单的用印</w:t>
            </w:r>
          </w:p>
        </w:tc>
        <w:tc>
          <w:tcPr>
            <w:tcW w:w="2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规划验线检测测量高程相关数据确认单-4#、5#；规划验线检测测量高程相关数据确认单-6#、7#</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公章（2）</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孙红波</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袁聚宝OA</w:t>
            </w:r>
          </w:p>
        </w:tc>
      </w:tr>
    </w:tbl>
    <w:p>
      <w:pPr>
        <w:rPr>
          <w:rFonts w:ascii="Arial" w:hAnsi="Arial" w:cs="Arial"/>
          <w:color w:val="000000"/>
          <w:sz w:val="24"/>
        </w:rPr>
      </w:pPr>
    </w:p>
    <w:p>
      <w:pPr>
        <w:pStyle w:val="2"/>
        <w:keepNext w:val="0"/>
        <w:keepLines w:val="0"/>
        <w:spacing w:before="300" w:after="300" w:line="360" w:lineRule="exact"/>
        <w:jc w:val="left"/>
        <w:rPr>
          <w:rFonts w:ascii="Arial" w:hAnsi="Arial" w:cs="Arial"/>
          <w:color w:val="000000"/>
          <w:sz w:val="24"/>
          <w:szCs w:val="24"/>
        </w:rPr>
      </w:pPr>
      <w:bookmarkStart w:id="62" w:name="_Toc20312"/>
      <w:r>
        <w:rPr>
          <w:rFonts w:ascii="Arial" w:hAnsi="Arial" w:cs="Arial"/>
          <w:color w:val="000000"/>
          <w:sz w:val="24"/>
          <w:szCs w:val="24"/>
        </w:rPr>
        <w:t>6合同签订情况</w:t>
      </w:r>
      <w:bookmarkEnd w:id="62"/>
    </w:p>
    <w:p>
      <w:pPr>
        <w:spacing w:line="480" w:lineRule="auto"/>
        <w:ind w:firstLine="420" w:firstLineChars="200"/>
        <w:jc w:val="left"/>
        <w:rPr>
          <w:rFonts w:ascii="Arial" w:hAnsi="Arial" w:cs="Arial"/>
          <w:bCs/>
          <w:kern w:val="44"/>
          <w:szCs w:val="21"/>
        </w:rPr>
      </w:pPr>
      <w:r>
        <w:rPr>
          <w:rFonts w:ascii="Arial" w:hAnsi="Arial" w:cs="Arial" w:eastAsiaTheme="minorEastAsia"/>
          <w:color w:val="000000"/>
          <w:szCs w:val="21"/>
        </w:rPr>
        <w:t>2020年</w:t>
      </w:r>
      <w:r>
        <w:rPr>
          <w:rFonts w:hint="eastAsia" w:ascii="Arial" w:hAnsi="Arial" w:cs="Arial" w:eastAsiaTheme="minorEastAsia"/>
          <w:color w:val="000000"/>
          <w:szCs w:val="21"/>
        </w:rPr>
        <w:t>6</w:t>
      </w:r>
      <w:r>
        <w:rPr>
          <w:rFonts w:ascii="Arial" w:hAnsi="Arial" w:cs="Arial" w:eastAsiaTheme="minorEastAsia"/>
          <w:color w:val="000000"/>
          <w:szCs w:val="21"/>
        </w:rPr>
        <w:t>月项目公司共签订了</w:t>
      </w:r>
      <w:r>
        <w:rPr>
          <w:rFonts w:hint="eastAsia" w:ascii="Arial" w:hAnsi="Arial" w:cs="Arial" w:eastAsiaTheme="minorEastAsia"/>
          <w:color w:val="000000"/>
          <w:szCs w:val="21"/>
        </w:rPr>
        <w:t>26</w:t>
      </w:r>
      <w:r>
        <w:rPr>
          <w:rFonts w:ascii="Arial" w:hAnsi="Arial" w:cs="Arial" w:eastAsiaTheme="minorEastAsia"/>
          <w:color w:val="000000"/>
          <w:szCs w:val="21"/>
        </w:rPr>
        <w:t>份合同，其中</w:t>
      </w:r>
      <w:r>
        <w:rPr>
          <w:rFonts w:hint="eastAsia" w:ascii="Arial" w:hAnsi="Arial" w:cs="Arial" w:eastAsiaTheme="minorEastAsia"/>
          <w:color w:val="000000"/>
          <w:szCs w:val="21"/>
        </w:rPr>
        <w:t>8</w:t>
      </w:r>
      <w:r>
        <w:rPr>
          <w:rFonts w:ascii="Arial" w:hAnsi="Arial" w:cs="Arial" w:eastAsiaTheme="minorEastAsia"/>
          <w:color w:val="000000"/>
          <w:szCs w:val="21"/>
        </w:rPr>
        <w:t>份</w:t>
      </w:r>
      <w:r>
        <w:rPr>
          <w:rFonts w:hint="eastAsia" w:ascii="Arial" w:hAnsi="Arial" w:cs="Arial" w:eastAsiaTheme="minorEastAsia"/>
          <w:color w:val="000000"/>
          <w:szCs w:val="21"/>
        </w:rPr>
        <w:t>行政</w:t>
      </w:r>
      <w:r>
        <w:rPr>
          <w:rFonts w:ascii="Arial" w:hAnsi="Arial" w:cs="Arial" w:eastAsiaTheme="minorEastAsia"/>
          <w:color w:val="000000"/>
          <w:szCs w:val="21"/>
        </w:rPr>
        <w:t>类合同，</w:t>
      </w:r>
      <w:r>
        <w:rPr>
          <w:rFonts w:hint="eastAsia" w:ascii="Arial" w:hAnsi="Arial" w:cs="Arial" w:eastAsiaTheme="minorEastAsia"/>
          <w:color w:val="000000"/>
          <w:szCs w:val="21"/>
        </w:rPr>
        <w:t>4</w:t>
      </w:r>
      <w:r>
        <w:rPr>
          <w:rFonts w:ascii="Arial" w:hAnsi="Arial" w:cs="Arial" w:eastAsiaTheme="minorEastAsia"/>
          <w:color w:val="000000"/>
          <w:szCs w:val="21"/>
        </w:rPr>
        <w:t>份</w:t>
      </w:r>
      <w:r>
        <w:rPr>
          <w:rFonts w:hint="eastAsia" w:ascii="Arial" w:hAnsi="Arial" w:cs="Arial" w:eastAsiaTheme="minorEastAsia"/>
          <w:color w:val="000000"/>
          <w:szCs w:val="21"/>
        </w:rPr>
        <w:t>工程</w:t>
      </w:r>
      <w:r>
        <w:rPr>
          <w:rFonts w:ascii="Arial" w:hAnsi="Arial" w:cs="Arial" w:eastAsiaTheme="minorEastAsia"/>
          <w:color w:val="000000"/>
          <w:szCs w:val="21"/>
        </w:rPr>
        <w:t>类合同，</w:t>
      </w:r>
      <w:r>
        <w:rPr>
          <w:rFonts w:hint="eastAsia" w:ascii="Arial" w:hAnsi="Arial" w:cs="Arial" w:eastAsiaTheme="minorEastAsia"/>
          <w:color w:val="000000"/>
          <w:szCs w:val="21"/>
        </w:rPr>
        <w:t>13份营销类合同，1份财务类合同，</w:t>
      </w:r>
      <w:r>
        <w:rPr>
          <w:rFonts w:ascii="Arial" w:hAnsi="Arial" w:cs="Arial" w:eastAsiaTheme="minorEastAsia"/>
          <w:color w:val="000000"/>
          <w:szCs w:val="21"/>
        </w:rPr>
        <w:t>具体情况如下表</w:t>
      </w:r>
      <w:r>
        <w:rPr>
          <w:rFonts w:ascii="Arial" w:hAnsi="Arial" w:cs="Arial"/>
          <w:bCs/>
          <w:kern w:val="44"/>
          <w:szCs w:val="21"/>
        </w:rPr>
        <w:t>：</w:t>
      </w:r>
    </w:p>
    <w:p>
      <w:pPr>
        <w:spacing w:before="240" w:beforeLines="10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6</w:t>
      </w:r>
      <w:r>
        <w:rPr>
          <w:rFonts w:ascii="Arial" w:hAnsi="Arial" w:cs="Arial"/>
          <w:b/>
          <w:color w:val="000000"/>
          <w:sz w:val="24"/>
        </w:rPr>
        <w:t>月合同签订情况表</w:t>
      </w:r>
    </w:p>
    <w:tbl>
      <w:tblPr>
        <w:tblStyle w:val="13"/>
        <w:tblW w:w="9321" w:type="dxa"/>
        <w:tblInd w:w="0" w:type="dxa"/>
        <w:tblLayout w:type="fixed"/>
        <w:tblCellMar>
          <w:top w:w="0" w:type="dxa"/>
          <w:left w:w="0" w:type="dxa"/>
          <w:bottom w:w="0" w:type="dxa"/>
          <w:right w:w="0" w:type="dxa"/>
        </w:tblCellMar>
      </w:tblPr>
      <w:tblGrid>
        <w:gridCol w:w="1499"/>
        <w:gridCol w:w="2057"/>
        <w:gridCol w:w="1729"/>
        <w:gridCol w:w="2754"/>
        <w:gridCol w:w="1282"/>
      </w:tblGrid>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合同金额（元）</w:t>
            </w:r>
          </w:p>
        </w:tc>
      </w:tr>
      <w:tr>
        <w:tblPrEx>
          <w:tblCellMar>
            <w:top w:w="0" w:type="dxa"/>
            <w:left w:w="0" w:type="dxa"/>
            <w:bottom w:w="0" w:type="dxa"/>
            <w:right w:w="0" w:type="dxa"/>
          </w:tblCellMar>
        </w:tblPrEx>
        <w:trPr>
          <w:cantSplit/>
          <w:trHeight w:val="112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t>杭州必扬装饰工程有限公司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武进经济开发区四桥头东北角地块项目一期35#、50#（营销中心）软装设计与采购合同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乙方根据甲方要求完成室内软装设计，并按甲方确认的室内软装设计方案对家具、灯具及饰品等进行采购及摆放</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1,736,466.00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南京文越企业管理信息服务有限公司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委托办理房地产开发资质服务合同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甲方委托乙方提供《江苏省住房与房地产电子政务平台房地产行政许可综合服务系统》开发企业资质申报代维服务事宜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00.00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上海三菱电梯有限公司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武进经济开发区四桥头东北角地块项目一期叠墅电梯设备采购合同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甲方采购乙方生产的电梯，乙方负责实施所有电梯的制造、供货、安装、调试并负责通过项目所在地政府质量技术监督部门的验收以及维护保养等工作；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2,891,200.00</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上海三菱电梯有限公司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武进经济开发区四桥头东北角地块项目一期叠墅电梯设备安装合同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甲方采购乙方生产的电梯，乙方负责实施所有电梯的制造、供货、安装、调试并负责通过项目所在地政府质量技术监督部门的验收以及维护保养等工作；该电梯型号为LEHY-MRL-II,数量为26台</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1,003,600.00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中国电信股份有限公司常州分公司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丹龙置业常州有限公司专线协议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乙方根据合同条款和约定为甲方提供互联网专线业务</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40,416.00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江苏九仰文化传媒有限公司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常州江南里项目户外广告发布合同-补充协议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于2020年1月19日签订了《DLZY-HT-YX-060常州江南里项目户外广告发布合同（九仰）》（下称原合同），原合同约定广告投放期为2020年2月10日-5月10日，广告投放地点为长虹高架湖塘纺织城楼顶、铜马商务楼顶和湟里镇中心中诚大药房楼顶三处，现因常州市户外整治，长虹高架湖塘纺织城楼顶广告牌已于2020年4月23日被拆除，经双方友好协商，就合同履行及费用结算事宜签订补充协议：1、因湖塘纺织城楼顶广告牌被拆除，甲乙双方一致同意按原合同约定据实结算相关费用。2、甲乙双方一致同意原合同约定的铜马商务楼顶和湟里镇中心中诚大药房楼顶两处广告牌投放时间免费延长至2020年5月20日。3、原合同基于不可抗力不能继续履行的部分，甲乙双方互不承担违约责任。4、原协议的其他条款保持不变，本协议作为原合同的补充协议，与原合同具有同等法律效力；本协议与原合同约定不一致的，以本协议为准。</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372,000.00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常州市永乐文化传播有限公司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常州江南里项目户外广告发布合同（永乐）-解除协议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于2020年1月19日签订了《DLZY-HT-YX-061常州江南里项目户外广告发布合同（永乐）》（下称原合同），合同约定广告投放期为2020年2月10日-5月10日，广告投放地点为延政路与龙江路高架桥，现因常州市户外整治，该处广告牌已于2020年4月15日被拆除，造成合同不能继续履行，经友好协商，双方就合同解除之事宜达成如下协议：1、合同因不可抗力不能继续履行，甲乙双方一致同意解除合同，互不承担违约责任。2、甲乙双方一致同意按照合同约定的标准据实结算合同费用（结算金额以双方确认的结算材料为准）。甲方付款前，乙方需出具相应金额的发票给甲方。3、除本协议第2条约定的费用外，甲、乙双方就合同履行不存在其他任何争议，双方不得以任何理由向另一方主张任何权利。</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174,000.00</w:t>
            </w:r>
          </w:p>
        </w:tc>
      </w:tr>
      <w:tr>
        <w:tblPrEx>
          <w:tblCellMar>
            <w:top w:w="0" w:type="dxa"/>
            <w:left w:w="0" w:type="dxa"/>
            <w:bottom w:w="0" w:type="dxa"/>
            <w:right w:w="0" w:type="dxa"/>
          </w:tblCellMar>
        </w:tblPrEx>
        <w:trPr>
          <w:cantSplit/>
          <w:trHeight w:val="13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常州市众美人力资源有限公司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武进经济开发区四桥头东北角地块项目派单服务合同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甲乙双方就“武进经济开发区四桥头东北角地块项目派单服务事宜”甲方授权乙方在常州规定的区域完成派单工作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45,080.00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常州市武进开元广告装璜有限公司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甲方委托乙方在绿杨路两侧道旗发布广告，期限自2020年6月10日起，至2020年9月10日止，共计3个月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瑞庭网络技术（上海）有限公司无锡分公司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武进经济开发区四桥头东北角地块项目网络类广告发布合同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甲方委托乙方在安居客常州站（https://cz.anjuke.com）上发布网络广告，有效期自2020年6月10日起至2020年7月10日止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w:t>
            </w:r>
            <w:r>
              <w:rPr>
                <w:rFonts w:ascii="Arial" w:hAnsi="Arial" w:cs="Arial" w:eastAsiaTheme="minorEastAsia"/>
                <w:color w:val="000000"/>
                <w:sz w:val="18"/>
                <w:szCs w:val="18"/>
              </w:rPr>
              <w:t>,000.00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顾清、宦瑛</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乙方租赁甲方位于武进区湖塘镇莱蒙城57幢2002室，建筑面积116.85㎡，租赁期限2020年6月16日-2021年6月15日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45,600.00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江苏海亮文化传媒有限公司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武进经济开发区四桥头东北角地块项目月度活动执行类合同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武进经济开发区四桥头东北角地块项目2020年5-6月月度活动，合同服务期限：2020年5月28日-2020年6月21日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27,000.00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9</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苏州苏防人防工程检测有限公司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人防工程设备质量检测合同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甲方委托乙方对常州武进经济开发区四桥头东北角地块B地块人防工程安装质量进行检测，并按要求出具检测报告</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租机合同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打印机租赁（租期：2020.6.25-2020.9.25）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江苏多盈彧贸易有限公司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服装采购合同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乙方为甲方提供成品成衣服务，男装11套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38,687.00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江苏中原房地产代理有限公司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常州江南里项目销售代理合同终止协议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代理合同于2020年4月20日终止，乙方于代理合同终止之日撤离项目现场。代理合同终止后已履行部分不再返还，未履行部分不再履行(本协议第三条除外)；甲、乙双方互不追究违约责任。截止代理合同终止之日，甲方与乙方合作销售房源未结算佣金计人民币壹万伍仟陆佰贰拾元捌角伍分（￥：15620.85元）（含税），该部分佣金为按揭未回款佣金（详见本协议附件《按揭未回款客户清单明细》），待按揭款项到账之后按代理合同相关约定再进行结算，如遇客户退房此套佣金相应扣除。</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15,620.85</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常州卓正房地产代理有限公司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常州江南里项目渠道分销代理合同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甲方委托乙方为常州江南里提供渠道分销服务，销售期限为：自合同签订之日起至2020年12月31止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江苏中居联房地产信息咨询有限公司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常州江南里项目渠道分销代理合同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甲方委托乙方为常州江南里提供渠道分销服务，销售期限为：自合同签订之日起至2020年12月31止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无固定合同金额</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杭州黑树公关策划有限公司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武进经济开发区四桥头东北角地块项目活动执行类合同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甲方委托乙方作为武进经济开发区四桥头东北角地块营销中心开放项目策划活动</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349,500.00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常州江南里项目体验中心物业服务协议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甲方委托乙方对常州江南里项目品牌生活体验馆实施物业管理服务</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1,451,901.3</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泰兴市浩静服装厂</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服装采购合同书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乙方为甲方提供成品成衣的服务，女装6套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6,600.00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22</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尤尼泰（常州）税务师事务所有限公司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涉税业务约定书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乙方为甲方提供2019年度企业所得税汇算清缴鉴证涉税服务，并出具2019年度报告</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23</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缪依琼</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乙方租赁甲方位于武进区花园路85号金都名苑6-乙-802；租期：2020.6.25-2020.12.24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118,140.00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23</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常州市华商厨房设备有限公司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厨房设备供货及安装工程合同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乙方为甲方常州江南里营销中心提供厨房设备及安装</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27,000.00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常州江南里项目市区品牌生活体验馆物业服务协议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甲方委托乙方对常州江南里项目品牌生活体验馆实施物业管理服务，服务期限：2020.6.26-2020.9.25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150,897.03</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甲方委托乙方承担武进经济开发区四桥头东北角地块项目营销中心物业开办物料定制、采购工作</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32,800.00</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4"/>
          <w:szCs w:val="24"/>
        </w:rPr>
      </w:pPr>
      <w:bookmarkStart w:id="63" w:name="_Toc1562"/>
      <w:r>
        <w:rPr>
          <w:rFonts w:ascii="Arial" w:hAnsi="Arial" w:cs="Arial"/>
          <w:color w:val="000000"/>
          <w:sz w:val="24"/>
          <w:szCs w:val="24"/>
        </w:rPr>
        <w:t>7资金结算</w:t>
      </w:r>
      <w:bookmarkEnd w:id="63"/>
    </w:p>
    <w:p>
      <w:pPr>
        <w:pStyle w:val="3"/>
        <w:keepNext w:val="0"/>
        <w:keepLines w:val="0"/>
        <w:tabs>
          <w:tab w:val="center" w:pos="4649"/>
        </w:tabs>
        <w:spacing w:before="300" w:after="300" w:line="360" w:lineRule="exact"/>
        <w:jc w:val="left"/>
        <w:rPr>
          <w:rFonts w:eastAsia="宋体" w:cs="Arial"/>
        </w:rPr>
      </w:pPr>
      <w:bookmarkStart w:id="64" w:name="_Toc28371"/>
      <w:r>
        <w:rPr>
          <w:rFonts w:eastAsia="宋体" w:cs="Arial"/>
          <w:sz w:val="24"/>
        </w:rPr>
        <w:t>7.1</w:t>
      </w:r>
      <w:r>
        <w:rPr>
          <w:rFonts w:cs="Arial" w:eastAsiaTheme="minorEastAsia"/>
          <w:kern w:val="44"/>
          <w:sz w:val="24"/>
          <w:szCs w:val="24"/>
        </w:rPr>
        <w:t>丹龙置业常州有限公司各资金账户流量情况</w:t>
      </w:r>
      <w:bookmarkEnd w:id="64"/>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6</w:t>
      </w:r>
      <w:r>
        <w:rPr>
          <w:rFonts w:ascii="Arial" w:hAnsi="Arial" w:cs="Arial"/>
          <w:bCs/>
          <w:kern w:val="44"/>
          <w:szCs w:val="21"/>
        </w:rPr>
        <w:t>月项目公司资金流出合计</w:t>
      </w:r>
      <w:r>
        <w:rPr>
          <w:rFonts w:hint="eastAsia" w:ascii="Arial" w:hAnsi="Arial" w:cs="Arial"/>
          <w:bCs/>
          <w:kern w:val="44"/>
          <w:szCs w:val="21"/>
        </w:rPr>
        <w:t>61,983,153.35</w:t>
      </w:r>
      <w:r>
        <w:rPr>
          <w:rFonts w:ascii="Arial" w:hAnsi="Arial" w:cs="Arial"/>
          <w:bCs/>
          <w:kern w:val="44"/>
          <w:szCs w:val="21"/>
        </w:rPr>
        <w:t>元，其中</w:t>
      </w:r>
      <w:r>
        <w:rPr>
          <w:rFonts w:hint="eastAsia" w:ascii="Arial" w:hAnsi="Arial" w:cs="Arial"/>
          <w:bCs/>
          <w:kern w:val="44"/>
          <w:szCs w:val="21"/>
        </w:rPr>
        <w:t>61</w:t>
      </w:r>
      <w:r>
        <w:rPr>
          <w:rFonts w:ascii="Arial" w:hAnsi="Arial" w:cs="Arial"/>
          <w:bCs/>
          <w:kern w:val="44"/>
          <w:szCs w:val="21"/>
        </w:rPr>
        <w:t>,</w:t>
      </w:r>
      <w:r>
        <w:rPr>
          <w:rFonts w:hint="eastAsia" w:ascii="Arial" w:hAnsi="Arial" w:cs="Arial"/>
          <w:bCs/>
          <w:kern w:val="44"/>
          <w:szCs w:val="21"/>
        </w:rPr>
        <w:t>983</w:t>
      </w:r>
      <w:r>
        <w:rPr>
          <w:rFonts w:ascii="Arial" w:hAnsi="Arial" w:cs="Arial"/>
          <w:bCs/>
          <w:kern w:val="44"/>
          <w:szCs w:val="21"/>
        </w:rPr>
        <w:t>,</w:t>
      </w:r>
      <w:r>
        <w:rPr>
          <w:rFonts w:hint="eastAsia" w:ascii="Arial" w:hAnsi="Arial" w:cs="Arial"/>
          <w:bCs/>
          <w:kern w:val="44"/>
          <w:szCs w:val="21"/>
        </w:rPr>
        <w:t>151</w:t>
      </w:r>
      <w:r>
        <w:rPr>
          <w:rFonts w:ascii="Arial" w:hAnsi="Arial" w:cs="Arial"/>
          <w:bCs/>
          <w:kern w:val="44"/>
          <w:szCs w:val="21"/>
        </w:rPr>
        <w:t>.</w:t>
      </w:r>
      <w:r>
        <w:rPr>
          <w:rFonts w:hint="eastAsia" w:ascii="Arial" w:hAnsi="Arial" w:cs="Arial"/>
          <w:bCs/>
          <w:kern w:val="44"/>
          <w:szCs w:val="21"/>
        </w:rPr>
        <w:t>35</w:t>
      </w:r>
      <w:r>
        <w:rPr>
          <w:rFonts w:ascii="Arial" w:hAnsi="Arial" w:cs="Arial"/>
          <w:bCs/>
          <w:kern w:val="44"/>
          <w:szCs w:val="21"/>
        </w:rPr>
        <w:t>发生在中国银行常州武进支行的基本户中，</w:t>
      </w:r>
      <w:r>
        <w:rPr>
          <w:rFonts w:hint="eastAsia" w:ascii="Arial" w:hAnsi="Arial" w:cs="Arial"/>
          <w:bCs/>
          <w:kern w:val="44"/>
          <w:szCs w:val="21"/>
        </w:rPr>
        <w:t>2.00</w:t>
      </w:r>
      <w:r>
        <w:rPr>
          <w:rFonts w:ascii="Arial" w:hAnsi="Arial" w:cs="Arial"/>
          <w:bCs/>
          <w:kern w:val="44"/>
          <w:szCs w:val="21"/>
        </w:rPr>
        <w:t>发生</w:t>
      </w:r>
      <w:r>
        <w:rPr>
          <w:rFonts w:hint="eastAsia" w:ascii="Arial" w:hAnsi="Arial" w:cs="Arial"/>
          <w:bCs/>
          <w:kern w:val="44"/>
          <w:szCs w:val="21"/>
        </w:rPr>
        <w:t>在南京</w:t>
      </w:r>
      <w:r>
        <w:rPr>
          <w:rFonts w:ascii="Arial" w:hAnsi="Arial" w:cs="Arial"/>
          <w:bCs/>
          <w:kern w:val="44"/>
          <w:szCs w:val="21"/>
        </w:rPr>
        <w:t>银行一般户中；截至2020年</w:t>
      </w:r>
      <w:r>
        <w:rPr>
          <w:rFonts w:hint="eastAsia" w:ascii="Arial" w:hAnsi="Arial" w:cs="Arial"/>
          <w:bCs/>
          <w:kern w:val="44"/>
          <w:szCs w:val="21"/>
        </w:rPr>
        <w:t>6</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日，项目公司各资金账户余额情况见下表。各账户资金流量情况详见银行对账单（附件一）。</w:t>
      </w:r>
    </w:p>
    <w:p>
      <w:pPr>
        <w:spacing w:before="240" w:beforeLines="100"/>
        <w:jc w:val="center"/>
        <w:rPr>
          <w:rFonts w:ascii="Arial" w:hAnsi="Arial" w:cs="Arial"/>
          <w:b/>
          <w:color w:val="000000"/>
          <w:sz w:val="24"/>
        </w:rPr>
      </w:pPr>
      <w:bookmarkStart w:id="65" w:name="_Toc5956"/>
      <w:bookmarkStart w:id="66" w:name="_Toc30582"/>
      <w:r>
        <w:rPr>
          <w:rFonts w:ascii="Arial" w:hAnsi="Arial" w:cs="Arial"/>
          <w:b/>
          <w:color w:val="000000"/>
          <w:sz w:val="24"/>
        </w:rPr>
        <w:t>截至2020年</w:t>
      </w:r>
      <w:r>
        <w:rPr>
          <w:rFonts w:hint="eastAsia" w:ascii="Arial" w:hAnsi="Arial" w:cs="Arial"/>
          <w:b/>
          <w:color w:val="000000"/>
          <w:sz w:val="24"/>
        </w:rPr>
        <w:t>6</w:t>
      </w:r>
      <w:r>
        <w:rPr>
          <w:rFonts w:ascii="Arial" w:hAnsi="Arial" w:cs="Arial"/>
          <w:b/>
          <w:color w:val="000000"/>
          <w:sz w:val="24"/>
        </w:rPr>
        <w:t>月</w:t>
      </w:r>
      <w:r>
        <w:rPr>
          <w:rFonts w:hint="eastAsia" w:ascii="Arial" w:hAnsi="Arial" w:cs="Arial"/>
          <w:b/>
          <w:color w:val="000000"/>
          <w:sz w:val="24"/>
        </w:rPr>
        <w:t>30</w:t>
      </w:r>
      <w:r>
        <w:rPr>
          <w:rFonts w:ascii="Arial" w:hAnsi="Arial" w:cs="Arial"/>
          <w:b/>
          <w:color w:val="000000"/>
          <w:sz w:val="24"/>
        </w:rPr>
        <w:t>日项目公司各资金账户余额情况表</w:t>
      </w:r>
      <w:bookmarkEnd w:id="65"/>
      <w:bookmarkEnd w:id="66"/>
    </w:p>
    <w:tbl>
      <w:tblPr>
        <w:tblStyle w:val="13"/>
        <w:tblW w:w="9072" w:type="dxa"/>
        <w:tblInd w:w="0" w:type="dxa"/>
        <w:tblLayout w:type="fixed"/>
        <w:tblCellMar>
          <w:top w:w="0" w:type="dxa"/>
          <w:left w:w="0" w:type="dxa"/>
          <w:bottom w:w="0" w:type="dxa"/>
          <w:right w:w="0" w:type="dxa"/>
        </w:tblCellMar>
      </w:tblPr>
      <w:tblGrid>
        <w:gridCol w:w="3040"/>
        <w:gridCol w:w="944"/>
        <w:gridCol w:w="2346"/>
        <w:gridCol w:w="1648"/>
        <w:gridCol w:w="1094"/>
      </w:tblGrid>
      <w:tr>
        <w:tblPrEx>
          <w:tblCellMar>
            <w:top w:w="0" w:type="dxa"/>
            <w:left w:w="0" w:type="dxa"/>
            <w:bottom w:w="0" w:type="dxa"/>
            <w:right w:w="0" w:type="dxa"/>
          </w:tblCellMar>
        </w:tblPrEx>
        <w:trPr>
          <w:trHeight w:val="285" w:hRule="atLeast"/>
          <w:tblHeader/>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kern w:val="0"/>
                <w:sz w:val="18"/>
                <w:szCs w:val="18"/>
              </w:rPr>
              <w:t>8</w:t>
            </w:r>
            <w:r>
              <w:rPr>
                <w:rFonts w:hint="eastAsia" w:ascii="Arial" w:hAnsi="Arial" w:cs="Arial"/>
                <w:kern w:val="0"/>
                <w:sz w:val="18"/>
                <w:szCs w:val="18"/>
              </w:rPr>
              <w:t>3</w:t>
            </w:r>
            <w:r>
              <w:rPr>
                <w:rFonts w:ascii="Arial" w:hAnsi="Arial" w:cs="Arial"/>
                <w:kern w:val="0"/>
                <w:sz w:val="18"/>
                <w:szCs w:val="18"/>
              </w:rPr>
              <w:t>,</w:t>
            </w:r>
            <w:r>
              <w:rPr>
                <w:rFonts w:hint="eastAsia" w:ascii="Arial" w:hAnsi="Arial" w:cs="Arial"/>
                <w:kern w:val="0"/>
                <w:sz w:val="18"/>
                <w:szCs w:val="18"/>
              </w:rPr>
              <w:t>941</w:t>
            </w:r>
            <w:r>
              <w:rPr>
                <w:rFonts w:ascii="Arial" w:hAnsi="Arial" w:cs="Arial"/>
                <w:kern w:val="0"/>
                <w:sz w:val="18"/>
                <w:szCs w:val="18"/>
              </w:rPr>
              <w:t>,</w:t>
            </w:r>
            <w:r>
              <w:rPr>
                <w:rFonts w:hint="eastAsia" w:ascii="Arial" w:hAnsi="Arial" w:cs="Arial"/>
                <w:kern w:val="0"/>
                <w:sz w:val="18"/>
                <w:szCs w:val="18"/>
              </w:rPr>
              <w:t>253</w:t>
            </w:r>
            <w:r>
              <w:rPr>
                <w:rFonts w:ascii="Arial" w:hAnsi="Arial" w:cs="Arial"/>
                <w:kern w:val="0"/>
                <w:sz w:val="18"/>
                <w:szCs w:val="18"/>
              </w:rPr>
              <w:t>.</w:t>
            </w:r>
            <w:r>
              <w:rPr>
                <w:rFonts w:hint="eastAsia" w:ascii="Arial" w:hAnsi="Arial" w:cs="Arial"/>
                <w:kern w:val="0"/>
                <w:sz w:val="18"/>
                <w:szCs w:val="18"/>
              </w:rPr>
              <w:t>11</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r>
              <w:rPr>
                <w:rFonts w:hint="eastAsia" w:ascii="Arial" w:hAnsi="Arial" w:cs="Arial"/>
                <w:color w:val="000000"/>
                <w:kern w:val="0"/>
                <w:sz w:val="18"/>
                <w:szCs w:val="18"/>
              </w:rPr>
              <w:t>5</w:t>
            </w:r>
            <w:r>
              <w:rPr>
                <w:rFonts w:ascii="Arial" w:hAnsi="Arial" w:cs="Arial"/>
                <w:color w:val="000000"/>
                <w:kern w:val="0"/>
                <w:sz w:val="18"/>
                <w:szCs w:val="18"/>
              </w:rPr>
              <w:t>.</w:t>
            </w:r>
            <w:r>
              <w:rPr>
                <w:rFonts w:hint="eastAsia" w:ascii="Arial" w:hAnsi="Arial" w:cs="Arial"/>
                <w:color w:val="000000"/>
                <w:kern w:val="0"/>
                <w:sz w:val="18"/>
                <w:szCs w:val="18"/>
              </w:rPr>
              <w:t>07</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5,494,157.72</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100,549,839.1</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03"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4</w:t>
            </w:r>
            <w:r>
              <w:rPr>
                <w:rFonts w:hint="eastAsia" w:ascii="Arial" w:hAnsi="Arial" w:cs="Arial"/>
                <w:color w:val="000000"/>
                <w:kern w:val="0"/>
                <w:sz w:val="18"/>
                <w:szCs w:val="18"/>
              </w:rPr>
              <w:t>4</w:t>
            </w:r>
            <w:r>
              <w:rPr>
                <w:rFonts w:ascii="Arial" w:hAnsi="Arial" w:cs="Arial"/>
                <w:color w:val="000000"/>
                <w:kern w:val="0"/>
                <w:sz w:val="18"/>
                <w:szCs w:val="18"/>
              </w:rPr>
              <w:t>,</w:t>
            </w:r>
            <w:r>
              <w:rPr>
                <w:rFonts w:hint="eastAsia" w:ascii="Arial" w:hAnsi="Arial" w:cs="Arial"/>
                <w:color w:val="000000"/>
                <w:kern w:val="0"/>
                <w:sz w:val="18"/>
                <w:szCs w:val="18"/>
              </w:rPr>
              <w:t>206</w:t>
            </w:r>
            <w:r>
              <w:rPr>
                <w:rFonts w:ascii="Arial" w:hAnsi="Arial" w:cs="Arial"/>
                <w:color w:val="000000"/>
                <w:kern w:val="0"/>
                <w:sz w:val="18"/>
                <w:szCs w:val="18"/>
              </w:rPr>
              <w:t>,</w:t>
            </w:r>
            <w:r>
              <w:rPr>
                <w:rFonts w:hint="eastAsia" w:ascii="Arial" w:hAnsi="Arial" w:cs="Arial"/>
                <w:color w:val="000000"/>
                <w:kern w:val="0"/>
                <w:sz w:val="18"/>
                <w:szCs w:val="18"/>
              </w:rPr>
              <w:t>529</w:t>
            </w:r>
            <w:r>
              <w:rPr>
                <w:rFonts w:ascii="Arial" w:hAnsi="Arial" w:cs="Arial"/>
                <w:color w:val="000000"/>
                <w:kern w:val="0"/>
                <w:sz w:val="18"/>
                <w:szCs w:val="18"/>
              </w:rPr>
              <w:t>.</w:t>
            </w:r>
            <w:r>
              <w:rPr>
                <w:rFonts w:hint="eastAsia" w:ascii="Arial" w:hAnsi="Arial" w:cs="Arial"/>
                <w:color w:val="000000"/>
                <w:kern w:val="0"/>
                <w:sz w:val="18"/>
                <w:szCs w:val="18"/>
              </w:rPr>
              <w:t>05</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华夏银行常州支行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13150000001411600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70" w:hRule="atLeast"/>
        </w:trPr>
        <w:tc>
          <w:tcPr>
            <w:tcW w:w="63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234</w:t>
            </w:r>
            <w:r>
              <w:rPr>
                <w:rFonts w:ascii="Arial" w:hAnsi="Arial" w:cs="Arial"/>
                <w:color w:val="000000"/>
                <w:kern w:val="0"/>
                <w:sz w:val="18"/>
                <w:szCs w:val="18"/>
              </w:rPr>
              <w:t>,</w:t>
            </w:r>
            <w:r>
              <w:rPr>
                <w:rFonts w:hint="eastAsia" w:ascii="Arial" w:hAnsi="Arial" w:cs="Arial"/>
                <w:color w:val="000000"/>
                <w:kern w:val="0"/>
                <w:sz w:val="18"/>
                <w:szCs w:val="18"/>
              </w:rPr>
              <w:t>192</w:t>
            </w:r>
            <w:r>
              <w:rPr>
                <w:rFonts w:ascii="Arial" w:hAnsi="Arial" w:cs="Arial"/>
                <w:color w:val="000000"/>
                <w:kern w:val="0"/>
                <w:sz w:val="18"/>
                <w:szCs w:val="18"/>
              </w:rPr>
              <w:t>,</w:t>
            </w:r>
            <w:r>
              <w:rPr>
                <w:rFonts w:hint="eastAsia" w:ascii="Arial" w:hAnsi="Arial" w:cs="Arial"/>
                <w:color w:val="000000"/>
                <w:kern w:val="0"/>
                <w:sz w:val="18"/>
                <w:szCs w:val="18"/>
              </w:rPr>
              <w:t>004</w:t>
            </w:r>
            <w:r>
              <w:rPr>
                <w:rFonts w:ascii="Arial" w:hAnsi="Arial" w:cs="Arial"/>
                <w:color w:val="000000"/>
                <w:kern w:val="0"/>
                <w:sz w:val="18"/>
                <w:szCs w:val="18"/>
              </w:rPr>
              <w:t>.</w:t>
            </w:r>
            <w:r>
              <w:rPr>
                <w:rFonts w:hint="eastAsia" w:ascii="Arial" w:hAnsi="Arial" w:cs="Arial"/>
                <w:color w:val="000000"/>
                <w:kern w:val="0"/>
                <w:sz w:val="18"/>
                <w:szCs w:val="18"/>
              </w:rPr>
              <w:t>05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r>
    </w:tbl>
    <w:p>
      <w:pPr>
        <w:spacing w:line="480" w:lineRule="auto"/>
        <w:ind w:firstLine="420" w:firstLineChars="200"/>
        <w:rPr>
          <w:rFonts w:ascii="Arial" w:hAnsi="Arial" w:cs="Arial"/>
          <w:bCs/>
          <w:kern w:val="44"/>
          <w:szCs w:val="21"/>
        </w:rPr>
      </w:pPr>
    </w:p>
    <w:bookmarkEnd w:id="46"/>
    <w:bookmarkEnd w:id="47"/>
    <w:bookmarkEnd w:id="48"/>
    <w:bookmarkEnd w:id="49"/>
    <w:bookmarkEnd w:id="50"/>
    <w:p>
      <w:pPr>
        <w:pStyle w:val="3"/>
        <w:keepNext w:val="0"/>
        <w:keepLines w:val="0"/>
        <w:spacing w:before="300" w:after="300" w:line="360" w:lineRule="exact"/>
        <w:jc w:val="left"/>
        <w:rPr>
          <w:rFonts w:eastAsia="宋体" w:cs="Arial"/>
          <w:sz w:val="24"/>
        </w:rPr>
      </w:pPr>
      <w:bookmarkStart w:id="67" w:name="_Toc19007753"/>
      <w:bookmarkStart w:id="68" w:name="_Toc32221"/>
      <w:bookmarkStart w:id="69" w:name="_Toc535580031"/>
      <w:bookmarkStart w:id="70" w:name="_Toc535580099"/>
      <w:bookmarkStart w:id="71" w:name="_Toc535508644"/>
      <w:bookmarkStart w:id="72" w:name="_Toc535570758"/>
      <w:bookmarkStart w:id="73" w:name="_Toc532281663"/>
      <w:bookmarkStart w:id="74" w:name="_Toc5700907"/>
      <w:bookmarkStart w:id="75" w:name="_Toc535580097"/>
      <w:bookmarkStart w:id="76" w:name="_Toc535570756"/>
      <w:bookmarkStart w:id="77" w:name="_Toc373309851"/>
      <w:bookmarkStart w:id="78" w:name="_Toc535508642"/>
      <w:bookmarkStart w:id="79" w:name="_Toc535580029"/>
      <w:bookmarkStart w:id="80" w:name="_Toc411430359"/>
      <w:r>
        <w:rPr>
          <w:rFonts w:eastAsia="宋体" w:cs="Arial"/>
          <w:sz w:val="24"/>
        </w:rPr>
        <w:t>7.2</w:t>
      </w:r>
      <w:r>
        <w:rPr>
          <w:rFonts w:cs="Arial" w:eastAsiaTheme="minorEastAsia"/>
          <w:kern w:val="44"/>
          <w:sz w:val="24"/>
          <w:szCs w:val="24"/>
        </w:rPr>
        <w:t>收取各类保证金余额</w:t>
      </w:r>
      <w:r>
        <w:rPr>
          <w:rFonts w:eastAsia="宋体" w:cs="Arial"/>
          <w:sz w:val="24"/>
        </w:rPr>
        <w:t>情况</w:t>
      </w:r>
      <w:bookmarkEnd w:id="67"/>
      <w:bookmarkEnd w:id="68"/>
    </w:p>
    <w:bookmarkEnd w:id="69"/>
    <w:bookmarkEnd w:id="70"/>
    <w:bookmarkEnd w:id="71"/>
    <w:bookmarkEnd w:id="72"/>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项目公司2020</w:t>
      </w:r>
      <w:r>
        <w:rPr>
          <w:rFonts w:hint="eastAsia" w:ascii="Arial" w:hAnsi="Arial" w:cs="Arial" w:eastAsiaTheme="minorEastAsia"/>
          <w:color w:val="000000"/>
          <w:szCs w:val="21"/>
        </w:rPr>
        <w:t>年6月份未收到保证金</w:t>
      </w:r>
      <w:r>
        <w:rPr>
          <w:rFonts w:ascii="Arial" w:hAnsi="Arial" w:cs="Arial" w:eastAsiaTheme="minorEastAsia"/>
          <w:color w:val="000000"/>
          <w:szCs w:val="21"/>
        </w:rPr>
        <w:t>，截止到2020年</w:t>
      </w:r>
      <w:r>
        <w:rPr>
          <w:rFonts w:hint="eastAsia" w:ascii="Arial" w:hAnsi="Arial" w:cs="Arial" w:eastAsiaTheme="minorEastAsia"/>
          <w:color w:val="000000"/>
          <w:szCs w:val="21"/>
        </w:rPr>
        <w:t>6</w:t>
      </w:r>
      <w:r>
        <w:rPr>
          <w:rFonts w:ascii="Arial" w:hAnsi="Arial" w:cs="Arial" w:eastAsiaTheme="minorEastAsia"/>
          <w:color w:val="000000"/>
          <w:szCs w:val="21"/>
        </w:rPr>
        <w:t>月</w:t>
      </w:r>
      <w:r>
        <w:rPr>
          <w:rFonts w:hint="eastAsia" w:ascii="Arial" w:hAnsi="Arial" w:cs="Arial" w:eastAsiaTheme="minorEastAsia"/>
          <w:color w:val="000000"/>
          <w:szCs w:val="21"/>
        </w:rPr>
        <w:t>30</w:t>
      </w:r>
      <w:r>
        <w:rPr>
          <w:rFonts w:ascii="Arial" w:hAnsi="Arial" w:cs="Arial" w:eastAsiaTheme="minorEastAsia"/>
          <w:color w:val="000000"/>
          <w:szCs w:val="21"/>
        </w:rPr>
        <w:t>日，项目公司共收取保证金51,</w:t>
      </w:r>
      <w:r>
        <w:rPr>
          <w:rFonts w:hint="eastAsia" w:ascii="Arial" w:hAnsi="Arial" w:cs="Arial" w:eastAsiaTheme="minorEastAsia"/>
          <w:color w:val="000000"/>
          <w:szCs w:val="21"/>
        </w:rPr>
        <w:t>63</w:t>
      </w:r>
      <w:r>
        <w:rPr>
          <w:rFonts w:ascii="Arial" w:hAnsi="Arial" w:cs="Arial" w:eastAsiaTheme="minorEastAsia"/>
          <w:color w:val="000000"/>
          <w:szCs w:val="21"/>
        </w:rPr>
        <w:t>9,</w:t>
      </w:r>
      <w:r>
        <w:rPr>
          <w:rFonts w:hint="eastAsia" w:ascii="Arial" w:hAnsi="Arial" w:cs="Arial" w:eastAsiaTheme="minorEastAsia"/>
          <w:color w:val="000000"/>
          <w:szCs w:val="21"/>
        </w:rPr>
        <w:t>71</w:t>
      </w:r>
      <w:r>
        <w:rPr>
          <w:rFonts w:ascii="Arial" w:hAnsi="Arial" w:cs="Arial" w:eastAsiaTheme="minorEastAsia"/>
          <w:color w:val="000000"/>
          <w:szCs w:val="21"/>
        </w:rPr>
        <w:t>5.19元；</w:t>
      </w:r>
      <w:r>
        <w:rPr>
          <w:rFonts w:hint="eastAsia" w:ascii="Arial" w:hAnsi="Arial" w:cs="Arial" w:eastAsiaTheme="minorEastAsia"/>
          <w:color w:val="000000"/>
          <w:szCs w:val="21"/>
        </w:rPr>
        <w:t>2020年6月23日退还二三期造价咨询退投标保证金30,000.00元，</w:t>
      </w:r>
      <w:r>
        <w:rPr>
          <w:rFonts w:ascii="Arial" w:hAnsi="Arial" w:cs="Arial" w:eastAsiaTheme="minorEastAsia"/>
          <w:color w:val="000000"/>
          <w:szCs w:val="21"/>
        </w:rPr>
        <w:t>共退还2,4</w:t>
      </w:r>
      <w:r>
        <w:rPr>
          <w:rFonts w:hint="eastAsia" w:ascii="Arial" w:hAnsi="Arial" w:cs="Arial" w:eastAsiaTheme="minorEastAsia"/>
          <w:color w:val="000000"/>
          <w:szCs w:val="21"/>
        </w:rPr>
        <w:t>4</w:t>
      </w:r>
      <w:r>
        <w:rPr>
          <w:rFonts w:ascii="Arial" w:hAnsi="Arial" w:cs="Arial" w:eastAsiaTheme="minorEastAsia"/>
          <w:color w:val="000000"/>
          <w:szCs w:val="21"/>
        </w:rPr>
        <w:t>0,000.00元，保证金余额49,1</w:t>
      </w:r>
      <w:r>
        <w:rPr>
          <w:rFonts w:hint="eastAsia" w:ascii="Arial" w:hAnsi="Arial" w:cs="Arial" w:eastAsiaTheme="minorEastAsia"/>
          <w:color w:val="000000"/>
          <w:szCs w:val="21"/>
        </w:rPr>
        <w:t>9</w:t>
      </w:r>
      <w:r>
        <w:rPr>
          <w:rFonts w:ascii="Arial" w:hAnsi="Arial" w:cs="Arial" w:eastAsiaTheme="minorEastAsia"/>
          <w:color w:val="000000"/>
          <w:szCs w:val="21"/>
        </w:rPr>
        <w:t>9,</w:t>
      </w:r>
      <w:r>
        <w:rPr>
          <w:rFonts w:hint="eastAsia" w:ascii="Arial" w:hAnsi="Arial" w:cs="Arial" w:eastAsiaTheme="minorEastAsia"/>
          <w:color w:val="000000"/>
          <w:szCs w:val="21"/>
        </w:rPr>
        <w:t>7</w:t>
      </w:r>
      <w:r>
        <w:rPr>
          <w:rFonts w:ascii="Arial" w:hAnsi="Arial" w:cs="Arial" w:eastAsiaTheme="minorEastAsia"/>
          <w:color w:val="000000"/>
          <w:szCs w:val="21"/>
        </w:rPr>
        <w:t>15.19</w:t>
      </w:r>
      <w:bookmarkStart w:id="117" w:name="_GoBack"/>
      <w:bookmarkEnd w:id="117"/>
      <w:r>
        <w:rPr>
          <w:rFonts w:ascii="Arial" w:hAnsi="Arial" w:cs="Arial" w:eastAsiaTheme="minorEastAsia"/>
          <w:color w:val="000000"/>
          <w:szCs w:val="21"/>
        </w:rPr>
        <w:t>元。该资金具体情况如下表：</w:t>
      </w:r>
    </w:p>
    <w:p>
      <w:pPr>
        <w:spacing w:before="240" w:beforeLines="100"/>
        <w:jc w:val="center"/>
        <w:rPr>
          <w:rFonts w:ascii="Arial" w:hAnsi="Arial" w:cs="Arial"/>
          <w:b/>
          <w:color w:val="000000"/>
          <w:sz w:val="24"/>
        </w:rPr>
      </w:pPr>
      <w:bookmarkStart w:id="81" w:name="_Toc26480"/>
      <w:bookmarkStart w:id="82" w:name="_Toc25505"/>
      <w:r>
        <w:rPr>
          <w:rFonts w:ascii="Arial" w:hAnsi="Arial" w:cs="Arial"/>
          <w:b/>
          <w:color w:val="000000"/>
          <w:sz w:val="24"/>
        </w:rPr>
        <w:t>保证金基本情况表</w:t>
      </w:r>
      <w:bookmarkEnd w:id="81"/>
      <w:bookmarkEnd w:id="82"/>
    </w:p>
    <w:tbl>
      <w:tblPr>
        <w:tblStyle w:val="13"/>
        <w:tblW w:w="9502" w:type="dxa"/>
        <w:tblInd w:w="-96" w:type="dxa"/>
        <w:tblLayout w:type="fixed"/>
        <w:tblCellMar>
          <w:top w:w="0" w:type="dxa"/>
          <w:left w:w="0" w:type="dxa"/>
          <w:bottom w:w="0" w:type="dxa"/>
          <w:right w:w="0" w:type="dxa"/>
        </w:tblCellMar>
      </w:tblPr>
      <w:tblGrid>
        <w:gridCol w:w="3697"/>
        <w:gridCol w:w="1377"/>
        <w:gridCol w:w="1254"/>
        <w:gridCol w:w="1621"/>
        <w:gridCol w:w="1553"/>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r>
              <w:rPr>
                <w:rFonts w:hint="eastAsia" w:ascii="Arial" w:hAnsi="Arial" w:cs="Arial" w:eastAsiaTheme="minorEastAsia"/>
                <w:color w:val="000000"/>
                <w:kern w:val="0"/>
                <w:sz w:val="18"/>
                <w:szCs w:val="18"/>
              </w:rPr>
              <w:t>63</w:t>
            </w:r>
            <w:r>
              <w:rPr>
                <w:rFonts w:ascii="Arial" w:hAnsi="Arial" w:cs="Arial" w:eastAsiaTheme="minorEastAsia"/>
                <w:color w:val="000000"/>
                <w:kern w:val="0"/>
                <w:sz w:val="18"/>
                <w:szCs w:val="18"/>
              </w:rPr>
              <w:t>9,</w:t>
            </w:r>
            <w:r>
              <w:rPr>
                <w:rFonts w:hint="eastAsia" w:ascii="Arial" w:hAnsi="Arial" w:cs="Arial" w:eastAsiaTheme="minorEastAsia"/>
                <w:color w:val="000000"/>
                <w:kern w:val="0"/>
                <w:sz w:val="18"/>
                <w:szCs w:val="18"/>
              </w:rPr>
              <w:t>71</w:t>
            </w:r>
            <w:r>
              <w:rPr>
                <w:rFonts w:ascii="Arial" w:hAnsi="Arial" w:cs="Arial" w:eastAsiaTheme="minorEastAsia"/>
                <w:color w:val="000000"/>
                <w:kern w:val="0"/>
                <w:sz w:val="18"/>
                <w:szCs w:val="18"/>
              </w:rPr>
              <w:t>5.19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w:t>
            </w: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0,000.00</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49,1</w:t>
            </w:r>
            <w:r>
              <w:rPr>
                <w:rFonts w:hint="eastAsia" w:ascii="Arial" w:hAnsi="Arial" w:cs="Arial" w:eastAsiaTheme="minorEastAsia"/>
                <w:color w:val="000000"/>
                <w:sz w:val="18"/>
                <w:szCs w:val="18"/>
              </w:rPr>
              <w:t>9</w:t>
            </w:r>
            <w:r>
              <w:rPr>
                <w:rFonts w:ascii="Arial" w:hAnsi="Arial" w:cs="Arial" w:eastAsiaTheme="minorEastAsia"/>
                <w:color w:val="000000"/>
                <w:sz w:val="18"/>
                <w:szCs w:val="18"/>
              </w:rPr>
              <w:t>9,</w:t>
            </w:r>
            <w:r>
              <w:rPr>
                <w:rFonts w:hint="eastAsia" w:ascii="Arial" w:hAnsi="Arial" w:cs="Arial" w:eastAsiaTheme="minorEastAsia"/>
                <w:color w:val="000000"/>
                <w:sz w:val="18"/>
                <w:szCs w:val="18"/>
              </w:rPr>
              <w:t>7</w:t>
            </w:r>
            <w:r>
              <w:rPr>
                <w:rFonts w:ascii="Arial" w:hAnsi="Arial" w:cs="Arial" w:eastAsiaTheme="minorEastAsia"/>
                <w:color w:val="000000"/>
                <w:sz w:val="18"/>
                <w:szCs w:val="18"/>
              </w:rPr>
              <w:t>15.19</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bookmarkEnd w:id="73"/>
      <w:bookmarkEnd w:id="74"/>
      <w:bookmarkEnd w:id="75"/>
      <w:bookmarkEnd w:id="76"/>
      <w:bookmarkEnd w:id="77"/>
      <w:bookmarkEnd w:id="78"/>
      <w:bookmarkEnd w:id="79"/>
      <w:bookmarkEnd w:id="80"/>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83" w:name="_Toc25745"/>
      <w:r>
        <w:rPr>
          <w:rFonts w:ascii="Arial" w:hAnsi="Arial" w:cs="Arial"/>
          <w:color w:val="000000"/>
          <w:sz w:val="24"/>
          <w:szCs w:val="24"/>
        </w:rPr>
        <w:t>附件</w:t>
      </w:r>
      <w:bookmarkEnd w:id="83"/>
    </w:p>
    <w:p>
      <w:pPr>
        <w:pStyle w:val="3"/>
        <w:keepNext w:val="0"/>
        <w:keepLines w:val="0"/>
        <w:spacing w:before="300" w:after="300" w:line="360" w:lineRule="exact"/>
        <w:jc w:val="left"/>
        <w:rPr>
          <w:rFonts w:eastAsia="宋体" w:cs="Arial"/>
          <w:sz w:val="24"/>
        </w:rPr>
      </w:pPr>
      <w:bookmarkStart w:id="84" w:name="_Toc26290"/>
      <w:r>
        <w:rPr>
          <w:rFonts w:eastAsia="宋体" w:cs="Arial"/>
          <w:sz w:val="24"/>
        </w:rPr>
        <w:t xml:space="preserve">附件一 </w:t>
      </w:r>
      <w:r>
        <w:rPr>
          <w:rFonts w:hint="eastAsia" w:eastAsia="宋体" w:cs="Arial"/>
          <w:sz w:val="24"/>
        </w:rPr>
        <w:t>商品房预售许可证</w:t>
      </w:r>
      <w:bookmarkEnd w:id="84"/>
    </w:p>
    <w:p>
      <w:pPr>
        <w:rPr>
          <w:rFonts w:cs="Arial"/>
          <w:color w:val="FF0000"/>
          <w:sz w:val="24"/>
        </w:rPr>
      </w:pPr>
    </w:p>
    <w:p>
      <w:pPr>
        <w:rPr>
          <w:rFonts w:cs="Arial"/>
          <w:color w:val="FF0000"/>
          <w:sz w:val="24"/>
        </w:rPr>
      </w:pPr>
      <w:r>
        <w:rPr>
          <w:rFonts w:hint="eastAsia" w:cs="Arial"/>
          <w:color w:val="FF0000"/>
          <w:sz w:val="24"/>
        </w:rPr>
        <w:drawing>
          <wp:inline distT="0" distB="0" distL="114300" distR="114300">
            <wp:extent cx="4618990" cy="5809615"/>
            <wp:effectExtent l="0" t="4763" r="5398" b="5397"/>
            <wp:docPr id="18" name="图片 18" descr="一期低密区预售证20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一期低密区预售证20200617"/>
                    <pic:cNvPicPr>
                      <a:picLocks noChangeAspect="1"/>
                    </pic:cNvPicPr>
                  </pic:nvPicPr>
                  <pic:blipFill>
                    <a:blip r:embed="rId21"/>
                    <a:stretch>
                      <a:fillRect/>
                    </a:stretch>
                  </pic:blipFill>
                  <pic:spPr>
                    <a:xfrm rot="5400000">
                      <a:off x="0" y="0"/>
                      <a:ext cx="4634077" cy="5828164"/>
                    </a:xfrm>
                    <a:prstGeom prst="rect">
                      <a:avLst/>
                    </a:prstGeom>
                  </pic:spPr>
                </pic:pic>
              </a:graphicData>
            </a:graphic>
          </wp:inline>
        </w:drawing>
      </w:r>
    </w:p>
    <w:p>
      <w:pPr>
        <w:rPr>
          <w:rFonts w:cs="Arial"/>
          <w:color w:val="FF0000"/>
          <w:sz w:val="24"/>
        </w:rPr>
      </w:pPr>
      <w:r>
        <w:rPr>
          <w:rFonts w:hint="eastAsia" w:cs="Arial"/>
          <w:color w:val="FF0000"/>
          <w:sz w:val="24"/>
        </w:rPr>
        <w:br w:type="page"/>
      </w:r>
    </w:p>
    <w:p>
      <w:pPr>
        <w:pStyle w:val="3"/>
        <w:keepNext w:val="0"/>
        <w:keepLines w:val="0"/>
        <w:spacing w:before="300" w:after="300" w:line="360" w:lineRule="exact"/>
        <w:jc w:val="left"/>
        <w:rPr>
          <w:rFonts w:eastAsia="宋体" w:cs="Arial"/>
          <w:sz w:val="24"/>
        </w:rPr>
      </w:pPr>
      <w:bookmarkStart w:id="85" w:name="_Toc10371"/>
      <w:r>
        <w:rPr>
          <w:rFonts w:hint="eastAsia" w:eastAsia="宋体" w:cs="Arial"/>
          <w:sz w:val="24"/>
        </w:rPr>
        <w:t xml:space="preserve">附件二 </w:t>
      </w:r>
      <w:r>
        <w:rPr>
          <w:rFonts w:eastAsia="宋体" w:cs="Arial"/>
          <w:sz w:val="24"/>
        </w:rPr>
        <w:t>银行对账单</w:t>
      </w:r>
      <w:bookmarkEnd w:id="85"/>
    </w:p>
    <w:p>
      <w:pPr>
        <w:spacing w:line="360" w:lineRule="auto"/>
        <w:ind w:firstLine="420" w:firstLineChars="200"/>
        <w:jc w:val="center"/>
        <w:rPr>
          <w:rFonts w:ascii="Arial" w:hAnsi="Arial" w:cs="Arial"/>
        </w:rPr>
      </w:pPr>
    </w:p>
    <w:p>
      <w:pPr>
        <w:jc w:val="center"/>
        <w:rPr>
          <w:rFonts w:ascii="Arial" w:hAnsi="Arial" w:cs="Arial"/>
        </w:rPr>
      </w:pPr>
      <w:bookmarkStart w:id="86" w:name="_Toc7439"/>
      <w:bookmarkStart w:id="87" w:name="_Toc31832"/>
      <w:r>
        <w:rPr>
          <w:rFonts w:ascii="Arial" w:hAnsi="Arial" w:cs="Arial"/>
        </w:rPr>
        <w:t>中国银行股份有限公司常州武进支行</w:t>
      </w:r>
      <w:bookmarkEnd w:id="86"/>
      <w:bookmarkStart w:id="88" w:name="_Toc18047"/>
      <w:r>
        <w:rPr>
          <w:rFonts w:ascii="Arial" w:hAnsi="Arial" w:cs="Arial"/>
        </w:rPr>
        <w:t>对账单</w:t>
      </w:r>
      <w:bookmarkEnd w:id="87"/>
    </w:p>
    <w:p>
      <w:pPr>
        <w:jc w:val="center"/>
        <w:rPr>
          <w:rFonts w:ascii="Arial" w:hAnsi="Arial" w:cs="Arial"/>
        </w:rPr>
      </w:pPr>
      <w:bookmarkStart w:id="89" w:name="_Toc7379"/>
      <w:r>
        <w:rPr>
          <w:rFonts w:ascii="Arial" w:hAnsi="Arial" w:cs="Arial"/>
        </w:rPr>
        <w:t>（2020年</w:t>
      </w:r>
      <w:r>
        <w:rPr>
          <w:rFonts w:hint="eastAsia" w:ascii="Arial" w:hAnsi="Arial" w:cs="Arial"/>
        </w:rPr>
        <w:t>6</w:t>
      </w:r>
      <w:r>
        <w:rPr>
          <w:rFonts w:ascii="Arial" w:hAnsi="Arial" w:cs="Arial"/>
        </w:rPr>
        <w:t>月）</w:t>
      </w:r>
      <w:bookmarkEnd w:id="88"/>
      <w:bookmarkEnd w:id="89"/>
    </w:p>
    <w:p>
      <w:pPr>
        <w:rPr>
          <w:rFonts w:ascii="Arial" w:hAnsi="Arial" w:cs="Arial"/>
        </w:rPr>
      </w:pPr>
      <w:r>
        <w:rPr>
          <w:rFonts w:ascii="Arial" w:hAnsi="Arial" w:cs="Arial"/>
        </w:rPr>
        <w:drawing>
          <wp:inline distT="0" distB="0" distL="114300" distR="114300">
            <wp:extent cx="5556885" cy="7249795"/>
            <wp:effectExtent l="0" t="0" r="5715" b="8255"/>
            <wp:docPr id="13" name="图片 13" descr="2020.06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06余额对账单"/>
                    <pic:cNvPicPr>
                      <a:picLocks noChangeAspect="1"/>
                    </pic:cNvPicPr>
                  </pic:nvPicPr>
                  <pic:blipFill>
                    <a:blip r:embed="rId22"/>
                    <a:stretch>
                      <a:fillRect/>
                    </a:stretch>
                  </pic:blipFill>
                  <pic:spPr>
                    <a:xfrm>
                      <a:off x="0" y="0"/>
                      <a:ext cx="5556885" cy="7249795"/>
                    </a:xfrm>
                    <a:prstGeom prst="rect">
                      <a:avLst/>
                    </a:prstGeom>
                  </pic:spPr>
                </pic:pic>
              </a:graphicData>
            </a:graphic>
          </wp:inline>
        </w:drawing>
      </w:r>
      <w:r>
        <w:rPr>
          <w:rFonts w:ascii="Arial" w:hAnsi="Arial" w:cs="Arial"/>
        </w:rPr>
        <w:drawing>
          <wp:inline distT="0" distB="0" distL="114300" distR="114300">
            <wp:extent cx="5896610" cy="3692525"/>
            <wp:effectExtent l="0" t="0" r="8890"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5896610" cy="3692525"/>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r>
        <w:rPr>
          <w:rFonts w:ascii="Arial" w:hAnsi="Arial" w:cs="Arial"/>
        </w:rPr>
        <w:drawing>
          <wp:inline distT="0" distB="0" distL="114300" distR="114300">
            <wp:extent cx="5903595" cy="3712845"/>
            <wp:effectExtent l="0" t="0" r="190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5903595" cy="3712845"/>
                    </a:xfrm>
                    <a:prstGeom prst="rect">
                      <a:avLst/>
                    </a:prstGeom>
                    <a:noFill/>
                    <a:ln>
                      <a:noFill/>
                    </a:ln>
                  </pic:spPr>
                </pic:pic>
              </a:graphicData>
            </a:graphic>
          </wp:inline>
        </w:drawing>
      </w:r>
      <w:r>
        <w:rPr>
          <w:rFonts w:ascii="Arial" w:hAnsi="Arial" w:cs="Arial"/>
        </w:rPr>
        <w:drawing>
          <wp:inline distT="0" distB="0" distL="114300" distR="114300">
            <wp:extent cx="5901690" cy="3653790"/>
            <wp:effectExtent l="0" t="0" r="381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5901690" cy="365379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color w:val="000000"/>
          <w:sz w:val="24"/>
        </w:rPr>
      </w:pPr>
      <w:r>
        <w:rPr>
          <w:rFonts w:ascii="Arial" w:hAnsi="Arial" w:cs="Arial"/>
        </w:rPr>
        <w:drawing>
          <wp:inline distT="0" distB="0" distL="114300" distR="114300">
            <wp:extent cx="5902325" cy="3766185"/>
            <wp:effectExtent l="0" t="0" r="317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5902325" cy="3766185"/>
                    </a:xfrm>
                    <a:prstGeom prst="rect">
                      <a:avLst/>
                    </a:prstGeom>
                    <a:noFill/>
                    <a:ln>
                      <a:noFill/>
                    </a:ln>
                  </pic:spPr>
                </pic:pic>
              </a:graphicData>
            </a:graphic>
          </wp:inline>
        </w:drawing>
      </w:r>
    </w:p>
    <w:p>
      <w:pPr>
        <w:rPr>
          <w:rFonts w:ascii="Arial" w:hAnsi="Arial" w:cs="Arial" w:eastAsiaTheme="minorEastAsia"/>
          <w:color w:val="000000"/>
          <w:sz w:val="24"/>
        </w:rPr>
      </w:pPr>
    </w:p>
    <w:p>
      <w:pPr>
        <w:rPr>
          <w:rFonts w:ascii="Arial" w:hAnsi="Arial" w:cs="Arial" w:eastAsiaTheme="minorEastAsia"/>
          <w:color w:val="000000"/>
          <w:sz w:val="24"/>
        </w:rPr>
      </w:pPr>
    </w:p>
    <w:p>
      <w:pPr>
        <w:widowControl/>
        <w:jc w:val="left"/>
        <w:rPr>
          <w:rFonts w:ascii="Arial" w:hAnsi="Arial" w:cs="Arial" w:eastAsiaTheme="minorEastAsia"/>
          <w:color w:val="000000"/>
          <w:sz w:val="24"/>
        </w:rPr>
      </w:pPr>
      <w:r>
        <w:rPr>
          <w:rFonts w:ascii="Arial" w:hAnsi="Arial" w:cs="Arial" w:eastAsiaTheme="minorEastAsia"/>
          <w:color w:val="000000"/>
          <w:sz w:val="24"/>
        </w:rPr>
        <w:br w:type="page"/>
      </w:r>
      <w:bookmarkStart w:id="90" w:name="_Toc16074"/>
      <w:bookmarkStart w:id="91" w:name="_Toc23608"/>
    </w:p>
    <w:p>
      <w:pPr>
        <w:jc w:val="center"/>
        <w:rPr>
          <w:rFonts w:ascii="Arial" w:hAnsi="Arial" w:cs="Arial"/>
        </w:rPr>
      </w:pPr>
      <w:bookmarkStart w:id="92" w:name="_Toc1968"/>
      <w:r>
        <w:rPr>
          <w:rFonts w:ascii="Arial" w:hAnsi="Arial" w:cs="Arial"/>
        </w:rPr>
        <w:t>中国建设银行常州丰乐支行对账单</w:t>
      </w:r>
      <w:bookmarkEnd w:id="90"/>
      <w:bookmarkEnd w:id="92"/>
    </w:p>
    <w:p>
      <w:pPr>
        <w:jc w:val="center"/>
        <w:rPr>
          <w:rFonts w:ascii="Arial" w:hAnsi="Arial" w:cs="Arial"/>
        </w:rPr>
      </w:pPr>
      <w:bookmarkStart w:id="93" w:name="_Toc12611"/>
      <w:r>
        <w:rPr>
          <w:rFonts w:ascii="Arial" w:hAnsi="Arial" w:cs="Arial"/>
        </w:rPr>
        <w:t>（2020年</w:t>
      </w:r>
      <w:r>
        <w:rPr>
          <w:rFonts w:hint="eastAsia" w:ascii="Arial" w:hAnsi="Arial" w:cs="Arial"/>
        </w:rPr>
        <w:t>6</w:t>
      </w:r>
      <w:r>
        <w:rPr>
          <w:rFonts w:ascii="Arial" w:hAnsi="Arial" w:cs="Arial"/>
        </w:rPr>
        <w:t>月）</w:t>
      </w:r>
      <w:bookmarkEnd w:id="93"/>
    </w:p>
    <w:p>
      <w:pPr>
        <w:widowControl/>
        <w:jc w:val="left"/>
        <w:rPr>
          <w:rFonts w:ascii="Arial" w:hAnsi="Arial" w:cs="Arial" w:eastAsiaTheme="minorEastAsia"/>
          <w:color w:val="000000"/>
          <w:sz w:val="24"/>
        </w:rPr>
      </w:pPr>
      <w:r>
        <w:rPr>
          <w:rFonts w:hint="eastAsia" w:ascii="Arial" w:hAnsi="Arial" w:cs="Arial" w:eastAsiaTheme="minorEastAsia"/>
          <w:color w:val="000000"/>
          <w:sz w:val="24"/>
        </w:rPr>
        <w:drawing>
          <wp:inline distT="0" distB="0" distL="114300" distR="114300">
            <wp:extent cx="4940300" cy="5897880"/>
            <wp:effectExtent l="0" t="0" r="7620" b="12700"/>
            <wp:docPr id="26" name="图片 26" descr="1b1ca994697bdf6cf30219278d2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1ca994697bdf6cf30219278d2d047"/>
                    <pic:cNvPicPr>
                      <a:picLocks noChangeAspect="1"/>
                    </pic:cNvPicPr>
                  </pic:nvPicPr>
                  <pic:blipFill>
                    <a:blip r:embed="rId27"/>
                    <a:stretch>
                      <a:fillRect/>
                    </a:stretch>
                  </pic:blipFill>
                  <pic:spPr>
                    <a:xfrm rot="5400000">
                      <a:off x="0" y="0"/>
                      <a:ext cx="4940300" cy="5897880"/>
                    </a:xfrm>
                    <a:prstGeom prst="rect">
                      <a:avLst/>
                    </a:prstGeom>
                  </pic:spPr>
                </pic:pic>
              </a:graphicData>
            </a:graphic>
          </wp:inline>
        </w:drawing>
      </w: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jc w:val="center"/>
        <w:rPr>
          <w:rFonts w:ascii="Arial" w:hAnsi="Arial" w:cs="Arial"/>
        </w:rPr>
      </w:pPr>
      <w:bookmarkStart w:id="94" w:name="_Toc14747"/>
      <w:r>
        <w:rPr>
          <w:rFonts w:ascii="Arial" w:hAnsi="Arial" w:cs="Arial"/>
        </w:rPr>
        <w:t>江南农村商业银行湖塘支行</w:t>
      </w:r>
      <w:bookmarkEnd w:id="91"/>
      <w:bookmarkStart w:id="95" w:name="_Toc22247"/>
      <w:r>
        <w:rPr>
          <w:rFonts w:ascii="Arial" w:hAnsi="Arial" w:cs="Arial"/>
        </w:rPr>
        <w:t>对账单</w:t>
      </w:r>
      <w:bookmarkEnd w:id="94"/>
    </w:p>
    <w:p>
      <w:pPr>
        <w:jc w:val="center"/>
        <w:rPr>
          <w:rFonts w:ascii="Arial" w:hAnsi="Arial" w:cs="Arial"/>
        </w:rPr>
      </w:pPr>
      <w:bookmarkStart w:id="96" w:name="_Toc1540"/>
      <w:r>
        <w:rPr>
          <w:rFonts w:ascii="Arial" w:hAnsi="Arial" w:cs="Arial"/>
        </w:rPr>
        <w:t>（2020年</w:t>
      </w:r>
      <w:r>
        <w:rPr>
          <w:rFonts w:hint="eastAsia" w:ascii="Arial" w:hAnsi="Arial" w:cs="Arial"/>
        </w:rPr>
        <w:t>6</w:t>
      </w:r>
      <w:r>
        <w:rPr>
          <w:rFonts w:ascii="Arial" w:hAnsi="Arial" w:cs="Arial"/>
        </w:rPr>
        <w:t>月）</w:t>
      </w:r>
      <w:bookmarkEnd w:id="95"/>
      <w:bookmarkEnd w:id="96"/>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883275" cy="4225925"/>
            <wp:effectExtent l="0" t="0" r="3175" b="3175"/>
            <wp:docPr id="25" name="图片 25" descr="73ccc9917b6d7020250c9aca4d8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ccc9917b6d7020250c9aca4d88455"/>
                    <pic:cNvPicPr>
                      <a:picLocks noChangeAspect="1"/>
                    </pic:cNvPicPr>
                  </pic:nvPicPr>
                  <pic:blipFill>
                    <a:blip r:embed="rId28"/>
                    <a:stretch>
                      <a:fillRect/>
                    </a:stretch>
                  </pic:blipFill>
                  <pic:spPr>
                    <a:xfrm>
                      <a:off x="0" y="0"/>
                      <a:ext cx="5883275" cy="4225925"/>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97" w:name="_Toc11298"/>
      <w:bookmarkStart w:id="98" w:name="_Toc3391"/>
      <w:r>
        <w:rPr>
          <w:rFonts w:ascii="Arial" w:hAnsi="Arial" w:cs="Arial"/>
        </w:rPr>
        <w:t>南京银行常州分行</w:t>
      </w:r>
      <w:bookmarkEnd w:id="97"/>
      <w:r>
        <w:rPr>
          <w:rFonts w:ascii="Arial" w:hAnsi="Arial" w:cs="Arial"/>
        </w:rPr>
        <w:t>对账单</w:t>
      </w:r>
      <w:bookmarkEnd w:id="98"/>
    </w:p>
    <w:p>
      <w:pPr>
        <w:jc w:val="center"/>
        <w:rPr>
          <w:rFonts w:ascii="Arial" w:hAnsi="Arial" w:cs="Arial"/>
        </w:rPr>
      </w:pPr>
      <w:bookmarkStart w:id="99" w:name="_Toc29897"/>
      <w:bookmarkStart w:id="100" w:name="_Toc14679"/>
      <w:r>
        <w:rPr>
          <w:rFonts w:ascii="Arial" w:hAnsi="Arial" w:cs="Arial"/>
        </w:rPr>
        <w:t>（2020年</w:t>
      </w:r>
      <w:r>
        <w:rPr>
          <w:rFonts w:hint="eastAsia" w:ascii="Arial" w:hAnsi="Arial" w:cs="Arial"/>
        </w:rPr>
        <w:t>6</w:t>
      </w:r>
      <w:r>
        <w:rPr>
          <w:rFonts w:ascii="Arial" w:hAnsi="Arial" w:cs="Arial"/>
        </w:rPr>
        <w:t>月）</w:t>
      </w:r>
      <w:bookmarkEnd w:id="99"/>
      <w:bookmarkEnd w:id="100"/>
    </w:p>
    <w:p>
      <w:pPr>
        <w:jc w:val="center"/>
        <w:rPr>
          <w:rFonts w:ascii="Arial" w:hAnsi="Arial" w:cs="Arial" w:eastAsiaTheme="minorEastAsia"/>
          <w:color w:val="000000"/>
          <w:kern w:val="0"/>
          <w:sz w:val="24"/>
          <w:szCs w:val="28"/>
        </w:rPr>
      </w:pPr>
    </w:p>
    <w:p>
      <w:pPr>
        <w:rPr>
          <w:rFonts w:ascii="Arial" w:hAnsi="Arial" w:cs="Arial"/>
        </w:rPr>
      </w:pPr>
      <w:r>
        <w:rPr>
          <w:rFonts w:hint="eastAsia" w:ascii="Arial" w:hAnsi="Arial" w:cs="Arial"/>
        </w:rPr>
        <w:drawing>
          <wp:inline distT="0" distB="0" distL="114300" distR="114300">
            <wp:extent cx="5791835" cy="7028180"/>
            <wp:effectExtent l="0" t="0" r="18415" b="1270"/>
            <wp:docPr id="21" name="图片 21" descr="16b71011706d8d9a8e105c90ad2a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b71011706d8d9a8e105c90ad2a76f"/>
                    <pic:cNvPicPr>
                      <a:picLocks noChangeAspect="1"/>
                    </pic:cNvPicPr>
                  </pic:nvPicPr>
                  <pic:blipFill>
                    <a:blip r:embed="rId29"/>
                    <a:stretch>
                      <a:fillRect/>
                    </a:stretch>
                  </pic:blipFill>
                  <pic:spPr>
                    <a:xfrm>
                      <a:off x="0" y="0"/>
                      <a:ext cx="5791835" cy="702818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bookmarkStart w:id="101" w:name="_Toc14654"/>
      <w:bookmarkStart w:id="102" w:name="_Toc6696"/>
      <w:r>
        <w:rPr>
          <w:rFonts w:ascii="Arial" w:hAnsi="Arial" w:cs="Arial"/>
        </w:rPr>
        <w:t>中国邮政储蓄银行常州市武宜路支行</w:t>
      </w:r>
      <w:bookmarkEnd w:id="101"/>
      <w:bookmarkStart w:id="103" w:name="_Toc27216"/>
      <w:r>
        <w:rPr>
          <w:rFonts w:ascii="Arial" w:hAnsi="Arial" w:cs="Arial"/>
        </w:rPr>
        <w:t>对账单</w:t>
      </w:r>
      <w:bookmarkEnd w:id="102"/>
    </w:p>
    <w:p>
      <w:pPr>
        <w:jc w:val="center"/>
        <w:rPr>
          <w:rFonts w:ascii="Arial" w:hAnsi="Arial" w:cs="Arial"/>
        </w:rPr>
      </w:pPr>
      <w:bookmarkStart w:id="104" w:name="_Toc2331"/>
      <w:r>
        <w:rPr>
          <w:rFonts w:ascii="Arial" w:hAnsi="Arial" w:cs="Arial"/>
        </w:rPr>
        <w:t>（2020年</w:t>
      </w:r>
      <w:r>
        <w:rPr>
          <w:rFonts w:hint="eastAsia" w:ascii="Arial" w:hAnsi="Arial" w:cs="Arial"/>
        </w:rPr>
        <w:t>6</w:t>
      </w:r>
      <w:r>
        <w:rPr>
          <w:rFonts w:ascii="Arial" w:hAnsi="Arial" w:cs="Arial"/>
        </w:rPr>
        <w:t>月</w:t>
      </w:r>
      <w:bookmarkEnd w:id="103"/>
      <w:r>
        <w:rPr>
          <w:rFonts w:ascii="Arial" w:hAnsi="Arial" w:cs="Arial"/>
        </w:rPr>
        <w:t>）</w:t>
      </w:r>
      <w:bookmarkEnd w:id="104"/>
    </w:p>
    <w:p>
      <w:pPr>
        <w:jc w:val="center"/>
        <w:rPr>
          <w:rFonts w:ascii="Arial" w:hAnsi="Arial" w:cs="Arial" w:eastAsiaTheme="minorEastAsia"/>
          <w:color w:val="000000"/>
          <w:kern w:val="0"/>
          <w:sz w:val="24"/>
          <w:szCs w:val="28"/>
        </w:rPr>
      </w:pPr>
      <w:r>
        <w:rPr>
          <w:rFonts w:hint="eastAsia" w:ascii="Arial" w:hAnsi="Arial" w:cs="Arial" w:eastAsiaTheme="minorEastAsia"/>
          <w:color w:val="000000"/>
          <w:kern w:val="0"/>
          <w:sz w:val="24"/>
          <w:szCs w:val="28"/>
        </w:rPr>
        <w:drawing>
          <wp:inline distT="0" distB="0" distL="114300" distR="114300">
            <wp:extent cx="4826635" cy="6013450"/>
            <wp:effectExtent l="0" t="0" r="6350" b="12065"/>
            <wp:docPr id="2" name="图片 2" descr="6b7ec32c910ca54b617defa2e2a7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7ec32c910ca54b617defa2e2a76ed"/>
                    <pic:cNvPicPr>
                      <a:picLocks noChangeAspect="1"/>
                    </pic:cNvPicPr>
                  </pic:nvPicPr>
                  <pic:blipFill>
                    <a:blip r:embed="rId30"/>
                    <a:stretch>
                      <a:fillRect/>
                    </a:stretch>
                  </pic:blipFill>
                  <pic:spPr>
                    <a:xfrm rot="5400000">
                      <a:off x="0" y="0"/>
                      <a:ext cx="4826635" cy="6013450"/>
                    </a:xfrm>
                    <a:prstGeom prst="rect">
                      <a:avLst/>
                    </a:prstGeom>
                  </pic:spPr>
                </pic:pic>
              </a:graphicData>
            </a:graphic>
          </wp:inline>
        </w:drawing>
      </w:r>
    </w:p>
    <w:p>
      <w:pPr>
        <w:spacing w:line="360" w:lineRule="auto"/>
        <w:ind w:firstLine="420" w:firstLineChars="200"/>
        <w:jc w:val="cente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05" w:name="_Toc532281665"/>
      <w:bookmarkStart w:id="106" w:name="_Toc2462"/>
      <w:bookmarkStart w:id="107" w:name="_Toc535580034"/>
      <w:bookmarkStart w:id="108" w:name="_Toc535580102"/>
      <w:bookmarkStart w:id="109" w:name="_Toc535508647"/>
      <w:bookmarkStart w:id="110" w:name="_Toc535570761"/>
      <w:bookmarkStart w:id="111" w:name="_Toc535508646"/>
      <w:bookmarkStart w:id="112" w:name="_Toc535580033"/>
      <w:bookmarkStart w:id="113" w:name="_Toc5700909"/>
      <w:bookmarkStart w:id="114" w:name="_Toc535580101"/>
      <w:bookmarkStart w:id="115" w:name="_Toc532281664"/>
      <w:bookmarkStart w:id="116" w:name="_Toc535570760"/>
      <w:r>
        <w:rPr>
          <w:rFonts w:eastAsia="宋体" w:cs="Arial"/>
          <w:sz w:val="24"/>
        </w:rPr>
        <w:t>附件</w:t>
      </w:r>
      <w:r>
        <w:rPr>
          <w:rFonts w:hint="eastAsia" w:eastAsia="宋体" w:cs="Arial"/>
          <w:sz w:val="24"/>
        </w:rPr>
        <w:t>三</w:t>
      </w:r>
      <w:r>
        <w:rPr>
          <w:rFonts w:eastAsia="宋体" w:cs="Arial"/>
          <w:sz w:val="24"/>
        </w:rPr>
        <w:t xml:space="preserve"> 各类资金使用统计</w:t>
      </w:r>
      <w:r>
        <w:rPr>
          <w:rFonts w:eastAsia="宋体" w:cs="Arial"/>
          <w:sz w:val="24"/>
          <w:szCs w:val="24"/>
        </w:rPr>
        <w:t>表</w:t>
      </w:r>
      <w:bookmarkEnd w:id="105"/>
      <w:bookmarkEnd w:id="106"/>
      <w:bookmarkEnd w:id="107"/>
      <w:bookmarkEnd w:id="108"/>
      <w:bookmarkEnd w:id="109"/>
      <w:bookmarkEnd w:id="110"/>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1310"/>
        <w:gridCol w:w="302"/>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131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30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5,500.00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21,599.00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271,412.00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193,825.37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60,378.00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273.1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85,869.80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146,177.51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31,404.40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628,060.55</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154,559.00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47,592.51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31,073.94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42,081,666.66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510,000.00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24,615,258.70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40,130,000.00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52,835,642.43</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520,939.80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28,820,000.00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4,260,606.30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755,795.00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19,279,722.04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50,002.50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56</w:t>
            </w:r>
            <w:r>
              <w:rPr>
                <w:rFonts w:hint="eastAsia" w:ascii="Arial" w:hAnsi="Arial" w:cs="Arial"/>
                <w:kern w:val="0"/>
                <w:sz w:val="18"/>
                <w:szCs w:val="18"/>
              </w:rPr>
              <w:t>,</w:t>
            </w:r>
            <w:r>
              <w:rPr>
                <w:rFonts w:ascii="Arial" w:hAnsi="Arial" w:cs="Arial"/>
                <w:kern w:val="0"/>
                <w:sz w:val="18"/>
                <w:szCs w:val="18"/>
              </w:rPr>
              <w:t>070</w:t>
            </w:r>
            <w:r>
              <w:rPr>
                <w:rFonts w:hint="eastAsia" w:ascii="Arial" w:hAnsi="Arial" w:cs="Arial"/>
                <w:kern w:val="0"/>
                <w:sz w:val="18"/>
                <w:szCs w:val="18"/>
              </w:rPr>
              <w:t>.00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83</w:t>
            </w:r>
            <w:r>
              <w:rPr>
                <w:rFonts w:hint="eastAsia" w:ascii="Arial" w:hAnsi="Arial" w:cs="Arial"/>
                <w:kern w:val="0"/>
                <w:sz w:val="18"/>
                <w:szCs w:val="18"/>
              </w:rPr>
              <w:t>,</w:t>
            </w:r>
            <w:r>
              <w:rPr>
                <w:rFonts w:ascii="Arial" w:hAnsi="Arial" w:cs="Arial"/>
                <w:kern w:val="0"/>
                <w:sz w:val="18"/>
                <w:szCs w:val="18"/>
              </w:rPr>
              <w:t>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41,278,076.87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10,030,000.00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hint="eastAsia" w:ascii="Arial" w:hAnsi="Arial" w:cs="Arial" w:eastAsiaTheme="minorEastAsia"/>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eastAsiaTheme="minorEastAsia"/>
                <w:sz w:val="18"/>
                <w:szCs w:val="18"/>
              </w:rPr>
              <w:t>61</w:t>
            </w:r>
            <w:r>
              <w:rPr>
                <w:rFonts w:ascii="Arial" w:hAnsi="Arial" w:cs="Arial" w:eastAsiaTheme="minorEastAsia"/>
                <w:sz w:val="18"/>
                <w:szCs w:val="18"/>
              </w:rPr>
              <w:t>,</w:t>
            </w:r>
            <w:r>
              <w:rPr>
                <w:rFonts w:hint="eastAsia" w:ascii="Arial" w:hAnsi="Arial" w:cs="Arial" w:eastAsiaTheme="minorEastAsia"/>
                <w:sz w:val="18"/>
                <w:szCs w:val="18"/>
              </w:rPr>
              <w:t>983</w:t>
            </w:r>
            <w:r>
              <w:rPr>
                <w:rFonts w:ascii="Arial" w:hAnsi="Arial" w:cs="Arial" w:eastAsiaTheme="minorEastAsia"/>
                <w:sz w:val="18"/>
                <w:szCs w:val="18"/>
              </w:rPr>
              <w:t>,</w:t>
            </w:r>
            <w:r>
              <w:rPr>
                <w:rFonts w:hint="eastAsia" w:ascii="Arial" w:hAnsi="Arial" w:cs="Arial" w:eastAsiaTheme="minorEastAsia"/>
                <w:sz w:val="18"/>
                <w:szCs w:val="18"/>
              </w:rPr>
              <w:t>153</w:t>
            </w:r>
            <w:r>
              <w:rPr>
                <w:rFonts w:ascii="Arial" w:hAnsi="Arial" w:cs="Arial" w:eastAsiaTheme="minorEastAsia"/>
                <w:sz w:val="18"/>
                <w:szCs w:val="18"/>
              </w:rPr>
              <w:t>.</w:t>
            </w:r>
            <w:r>
              <w:rPr>
                <w:rFonts w:hint="eastAsia" w:ascii="Arial" w:hAnsi="Arial" w:cs="Arial" w:eastAsiaTheme="minorEastAsia"/>
                <w:sz w:val="18"/>
                <w:szCs w:val="18"/>
              </w:rPr>
              <w:t>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3</w:t>
            </w:r>
            <w:r>
              <w:rPr>
                <w:rFonts w:hint="eastAsia" w:ascii="Arial" w:hAnsi="Arial" w:cs="Arial"/>
                <w:kern w:val="0"/>
                <w:sz w:val="18"/>
                <w:szCs w:val="18"/>
              </w:rPr>
              <w:t>9</w:t>
            </w:r>
            <w:r>
              <w:rPr>
                <w:rFonts w:ascii="Arial" w:hAnsi="Arial" w:cs="Arial"/>
                <w:kern w:val="0"/>
                <w:sz w:val="18"/>
                <w:szCs w:val="18"/>
              </w:rPr>
              <w:t>,</w:t>
            </w:r>
            <w:r>
              <w:rPr>
                <w:rFonts w:hint="eastAsia" w:ascii="Arial" w:hAnsi="Arial" w:cs="Arial"/>
                <w:kern w:val="0"/>
                <w:sz w:val="18"/>
                <w:szCs w:val="18"/>
              </w:rPr>
              <w:t>867</w:t>
            </w:r>
            <w:r>
              <w:rPr>
                <w:rFonts w:ascii="Arial" w:hAnsi="Arial" w:cs="Arial"/>
                <w:kern w:val="0"/>
                <w:sz w:val="18"/>
                <w:szCs w:val="18"/>
              </w:rPr>
              <w:t>,</w:t>
            </w:r>
            <w:r>
              <w:rPr>
                <w:rFonts w:hint="eastAsia" w:ascii="Arial" w:hAnsi="Arial" w:cs="Arial"/>
                <w:kern w:val="0"/>
                <w:sz w:val="18"/>
                <w:szCs w:val="18"/>
              </w:rPr>
              <w:t>202</w:t>
            </w:r>
            <w:r>
              <w:rPr>
                <w:rFonts w:ascii="Arial" w:hAnsi="Arial" w:cs="Arial"/>
                <w:kern w:val="0"/>
                <w:sz w:val="18"/>
                <w:szCs w:val="18"/>
              </w:rPr>
              <w:t>.37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7,</w:t>
            </w:r>
            <w:r>
              <w:rPr>
                <w:rFonts w:hint="eastAsia" w:ascii="Arial" w:hAnsi="Arial" w:cs="Arial"/>
                <w:sz w:val="18"/>
                <w:szCs w:val="18"/>
              </w:rPr>
              <w:t>907</w:t>
            </w:r>
            <w:r>
              <w:rPr>
                <w:rFonts w:ascii="Arial" w:hAnsi="Arial" w:cs="Arial"/>
                <w:sz w:val="18"/>
                <w:szCs w:val="18"/>
              </w:rPr>
              <w:t>,</w:t>
            </w:r>
            <w:r>
              <w:rPr>
                <w:rFonts w:hint="eastAsia" w:ascii="Arial" w:hAnsi="Arial" w:cs="Arial"/>
                <w:sz w:val="18"/>
                <w:szCs w:val="18"/>
              </w:rPr>
              <w:t>796</w:t>
            </w:r>
            <w:r>
              <w:rPr>
                <w:rFonts w:ascii="Arial" w:hAnsi="Arial" w:cs="Arial"/>
                <w:sz w:val="18"/>
                <w:szCs w:val="18"/>
              </w:rPr>
              <w:t>.96</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4,</w:t>
            </w:r>
            <w:r>
              <w:rPr>
                <w:rFonts w:hint="eastAsia" w:ascii="Arial" w:hAnsi="Arial" w:cs="Arial"/>
                <w:sz w:val="18"/>
                <w:szCs w:val="18"/>
              </w:rPr>
              <w:t>501</w:t>
            </w:r>
            <w:r>
              <w:rPr>
                <w:rFonts w:ascii="Arial" w:hAnsi="Arial" w:cs="Arial"/>
                <w:sz w:val="18"/>
                <w:szCs w:val="18"/>
              </w:rPr>
              <w:t>,</w:t>
            </w:r>
            <w:r>
              <w:rPr>
                <w:rFonts w:hint="eastAsia" w:ascii="Arial" w:hAnsi="Arial" w:cs="Arial"/>
                <w:sz w:val="18"/>
                <w:szCs w:val="18"/>
              </w:rPr>
              <w:t>771</w:t>
            </w:r>
            <w:r>
              <w:rPr>
                <w:rFonts w:ascii="Arial" w:hAnsi="Arial" w:cs="Arial"/>
                <w:sz w:val="18"/>
                <w:szCs w:val="18"/>
              </w:rPr>
              <w:t>.</w:t>
            </w:r>
            <w:r>
              <w:rPr>
                <w:rFonts w:hint="eastAsia" w:ascii="Arial" w:hAnsi="Arial" w:cs="Arial"/>
                <w:sz w:val="18"/>
                <w:szCs w:val="18"/>
              </w:rPr>
              <w:t>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2</w:t>
            </w:r>
            <w:r>
              <w:rPr>
                <w:rFonts w:hint="eastAsia" w:ascii="Arial" w:hAnsi="Arial" w:cs="Arial"/>
                <w:kern w:val="0"/>
                <w:sz w:val="18"/>
                <w:szCs w:val="18"/>
              </w:rPr>
              <w:t>5</w:t>
            </w:r>
            <w:r>
              <w:rPr>
                <w:rFonts w:ascii="Arial" w:hAnsi="Arial" w:cs="Arial"/>
                <w:kern w:val="0"/>
                <w:sz w:val="18"/>
                <w:szCs w:val="18"/>
              </w:rPr>
              <w:t>,</w:t>
            </w:r>
            <w:r>
              <w:rPr>
                <w:rFonts w:hint="eastAsia" w:ascii="Arial" w:hAnsi="Arial" w:cs="Arial"/>
                <w:kern w:val="0"/>
                <w:sz w:val="18"/>
                <w:szCs w:val="18"/>
              </w:rPr>
              <w:t>930</w:t>
            </w:r>
            <w:r>
              <w:rPr>
                <w:rFonts w:ascii="Arial" w:hAnsi="Arial" w:cs="Arial"/>
                <w:kern w:val="0"/>
                <w:sz w:val="18"/>
                <w:szCs w:val="18"/>
              </w:rPr>
              <w:t>,</w:t>
            </w:r>
            <w:r>
              <w:rPr>
                <w:rFonts w:hint="eastAsia" w:ascii="Arial" w:hAnsi="Arial" w:cs="Arial"/>
                <w:kern w:val="0"/>
                <w:sz w:val="18"/>
                <w:szCs w:val="18"/>
              </w:rPr>
              <w:t>534</w:t>
            </w:r>
            <w:r>
              <w:rPr>
                <w:rFonts w:ascii="Arial" w:hAnsi="Arial" w:cs="Arial"/>
                <w:kern w:val="0"/>
                <w:sz w:val="18"/>
                <w:szCs w:val="18"/>
              </w:rPr>
              <w:t>.</w:t>
            </w:r>
            <w:r>
              <w:rPr>
                <w:rFonts w:hint="eastAsia" w:ascii="Arial" w:hAnsi="Arial" w:cs="Arial"/>
                <w:kern w:val="0"/>
                <w:sz w:val="18"/>
                <w:szCs w:val="18"/>
              </w:rPr>
              <w:t>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textAlignment w:val="center"/>
              <w:rPr>
                <w:rFonts w:ascii="Arial" w:hAnsi="Arial" w:cs="Arial"/>
                <w:kern w:val="0"/>
                <w:sz w:val="18"/>
                <w:szCs w:val="18"/>
              </w:rPr>
            </w:pPr>
            <w:r>
              <w:rPr>
                <w:rFonts w:hint="eastAsia" w:ascii="Arial" w:hAnsi="Arial" w:cs="Arial"/>
                <w:kern w:val="0"/>
                <w:sz w:val="18"/>
                <w:szCs w:val="18"/>
              </w:rPr>
              <w:t>802</w:t>
            </w:r>
            <w:r>
              <w:rPr>
                <w:rFonts w:ascii="Arial" w:hAnsi="Arial" w:cs="Arial"/>
                <w:kern w:val="0"/>
                <w:sz w:val="18"/>
                <w:szCs w:val="18"/>
              </w:rPr>
              <w:t>,</w:t>
            </w:r>
            <w:r>
              <w:rPr>
                <w:rFonts w:hint="eastAsia" w:ascii="Arial" w:hAnsi="Arial" w:cs="Arial"/>
                <w:kern w:val="0"/>
                <w:sz w:val="18"/>
                <w:szCs w:val="18"/>
              </w:rPr>
              <w:t>841</w:t>
            </w:r>
            <w:r>
              <w:rPr>
                <w:rFonts w:ascii="Arial" w:hAnsi="Arial" w:cs="Arial"/>
                <w:kern w:val="0"/>
                <w:sz w:val="18"/>
                <w:szCs w:val="18"/>
              </w:rPr>
              <w:t>.</w:t>
            </w:r>
            <w:r>
              <w:rPr>
                <w:rFonts w:hint="eastAsia" w:ascii="Arial" w:hAnsi="Arial" w:cs="Arial"/>
                <w:kern w:val="0"/>
                <w:sz w:val="18"/>
                <w:szCs w:val="18"/>
              </w:rPr>
              <w:t>74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kern w:val="0"/>
                <w:sz w:val="18"/>
                <w:szCs w:val="18"/>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9</w:t>
            </w:r>
            <w:r>
              <w:rPr>
                <w:rFonts w:hint="eastAsia" w:ascii="Arial" w:hAnsi="Arial" w:cs="Arial"/>
                <w:kern w:val="0"/>
                <w:sz w:val="18"/>
                <w:szCs w:val="18"/>
              </w:rPr>
              <w:t>6</w:t>
            </w:r>
            <w:r>
              <w:rPr>
                <w:rFonts w:ascii="Arial" w:hAnsi="Arial" w:cs="Arial"/>
                <w:kern w:val="0"/>
                <w:sz w:val="18"/>
                <w:szCs w:val="18"/>
              </w:rPr>
              <w:t>,</w:t>
            </w:r>
            <w:r>
              <w:rPr>
                <w:rFonts w:hint="eastAsia" w:ascii="Arial" w:hAnsi="Arial" w:cs="Arial"/>
                <w:kern w:val="0"/>
                <w:sz w:val="18"/>
                <w:szCs w:val="18"/>
              </w:rPr>
              <w:t>200</w:t>
            </w:r>
            <w:r>
              <w:rPr>
                <w:rFonts w:ascii="Arial" w:hAnsi="Arial" w:cs="Arial"/>
                <w:kern w:val="0"/>
                <w:sz w:val="18"/>
                <w:szCs w:val="18"/>
              </w:rPr>
              <w:t>,</w:t>
            </w:r>
            <w:r>
              <w:rPr>
                <w:rFonts w:hint="eastAsia" w:ascii="Arial" w:hAnsi="Arial" w:cs="Arial"/>
                <w:kern w:val="0"/>
                <w:sz w:val="18"/>
                <w:szCs w:val="18"/>
              </w:rPr>
              <w:t>006</w:t>
            </w:r>
            <w:r>
              <w:rPr>
                <w:rFonts w:ascii="Arial" w:hAnsi="Arial" w:cs="Arial"/>
                <w:kern w:val="0"/>
                <w:sz w:val="18"/>
                <w:szCs w:val="18"/>
              </w:rPr>
              <w:t>.</w:t>
            </w:r>
            <w:r>
              <w:rPr>
                <w:rFonts w:hint="eastAsia" w:ascii="Arial" w:hAnsi="Arial" w:cs="Arial"/>
                <w:kern w:val="0"/>
                <w:sz w:val="18"/>
                <w:szCs w:val="18"/>
              </w:rPr>
              <w:t>62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33</w:t>
            </w:r>
            <w:r>
              <w:rPr>
                <w:rFonts w:ascii="Arial" w:hAnsi="Arial" w:cs="Arial"/>
                <w:kern w:val="0"/>
                <w:sz w:val="18"/>
                <w:szCs w:val="18"/>
              </w:rPr>
              <w:t>,</w:t>
            </w:r>
            <w:r>
              <w:rPr>
                <w:rFonts w:hint="eastAsia" w:ascii="Arial" w:hAnsi="Arial" w:cs="Arial"/>
                <w:kern w:val="0"/>
                <w:sz w:val="18"/>
                <w:szCs w:val="18"/>
              </w:rPr>
              <w:t>857</w:t>
            </w:r>
            <w:r>
              <w:rPr>
                <w:rFonts w:ascii="Arial" w:hAnsi="Arial" w:cs="Arial"/>
                <w:kern w:val="0"/>
                <w:sz w:val="18"/>
                <w:szCs w:val="18"/>
              </w:rPr>
              <w:t>.</w:t>
            </w:r>
            <w:r>
              <w:rPr>
                <w:rFonts w:hint="eastAsia" w:ascii="Arial" w:hAnsi="Arial" w:cs="Arial"/>
                <w:kern w:val="0"/>
                <w:sz w:val="18"/>
                <w:szCs w:val="18"/>
              </w:rPr>
              <w:t>69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kern w:val="0"/>
                <w:sz w:val="18"/>
                <w:szCs w:val="18"/>
              </w:rPr>
              <w:t>1</w:t>
            </w:r>
            <w:r>
              <w:rPr>
                <w:rFonts w:hint="eastAsia" w:ascii="Arial" w:hAnsi="Arial" w:cs="Arial"/>
                <w:kern w:val="0"/>
                <w:sz w:val="18"/>
                <w:szCs w:val="18"/>
              </w:rPr>
              <w:t>44</w:t>
            </w:r>
            <w:r>
              <w:rPr>
                <w:rFonts w:ascii="Arial" w:hAnsi="Arial" w:cs="Arial"/>
                <w:kern w:val="0"/>
                <w:sz w:val="18"/>
                <w:szCs w:val="18"/>
              </w:rPr>
              <w:t>,</w:t>
            </w:r>
            <w:r>
              <w:rPr>
                <w:rFonts w:hint="eastAsia" w:ascii="Arial" w:hAnsi="Arial" w:cs="Arial"/>
                <w:kern w:val="0"/>
                <w:sz w:val="18"/>
                <w:szCs w:val="18"/>
              </w:rPr>
              <w:t>698</w:t>
            </w:r>
            <w:r>
              <w:rPr>
                <w:rFonts w:ascii="Arial" w:hAnsi="Arial" w:cs="Arial"/>
                <w:kern w:val="0"/>
                <w:sz w:val="18"/>
                <w:szCs w:val="18"/>
              </w:rPr>
              <w:t>,</w:t>
            </w:r>
            <w:r>
              <w:rPr>
                <w:rFonts w:hint="eastAsia" w:ascii="Arial" w:hAnsi="Arial" w:cs="Arial"/>
                <w:kern w:val="0"/>
                <w:sz w:val="18"/>
                <w:szCs w:val="18"/>
              </w:rPr>
              <w:t>971</w:t>
            </w:r>
            <w:r>
              <w:rPr>
                <w:rFonts w:ascii="Arial" w:hAnsi="Arial" w:cs="Arial"/>
                <w:kern w:val="0"/>
                <w:sz w:val="18"/>
                <w:szCs w:val="18"/>
              </w:rPr>
              <w:t>.</w:t>
            </w:r>
            <w:r>
              <w:rPr>
                <w:rFonts w:hint="eastAsia" w:ascii="Arial" w:hAnsi="Arial" w:cs="Arial"/>
                <w:kern w:val="0"/>
                <w:sz w:val="18"/>
                <w:szCs w:val="18"/>
              </w:rPr>
              <w:t>32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1</w:t>
            </w:r>
            <w:r>
              <w:rPr>
                <w:rFonts w:hint="eastAsia" w:ascii="Arial" w:hAnsi="Arial" w:cs="Arial"/>
                <w:kern w:val="0"/>
                <w:sz w:val="18"/>
                <w:szCs w:val="18"/>
              </w:rPr>
              <w:t>2</w:t>
            </w:r>
            <w:r>
              <w:rPr>
                <w:rFonts w:ascii="Arial" w:hAnsi="Arial" w:cs="Arial"/>
                <w:kern w:val="0"/>
                <w:sz w:val="18"/>
                <w:szCs w:val="18"/>
              </w:rPr>
              <w:t>2,</w:t>
            </w:r>
            <w:r>
              <w:rPr>
                <w:rFonts w:hint="eastAsia" w:ascii="Arial" w:hAnsi="Arial" w:cs="Arial"/>
                <w:kern w:val="0"/>
                <w:sz w:val="18"/>
                <w:szCs w:val="18"/>
              </w:rPr>
              <w:t>527</w:t>
            </w:r>
            <w:r>
              <w:rPr>
                <w:rFonts w:ascii="Arial" w:hAnsi="Arial" w:cs="Arial"/>
                <w:kern w:val="0"/>
                <w:sz w:val="18"/>
                <w:szCs w:val="18"/>
              </w:rPr>
              <w:t>,464.16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kern w:val="0"/>
                <w:sz w:val="18"/>
                <w:szCs w:val="18"/>
              </w:rPr>
              <w:t>-</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rPr>
              <w:t>442</w:t>
            </w:r>
            <w:r>
              <w:rPr>
                <w:rFonts w:ascii="Arial" w:hAnsi="Arial" w:cs="Arial"/>
                <w:kern w:val="0"/>
                <w:sz w:val="18"/>
                <w:szCs w:val="18"/>
              </w:rPr>
              <w:t>,</w:t>
            </w:r>
            <w:r>
              <w:rPr>
                <w:rFonts w:hint="eastAsia" w:ascii="Arial" w:hAnsi="Arial" w:cs="Arial"/>
                <w:kern w:val="0"/>
                <w:sz w:val="18"/>
                <w:szCs w:val="18"/>
              </w:rPr>
              <w:t>656,051.13</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11"/>
      <w:bookmarkEnd w:id="112"/>
      <w:bookmarkEnd w:id="113"/>
      <w:bookmarkEnd w:id="114"/>
      <w:bookmarkEnd w:id="115"/>
      <w:bookmarkEnd w:id="116"/>
    </w:p>
    <w:p>
      <w:pPr>
        <w:ind w:firstLine="360" w:firstLineChars="200"/>
        <w:rPr>
          <w:rFonts w:ascii="Arial" w:hAnsi="Arial" w:cs="Arial"/>
          <w:sz w:val="18"/>
          <w:szCs w:val="18"/>
        </w:rPr>
      </w:pPr>
    </w:p>
    <w:sectPr>
      <w:pgSz w:w="16838" w:h="11906" w:orient="landscape"/>
      <w:pgMar w:top="1508"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9Vo3wqAEAAEADAAAOAAAA&#10;AAAAAAEAIAAAAB4BAABkcnMvZTJvRG9jLnhtbFBLBQYAAAAABgAGAFkBAAA4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VSU2WnAQAAQAMAAA4AAAAA&#10;AAAAAQAgAAAAHgEAAGRycy9lMm9Eb2MueG1sUEsFBgAAAAAGAAYAWQEAADc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年6月监管报告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40F5F73"/>
    <w:rsid w:val="04615645"/>
    <w:rsid w:val="04D5358E"/>
    <w:rsid w:val="05024B1E"/>
    <w:rsid w:val="05091CA9"/>
    <w:rsid w:val="056B10C8"/>
    <w:rsid w:val="05741D95"/>
    <w:rsid w:val="058B20AB"/>
    <w:rsid w:val="05FE1AC1"/>
    <w:rsid w:val="06A30AF5"/>
    <w:rsid w:val="079F2291"/>
    <w:rsid w:val="07C762F7"/>
    <w:rsid w:val="08E969CC"/>
    <w:rsid w:val="090A6A03"/>
    <w:rsid w:val="09285245"/>
    <w:rsid w:val="096B28F0"/>
    <w:rsid w:val="09746F62"/>
    <w:rsid w:val="09B375D0"/>
    <w:rsid w:val="0A510F2E"/>
    <w:rsid w:val="0B3908EA"/>
    <w:rsid w:val="0B7D7E07"/>
    <w:rsid w:val="0B8E42AA"/>
    <w:rsid w:val="0BFF6CB1"/>
    <w:rsid w:val="0C352D20"/>
    <w:rsid w:val="0CA01AAB"/>
    <w:rsid w:val="0CA6391B"/>
    <w:rsid w:val="0CDC3036"/>
    <w:rsid w:val="0CE622A7"/>
    <w:rsid w:val="0CFB32FE"/>
    <w:rsid w:val="0D7B01EB"/>
    <w:rsid w:val="0D9F6E40"/>
    <w:rsid w:val="0DC97627"/>
    <w:rsid w:val="0DF554B9"/>
    <w:rsid w:val="0EA84BA0"/>
    <w:rsid w:val="0F5131FC"/>
    <w:rsid w:val="0F5A1EAC"/>
    <w:rsid w:val="0F743071"/>
    <w:rsid w:val="0FE90254"/>
    <w:rsid w:val="10B2324F"/>
    <w:rsid w:val="10D05217"/>
    <w:rsid w:val="10F50BB4"/>
    <w:rsid w:val="11007B77"/>
    <w:rsid w:val="118266BE"/>
    <w:rsid w:val="11A779B8"/>
    <w:rsid w:val="11C90C09"/>
    <w:rsid w:val="11D55F77"/>
    <w:rsid w:val="121C2C91"/>
    <w:rsid w:val="124B2B4C"/>
    <w:rsid w:val="129737AA"/>
    <w:rsid w:val="12C32F73"/>
    <w:rsid w:val="1329728F"/>
    <w:rsid w:val="13B4494C"/>
    <w:rsid w:val="13EA42B9"/>
    <w:rsid w:val="140A7A4F"/>
    <w:rsid w:val="14176954"/>
    <w:rsid w:val="14474AFD"/>
    <w:rsid w:val="145061A4"/>
    <w:rsid w:val="14FE14A3"/>
    <w:rsid w:val="150B1F6C"/>
    <w:rsid w:val="1511406F"/>
    <w:rsid w:val="1657777F"/>
    <w:rsid w:val="165F631B"/>
    <w:rsid w:val="1673604F"/>
    <w:rsid w:val="16A65EC9"/>
    <w:rsid w:val="16ED7B96"/>
    <w:rsid w:val="16F52C62"/>
    <w:rsid w:val="174504D5"/>
    <w:rsid w:val="176A2535"/>
    <w:rsid w:val="17C23688"/>
    <w:rsid w:val="17F0534C"/>
    <w:rsid w:val="182F089F"/>
    <w:rsid w:val="183C2CE5"/>
    <w:rsid w:val="18460BE0"/>
    <w:rsid w:val="18872EBA"/>
    <w:rsid w:val="188A342D"/>
    <w:rsid w:val="18C31273"/>
    <w:rsid w:val="1905656F"/>
    <w:rsid w:val="192243DE"/>
    <w:rsid w:val="193304EA"/>
    <w:rsid w:val="19AF5819"/>
    <w:rsid w:val="1A3811DA"/>
    <w:rsid w:val="1A3E1180"/>
    <w:rsid w:val="1A696C88"/>
    <w:rsid w:val="1A6C646C"/>
    <w:rsid w:val="1AF36D63"/>
    <w:rsid w:val="1B573F0E"/>
    <w:rsid w:val="1B596E8A"/>
    <w:rsid w:val="1C3F2EA3"/>
    <w:rsid w:val="1C4C5268"/>
    <w:rsid w:val="1C980A78"/>
    <w:rsid w:val="1CAE21A8"/>
    <w:rsid w:val="1CDF4126"/>
    <w:rsid w:val="1CE800DA"/>
    <w:rsid w:val="1D12656E"/>
    <w:rsid w:val="1D4B4F71"/>
    <w:rsid w:val="1DB84EB8"/>
    <w:rsid w:val="1DCF7F4C"/>
    <w:rsid w:val="1E19117D"/>
    <w:rsid w:val="1E3B7D9D"/>
    <w:rsid w:val="1E4950F8"/>
    <w:rsid w:val="1E626377"/>
    <w:rsid w:val="1E800AA8"/>
    <w:rsid w:val="1EE478F8"/>
    <w:rsid w:val="1F0E03BD"/>
    <w:rsid w:val="1F36360B"/>
    <w:rsid w:val="1F6A2F47"/>
    <w:rsid w:val="1F956FE2"/>
    <w:rsid w:val="1FA85D73"/>
    <w:rsid w:val="1FF62B78"/>
    <w:rsid w:val="20236A3E"/>
    <w:rsid w:val="206D3B6C"/>
    <w:rsid w:val="208F0EEE"/>
    <w:rsid w:val="225D766B"/>
    <w:rsid w:val="23962A57"/>
    <w:rsid w:val="239F5676"/>
    <w:rsid w:val="23AF2050"/>
    <w:rsid w:val="241F2A33"/>
    <w:rsid w:val="24496D69"/>
    <w:rsid w:val="24503850"/>
    <w:rsid w:val="247B4086"/>
    <w:rsid w:val="249B3414"/>
    <w:rsid w:val="250836B6"/>
    <w:rsid w:val="252C1252"/>
    <w:rsid w:val="25566C82"/>
    <w:rsid w:val="264E4D1A"/>
    <w:rsid w:val="26501CEE"/>
    <w:rsid w:val="26C256C4"/>
    <w:rsid w:val="27316154"/>
    <w:rsid w:val="275B47DC"/>
    <w:rsid w:val="279A662B"/>
    <w:rsid w:val="27A25564"/>
    <w:rsid w:val="28014CCC"/>
    <w:rsid w:val="28345CB9"/>
    <w:rsid w:val="28A3157D"/>
    <w:rsid w:val="28E468D2"/>
    <w:rsid w:val="294B7A7C"/>
    <w:rsid w:val="29B4678E"/>
    <w:rsid w:val="2A341FD2"/>
    <w:rsid w:val="2A5F13A7"/>
    <w:rsid w:val="2AAA2925"/>
    <w:rsid w:val="2AAF3B36"/>
    <w:rsid w:val="2B362C7A"/>
    <w:rsid w:val="2B9525D8"/>
    <w:rsid w:val="2B995C53"/>
    <w:rsid w:val="2BA037BB"/>
    <w:rsid w:val="2C420226"/>
    <w:rsid w:val="2C73562D"/>
    <w:rsid w:val="2C794C81"/>
    <w:rsid w:val="2C9245FF"/>
    <w:rsid w:val="2CA614D2"/>
    <w:rsid w:val="2CB852B6"/>
    <w:rsid w:val="2D013A66"/>
    <w:rsid w:val="2D5D5FDA"/>
    <w:rsid w:val="2D8E7D40"/>
    <w:rsid w:val="2DE2150B"/>
    <w:rsid w:val="2EBE13B9"/>
    <w:rsid w:val="2ECE00A9"/>
    <w:rsid w:val="2EF04512"/>
    <w:rsid w:val="2F855ABB"/>
    <w:rsid w:val="2FB8217C"/>
    <w:rsid w:val="308265BA"/>
    <w:rsid w:val="30916070"/>
    <w:rsid w:val="30985AB1"/>
    <w:rsid w:val="30CF0835"/>
    <w:rsid w:val="30F03DFA"/>
    <w:rsid w:val="313930FF"/>
    <w:rsid w:val="314B4163"/>
    <w:rsid w:val="315B7C6B"/>
    <w:rsid w:val="31872E04"/>
    <w:rsid w:val="31891D82"/>
    <w:rsid w:val="31F1618F"/>
    <w:rsid w:val="32005397"/>
    <w:rsid w:val="323568F8"/>
    <w:rsid w:val="323B7FFE"/>
    <w:rsid w:val="32553B73"/>
    <w:rsid w:val="32EE3326"/>
    <w:rsid w:val="336C796C"/>
    <w:rsid w:val="33A717F8"/>
    <w:rsid w:val="340169DA"/>
    <w:rsid w:val="34CF45BC"/>
    <w:rsid w:val="351C6510"/>
    <w:rsid w:val="35207F9E"/>
    <w:rsid w:val="35635B07"/>
    <w:rsid w:val="35657930"/>
    <w:rsid w:val="35CF1819"/>
    <w:rsid w:val="361C1378"/>
    <w:rsid w:val="367140EF"/>
    <w:rsid w:val="367C45A2"/>
    <w:rsid w:val="36932D65"/>
    <w:rsid w:val="36EE0BD9"/>
    <w:rsid w:val="37F80A98"/>
    <w:rsid w:val="38102C5D"/>
    <w:rsid w:val="38593A85"/>
    <w:rsid w:val="388A5DE8"/>
    <w:rsid w:val="389E6465"/>
    <w:rsid w:val="38CC2B51"/>
    <w:rsid w:val="394502E8"/>
    <w:rsid w:val="394D714F"/>
    <w:rsid w:val="3976081F"/>
    <w:rsid w:val="3983329A"/>
    <w:rsid w:val="39A66DD8"/>
    <w:rsid w:val="3A3F1A49"/>
    <w:rsid w:val="3A64667B"/>
    <w:rsid w:val="3A6D1DF0"/>
    <w:rsid w:val="3A8861B8"/>
    <w:rsid w:val="3AAB5BAD"/>
    <w:rsid w:val="3ACD5F0B"/>
    <w:rsid w:val="3ACD67DA"/>
    <w:rsid w:val="3B273ADD"/>
    <w:rsid w:val="3CDA63FD"/>
    <w:rsid w:val="3DD205E2"/>
    <w:rsid w:val="3F7F34BC"/>
    <w:rsid w:val="3F862B55"/>
    <w:rsid w:val="3FB65279"/>
    <w:rsid w:val="400F5610"/>
    <w:rsid w:val="40BF3306"/>
    <w:rsid w:val="40C802B9"/>
    <w:rsid w:val="418450F7"/>
    <w:rsid w:val="41953547"/>
    <w:rsid w:val="41FD6252"/>
    <w:rsid w:val="42DD4ED6"/>
    <w:rsid w:val="430C7821"/>
    <w:rsid w:val="432626DC"/>
    <w:rsid w:val="43762C3D"/>
    <w:rsid w:val="441322DC"/>
    <w:rsid w:val="4462676B"/>
    <w:rsid w:val="447B7EB4"/>
    <w:rsid w:val="44E372C7"/>
    <w:rsid w:val="44E80311"/>
    <w:rsid w:val="451F195C"/>
    <w:rsid w:val="45223ABD"/>
    <w:rsid w:val="45B069B3"/>
    <w:rsid w:val="46760D2B"/>
    <w:rsid w:val="46F13A07"/>
    <w:rsid w:val="47E9125D"/>
    <w:rsid w:val="47F17A06"/>
    <w:rsid w:val="47F505DD"/>
    <w:rsid w:val="4879604A"/>
    <w:rsid w:val="490E02CD"/>
    <w:rsid w:val="49764BB8"/>
    <w:rsid w:val="49A75D4B"/>
    <w:rsid w:val="49CB02DE"/>
    <w:rsid w:val="4A21385E"/>
    <w:rsid w:val="4A6002EB"/>
    <w:rsid w:val="4A763A10"/>
    <w:rsid w:val="4ADE2E72"/>
    <w:rsid w:val="4BE60882"/>
    <w:rsid w:val="4D3E7333"/>
    <w:rsid w:val="4D6F7103"/>
    <w:rsid w:val="4E1104E7"/>
    <w:rsid w:val="4E443E3C"/>
    <w:rsid w:val="4EB33D4B"/>
    <w:rsid w:val="4ECF0C25"/>
    <w:rsid w:val="4ED957B8"/>
    <w:rsid w:val="4EE30A09"/>
    <w:rsid w:val="4F015911"/>
    <w:rsid w:val="4F0936D1"/>
    <w:rsid w:val="4F7D3320"/>
    <w:rsid w:val="50530FD2"/>
    <w:rsid w:val="50680C7A"/>
    <w:rsid w:val="50FD5220"/>
    <w:rsid w:val="51364674"/>
    <w:rsid w:val="517A54EF"/>
    <w:rsid w:val="52193772"/>
    <w:rsid w:val="52C723C5"/>
    <w:rsid w:val="52CE7B29"/>
    <w:rsid w:val="53143C76"/>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F9126E"/>
    <w:rsid w:val="5724664B"/>
    <w:rsid w:val="580010B1"/>
    <w:rsid w:val="583D7CF2"/>
    <w:rsid w:val="596F3BFA"/>
    <w:rsid w:val="59A10C9E"/>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8563A7"/>
    <w:rsid w:val="5DA75C6B"/>
    <w:rsid w:val="5E48254A"/>
    <w:rsid w:val="5F247BF6"/>
    <w:rsid w:val="602250B9"/>
    <w:rsid w:val="61594CEB"/>
    <w:rsid w:val="61C30742"/>
    <w:rsid w:val="62EF3110"/>
    <w:rsid w:val="6319094A"/>
    <w:rsid w:val="63C57042"/>
    <w:rsid w:val="64D85A36"/>
    <w:rsid w:val="652F2244"/>
    <w:rsid w:val="65767348"/>
    <w:rsid w:val="65C7030B"/>
    <w:rsid w:val="666A2E4D"/>
    <w:rsid w:val="66C33BCC"/>
    <w:rsid w:val="66D80480"/>
    <w:rsid w:val="66FB00FF"/>
    <w:rsid w:val="67A50CAB"/>
    <w:rsid w:val="68B467A8"/>
    <w:rsid w:val="68BD3F05"/>
    <w:rsid w:val="691B5623"/>
    <w:rsid w:val="6A36045F"/>
    <w:rsid w:val="6A6C675E"/>
    <w:rsid w:val="6AB71A2A"/>
    <w:rsid w:val="6AC6738D"/>
    <w:rsid w:val="6B9B0D78"/>
    <w:rsid w:val="6BD50AE2"/>
    <w:rsid w:val="6BE9714A"/>
    <w:rsid w:val="6BF413B9"/>
    <w:rsid w:val="6CEC62A7"/>
    <w:rsid w:val="6CFB6337"/>
    <w:rsid w:val="6CFD1E73"/>
    <w:rsid w:val="6D1D0982"/>
    <w:rsid w:val="6D3210E6"/>
    <w:rsid w:val="6D3C0532"/>
    <w:rsid w:val="6D4A7C3D"/>
    <w:rsid w:val="6D657E15"/>
    <w:rsid w:val="6DC072BA"/>
    <w:rsid w:val="6DEB5E39"/>
    <w:rsid w:val="6E0C51E5"/>
    <w:rsid w:val="6E8C3894"/>
    <w:rsid w:val="6EB51B52"/>
    <w:rsid w:val="6ECE25BF"/>
    <w:rsid w:val="6F0028F8"/>
    <w:rsid w:val="6F017FD9"/>
    <w:rsid w:val="6F0740F2"/>
    <w:rsid w:val="6F3935FE"/>
    <w:rsid w:val="6F3B201E"/>
    <w:rsid w:val="6F862AB4"/>
    <w:rsid w:val="6FB800D6"/>
    <w:rsid w:val="6FC31426"/>
    <w:rsid w:val="6FF3299D"/>
    <w:rsid w:val="70216FF3"/>
    <w:rsid w:val="708763CE"/>
    <w:rsid w:val="70FC5925"/>
    <w:rsid w:val="719A593E"/>
    <w:rsid w:val="71A35A58"/>
    <w:rsid w:val="71A44B9C"/>
    <w:rsid w:val="71AC2F36"/>
    <w:rsid w:val="71F6544C"/>
    <w:rsid w:val="728A5EC9"/>
    <w:rsid w:val="72A0730C"/>
    <w:rsid w:val="72DF3E4B"/>
    <w:rsid w:val="73297F00"/>
    <w:rsid w:val="735C0845"/>
    <w:rsid w:val="747555BC"/>
    <w:rsid w:val="74D63E8E"/>
    <w:rsid w:val="74E27E40"/>
    <w:rsid w:val="74E939DC"/>
    <w:rsid w:val="75231212"/>
    <w:rsid w:val="756C0211"/>
    <w:rsid w:val="75D607E4"/>
    <w:rsid w:val="76841BD5"/>
    <w:rsid w:val="76E70481"/>
    <w:rsid w:val="772B43E7"/>
    <w:rsid w:val="781D2593"/>
    <w:rsid w:val="782B471E"/>
    <w:rsid w:val="789914C5"/>
    <w:rsid w:val="78A6154A"/>
    <w:rsid w:val="79091026"/>
    <w:rsid w:val="7949545E"/>
    <w:rsid w:val="79D84F64"/>
    <w:rsid w:val="79FE470C"/>
    <w:rsid w:val="7AAD1751"/>
    <w:rsid w:val="7ABD75DA"/>
    <w:rsid w:val="7AFA1C30"/>
    <w:rsid w:val="7B1C21BD"/>
    <w:rsid w:val="7B60700B"/>
    <w:rsid w:val="7B6F2120"/>
    <w:rsid w:val="7BC60F85"/>
    <w:rsid w:val="7C6D2BFD"/>
    <w:rsid w:val="7C9A3C5D"/>
    <w:rsid w:val="7CCC7734"/>
    <w:rsid w:val="7D1932E6"/>
    <w:rsid w:val="7D291199"/>
    <w:rsid w:val="7D8815D4"/>
    <w:rsid w:val="7DAC7AE2"/>
    <w:rsid w:val="7DDD4B37"/>
    <w:rsid w:val="7E232986"/>
    <w:rsid w:val="7EA91B24"/>
    <w:rsid w:val="7EAF215D"/>
    <w:rsid w:val="7EC85753"/>
    <w:rsid w:val="7F2E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37</Pages>
  <Words>5209</Words>
  <Characters>29697</Characters>
  <Lines>247</Lines>
  <Paragraphs>69</Paragraphs>
  <TotalTime>0</TotalTime>
  <ScaleCrop>false</ScaleCrop>
  <LinksUpToDate>false</LinksUpToDate>
  <CharactersWithSpaces>34837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2020-06-06T08:24:00Z</dcterms:created>
  <dc:creator>zhenny</dc:creator>
  <cp:lastModifiedBy>zhenny</cp:lastModifiedBy>
  <dcterms:modified xsi:type="dcterms:W3CDTF">2020-07-10T02:02:30Z</dcterms:modified>
  <dc:title>信托计划监管报告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