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jc w:val="center"/>
        <w:rPr>
          <w:rFonts w:ascii="仿宋" w:hAnsi="仿宋" w:eastAsia="仿宋"/>
          <w:b/>
          <w:sz w:val="36"/>
          <w:szCs w:val="36"/>
        </w:rPr>
      </w:pPr>
    </w:p>
    <w:p>
      <w:pPr>
        <w:jc w:val="center"/>
        <w:rPr>
          <w:rFonts w:ascii="仿宋" w:hAnsi="仿宋" w:eastAsia="仿宋"/>
          <w:b/>
          <w:sz w:val="36"/>
          <w:szCs w:val="36"/>
        </w:rPr>
      </w:pPr>
    </w:p>
    <w:p>
      <w:pPr>
        <w:jc w:val="center"/>
        <w:rPr>
          <w:rFonts w:ascii="仿宋" w:hAnsi="仿宋" w:eastAsia="仿宋"/>
          <w:b/>
          <w:sz w:val="36"/>
          <w:szCs w:val="36"/>
        </w:rPr>
      </w:pPr>
    </w:p>
    <w:p>
      <w:pPr>
        <w:jc w:val="center"/>
        <w:rPr>
          <w:rFonts w:ascii="仿宋" w:hAnsi="仿宋" w:eastAsia="仿宋"/>
          <w:b/>
          <w:sz w:val="36"/>
          <w:szCs w:val="36"/>
        </w:rPr>
      </w:pPr>
    </w:p>
    <w:p>
      <w:pPr>
        <w:jc w:val="center"/>
        <w:rPr>
          <w:rFonts w:ascii="仿宋" w:hAnsi="仿宋" w:eastAsia="仿宋"/>
          <w:b/>
          <w:sz w:val="36"/>
          <w:szCs w:val="36"/>
        </w:rPr>
      </w:pPr>
    </w:p>
    <w:p>
      <w:pPr>
        <w:jc w:val="center"/>
        <w:rPr>
          <w:rFonts w:ascii="仿宋" w:hAnsi="仿宋" w:eastAsia="仿宋"/>
          <w:b/>
          <w:sz w:val="36"/>
          <w:szCs w:val="36"/>
        </w:rPr>
      </w:pPr>
    </w:p>
    <w:p>
      <w:pPr>
        <w:jc w:val="center"/>
        <w:rPr>
          <w:rFonts w:ascii="仿宋" w:hAnsi="仿宋" w:eastAsia="仿宋"/>
          <w:b/>
          <w:sz w:val="36"/>
          <w:szCs w:val="36"/>
        </w:rPr>
      </w:pPr>
    </w:p>
    <w:p>
      <w:pPr>
        <w:jc w:val="center"/>
        <w:outlineLvl w:val="0"/>
        <w:rPr>
          <w:rFonts w:ascii="仿宋" w:hAnsi="仿宋" w:eastAsia="仿宋"/>
          <w:b/>
          <w:sz w:val="36"/>
          <w:szCs w:val="36"/>
        </w:rPr>
      </w:pPr>
      <w:bookmarkStart w:id="0" w:name="_Toc2836"/>
      <w:bookmarkStart w:id="1" w:name="_Toc15603"/>
      <w:r>
        <w:rPr>
          <w:rFonts w:hint="eastAsia" w:ascii="仿宋" w:hAnsi="仿宋" w:eastAsia="仿宋"/>
          <w:b/>
          <w:sz w:val="36"/>
          <w:szCs w:val="36"/>
        </w:rPr>
        <w:t>中航信托·天垣20A025号融创杭州富阳项目股权投资集合资金信托计划入场报告</w:t>
      </w:r>
      <w:bookmarkEnd w:id="0"/>
      <w:bookmarkEnd w:id="1"/>
    </w:p>
    <w:p/>
    <w:p/>
    <w:p/>
    <w:p/>
    <w:p/>
    <w:p/>
    <w:p/>
    <w:p/>
    <w:p/>
    <w:p/>
    <w:p/>
    <w:p/>
    <w:p/>
    <w:p/>
    <w:p/>
    <w:p/>
    <w:p/>
    <w:p/>
    <w:p/>
    <w:p>
      <w:pPr>
        <w:ind w:firstLine="280" w:firstLineChars="100"/>
        <w:jc w:val="center"/>
        <w:rPr>
          <w:sz w:val="28"/>
          <w:szCs w:val="28"/>
        </w:rPr>
      </w:pPr>
      <w:r>
        <w:rPr>
          <w:rFonts w:hint="eastAsia"/>
          <w:sz w:val="28"/>
          <w:szCs w:val="28"/>
        </w:rPr>
        <w:t>北京康信君安资产管理有限公司</w:t>
      </w:r>
    </w:p>
    <w:p/>
    <w:p>
      <w:pPr>
        <w:pStyle w:val="3"/>
        <w:ind w:firstLine="3570" w:firstLineChars="1700"/>
      </w:pPr>
      <w:r>
        <w:rPr>
          <w:rFonts w:hint="eastAsia"/>
        </w:rPr>
        <w:t>2020年11月2日</w:t>
      </w:r>
    </w:p>
    <w:p/>
    <w:sdt>
      <w:sdtPr>
        <w:rPr>
          <w:rFonts w:ascii="宋体" w:hAnsi="宋体" w:eastAsia="宋体"/>
        </w:rPr>
        <w:id w:val="147469111"/>
        <w15:color w:val="DBDBDB"/>
        <w:docPartObj>
          <w:docPartGallery w:val="Table of Contents"/>
          <w:docPartUnique/>
        </w:docPartObj>
      </w:sdtPr>
      <w:sdtEndPr>
        <w:rPr>
          <w:rFonts w:ascii="Arial" w:hAnsi="Arial" w:cs="Arial" w:eastAsiaTheme="minorEastAsia"/>
          <w:b/>
          <w:bCs/>
          <w:kern w:val="44"/>
          <w:szCs w:val="21"/>
        </w:rPr>
      </w:sdtEndPr>
      <w:sdtContent>
        <w:p>
          <w:pPr>
            <w:jc w:val="center"/>
          </w:pPr>
        </w:p>
        <w:p>
          <w:pPr>
            <w:pStyle w:val="12"/>
            <w:tabs>
              <w:tab w:val="right" w:leader="dot" w:pos="8306"/>
            </w:tabs>
            <w:jc w:val="center"/>
            <w:rPr>
              <w:rFonts w:ascii="Arial" w:hAnsi="Arial" w:cs="Arial"/>
              <w:b/>
              <w:kern w:val="44"/>
              <w:sz w:val="28"/>
              <w:szCs w:val="28"/>
            </w:rPr>
          </w:pPr>
          <w:r>
            <w:rPr>
              <w:rFonts w:hint="eastAsia" w:ascii="Arial" w:hAnsi="Arial" w:cs="Arial"/>
              <w:b/>
              <w:kern w:val="44"/>
              <w:sz w:val="28"/>
              <w:szCs w:val="28"/>
            </w:rPr>
            <w:t>目录</w:t>
          </w:r>
        </w:p>
        <w:p>
          <w:pPr>
            <w:pStyle w:val="12"/>
            <w:tabs>
              <w:tab w:val="right" w:leader="dot" w:pos="8306"/>
            </w:tabs>
            <w:rPr>
              <w:rFonts w:ascii="Arial" w:hAnsi="Arial" w:cs="Arial"/>
              <w:bCs/>
              <w:kern w:val="44"/>
              <w:szCs w:val="21"/>
            </w:rPr>
          </w:pPr>
        </w:p>
        <w:p>
          <w:pPr>
            <w:pStyle w:val="12"/>
            <w:tabs>
              <w:tab w:val="right" w:leader="dot" w:pos="8306"/>
            </w:tabs>
            <w:spacing w:line="360" w:lineRule="auto"/>
            <w:rPr>
              <w:rFonts w:ascii="Arial" w:hAnsi="Arial" w:cs="Arial" w:eastAsiaTheme="minorEastAsia"/>
              <w:sz w:val="21"/>
              <w:szCs w:val="21"/>
            </w:rPr>
          </w:pPr>
          <w:r>
            <w:rPr>
              <w:rFonts w:ascii="Arial" w:hAnsi="Arial" w:cs="Arial"/>
              <w:bCs/>
              <w:kern w:val="44"/>
              <w:szCs w:val="21"/>
            </w:rPr>
            <w:fldChar w:fldCharType="begin"/>
          </w:r>
          <w:r>
            <w:rPr>
              <w:rFonts w:ascii="Arial" w:hAnsi="Arial" w:cs="Arial"/>
              <w:bCs/>
              <w:kern w:val="44"/>
              <w:szCs w:val="21"/>
            </w:rPr>
            <w:instrText xml:space="preserve">TOC \o "1-2" \h \u </w:instrText>
          </w:r>
          <w:r>
            <w:rPr>
              <w:rFonts w:ascii="Arial" w:hAnsi="Arial" w:cs="Arial"/>
              <w:bCs/>
              <w:kern w:val="44"/>
              <w:szCs w:val="21"/>
            </w:rPr>
            <w:fldChar w:fldCharType="separate"/>
          </w:r>
          <w:r>
            <w:fldChar w:fldCharType="begin"/>
          </w:r>
          <w:r>
            <w:instrText xml:space="preserve"> HYPERLINK \l "_Toc5071" </w:instrText>
          </w:r>
          <w:r>
            <w:fldChar w:fldCharType="separate"/>
          </w:r>
          <w:r>
            <w:rPr>
              <w:rFonts w:ascii="Arial" w:hAnsi="Arial" w:cs="Arial" w:eastAsiaTheme="minorEastAsia"/>
              <w:sz w:val="21"/>
              <w:szCs w:val="21"/>
            </w:rPr>
            <w:t>一、 项目地块基本情况</w:t>
          </w:r>
          <w:r>
            <w:rPr>
              <w:rFonts w:ascii="Arial" w:hAnsi="Arial" w:cs="Arial" w:eastAsiaTheme="minorEastAsia"/>
              <w:sz w:val="21"/>
              <w:szCs w:val="21"/>
            </w:rPr>
            <w:tab/>
          </w:r>
          <w:r>
            <w:rPr>
              <w:rFonts w:ascii="Arial" w:hAnsi="Arial" w:cs="Arial" w:eastAsiaTheme="minorEastAsia"/>
              <w:sz w:val="21"/>
              <w:szCs w:val="21"/>
            </w:rPr>
            <w:fldChar w:fldCharType="begin"/>
          </w:r>
          <w:r>
            <w:rPr>
              <w:rFonts w:ascii="Arial" w:hAnsi="Arial" w:cs="Arial" w:eastAsiaTheme="minorEastAsia"/>
              <w:sz w:val="21"/>
              <w:szCs w:val="21"/>
            </w:rPr>
            <w:instrText xml:space="preserve"> PAGEREF _Toc5071 </w:instrText>
          </w:r>
          <w:r>
            <w:rPr>
              <w:rFonts w:ascii="Arial" w:hAnsi="Arial" w:cs="Arial" w:eastAsiaTheme="minorEastAsia"/>
              <w:sz w:val="21"/>
              <w:szCs w:val="21"/>
            </w:rPr>
            <w:fldChar w:fldCharType="separate"/>
          </w:r>
          <w:r>
            <w:rPr>
              <w:rFonts w:ascii="Arial" w:hAnsi="Arial" w:cs="Arial" w:eastAsiaTheme="minorEastAsia"/>
              <w:sz w:val="21"/>
              <w:szCs w:val="21"/>
            </w:rPr>
            <w:t>1</w:t>
          </w:r>
          <w:r>
            <w:rPr>
              <w:rFonts w:ascii="Arial" w:hAnsi="Arial" w:cs="Arial" w:eastAsiaTheme="minorEastAsia"/>
              <w:sz w:val="21"/>
              <w:szCs w:val="21"/>
            </w:rPr>
            <w:fldChar w:fldCharType="end"/>
          </w:r>
          <w:r>
            <w:rPr>
              <w:rFonts w:ascii="Arial" w:hAnsi="Arial" w:cs="Arial" w:eastAsiaTheme="minorEastAsia"/>
              <w:sz w:val="21"/>
              <w:szCs w:val="21"/>
            </w:rPr>
            <w:fldChar w:fldCharType="end"/>
          </w:r>
        </w:p>
        <w:p>
          <w:pPr>
            <w:pStyle w:val="12"/>
            <w:tabs>
              <w:tab w:val="right" w:leader="dot" w:pos="8306"/>
            </w:tabs>
            <w:spacing w:line="360" w:lineRule="auto"/>
            <w:rPr>
              <w:rFonts w:ascii="Arial" w:hAnsi="Arial" w:cs="Arial" w:eastAsiaTheme="minorEastAsia"/>
              <w:sz w:val="21"/>
              <w:szCs w:val="21"/>
            </w:rPr>
          </w:pPr>
          <w:r>
            <w:fldChar w:fldCharType="begin"/>
          </w:r>
          <w:r>
            <w:instrText xml:space="preserve"> HYPERLINK \l "_Toc13727" </w:instrText>
          </w:r>
          <w:r>
            <w:fldChar w:fldCharType="separate"/>
          </w:r>
          <w:r>
            <w:rPr>
              <w:rFonts w:ascii="Arial" w:hAnsi="Arial" w:cs="Arial" w:eastAsiaTheme="minorEastAsia"/>
              <w:sz w:val="21"/>
              <w:szCs w:val="21"/>
            </w:rPr>
            <w:t>二、 项目公司基本信息</w:t>
          </w:r>
          <w:r>
            <w:rPr>
              <w:rFonts w:ascii="Arial" w:hAnsi="Arial" w:cs="Arial" w:eastAsiaTheme="minorEastAsia"/>
              <w:sz w:val="21"/>
              <w:szCs w:val="21"/>
            </w:rPr>
            <w:tab/>
          </w:r>
          <w:r>
            <w:rPr>
              <w:rFonts w:hint="eastAsia" w:ascii="Arial" w:hAnsi="Arial" w:cs="Arial" w:eastAsiaTheme="minorEastAsia"/>
              <w:sz w:val="21"/>
              <w:szCs w:val="21"/>
            </w:rPr>
            <w:t>2</w:t>
          </w:r>
          <w:r>
            <w:rPr>
              <w:rFonts w:hint="eastAsia" w:ascii="Arial" w:hAnsi="Arial" w:cs="Arial" w:eastAsiaTheme="minorEastAsia"/>
              <w:sz w:val="21"/>
              <w:szCs w:val="21"/>
            </w:rPr>
            <w:fldChar w:fldCharType="end"/>
          </w:r>
        </w:p>
        <w:p>
          <w:pPr>
            <w:pStyle w:val="12"/>
            <w:tabs>
              <w:tab w:val="right" w:leader="dot" w:pos="8306"/>
            </w:tabs>
            <w:spacing w:line="360" w:lineRule="auto"/>
            <w:rPr>
              <w:rFonts w:ascii="Arial" w:hAnsi="Arial" w:cs="Arial" w:eastAsiaTheme="minorEastAsia"/>
              <w:sz w:val="21"/>
              <w:szCs w:val="21"/>
            </w:rPr>
          </w:pPr>
          <w:r>
            <w:fldChar w:fldCharType="begin"/>
          </w:r>
          <w:r>
            <w:instrText xml:space="preserve"> HYPERLINK \l "_Toc32568" </w:instrText>
          </w:r>
          <w:r>
            <w:fldChar w:fldCharType="separate"/>
          </w:r>
          <w:r>
            <w:rPr>
              <w:rFonts w:ascii="Arial" w:hAnsi="Arial" w:cs="Arial" w:eastAsiaTheme="minorEastAsia"/>
              <w:sz w:val="21"/>
              <w:szCs w:val="21"/>
            </w:rPr>
            <w:t>三、 竞品分析</w:t>
          </w:r>
          <w:r>
            <w:rPr>
              <w:rFonts w:ascii="Arial" w:hAnsi="Arial" w:cs="Arial" w:eastAsiaTheme="minorEastAsia"/>
              <w:sz w:val="21"/>
              <w:szCs w:val="21"/>
            </w:rPr>
            <w:tab/>
          </w:r>
          <w:r>
            <w:rPr>
              <w:rFonts w:hint="eastAsia" w:ascii="Arial" w:hAnsi="Arial" w:cs="Arial" w:eastAsiaTheme="minorEastAsia"/>
              <w:sz w:val="21"/>
              <w:szCs w:val="21"/>
            </w:rPr>
            <w:t>3</w:t>
          </w:r>
          <w:r>
            <w:rPr>
              <w:rFonts w:hint="eastAsia" w:ascii="Arial" w:hAnsi="Arial" w:cs="Arial" w:eastAsiaTheme="minorEastAsia"/>
              <w:sz w:val="21"/>
              <w:szCs w:val="21"/>
            </w:rPr>
            <w:fldChar w:fldCharType="end"/>
          </w:r>
        </w:p>
        <w:p>
          <w:pPr>
            <w:pStyle w:val="12"/>
            <w:tabs>
              <w:tab w:val="right" w:leader="dot" w:pos="8306"/>
            </w:tabs>
            <w:spacing w:line="360" w:lineRule="auto"/>
            <w:rPr>
              <w:rFonts w:ascii="Arial" w:hAnsi="Arial" w:cs="Arial" w:eastAsiaTheme="minorEastAsia"/>
              <w:sz w:val="21"/>
              <w:szCs w:val="21"/>
            </w:rPr>
          </w:pPr>
          <w:r>
            <w:fldChar w:fldCharType="begin"/>
          </w:r>
          <w:r>
            <w:instrText xml:space="preserve"> HYPERLINK \l "_Toc28358" </w:instrText>
          </w:r>
          <w:r>
            <w:fldChar w:fldCharType="separate"/>
          </w:r>
          <w:r>
            <w:rPr>
              <w:rFonts w:ascii="Arial" w:hAnsi="Arial" w:cs="Arial" w:eastAsiaTheme="minorEastAsia"/>
              <w:sz w:val="21"/>
              <w:szCs w:val="21"/>
            </w:rPr>
            <w:t>四、入场流程</w:t>
          </w:r>
          <w:r>
            <w:rPr>
              <w:rFonts w:ascii="Arial" w:hAnsi="Arial" w:cs="Arial" w:eastAsiaTheme="minorEastAsia"/>
              <w:sz w:val="21"/>
              <w:szCs w:val="21"/>
            </w:rPr>
            <w:tab/>
          </w:r>
          <w:r>
            <w:rPr>
              <w:rFonts w:hint="eastAsia" w:ascii="Arial" w:hAnsi="Arial" w:cs="Arial" w:eastAsiaTheme="minorEastAsia"/>
              <w:sz w:val="21"/>
              <w:szCs w:val="21"/>
            </w:rPr>
            <w:t>4</w:t>
          </w:r>
          <w:r>
            <w:rPr>
              <w:rFonts w:hint="eastAsia" w:ascii="Arial" w:hAnsi="Arial" w:cs="Arial" w:eastAsiaTheme="minorEastAsia"/>
              <w:sz w:val="21"/>
              <w:szCs w:val="21"/>
            </w:rPr>
            <w:fldChar w:fldCharType="end"/>
          </w:r>
        </w:p>
        <w:p>
          <w:pPr>
            <w:pStyle w:val="14"/>
            <w:tabs>
              <w:tab w:val="right" w:leader="dot" w:pos="8306"/>
            </w:tabs>
            <w:spacing w:line="360" w:lineRule="auto"/>
            <w:ind w:left="420"/>
            <w:rPr>
              <w:rFonts w:ascii="Arial" w:hAnsi="Arial" w:cs="Arial" w:eastAsiaTheme="minorEastAsia"/>
              <w:sz w:val="21"/>
              <w:szCs w:val="21"/>
            </w:rPr>
          </w:pPr>
          <w:r>
            <w:fldChar w:fldCharType="begin"/>
          </w:r>
          <w:r>
            <w:instrText xml:space="preserve"> HYPERLINK \l "_Toc28352" </w:instrText>
          </w:r>
          <w:r>
            <w:fldChar w:fldCharType="separate"/>
          </w:r>
          <w:r>
            <w:rPr>
              <w:rFonts w:ascii="Arial" w:hAnsi="Arial" w:cs="Arial" w:eastAsiaTheme="minorEastAsia"/>
              <w:sz w:val="21"/>
              <w:szCs w:val="21"/>
            </w:rPr>
            <w:t>1、 交接前流程沟通</w:t>
          </w:r>
          <w:r>
            <w:rPr>
              <w:rFonts w:ascii="Arial" w:hAnsi="Arial" w:cs="Arial" w:eastAsiaTheme="minorEastAsia"/>
              <w:sz w:val="21"/>
              <w:szCs w:val="21"/>
            </w:rPr>
            <w:tab/>
          </w:r>
          <w:r>
            <w:rPr>
              <w:rFonts w:hint="eastAsia" w:ascii="Arial" w:hAnsi="Arial" w:cs="Arial" w:eastAsiaTheme="minorEastAsia"/>
              <w:sz w:val="21"/>
              <w:szCs w:val="21"/>
            </w:rPr>
            <w:t>4</w:t>
          </w:r>
          <w:r>
            <w:rPr>
              <w:rFonts w:hint="eastAsia" w:ascii="Arial" w:hAnsi="Arial" w:cs="Arial" w:eastAsiaTheme="minorEastAsia"/>
              <w:sz w:val="21"/>
              <w:szCs w:val="21"/>
            </w:rPr>
            <w:fldChar w:fldCharType="end"/>
          </w:r>
        </w:p>
        <w:p>
          <w:pPr>
            <w:pStyle w:val="14"/>
            <w:tabs>
              <w:tab w:val="right" w:leader="dot" w:pos="8306"/>
            </w:tabs>
            <w:spacing w:line="360" w:lineRule="auto"/>
            <w:ind w:left="420"/>
            <w:rPr>
              <w:rFonts w:ascii="Arial" w:hAnsi="Arial" w:cs="Arial" w:eastAsiaTheme="minorEastAsia"/>
              <w:sz w:val="21"/>
              <w:szCs w:val="21"/>
            </w:rPr>
          </w:pPr>
          <w:r>
            <w:fldChar w:fldCharType="begin"/>
          </w:r>
          <w:r>
            <w:instrText xml:space="preserve"> HYPERLINK \l "_Toc10195" </w:instrText>
          </w:r>
          <w:r>
            <w:fldChar w:fldCharType="separate"/>
          </w:r>
          <w:r>
            <w:rPr>
              <w:rFonts w:ascii="Arial" w:hAnsi="Arial" w:cs="Arial" w:eastAsiaTheme="minorEastAsia"/>
              <w:sz w:val="21"/>
              <w:szCs w:val="21"/>
            </w:rPr>
            <w:t>2、 项目现场</w:t>
          </w:r>
          <w:r>
            <w:rPr>
              <w:rFonts w:ascii="Arial" w:hAnsi="Arial" w:cs="Arial" w:eastAsiaTheme="minorEastAsia"/>
              <w:sz w:val="21"/>
              <w:szCs w:val="21"/>
            </w:rPr>
            <w:tab/>
          </w:r>
          <w:r>
            <w:rPr>
              <w:rFonts w:hint="eastAsia" w:ascii="Arial" w:hAnsi="Arial" w:cs="Arial" w:eastAsiaTheme="minorEastAsia"/>
              <w:sz w:val="21"/>
              <w:szCs w:val="21"/>
            </w:rPr>
            <w:t>5</w:t>
          </w:r>
          <w:r>
            <w:rPr>
              <w:rFonts w:hint="eastAsia" w:ascii="Arial" w:hAnsi="Arial" w:cs="Arial" w:eastAsiaTheme="minorEastAsia"/>
              <w:sz w:val="21"/>
              <w:szCs w:val="21"/>
            </w:rPr>
            <w:fldChar w:fldCharType="end"/>
          </w:r>
        </w:p>
        <w:p>
          <w:pPr>
            <w:pStyle w:val="14"/>
            <w:tabs>
              <w:tab w:val="right" w:leader="dot" w:pos="8306"/>
            </w:tabs>
            <w:spacing w:line="360" w:lineRule="auto"/>
            <w:ind w:left="420"/>
            <w:rPr>
              <w:rFonts w:ascii="Arial" w:hAnsi="Arial" w:cs="Arial" w:eastAsiaTheme="minorEastAsia"/>
              <w:sz w:val="21"/>
              <w:szCs w:val="21"/>
            </w:rPr>
          </w:pPr>
          <w:r>
            <w:fldChar w:fldCharType="begin"/>
          </w:r>
          <w:r>
            <w:instrText xml:space="preserve"> HYPERLINK \l "_Toc8898" </w:instrText>
          </w:r>
          <w:r>
            <w:fldChar w:fldCharType="separate"/>
          </w:r>
          <w:r>
            <w:rPr>
              <w:rFonts w:ascii="Arial" w:hAnsi="Arial" w:cs="Arial" w:eastAsiaTheme="minorEastAsia"/>
              <w:sz w:val="21"/>
              <w:szCs w:val="21"/>
            </w:rPr>
            <w:t>3、 印鉴核验</w:t>
          </w:r>
          <w:r>
            <w:rPr>
              <w:rFonts w:ascii="Arial" w:hAnsi="Arial" w:cs="Arial" w:eastAsiaTheme="minorEastAsia"/>
              <w:sz w:val="21"/>
              <w:szCs w:val="21"/>
            </w:rPr>
            <w:tab/>
          </w:r>
          <w:r>
            <w:rPr>
              <w:rFonts w:ascii="Arial" w:hAnsi="Arial" w:cs="Arial" w:eastAsiaTheme="minorEastAsia"/>
              <w:sz w:val="21"/>
              <w:szCs w:val="21"/>
            </w:rPr>
            <w:fldChar w:fldCharType="begin"/>
          </w:r>
          <w:r>
            <w:rPr>
              <w:rFonts w:ascii="Arial" w:hAnsi="Arial" w:cs="Arial" w:eastAsiaTheme="minorEastAsia"/>
              <w:sz w:val="21"/>
              <w:szCs w:val="21"/>
            </w:rPr>
            <w:instrText xml:space="preserve"> PAGEREF _Toc8898 </w:instrText>
          </w:r>
          <w:r>
            <w:rPr>
              <w:rFonts w:ascii="Arial" w:hAnsi="Arial" w:cs="Arial" w:eastAsiaTheme="minorEastAsia"/>
              <w:sz w:val="21"/>
              <w:szCs w:val="21"/>
            </w:rPr>
            <w:fldChar w:fldCharType="separate"/>
          </w:r>
          <w:r>
            <w:rPr>
              <w:rFonts w:ascii="Arial" w:hAnsi="Arial" w:cs="Arial" w:eastAsiaTheme="minorEastAsia"/>
              <w:sz w:val="21"/>
              <w:szCs w:val="21"/>
            </w:rPr>
            <w:t>6</w:t>
          </w:r>
          <w:r>
            <w:rPr>
              <w:rFonts w:ascii="Arial" w:hAnsi="Arial" w:cs="Arial" w:eastAsiaTheme="minorEastAsia"/>
              <w:sz w:val="21"/>
              <w:szCs w:val="21"/>
            </w:rPr>
            <w:fldChar w:fldCharType="end"/>
          </w:r>
          <w:r>
            <w:rPr>
              <w:rFonts w:ascii="Arial" w:hAnsi="Arial" w:cs="Arial" w:eastAsiaTheme="minorEastAsia"/>
              <w:sz w:val="21"/>
              <w:szCs w:val="21"/>
            </w:rPr>
            <w:fldChar w:fldCharType="end"/>
          </w:r>
        </w:p>
        <w:p>
          <w:pPr>
            <w:pStyle w:val="14"/>
            <w:tabs>
              <w:tab w:val="right" w:leader="dot" w:pos="8306"/>
            </w:tabs>
            <w:spacing w:line="360" w:lineRule="auto"/>
            <w:ind w:left="420"/>
            <w:rPr>
              <w:rFonts w:ascii="Arial" w:hAnsi="Arial" w:cs="Arial" w:eastAsiaTheme="minorEastAsia"/>
              <w:sz w:val="21"/>
              <w:szCs w:val="21"/>
            </w:rPr>
          </w:pPr>
          <w:r>
            <w:fldChar w:fldCharType="begin"/>
          </w:r>
          <w:r>
            <w:instrText xml:space="preserve"> HYPERLINK \l "_Toc3054" </w:instrText>
          </w:r>
          <w:r>
            <w:fldChar w:fldCharType="separate"/>
          </w:r>
          <w:r>
            <w:rPr>
              <w:rFonts w:ascii="Arial" w:hAnsi="Arial" w:cs="Arial" w:eastAsiaTheme="minorEastAsia"/>
              <w:sz w:val="21"/>
              <w:szCs w:val="21"/>
            </w:rPr>
            <w:t>4、 银行账户信息查询</w:t>
          </w:r>
          <w:r>
            <w:rPr>
              <w:rFonts w:ascii="Arial" w:hAnsi="Arial" w:cs="Arial" w:eastAsiaTheme="minorEastAsia"/>
              <w:sz w:val="21"/>
              <w:szCs w:val="21"/>
            </w:rPr>
            <w:tab/>
          </w:r>
          <w:r>
            <w:rPr>
              <w:rFonts w:hint="eastAsia" w:ascii="Arial" w:hAnsi="Arial" w:cs="Arial" w:eastAsiaTheme="minorEastAsia"/>
              <w:sz w:val="21"/>
              <w:szCs w:val="21"/>
            </w:rPr>
            <w:t>7</w:t>
          </w:r>
          <w:r>
            <w:rPr>
              <w:rFonts w:hint="eastAsia" w:ascii="Arial" w:hAnsi="Arial" w:cs="Arial" w:eastAsiaTheme="minorEastAsia"/>
              <w:sz w:val="21"/>
              <w:szCs w:val="21"/>
            </w:rPr>
            <w:fldChar w:fldCharType="end"/>
          </w:r>
        </w:p>
        <w:p>
          <w:pPr>
            <w:pStyle w:val="14"/>
            <w:tabs>
              <w:tab w:val="right" w:leader="dot" w:pos="8306"/>
            </w:tabs>
            <w:spacing w:line="360" w:lineRule="auto"/>
            <w:ind w:left="420"/>
          </w:pPr>
          <w:r>
            <w:fldChar w:fldCharType="begin"/>
          </w:r>
          <w:r>
            <w:instrText xml:space="preserve"> HYPERLINK \l "_Toc7477" </w:instrText>
          </w:r>
          <w:r>
            <w:fldChar w:fldCharType="separate"/>
          </w:r>
          <w:r>
            <w:rPr>
              <w:rFonts w:ascii="Arial" w:hAnsi="Arial" w:cs="Arial" w:eastAsiaTheme="minorEastAsia"/>
              <w:sz w:val="21"/>
              <w:szCs w:val="21"/>
            </w:rPr>
            <w:t>5、 共管交接</w:t>
          </w:r>
          <w:r>
            <w:rPr>
              <w:rFonts w:ascii="Arial" w:hAnsi="Arial" w:cs="Arial" w:eastAsiaTheme="minorEastAsia"/>
              <w:sz w:val="21"/>
              <w:szCs w:val="21"/>
            </w:rPr>
            <w:tab/>
          </w:r>
          <w:r>
            <w:rPr>
              <w:rFonts w:hint="eastAsia" w:ascii="Arial" w:hAnsi="Arial" w:cs="Arial" w:eastAsiaTheme="minorEastAsia"/>
              <w:sz w:val="21"/>
              <w:szCs w:val="21"/>
            </w:rPr>
            <w:t>8</w:t>
          </w:r>
          <w:r>
            <w:rPr>
              <w:rFonts w:hint="eastAsia" w:ascii="Arial" w:hAnsi="Arial" w:cs="Arial" w:eastAsiaTheme="minorEastAsia"/>
              <w:sz w:val="21"/>
              <w:szCs w:val="21"/>
            </w:rPr>
            <w:fldChar w:fldCharType="end"/>
          </w:r>
        </w:p>
        <w:p>
          <w:pPr>
            <w:spacing w:line="360" w:lineRule="auto"/>
            <w:jc w:val="left"/>
            <w:rPr>
              <w:rFonts w:ascii="Arial" w:hAnsi="Arial" w:cs="Arial"/>
              <w:bCs/>
              <w:kern w:val="44"/>
              <w:szCs w:val="21"/>
            </w:rPr>
          </w:pPr>
          <w:r>
            <w:rPr>
              <w:rFonts w:ascii="Arial" w:hAnsi="Arial" w:cs="Arial"/>
              <w:b/>
              <w:bCs/>
              <w:kern w:val="44"/>
              <w:szCs w:val="21"/>
            </w:rPr>
            <w:fldChar w:fldCharType="end"/>
          </w:r>
        </w:p>
      </w:sdtContent>
    </w:sdt>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sectPr>
          <w:headerReference r:id="rId3" w:type="default"/>
          <w:footerReference r:id="rId4" w:type="default"/>
          <w:pgSz w:w="11906" w:h="16838"/>
          <w:pgMar w:top="1440" w:right="1800" w:bottom="1440" w:left="1800" w:header="567" w:footer="992" w:gutter="0"/>
          <w:cols w:space="425" w:num="1"/>
          <w:docGrid w:type="lines" w:linePitch="312" w:charSpace="0"/>
        </w:sectPr>
      </w:pPr>
    </w:p>
    <w:p>
      <w:pPr>
        <w:spacing w:line="360" w:lineRule="auto"/>
        <w:jc w:val="left"/>
        <w:rPr>
          <w:rFonts w:ascii="Arial" w:hAnsi="Arial" w:cs="Arial"/>
          <w:bCs/>
          <w:kern w:val="44"/>
          <w:szCs w:val="21"/>
        </w:rPr>
      </w:pPr>
      <w:r>
        <w:rPr>
          <w:rFonts w:ascii="Arial" w:hAnsi="Arial" w:cs="Arial"/>
          <w:bCs/>
          <w:kern w:val="44"/>
          <w:szCs w:val="21"/>
        </w:rPr>
        <w:t>为了方便阅读之目的，本报告中将部分名称简写为：</w:t>
      </w:r>
    </w:p>
    <w:p>
      <w:pPr>
        <w:numPr>
          <w:ilvl w:val="255"/>
          <w:numId w:val="0"/>
        </w:numPr>
        <w:spacing w:line="360" w:lineRule="auto"/>
        <w:jc w:val="left"/>
        <w:rPr>
          <w:rFonts w:ascii="Arial" w:hAnsi="Arial" w:cs="Arial"/>
          <w:bCs/>
          <w:kern w:val="44"/>
          <w:szCs w:val="21"/>
        </w:rPr>
      </w:pPr>
      <w:r>
        <w:rPr>
          <w:rFonts w:ascii="Arial" w:hAnsi="Arial" w:cs="Arial"/>
          <w:bCs/>
          <w:kern w:val="44"/>
          <w:szCs w:val="21"/>
        </w:rPr>
        <w:t>·项目公司：</w:t>
      </w:r>
      <w:r>
        <w:rPr>
          <w:rFonts w:hint="eastAsia" w:ascii="Arial" w:hAnsi="Arial" w:cs="Arial"/>
          <w:bCs/>
          <w:kern w:val="44"/>
          <w:szCs w:val="21"/>
        </w:rPr>
        <w:t>杭州富阳融驰置业有限公司</w:t>
      </w:r>
    </w:p>
    <w:p>
      <w:pPr>
        <w:numPr>
          <w:ilvl w:val="255"/>
          <w:numId w:val="0"/>
        </w:numPr>
        <w:spacing w:line="360" w:lineRule="auto"/>
        <w:jc w:val="left"/>
        <w:rPr>
          <w:rFonts w:ascii="Arial" w:hAnsi="Arial" w:cs="Arial"/>
          <w:bCs/>
          <w:kern w:val="44"/>
          <w:szCs w:val="21"/>
        </w:rPr>
      </w:pPr>
      <w:r>
        <w:rPr>
          <w:rFonts w:ascii="Arial" w:hAnsi="Arial" w:cs="Arial"/>
          <w:bCs/>
          <w:kern w:val="44"/>
          <w:szCs w:val="21"/>
        </w:rPr>
        <w:t>·</w:t>
      </w:r>
      <w:r>
        <w:rPr>
          <w:rFonts w:hint="eastAsia" w:ascii="Arial" w:hAnsi="Arial" w:cs="Arial"/>
          <w:bCs/>
          <w:kern w:val="44"/>
          <w:szCs w:val="21"/>
        </w:rPr>
        <w:t>S</w:t>
      </w:r>
      <w:r>
        <w:rPr>
          <w:rFonts w:ascii="Arial" w:hAnsi="Arial" w:cs="Arial"/>
          <w:bCs/>
          <w:kern w:val="44"/>
          <w:szCs w:val="21"/>
        </w:rPr>
        <w:t>PV:</w:t>
      </w:r>
      <w:r>
        <w:rPr>
          <w:rFonts w:hint="eastAsia"/>
        </w:rPr>
        <w:t xml:space="preserve"> </w:t>
      </w:r>
      <w:r>
        <w:rPr>
          <w:rFonts w:hint="eastAsia" w:ascii="Arial" w:hAnsi="Arial" w:cs="Arial"/>
          <w:bCs/>
          <w:kern w:val="44"/>
          <w:szCs w:val="21"/>
        </w:rPr>
        <w:t>杭州融南进富企业管理咨询有限公司</w:t>
      </w:r>
    </w:p>
    <w:p>
      <w:pPr>
        <w:numPr>
          <w:ilvl w:val="255"/>
          <w:numId w:val="0"/>
        </w:numPr>
        <w:spacing w:line="360" w:lineRule="auto"/>
        <w:jc w:val="left"/>
        <w:rPr>
          <w:rFonts w:ascii="Arial" w:hAnsi="Arial" w:cs="Arial"/>
          <w:bCs/>
          <w:kern w:val="44"/>
          <w:szCs w:val="21"/>
        </w:rPr>
      </w:pPr>
      <w:r>
        <w:rPr>
          <w:rFonts w:ascii="Arial" w:hAnsi="Arial" w:cs="Arial"/>
          <w:bCs/>
          <w:kern w:val="44"/>
          <w:szCs w:val="21"/>
        </w:rPr>
        <w:t>·</w:t>
      </w:r>
      <w:r>
        <w:rPr>
          <w:rFonts w:hint="eastAsia" w:ascii="Arial" w:hAnsi="Arial" w:cs="Arial"/>
          <w:bCs/>
          <w:kern w:val="44"/>
          <w:szCs w:val="21"/>
        </w:rPr>
        <w:t>中航信托</w:t>
      </w:r>
      <w:r>
        <w:rPr>
          <w:rFonts w:ascii="Arial" w:hAnsi="Arial" w:cs="Arial"/>
          <w:bCs/>
          <w:kern w:val="44"/>
          <w:szCs w:val="21"/>
        </w:rPr>
        <w:t>：</w:t>
      </w:r>
      <w:r>
        <w:rPr>
          <w:rFonts w:hint="eastAsia" w:ascii="Arial" w:hAnsi="Arial" w:cs="Arial"/>
          <w:bCs/>
          <w:kern w:val="44"/>
          <w:szCs w:val="21"/>
        </w:rPr>
        <w:t>中航信托股份有限公司</w:t>
      </w:r>
    </w:p>
    <w:p>
      <w:pPr>
        <w:numPr>
          <w:ilvl w:val="255"/>
          <w:numId w:val="0"/>
        </w:numPr>
        <w:spacing w:line="360" w:lineRule="auto"/>
        <w:jc w:val="left"/>
        <w:rPr>
          <w:rFonts w:ascii="Arial" w:hAnsi="Arial" w:cs="Arial"/>
          <w:bCs/>
          <w:kern w:val="44"/>
          <w:szCs w:val="21"/>
        </w:rPr>
      </w:pPr>
      <w:r>
        <w:rPr>
          <w:rFonts w:ascii="Arial" w:hAnsi="Arial" w:cs="Arial"/>
          <w:bCs/>
          <w:kern w:val="44"/>
          <w:szCs w:val="21"/>
        </w:rPr>
        <w:t>·</w:t>
      </w:r>
      <w:r>
        <w:rPr>
          <w:rFonts w:hint="eastAsia" w:ascii="Arial" w:hAnsi="Arial" w:cs="Arial"/>
          <w:bCs/>
          <w:kern w:val="44"/>
          <w:szCs w:val="21"/>
        </w:rPr>
        <w:t>康信资管：北京康信君安资产管理有限公司</w:t>
      </w:r>
    </w:p>
    <w:p/>
    <w:p>
      <w:pPr>
        <w:numPr>
          <w:ilvl w:val="0"/>
          <w:numId w:val="1"/>
        </w:numPr>
        <w:outlineLvl w:val="0"/>
        <w:rPr>
          <w:b/>
          <w:bCs/>
          <w:color w:val="000000" w:themeColor="text1"/>
          <w:sz w:val="28"/>
          <w:szCs w:val="28"/>
          <w14:textFill>
            <w14:solidFill>
              <w14:schemeClr w14:val="tx1"/>
            </w14:solidFill>
          </w14:textFill>
        </w:rPr>
      </w:pPr>
      <w:bookmarkStart w:id="2" w:name="_Toc5071"/>
      <w:r>
        <w:rPr>
          <w:rFonts w:hint="eastAsia"/>
          <w:b/>
          <w:bCs/>
          <w:sz w:val="28"/>
          <w:szCs w:val="28"/>
        </w:rPr>
        <w:t>项</w:t>
      </w:r>
      <w:r>
        <w:rPr>
          <w:rFonts w:hint="eastAsia"/>
          <w:b/>
          <w:bCs/>
          <w:color w:val="000000" w:themeColor="text1"/>
          <w:sz w:val="28"/>
          <w:szCs w:val="28"/>
          <w14:textFill>
            <w14:solidFill>
              <w14:schemeClr w14:val="tx1"/>
            </w14:solidFill>
          </w14:textFill>
        </w:rPr>
        <w:t>目地块基本情况</w:t>
      </w:r>
      <w:bookmarkEnd w:id="2"/>
    </w:p>
    <w:p>
      <w:pPr>
        <w:spacing w:line="360" w:lineRule="auto"/>
        <w:ind w:firstLine="420" w:firstLineChars="200"/>
        <w:jc w:val="left"/>
        <w:rPr>
          <w:rFonts w:asciiTheme="minorEastAsia" w:hAnsiTheme="minorEastAsia"/>
          <w:color w:val="000000" w:themeColor="text1"/>
          <w:sz w:val="24"/>
          <w14:textFill>
            <w14:solidFill>
              <w14:schemeClr w14:val="tx1"/>
            </w14:solidFill>
          </w14:textFill>
        </w:rPr>
      </w:pPr>
      <w:r>
        <w:rPr>
          <w:rFonts w:ascii="Arial" w:hAnsi="Arial" w:cs="Arial"/>
          <w:color w:val="000000" w:themeColor="text1"/>
          <w:szCs w:val="21"/>
          <w14:textFill>
            <w14:solidFill>
              <w14:schemeClr w14:val="tx1"/>
            </w14:solidFill>
          </w14:textFill>
        </w:rPr>
        <w:t>2020</w:t>
      </w:r>
      <w:r>
        <w:rPr>
          <w:rFonts w:hint="eastAsia" w:asciiTheme="minorEastAsia" w:hAnsiTheme="minorEastAsia"/>
          <w:color w:val="000000" w:themeColor="text1"/>
          <w:sz w:val="24"/>
          <w14:textFill>
            <w14:solidFill>
              <w14:schemeClr w14:val="tx1"/>
            </w14:solidFill>
          </w14:textFill>
        </w:rPr>
        <w:t>年</w:t>
      </w:r>
      <w:r>
        <w:rPr>
          <w:rFonts w:asciiTheme="minorEastAsia" w:hAnsiTheme="minorEastAsia"/>
          <w:color w:val="000000" w:themeColor="text1"/>
          <w:sz w:val="24"/>
          <w14:textFill>
            <w14:solidFill>
              <w14:schemeClr w14:val="tx1"/>
            </w14:solidFill>
          </w14:textFill>
        </w:rPr>
        <w:t>8</w:t>
      </w:r>
      <w:r>
        <w:rPr>
          <w:rFonts w:hint="eastAsia" w:asciiTheme="minorEastAsia" w:hAnsiTheme="minorEastAsia"/>
          <w:color w:val="000000" w:themeColor="text1"/>
          <w:sz w:val="24"/>
          <w14:textFill>
            <w14:solidFill>
              <w14:schemeClr w14:val="tx1"/>
            </w14:solidFill>
          </w14:textFill>
        </w:rPr>
        <w:t>月</w:t>
      </w:r>
      <w:r>
        <w:rPr>
          <w:rFonts w:asciiTheme="minorEastAsia" w:hAnsiTheme="minorEastAsia"/>
          <w:color w:val="000000" w:themeColor="text1"/>
          <w:sz w:val="24"/>
          <w14:textFill>
            <w14:solidFill>
              <w14:schemeClr w14:val="tx1"/>
            </w14:solidFill>
          </w14:textFill>
        </w:rPr>
        <w:t>14</w:t>
      </w:r>
      <w:r>
        <w:rPr>
          <w:rFonts w:hint="eastAsia" w:asciiTheme="minorEastAsia" w:hAnsiTheme="minorEastAsia"/>
          <w:color w:val="000000" w:themeColor="text1"/>
          <w:sz w:val="24"/>
          <w14:textFill>
            <w14:solidFill>
              <w14:schemeClr w14:val="tx1"/>
            </w14:solidFill>
          </w14:textFill>
        </w:rPr>
        <w:t>日，杭州市富阳区自然资源和规划局发布富告字[</w:t>
      </w:r>
      <w:r>
        <w:rPr>
          <w:rFonts w:asciiTheme="minorEastAsia" w:hAnsiTheme="minorEastAsia"/>
          <w:color w:val="000000" w:themeColor="text1"/>
          <w:sz w:val="24"/>
          <w14:textFill>
            <w14:solidFill>
              <w14:schemeClr w14:val="tx1"/>
            </w14:solidFill>
          </w14:textFill>
        </w:rPr>
        <w:t>2020]13</w:t>
      </w:r>
      <w:r>
        <w:rPr>
          <w:rFonts w:hint="eastAsia" w:asciiTheme="minorEastAsia" w:hAnsiTheme="minorEastAsia"/>
          <w:color w:val="000000" w:themeColor="text1"/>
          <w:sz w:val="24"/>
          <w14:textFill>
            <w14:solidFill>
              <w14:schemeClr w14:val="tx1"/>
            </w14:solidFill>
          </w14:textFill>
        </w:rPr>
        <w:t>号公告，挂出</w:t>
      </w:r>
      <w:r>
        <w:rPr>
          <w:rFonts w:hint="eastAsia" w:hAnsi="宋体"/>
          <w:sz w:val="24"/>
        </w:rPr>
        <w:t>富阳区富春街道劳动路区块土地，出让</w:t>
      </w:r>
      <w:r>
        <w:rPr>
          <w:rFonts w:hint="eastAsia" w:asciiTheme="minorEastAsia" w:hAnsiTheme="minorEastAsia"/>
          <w:color w:val="000000" w:themeColor="text1"/>
          <w:sz w:val="24"/>
          <w14:textFill>
            <w14:solidFill>
              <w14:schemeClr w14:val="tx1"/>
            </w14:solidFill>
          </w14:textFill>
        </w:rPr>
        <w:t>总面积39</w:t>
      </w:r>
      <w:r>
        <w:rPr>
          <w:rFonts w:asciiTheme="minorEastAsia" w:hAnsiTheme="minorEastAsia"/>
          <w:color w:val="000000" w:themeColor="text1"/>
          <w:sz w:val="24"/>
          <w14:textFill>
            <w14:solidFill>
              <w14:schemeClr w14:val="tx1"/>
            </w14:solidFill>
          </w14:textFill>
        </w:rPr>
        <w:t>,</w:t>
      </w:r>
      <w:r>
        <w:rPr>
          <w:rFonts w:hint="eastAsia" w:asciiTheme="minorEastAsia" w:hAnsiTheme="minorEastAsia"/>
          <w:color w:val="000000" w:themeColor="text1"/>
          <w:sz w:val="24"/>
          <w14:textFill>
            <w14:solidFill>
              <w14:schemeClr w14:val="tx1"/>
            </w14:solidFill>
          </w14:textFill>
        </w:rPr>
        <w:t>194㎡,用途为二类居住兼容商业商务用地，出让地上建筑面积92</w:t>
      </w:r>
      <w:r>
        <w:rPr>
          <w:rFonts w:asciiTheme="minorEastAsia" w:hAnsiTheme="minorEastAsia"/>
          <w:color w:val="000000" w:themeColor="text1"/>
          <w:sz w:val="24"/>
          <w14:textFill>
            <w14:solidFill>
              <w14:schemeClr w14:val="tx1"/>
            </w14:solidFill>
          </w14:textFill>
        </w:rPr>
        <w:t>,</w:t>
      </w:r>
      <w:r>
        <w:rPr>
          <w:rFonts w:hint="eastAsia" w:asciiTheme="minorEastAsia" w:hAnsiTheme="minorEastAsia"/>
          <w:color w:val="000000" w:themeColor="text1"/>
          <w:sz w:val="24"/>
          <w14:textFill>
            <w14:solidFill>
              <w14:schemeClr w14:val="tx1"/>
            </w14:solidFill>
          </w14:textFill>
        </w:rPr>
        <w:t>106㎡，起报价94</w:t>
      </w:r>
      <w:r>
        <w:rPr>
          <w:rFonts w:asciiTheme="minorEastAsia" w:hAnsiTheme="minorEastAsia"/>
          <w:color w:val="000000" w:themeColor="text1"/>
          <w:sz w:val="24"/>
          <w14:textFill>
            <w14:solidFill>
              <w14:schemeClr w14:val="tx1"/>
            </w14:solidFill>
          </w14:textFill>
        </w:rPr>
        <w:t>,</w:t>
      </w:r>
      <w:r>
        <w:rPr>
          <w:rFonts w:hint="eastAsia" w:asciiTheme="minorEastAsia" w:hAnsiTheme="minorEastAsia"/>
          <w:color w:val="000000" w:themeColor="text1"/>
          <w:sz w:val="24"/>
          <w14:textFill>
            <w14:solidFill>
              <w14:schemeClr w14:val="tx1"/>
            </w14:solidFill>
          </w14:textFill>
        </w:rPr>
        <w:t>640万元（详见图1）。</w:t>
      </w:r>
    </w:p>
    <w:p>
      <w:pPr>
        <w:spacing w:line="360" w:lineRule="auto"/>
        <w:ind w:firstLine="420" w:firstLineChars="200"/>
        <w:jc w:val="center"/>
      </w:pPr>
      <w:r>
        <w:drawing>
          <wp:inline distT="0" distB="0" distL="114300" distR="114300">
            <wp:extent cx="5273675" cy="1093470"/>
            <wp:effectExtent l="0" t="0" r="3175"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3675" cy="1093470"/>
                    </a:xfrm>
                    <a:prstGeom prst="rect">
                      <a:avLst/>
                    </a:prstGeom>
                    <a:noFill/>
                    <a:ln>
                      <a:noFill/>
                    </a:ln>
                  </pic:spPr>
                </pic:pic>
              </a:graphicData>
            </a:graphic>
          </wp:inline>
        </w:drawing>
      </w:r>
    </w:p>
    <w:p>
      <w:pPr>
        <w:spacing w:line="360" w:lineRule="auto"/>
        <w:ind w:firstLine="420" w:firstLineChars="200"/>
        <w:jc w:val="center"/>
      </w:pPr>
      <w:r>
        <w:rPr>
          <w:rFonts w:hint="eastAsia"/>
        </w:rPr>
        <w:t>图1 地块挂牌信息</w:t>
      </w:r>
    </w:p>
    <w:p>
      <w:pPr>
        <w:spacing w:line="360" w:lineRule="auto"/>
        <w:ind w:firstLine="480" w:firstLineChars="200"/>
        <w:jc w:val="left"/>
        <w:rPr>
          <w:rFonts w:asciiTheme="minorEastAsia" w:hAnsiTheme="minorEastAsia"/>
          <w:sz w:val="24"/>
        </w:rPr>
      </w:pPr>
      <w:r>
        <w:rPr>
          <w:rFonts w:hint="eastAsia"/>
          <w:sz w:val="24"/>
        </w:rPr>
        <w:t>2020年</w:t>
      </w:r>
      <w:r>
        <w:rPr>
          <w:sz w:val="24"/>
        </w:rPr>
        <w:t>9</w:t>
      </w:r>
      <w:r>
        <w:rPr>
          <w:rFonts w:hint="eastAsia"/>
          <w:sz w:val="24"/>
        </w:rPr>
        <w:t>月</w:t>
      </w:r>
      <w:r>
        <w:rPr>
          <w:sz w:val="24"/>
        </w:rPr>
        <w:t>14</w:t>
      </w:r>
      <w:r>
        <w:rPr>
          <w:rFonts w:hint="eastAsia"/>
          <w:sz w:val="24"/>
        </w:rPr>
        <w:t>日，杭州融南进富企业管理咨询有限公司竞得</w:t>
      </w:r>
      <w:r>
        <w:rPr>
          <w:rFonts w:hint="eastAsia" w:hAnsi="宋体"/>
          <w:sz w:val="24"/>
        </w:rPr>
        <w:t>富阳区富春街道劳动路区块土地，</w:t>
      </w:r>
      <w:r>
        <w:rPr>
          <w:rFonts w:hint="eastAsia" w:asciiTheme="minorEastAsia" w:hAnsiTheme="minorEastAsia"/>
          <w:sz w:val="24"/>
        </w:rPr>
        <w:t>成交总价122640万元万元，楼面价13</w:t>
      </w:r>
      <w:r>
        <w:rPr>
          <w:rFonts w:asciiTheme="minorEastAsia" w:hAnsiTheme="minorEastAsia"/>
          <w:sz w:val="24"/>
        </w:rPr>
        <w:t>,</w:t>
      </w:r>
      <w:r>
        <w:rPr>
          <w:rFonts w:hint="eastAsia" w:asciiTheme="minorEastAsia" w:hAnsiTheme="minorEastAsia"/>
          <w:sz w:val="24"/>
        </w:rPr>
        <w:t>315元/㎡（详见图2）。</w:t>
      </w:r>
    </w:p>
    <w:p>
      <w:pPr>
        <w:spacing w:line="360" w:lineRule="auto"/>
        <w:ind w:firstLine="420" w:firstLineChars="200"/>
        <w:jc w:val="center"/>
      </w:pPr>
      <w:r>
        <w:drawing>
          <wp:inline distT="0" distB="0" distL="114300" distR="114300">
            <wp:extent cx="5271135" cy="652780"/>
            <wp:effectExtent l="0" t="0" r="5715" b="139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271135" cy="652780"/>
                    </a:xfrm>
                    <a:prstGeom prst="rect">
                      <a:avLst/>
                    </a:prstGeom>
                    <a:noFill/>
                    <a:ln>
                      <a:noFill/>
                    </a:ln>
                  </pic:spPr>
                </pic:pic>
              </a:graphicData>
            </a:graphic>
          </wp:inline>
        </w:drawing>
      </w:r>
    </w:p>
    <w:p>
      <w:pPr>
        <w:spacing w:line="360" w:lineRule="auto"/>
        <w:ind w:firstLine="420" w:firstLineChars="200"/>
        <w:jc w:val="center"/>
      </w:pPr>
      <w:r>
        <w:rPr>
          <w:rFonts w:hint="eastAsia"/>
        </w:rPr>
        <w:t>图2 地块成交信息</w:t>
      </w:r>
    </w:p>
    <w:p>
      <w:pPr>
        <w:spacing w:line="360" w:lineRule="auto"/>
        <w:jc w:val="left"/>
        <w:rPr>
          <w:b/>
          <w:bCs/>
          <w:sz w:val="28"/>
          <w:szCs w:val="28"/>
        </w:rPr>
      </w:pPr>
      <w:bookmarkStart w:id="3" w:name="_Toc13727"/>
    </w:p>
    <w:p>
      <w:pPr>
        <w:spacing w:line="360" w:lineRule="auto"/>
        <w:jc w:val="left"/>
        <w:rPr>
          <w:rFonts w:asciiTheme="minorEastAsia" w:hAnsiTheme="minorEastAsia"/>
          <w:sz w:val="24"/>
        </w:rPr>
      </w:pPr>
      <w:r>
        <w:rPr>
          <w:rFonts w:hint="eastAsia"/>
          <w:b/>
          <w:bCs/>
          <w:sz w:val="28"/>
          <w:szCs w:val="28"/>
        </w:rPr>
        <w:t>二、项目公司基本信息</w:t>
      </w:r>
      <w:bookmarkEnd w:id="3"/>
      <w:r>
        <w:rPr>
          <w:b/>
          <w:bCs/>
          <w:sz w:val="28"/>
          <w:szCs w:val="28"/>
        </w:rPr>
        <w:br w:type="textWrapping"/>
      </w:r>
      <w:r>
        <w:rPr>
          <w:b/>
          <w:bCs/>
          <w:sz w:val="28"/>
          <w:szCs w:val="28"/>
        </w:rPr>
        <w:t xml:space="preserve">   </w:t>
      </w:r>
      <w:r>
        <w:rPr>
          <w:rFonts w:asciiTheme="majorEastAsia" w:hAnsiTheme="majorEastAsia" w:eastAsiaTheme="majorEastAsia"/>
          <w:sz w:val="24"/>
        </w:rPr>
        <w:t>SPV</w:t>
      </w:r>
      <w:r>
        <w:rPr>
          <w:rFonts w:hint="eastAsia" w:asciiTheme="majorEastAsia" w:hAnsiTheme="majorEastAsia" w:eastAsiaTheme="majorEastAsia"/>
          <w:sz w:val="24"/>
        </w:rPr>
        <w:t>成立于2019年09月04日，注册地位于浙江省杭州市萧山区宁围街道市心北路857号400室（自行分割），法定代表人为彭鲁凤</w:t>
      </w:r>
      <w:r>
        <w:rPr>
          <w:rFonts w:hint="eastAsia" w:asciiTheme="minorEastAsia" w:hAnsiTheme="minorEastAsia"/>
          <w:sz w:val="24"/>
        </w:rPr>
        <w:t>（详见图3）。</w:t>
      </w:r>
    </w:p>
    <w:p>
      <w:pPr>
        <w:numPr>
          <w:ilvl w:val="255"/>
          <w:numId w:val="0"/>
        </w:numPr>
        <w:jc w:val="center"/>
      </w:pPr>
      <w:r>
        <w:drawing>
          <wp:inline distT="0" distB="0" distL="0" distR="0">
            <wp:extent cx="5274310" cy="219456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stretch>
                      <a:fillRect/>
                    </a:stretch>
                  </pic:blipFill>
                  <pic:spPr>
                    <a:xfrm>
                      <a:off x="0" y="0"/>
                      <a:ext cx="5274310" cy="2194560"/>
                    </a:xfrm>
                    <a:prstGeom prst="rect">
                      <a:avLst/>
                    </a:prstGeom>
                  </pic:spPr>
                </pic:pic>
              </a:graphicData>
            </a:graphic>
          </wp:inline>
        </w:drawing>
      </w:r>
      <w:r>
        <w:rPr>
          <w:rFonts w:hint="eastAsia"/>
        </w:rPr>
        <w:t>图3 工商注册信息</w:t>
      </w:r>
    </w:p>
    <w:p>
      <w:pPr>
        <w:numPr>
          <w:ilvl w:val="255"/>
          <w:numId w:val="0"/>
        </w:numPr>
        <w:jc w:val="center"/>
      </w:pPr>
      <w:r>
        <w:rPr>
          <w:rFonts w:hint="eastAsia" w:asciiTheme="minorEastAsia" w:hAnsiTheme="minorEastAsia"/>
          <w:sz w:val="24"/>
        </w:rPr>
        <w:t>公司股东融创鑫恒投资集团有限公司出资占比51%，中航信托股份有限公司出资占比49%。</w:t>
      </w:r>
      <w:r>
        <w:rPr>
          <w:rFonts w:asciiTheme="minorEastAsia" w:hAnsiTheme="minorEastAsia"/>
          <w:sz w:val="24"/>
        </w:rPr>
        <w:drawing>
          <wp:inline distT="0" distB="0" distL="0" distR="0">
            <wp:extent cx="5274310" cy="2531745"/>
            <wp:effectExtent l="0" t="0" r="254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2531745"/>
                    </a:xfrm>
                    <a:prstGeom prst="rect">
                      <a:avLst/>
                    </a:prstGeom>
                    <a:noFill/>
                    <a:ln>
                      <a:noFill/>
                    </a:ln>
                  </pic:spPr>
                </pic:pic>
              </a:graphicData>
            </a:graphic>
          </wp:inline>
        </w:drawing>
      </w:r>
      <w:r>
        <w:rPr>
          <w:rFonts w:hint="eastAsia"/>
        </w:rPr>
        <w:t xml:space="preserve">图4 </w:t>
      </w:r>
      <w:r>
        <w:t xml:space="preserve"> </w:t>
      </w:r>
      <w:r>
        <w:rPr>
          <w:rFonts w:hint="eastAsia"/>
        </w:rPr>
        <w:t>股权图</w:t>
      </w:r>
    </w:p>
    <w:p>
      <w:pPr>
        <w:spacing w:line="360" w:lineRule="auto"/>
        <w:ind w:firstLine="480" w:firstLineChars="200"/>
        <w:jc w:val="left"/>
        <w:rPr>
          <w:rFonts w:hint="eastAsia" w:asciiTheme="minorEastAsia" w:hAnsiTheme="minorEastAsia"/>
          <w:sz w:val="24"/>
        </w:rPr>
      </w:pPr>
    </w:p>
    <w:p>
      <w:pPr>
        <w:jc w:val="left"/>
        <w:outlineLvl w:val="0"/>
        <w:rPr>
          <w:rFonts w:hint="eastAsia" w:asciiTheme="majorEastAsia" w:hAnsiTheme="majorEastAsia" w:eastAsiaTheme="majorEastAsia"/>
          <w:sz w:val="24"/>
        </w:rPr>
      </w:pPr>
    </w:p>
    <w:p>
      <w:pPr>
        <w:spacing w:line="360" w:lineRule="auto"/>
        <w:ind w:firstLine="480" w:firstLineChars="200"/>
        <w:jc w:val="left"/>
        <w:rPr>
          <w:rFonts w:asciiTheme="minorEastAsia" w:hAnsiTheme="minorEastAsia"/>
          <w:sz w:val="24"/>
        </w:rPr>
      </w:pPr>
      <w:r>
        <w:rPr>
          <w:rFonts w:hint="eastAsia" w:asciiTheme="minorEastAsia" w:hAnsiTheme="minorEastAsia"/>
          <w:sz w:val="24"/>
        </w:rPr>
        <w:t>项目公司成立于2020年09月23日，注册地位于杭州市富阳区富春街道金桥北路119号207室，法定代表人为仰栋（详见图5）。</w:t>
      </w:r>
    </w:p>
    <w:p>
      <w:pPr>
        <w:tabs>
          <w:tab w:val="left" w:pos="2738"/>
        </w:tabs>
        <w:jc w:val="left"/>
      </w:pPr>
      <w:r>
        <w:rPr>
          <w:rFonts w:hint="eastAsia"/>
        </w:rPr>
        <w:tab/>
      </w:r>
    </w:p>
    <w:p>
      <w:pPr>
        <w:numPr>
          <w:ilvl w:val="255"/>
          <w:numId w:val="0"/>
        </w:numPr>
        <w:jc w:val="left"/>
      </w:pPr>
      <w:r>
        <w:drawing>
          <wp:inline distT="0" distB="0" distL="0" distR="0">
            <wp:extent cx="5274310" cy="3140075"/>
            <wp:effectExtent l="0" t="0" r="254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1"/>
                    <a:stretch>
                      <a:fillRect/>
                    </a:stretch>
                  </pic:blipFill>
                  <pic:spPr>
                    <a:xfrm>
                      <a:off x="0" y="0"/>
                      <a:ext cx="5274310" cy="3140075"/>
                    </a:xfrm>
                    <a:prstGeom prst="rect">
                      <a:avLst/>
                    </a:prstGeom>
                  </pic:spPr>
                </pic:pic>
              </a:graphicData>
            </a:graphic>
          </wp:inline>
        </w:drawing>
      </w:r>
    </w:p>
    <w:p>
      <w:pPr>
        <w:numPr>
          <w:ilvl w:val="255"/>
          <w:numId w:val="0"/>
        </w:numPr>
        <w:jc w:val="center"/>
      </w:pPr>
      <w:r>
        <w:rPr>
          <w:rFonts w:hint="eastAsia"/>
        </w:rPr>
        <w:t>图5 工商注册信息</w:t>
      </w:r>
    </w:p>
    <w:p>
      <w:pPr>
        <w:spacing w:line="360" w:lineRule="auto"/>
        <w:ind w:firstLine="480" w:firstLineChars="200"/>
        <w:jc w:val="left"/>
        <w:rPr>
          <w:rFonts w:asciiTheme="minorEastAsia" w:hAnsiTheme="minorEastAsia"/>
          <w:sz w:val="24"/>
        </w:rPr>
      </w:pPr>
      <w:r>
        <w:rPr>
          <w:rFonts w:hint="eastAsia" w:asciiTheme="minorEastAsia" w:hAnsiTheme="minorEastAsia"/>
          <w:sz w:val="24"/>
        </w:rPr>
        <w:t>公司股东杭州融南进富企业管理咨询有限公司出资占比97%，</w:t>
      </w:r>
      <w:r>
        <w:rPr>
          <w:rFonts w:hint="eastAsia" w:ascii="宋体" w:hAnsi="宋体"/>
          <w:sz w:val="24"/>
          <w:szCs w:val="32"/>
        </w:rPr>
        <w:t>杭州富阳卓通置业有限公司</w:t>
      </w:r>
      <w:r>
        <w:rPr>
          <w:rFonts w:hint="eastAsia" w:asciiTheme="minorEastAsia" w:hAnsiTheme="minorEastAsia"/>
          <w:sz w:val="24"/>
        </w:rPr>
        <w:t>出资占比3%。</w:t>
      </w:r>
    </w:p>
    <w:p>
      <w:pPr>
        <w:numPr>
          <w:ilvl w:val="255"/>
          <w:numId w:val="0"/>
        </w:numPr>
        <w:jc w:val="left"/>
      </w:pPr>
      <w:r>
        <w:drawing>
          <wp:inline distT="0" distB="0" distL="0" distR="0">
            <wp:extent cx="5274310" cy="1211580"/>
            <wp:effectExtent l="0" t="0" r="254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274310" cy="1211580"/>
                    </a:xfrm>
                    <a:prstGeom prst="rect">
                      <a:avLst/>
                    </a:prstGeom>
                  </pic:spPr>
                </pic:pic>
              </a:graphicData>
            </a:graphic>
          </wp:inline>
        </w:drawing>
      </w:r>
      <w:r>
        <w:rPr>
          <w:rFonts w:ascii="Times New Roman" w:hAnsi="Times New Roman" w:eastAsia="Times New Roman" w:cs="Times New Roman"/>
          <w:snapToGrid w:val="0"/>
          <w:color w:val="000000"/>
          <w:w w:val="0"/>
          <w:kern w:val="0"/>
          <w:sz w:val="0"/>
          <w:szCs w:val="0"/>
          <w:u w:color="000000"/>
          <w:shd w:val="clear" w:color="000000" w:fill="000000"/>
          <w:lang w:val="zh-CN" w:bidi="zh-CN"/>
        </w:rPr>
        <w:t xml:space="preserve"> </w:t>
      </w:r>
    </w:p>
    <w:p>
      <w:pPr>
        <w:numPr>
          <w:ilvl w:val="255"/>
          <w:numId w:val="0"/>
        </w:numPr>
        <w:jc w:val="center"/>
      </w:pPr>
      <w:r>
        <w:rPr>
          <w:rFonts w:hint="eastAsia"/>
        </w:rPr>
        <w:t>图6 股权图</w:t>
      </w:r>
    </w:p>
    <w:p>
      <w:pPr>
        <w:numPr>
          <w:ilvl w:val="0"/>
          <w:numId w:val="1"/>
        </w:numPr>
        <w:outlineLvl w:val="0"/>
        <w:rPr>
          <w:b/>
          <w:bCs/>
          <w:sz w:val="28"/>
          <w:szCs w:val="28"/>
        </w:rPr>
      </w:pPr>
      <w:bookmarkStart w:id="4" w:name="_Toc32568"/>
      <w:r>
        <w:rPr>
          <w:rFonts w:hint="eastAsia"/>
          <w:b/>
          <w:bCs/>
          <w:sz w:val="28"/>
          <w:szCs w:val="28"/>
        </w:rPr>
        <w:t>竞品分析</w:t>
      </w:r>
      <w:bookmarkEnd w:id="4"/>
    </w:p>
    <w:p>
      <w:pPr>
        <w:spacing w:line="360" w:lineRule="auto"/>
        <w:ind w:firstLine="480" w:firstLineChars="200"/>
        <w:rPr>
          <w:rFonts w:cs="Arial" w:asciiTheme="minorEastAsia" w:hAnsiTheme="minorEastAsia"/>
          <w:sz w:val="24"/>
        </w:rPr>
      </w:pPr>
      <w:r>
        <w:rPr>
          <w:rFonts w:hint="eastAsia" w:cs="Arial" w:asciiTheme="minorEastAsia" w:hAnsiTheme="minorEastAsia"/>
          <w:sz w:val="24"/>
        </w:rPr>
        <w:t>项目周边在售竞品项目主要包括</w:t>
      </w:r>
      <w:r>
        <w:rPr>
          <w:rFonts w:hint="eastAsia" w:ascii="宋体" w:hAnsi="宋体"/>
          <w:sz w:val="24"/>
        </w:rPr>
        <w:t>大家·云上金铭府（在售）、金茂秦望项目（待售）及绿地潮悦江山城项目（待售）</w:t>
      </w:r>
      <w:r>
        <w:rPr>
          <w:rFonts w:hint="eastAsia" w:cs="Arial" w:asciiTheme="minorEastAsia" w:hAnsiTheme="minorEastAsia"/>
          <w:sz w:val="24"/>
        </w:rPr>
        <w:t>项目周边在售楼盘位置</w:t>
      </w:r>
      <w:r>
        <w:rPr>
          <w:rFonts w:hint="eastAsia" w:asciiTheme="minorEastAsia" w:hAnsiTheme="minorEastAsia"/>
          <w:sz w:val="24"/>
        </w:rPr>
        <w:t>（详见图7）</w:t>
      </w:r>
    </w:p>
    <w:p>
      <w:pPr>
        <w:spacing w:line="360" w:lineRule="auto"/>
        <w:jc w:val="center"/>
      </w:pPr>
      <w:r>
        <w:rPr>
          <w:rFonts w:ascii="Times New Roman" w:hAnsi="Times New Roman" w:eastAsia="Times New Roman" w:cs="Times New Roman"/>
          <w:snapToGrid w:val="0"/>
          <w:color w:val="000000"/>
          <w:w w:val="0"/>
          <w:kern w:val="0"/>
          <w:sz w:val="0"/>
          <w:szCs w:val="0"/>
          <w:u w:color="000000"/>
          <w:shd w:val="clear" w:color="000000" w:fill="000000"/>
          <w:lang w:val="zh-CN" w:bidi="zh-CN"/>
        </w:rPr>
        <w:t xml:space="preserve"> </w:t>
      </w:r>
      <w:r>
        <w:drawing>
          <wp:inline distT="0" distB="0" distL="0" distR="0">
            <wp:extent cx="4700270" cy="2326005"/>
            <wp:effectExtent l="0" t="0" r="50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715395" cy="2333853"/>
                    </a:xfrm>
                    <a:prstGeom prst="rect">
                      <a:avLst/>
                    </a:prstGeom>
                    <a:noFill/>
                    <a:ln>
                      <a:noFill/>
                    </a:ln>
                  </pic:spPr>
                </pic:pic>
              </a:graphicData>
            </a:graphic>
          </wp:inline>
        </w:drawing>
      </w:r>
      <w:r>
        <w:t xml:space="preserve"> </w:t>
      </w:r>
    </w:p>
    <w:p>
      <w:pPr>
        <w:numPr>
          <w:ilvl w:val="255"/>
          <w:numId w:val="0"/>
        </w:numPr>
        <w:jc w:val="center"/>
      </w:pPr>
      <w:r>
        <w:rPr>
          <w:rFonts w:hint="eastAsia"/>
        </w:rPr>
        <w:t>图7 项目周边在售楼盘位置</w:t>
      </w:r>
    </w:p>
    <w:p>
      <w:pPr>
        <w:spacing w:line="360" w:lineRule="auto"/>
        <w:ind w:firstLine="480" w:firstLineChars="200"/>
        <w:rPr>
          <w:sz w:val="24"/>
        </w:rPr>
      </w:pPr>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3"/>
        <w:gridCol w:w="2273"/>
        <w:gridCol w:w="2273"/>
        <w:gridCol w:w="2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99" w:type="pct"/>
            <w:shd w:val="clear" w:color="auto" w:fill="auto"/>
            <w:vAlign w:val="center"/>
          </w:tcPr>
          <w:p>
            <w:pPr>
              <w:widowControl/>
              <w:jc w:val="center"/>
              <w:rPr>
                <w:rFonts w:ascii="宋体" w:hAnsi="宋体" w:cs="宋体"/>
                <w:b/>
                <w:kern w:val="0"/>
                <w:szCs w:val="21"/>
              </w:rPr>
            </w:pPr>
            <w:bookmarkStart w:id="5" w:name="_Toc28358"/>
            <w:r>
              <w:rPr>
                <w:rFonts w:hint="eastAsia" w:ascii="宋体" w:hAnsi="宋体" w:cs="宋体"/>
                <w:b/>
                <w:kern w:val="0"/>
                <w:szCs w:val="21"/>
              </w:rPr>
              <w:t>项目名称</w:t>
            </w:r>
          </w:p>
        </w:tc>
        <w:tc>
          <w:tcPr>
            <w:tcW w:w="1334" w:type="pct"/>
            <w:shd w:val="clear" w:color="auto" w:fill="auto"/>
            <w:noWrap/>
            <w:vAlign w:val="center"/>
          </w:tcPr>
          <w:p>
            <w:pPr>
              <w:widowControl/>
              <w:jc w:val="center"/>
              <w:rPr>
                <w:rFonts w:ascii="宋体" w:hAnsi="宋体" w:cs="宋体"/>
                <w:b/>
                <w:kern w:val="0"/>
                <w:szCs w:val="21"/>
              </w:rPr>
            </w:pPr>
            <w:r>
              <w:rPr>
                <w:rFonts w:hint="eastAsia" w:ascii="宋体" w:hAnsi="宋体" w:cs="宋体"/>
                <w:b/>
                <w:kern w:val="0"/>
                <w:szCs w:val="21"/>
              </w:rPr>
              <w:t>大家·云上金铭府</w:t>
            </w:r>
          </w:p>
        </w:tc>
        <w:tc>
          <w:tcPr>
            <w:tcW w:w="1334" w:type="pct"/>
            <w:shd w:val="clear" w:color="auto" w:fill="auto"/>
            <w:noWrap/>
            <w:vAlign w:val="center"/>
          </w:tcPr>
          <w:p>
            <w:pPr>
              <w:widowControl/>
              <w:jc w:val="center"/>
              <w:rPr>
                <w:rFonts w:ascii="宋体" w:hAnsi="宋体" w:cs="宋体"/>
                <w:b/>
                <w:kern w:val="0"/>
                <w:szCs w:val="21"/>
              </w:rPr>
            </w:pPr>
            <w:r>
              <w:rPr>
                <w:rFonts w:hint="eastAsia" w:ascii="宋体" w:hAnsi="宋体" w:cs="宋体"/>
                <w:b/>
                <w:kern w:val="0"/>
                <w:szCs w:val="21"/>
              </w:rPr>
              <w:t>金茂秦望项目</w:t>
            </w:r>
          </w:p>
        </w:tc>
        <w:tc>
          <w:tcPr>
            <w:tcW w:w="1333" w:type="pct"/>
            <w:shd w:val="clear" w:color="auto" w:fill="auto"/>
          </w:tcPr>
          <w:p>
            <w:pPr>
              <w:widowControl/>
              <w:jc w:val="center"/>
              <w:rPr>
                <w:rFonts w:ascii="宋体" w:hAnsi="宋体" w:cs="宋体"/>
                <w:b/>
                <w:kern w:val="0"/>
                <w:szCs w:val="21"/>
              </w:rPr>
            </w:pPr>
            <w:r>
              <w:rPr>
                <w:rFonts w:hint="eastAsia" w:ascii="宋体" w:hAnsi="宋体" w:cs="宋体"/>
                <w:b/>
                <w:kern w:val="0"/>
                <w:szCs w:val="21"/>
              </w:rPr>
              <w:t>绿地香港项目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99"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距离本案</w:t>
            </w:r>
          </w:p>
        </w:tc>
        <w:tc>
          <w:tcPr>
            <w:tcW w:w="1334" w:type="pct"/>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r>
              <w:rPr>
                <w:rFonts w:ascii="宋体" w:hAnsi="宋体" w:cs="宋体"/>
                <w:color w:val="000000"/>
                <w:kern w:val="0"/>
                <w:szCs w:val="21"/>
              </w:rPr>
              <w:t>km</w:t>
            </w:r>
          </w:p>
        </w:tc>
        <w:tc>
          <w:tcPr>
            <w:tcW w:w="1334" w:type="pct"/>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r>
              <w:rPr>
                <w:rFonts w:ascii="宋体" w:hAnsi="宋体" w:cs="宋体"/>
                <w:color w:val="000000"/>
                <w:kern w:val="0"/>
                <w:szCs w:val="21"/>
              </w:rPr>
              <w:t>.5km</w:t>
            </w:r>
          </w:p>
        </w:tc>
        <w:tc>
          <w:tcPr>
            <w:tcW w:w="1333" w:type="pct"/>
          </w:tcPr>
          <w:p>
            <w:pPr>
              <w:widowControl/>
              <w:jc w:val="center"/>
              <w:rPr>
                <w:rFonts w:ascii="宋体" w:hAnsi="宋体" w:cs="宋体"/>
                <w:color w:val="000000"/>
                <w:kern w:val="0"/>
                <w:szCs w:val="21"/>
              </w:rPr>
            </w:pPr>
            <w:r>
              <w:rPr>
                <w:rFonts w:hint="eastAsia" w:ascii="宋体" w:hAnsi="宋体" w:cs="宋体"/>
                <w:color w:val="000000"/>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999"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成交均价</w:t>
            </w:r>
          </w:p>
          <w:p>
            <w:pPr>
              <w:widowControl/>
              <w:jc w:val="center"/>
              <w:rPr>
                <w:rFonts w:ascii="宋体" w:hAnsi="宋体" w:cs="宋体"/>
                <w:color w:val="000000"/>
                <w:kern w:val="0"/>
                <w:szCs w:val="21"/>
              </w:rPr>
            </w:pPr>
            <w:r>
              <w:rPr>
                <w:rFonts w:hint="eastAsia" w:ascii="宋体" w:hAnsi="宋体" w:cs="宋体"/>
                <w:color w:val="000000"/>
                <w:kern w:val="0"/>
                <w:szCs w:val="21"/>
              </w:rPr>
              <w:t>（元/㎡）</w:t>
            </w:r>
          </w:p>
        </w:tc>
        <w:tc>
          <w:tcPr>
            <w:tcW w:w="1334"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r>
              <w:rPr>
                <w:rFonts w:ascii="宋体" w:hAnsi="宋体" w:cs="宋体"/>
                <w:color w:val="000000"/>
                <w:kern w:val="0"/>
                <w:szCs w:val="21"/>
              </w:rPr>
              <w:t>2000</w:t>
            </w:r>
          </w:p>
        </w:tc>
        <w:tc>
          <w:tcPr>
            <w:tcW w:w="1334"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r>
              <w:rPr>
                <w:rFonts w:ascii="宋体" w:hAnsi="宋体" w:cs="宋体"/>
                <w:color w:val="000000"/>
                <w:kern w:val="0"/>
                <w:szCs w:val="21"/>
              </w:rPr>
              <w:t>9800</w:t>
            </w:r>
          </w:p>
        </w:tc>
        <w:tc>
          <w:tcPr>
            <w:tcW w:w="1333"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27000（预计）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99"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开发商</w:t>
            </w:r>
          </w:p>
        </w:tc>
        <w:tc>
          <w:tcPr>
            <w:tcW w:w="1334" w:type="pct"/>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大家</w:t>
            </w:r>
          </w:p>
        </w:tc>
        <w:tc>
          <w:tcPr>
            <w:tcW w:w="1334" w:type="pct"/>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金茂</w:t>
            </w:r>
          </w:p>
        </w:tc>
        <w:tc>
          <w:tcPr>
            <w:tcW w:w="1333" w:type="pct"/>
          </w:tcPr>
          <w:p>
            <w:pPr>
              <w:widowControl/>
              <w:jc w:val="center"/>
              <w:rPr>
                <w:rFonts w:ascii="宋体" w:hAnsi="宋体" w:cs="宋体"/>
                <w:color w:val="000000"/>
                <w:kern w:val="0"/>
                <w:szCs w:val="21"/>
              </w:rPr>
            </w:pPr>
            <w:r>
              <w:rPr>
                <w:rFonts w:hint="eastAsia" w:ascii="宋体" w:hAnsi="宋体" w:cs="宋体"/>
                <w:color w:val="000000"/>
                <w:kern w:val="0"/>
                <w:szCs w:val="21"/>
              </w:rPr>
              <w:t>绿地香港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99"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开盘时间</w:t>
            </w:r>
          </w:p>
        </w:tc>
        <w:tc>
          <w:tcPr>
            <w:tcW w:w="1334" w:type="pct"/>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r>
              <w:rPr>
                <w:rFonts w:ascii="宋体" w:hAnsi="宋体" w:cs="宋体"/>
                <w:color w:val="000000"/>
                <w:kern w:val="0"/>
                <w:szCs w:val="21"/>
              </w:rPr>
              <w:t>019</w:t>
            </w:r>
            <w:r>
              <w:rPr>
                <w:rFonts w:hint="eastAsia" w:ascii="宋体" w:hAnsi="宋体" w:cs="宋体"/>
                <w:color w:val="000000"/>
                <w:kern w:val="0"/>
                <w:szCs w:val="21"/>
              </w:rPr>
              <w:t>年1</w:t>
            </w:r>
            <w:r>
              <w:rPr>
                <w:rFonts w:ascii="宋体" w:hAnsi="宋体" w:cs="宋体"/>
                <w:color w:val="000000"/>
                <w:kern w:val="0"/>
                <w:szCs w:val="21"/>
              </w:rPr>
              <w:t>1</w:t>
            </w:r>
            <w:r>
              <w:rPr>
                <w:rFonts w:hint="eastAsia" w:ascii="宋体" w:hAnsi="宋体" w:cs="宋体"/>
                <w:color w:val="000000"/>
                <w:kern w:val="0"/>
                <w:szCs w:val="21"/>
              </w:rPr>
              <w:t>月</w:t>
            </w:r>
          </w:p>
        </w:tc>
        <w:tc>
          <w:tcPr>
            <w:tcW w:w="1334" w:type="pct"/>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r>
              <w:rPr>
                <w:rFonts w:ascii="宋体" w:hAnsi="宋体" w:cs="宋体"/>
                <w:color w:val="000000"/>
                <w:kern w:val="0"/>
                <w:szCs w:val="21"/>
              </w:rPr>
              <w:t>020</w:t>
            </w:r>
            <w:r>
              <w:rPr>
                <w:rFonts w:hint="eastAsia" w:ascii="宋体" w:hAnsi="宋体" w:cs="宋体"/>
                <w:color w:val="000000"/>
                <w:kern w:val="0"/>
                <w:szCs w:val="21"/>
              </w:rPr>
              <w:t>年10月</w:t>
            </w:r>
          </w:p>
        </w:tc>
        <w:tc>
          <w:tcPr>
            <w:tcW w:w="1333" w:type="pct"/>
          </w:tcPr>
          <w:p>
            <w:pPr>
              <w:widowControl/>
              <w:jc w:val="center"/>
              <w:rPr>
                <w:rFonts w:ascii="宋体" w:hAnsi="宋体" w:cs="宋体"/>
                <w:color w:val="000000"/>
                <w:kern w:val="0"/>
                <w:szCs w:val="21"/>
              </w:rPr>
            </w:pPr>
            <w:r>
              <w:rPr>
                <w:rFonts w:hint="eastAsia" w:ascii="宋体" w:hAnsi="宋体" w:cs="宋体"/>
                <w:color w:val="000000"/>
                <w:kern w:val="0"/>
                <w:szCs w:val="21"/>
              </w:rPr>
              <w:t>预计2</w:t>
            </w:r>
            <w:r>
              <w:rPr>
                <w:rFonts w:ascii="宋体" w:hAnsi="宋体" w:cs="宋体"/>
                <w:color w:val="000000"/>
                <w:kern w:val="0"/>
                <w:szCs w:val="21"/>
              </w:rPr>
              <w:t>020</w:t>
            </w:r>
            <w:r>
              <w:rPr>
                <w:rFonts w:hint="eastAsia" w:ascii="宋体" w:hAnsi="宋体" w:cs="宋体"/>
                <w:color w:val="000000"/>
                <w:kern w:val="0"/>
                <w:szCs w:val="21"/>
              </w:rPr>
              <w:t>年11月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999"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去化情况</w:t>
            </w:r>
          </w:p>
        </w:tc>
        <w:tc>
          <w:tcPr>
            <w:tcW w:w="1334"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月均去化约5</w:t>
            </w:r>
            <w:r>
              <w:rPr>
                <w:rFonts w:ascii="宋体" w:hAnsi="宋体" w:cs="宋体"/>
                <w:color w:val="000000"/>
                <w:kern w:val="0"/>
                <w:szCs w:val="21"/>
              </w:rPr>
              <w:t>000</w:t>
            </w:r>
            <w:r>
              <w:rPr>
                <w:rFonts w:hint="eastAsia" w:ascii="宋体" w:hAnsi="宋体" w:cs="宋体"/>
                <w:color w:val="000000"/>
                <w:kern w:val="0"/>
                <w:szCs w:val="21"/>
              </w:rPr>
              <w:t>㎡</w:t>
            </w:r>
          </w:p>
        </w:tc>
        <w:tc>
          <w:tcPr>
            <w:tcW w:w="1334" w:type="pct"/>
            <w:shd w:val="clear" w:color="auto" w:fill="auto"/>
            <w:vAlign w:val="center"/>
          </w:tcPr>
          <w:p>
            <w:pPr>
              <w:widowControl/>
              <w:jc w:val="center"/>
              <w:rPr>
                <w:rFonts w:hint="eastAsia" w:ascii="宋体" w:hAnsi="宋体" w:cs="宋体" w:eastAsiaTheme="minorEastAsia"/>
                <w:color w:val="000000"/>
                <w:kern w:val="0"/>
                <w:szCs w:val="21"/>
                <w:lang w:val="en-US" w:eastAsia="zh-CN"/>
              </w:rPr>
            </w:pPr>
          </w:p>
        </w:tc>
        <w:tc>
          <w:tcPr>
            <w:tcW w:w="1333" w:type="pct"/>
          </w:tcPr>
          <w:p>
            <w:pPr>
              <w:widowControl/>
              <w:jc w:val="center"/>
              <w:rPr>
                <w:rFonts w:ascii="宋体" w:hAnsi="宋体" w:cs="宋体"/>
                <w:color w:val="000000"/>
                <w:kern w:val="0"/>
                <w:szCs w:val="21"/>
              </w:rPr>
            </w:pPr>
          </w:p>
          <w:p>
            <w:pPr>
              <w:widowControl/>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99"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主要户型</w:t>
            </w:r>
          </w:p>
        </w:tc>
        <w:tc>
          <w:tcPr>
            <w:tcW w:w="1334"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w:t>
            </w:r>
            <w:r>
              <w:rPr>
                <w:rFonts w:ascii="宋体" w:hAnsi="宋体" w:cs="宋体"/>
                <w:color w:val="000000"/>
                <w:kern w:val="0"/>
                <w:szCs w:val="21"/>
              </w:rPr>
              <w:t>9</w:t>
            </w:r>
            <w:r>
              <w:rPr>
                <w:rFonts w:hint="eastAsia" w:ascii="宋体" w:hAnsi="宋体" w:cs="宋体"/>
                <w:color w:val="000000"/>
                <w:kern w:val="0"/>
                <w:szCs w:val="21"/>
              </w:rPr>
              <w:t>㎡ 三房一卫</w:t>
            </w:r>
          </w:p>
          <w:p>
            <w:pPr>
              <w:widowControl/>
              <w:jc w:val="center"/>
              <w:rPr>
                <w:rFonts w:ascii="宋体" w:hAnsi="宋体" w:cs="宋体"/>
                <w:color w:val="000000"/>
                <w:kern w:val="0"/>
                <w:szCs w:val="21"/>
              </w:rPr>
            </w:pPr>
            <w:r>
              <w:rPr>
                <w:rFonts w:ascii="宋体" w:hAnsi="宋体" w:cs="宋体"/>
                <w:color w:val="000000"/>
                <w:kern w:val="0"/>
                <w:szCs w:val="21"/>
              </w:rPr>
              <w:t>97</w:t>
            </w:r>
            <w:r>
              <w:rPr>
                <w:rFonts w:hint="eastAsia" w:ascii="宋体" w:hAnsi="宋体" w:cs="宋体"/>
                <w:color w:val="000000"/>
                <w:kern w:val="0"/>
                <w:szCs w:val="21"/>
              </w:rPr>
              <w:t>㎡ 三房一卫</w:t>
            </w:r>
          </w:p>
          <w:p>
            <w:pPr>
              <w:widowControl/>
              <w:jc w:val="center"/>
              <w:rPr>
                <w:rFonts w:ascii="宋体" w:hAnsi="宋体" w:cs="宋体"/>
                <w:color w:val="000000"/>
                <w:kern w:val="0"/>
                <w:szCs w:val="21"/>
              </w:rPr>
            </w:pPr>
            <w:r>
              <w:rPr>
                <w:rFonts w:hint="eastAsia" w:ascii="宋体" w:hAnsi="宋体" w:cs="宋体"/>
                <w:color w:val="000000"/>
                <w:kern w:val="0"/>
                <w:szCs w:val="21"/>
              </w:rPr>
              <w:t>1</w:t>
            </w:r>
            <w:r>
              <w:rPr>
                <w:rFonts w:ascii="宋体" w:hAnsi="宋体" w:cs="宋体"/>
                <w:color w:val="000000"/>
                <w:kern w:val="0"/>
                <w:szCs w:val="21"/>
              </w:rPr>
              <w:t>05</w:t>
            </w:r>
            <w:r>
              <w:rPr>
                <w:rFonts w:hint="eastAsia" w:ascii="宋体" w:hAnsi="宋体" w:cs="宋体"/>
                <w:color w:val="000000"/>
                <w:kern w:val="0"/>
                <w:szCs w:val="21"/>
              </w:rPr>
              <w:t>㎡ 三房两卫</w:t>
            </w:r>
          </w:p>
          <w:p>
            <w:pPr>
              <w:widowControl/>
              <w:jc w:val="center"/>
              <w:rPr>
                <w:rFonts w:ascii="宋体" w:hAnsi="宋体" w:cs="宋体"/>
                <w:color w:val="000000"/>
                <w:kern w:val="0"/>
                <w:szCs w:val="21"/>
              </w:rPr>
            </w:pPr>
            <w:r>
              <w:rPr>
                <w:rFonts w:ascii="宋体" w:hAnsi="宋体" w:cs="宋体"/>
                <w:color w:val="000000"/>
                <w:kern w:val="0"/>
                <w:szCs w:val="21"/>
              </w:rPr>
              <w:t xml:space="preserve"> </w:t>
            </w:r>
            <w:r>
              <w:rPr>
                <w:rFonts w:hint="eastAsia" w:ascii="宋体" w:hAnsi="宋体" w:cs="宋体"/>
                <w:color w:val="000000"/>
                <w:kern w:val="0"/>
                <w:szCs w:val="21"/>
              </w:rPr>
              <w:t>125㎡ 四房两卫</w:t>
            </w:r>
          </w:p>
        </w:tc>
        <w:tc>
          <w:tcPr>
            <w:tcW w:w="1334"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110㎡三房两卫</w:t>
            </w:r>
          </w:p>
          <w:p>
            <w:pPr>
              <w:widowControl/>
              <w:jc w:val="center"/>
              <w:rPr>
                <w:rFonts w:ascii="宋体" w:hAnsi="宋体" w:cs="宋体"/>
                <w:color w:val="000000"/>
                <w:kern w:val="0"/>
                <w:szCs w:val="21"/>
              </w:rPr>
            </w:pPr>
            <w:r>
              <w:rPr>
                <w:rFonts w:hint="eastAsia" w:ascii="宋体" w:hAnsi="宋体" w:cs="宋体"/>
                <w:color w:val="000000"/>
                <w:kern w:val="0"/>
                <w:szCs w:val="21"/>
              </w:rPr>
              <w:t>143㎡四房两卫</w:t>
            </w:r>
          </w:p>
          <w:p>
            <w:pPr>
              <w:widowControl/>
              <w:jc w:val="center"/>
              <w:rPr>
                <w:rFonts w:ascii="宋体" w:hAnsi="宋体" w:cs="宋体"/>
                <w:color w:val="000000"/>
                <w:kern w:val="0"/>
                <w:szCs w:val="21"/>
              </w:rPr>
            </w:pPr>
            <w:r>
              <w:rPr>
                <w:rFonts w:hint="eastAsia" w:ascii="宋体" w:hAnsi="宋体" w:cs="宋体"/>
                <w:color w:val="000000"/>
                <w:kern w:val="0"/>
                <w:szCs w:val="21"/>
              </w:rPr>
              <w:t>167㎡四房三卫</w:t>
            </w:r>
          </w:p>
          <w:p>
            <w:pPr>
              <w:widowControl/>
              <w:jc w:val="center"/>
              <w:rPr>
                <w:rFonts w:ascii="宋体" w:hAnsi="宋体" w:cs="宋体"/>
                <w:color w:val="000000"/>
                <w:kern w:val="0"/>
                <w:szCs w:val="21"/>
              </w:rPr>
            </w:pPr>
          </w:p>
        </w:tc>
        <w:tc>
          <w:tcPr>
            <w:tcW w:w="1333" w:type="pct"/>
          </w:tcPr>
          <w:p>
            <w:pPr>
              <w:widowControl/>
              <w:jc w:val="center"/>
              <w:rPr>
                <w:rFonts w:ascii="宋体" w:hAnsi="宋体" w:cs="宋体"/>
                <w:color w:val="000000"/>
                <w:kern w:val="0"/>
                <w:szCs w:val="21"/>
              </w:rPr>
            </w:pPr>
            <w:r>
              <w:rPr>
                <w:rFonts w:hint="eastAsia" w:ascii="宋体" w:hAnsi="宋体" w:cs="宋体"/>
                <w:color w:val="000000"/>
                <w:kern w:val="0"/>
                <w:szCs w:val="21"/>
              </w:rPr>
              <w:t>81㎡二房一卫</w:t>
            </w:r>
          </w:p>
          <w:p>
            <w:pPr>
              <w:widowControl/>
              <w:jc w:val="center"/>
              <w:rPr>
                <w:rFonts w:hint="eastAsia" w:ascii="宋体" w:hAnsi="宋体" w:cs="宋体"/>
                <w:color w:val="000000"/>
                <w:kern w:val="0"/>
                <w:szCs w:val="21"/>
              </w:rPr>
            </w:pPr>
            <w:r>
              <w:rPr>
                <w:rFonts w:hint="eastAsia" w:ascii="宋体" w:hAnsi="宋体" w:cs="宋体"/>
                <w:color w:val="000000"/>
                <w:kern w:val="0"/>
                <w:szCs w:val="21"/>
              </w:rPr>
              <w:t>97㎡三室两卫</w:t>
            </w:r>
          </w:p>
          <w:p>
            <w:pPr>
              <w:widowControl/>
              <w:jc w:val="center"/>
              <w:rPr>
                <w:rFonts w:ascii="宋体" w:hAnsi="宋体" w:cs="宋体"/>
                <w:color w:val="000000"/>
                <w:kern w:val="0"/>
                <w:szCs w:val="21"/>
              </w:rPr>
            </w:pPr>
            <w:r>
              <w:rPr>
                <w:rFonts w:hint="eastAsia" w:ascii="宋体" w:hAnsi="宋体" w:cs="宋体"/>
                <w:color w:val="000000"/>
                <w:kern w:val="0"/>
                <w:szCs w:val="21"/>
              </w:rPr>
              <w:t>115㎡三房两卫</w:t>
            </w:r>
          </w:p>
          <w:p>
            <w:pPr>
              <w:widowControl/>
              <w:jc w:val="center"/>
              <w:rPr>
                <w:rFonts w:ascii="宋体" w:hAnsi="宋体" w:cs="宋体"/>
                <w:color w:val="000000"/>
                <w:kern w:val="0"/>
                <w:szCs w:val="21"/>
              </w:rPr>
            </w:pPr>
            <w:r>
              <w:rPr>
                <w:rFonts w:hint="eastAsia" w:ascii="宋体" w:hAnsi="宋体" w:cs="宋体"/>
                <w:color w:val="000000"/>
                <w:kern w:val="0"/>
                <w:szCs w:val="21"/>
              </w:rPr>
              <w:t>130-140㎡四房三卫</w:t>
            </w:r>
          </w:p>
          <w:p>
            <w:pPr>
              <w:widowControl/>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99"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容积率</w:t>
            </w:r>
          </w:p>
        </w:tc>
        <w:tc>
          <w:tcPr>
            <w:tcW w:w="1334" w:type="pct"/>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r>
              <w:rPr>
                <w:rFonts w:ascii="宋体" w:hAnsi="宋体" w:cs="宋体"/>
                <w:color w:val="000000"/>
                <w:kern w:val="0"/>
                <w:szCs w:val="21"/>
              </w:rPr>
              <w:t>.</w:t>
            </w:r>
            <w:r>
              <w:rPr>
                <w:rFonts w:hint="eastAsia" w:ascii="宋体" w:hAnsi="宋体" w:cs="宋体"/>
                <w:color w:val="000000"/>
                <w:kern w:val="0"/>
                <w:szCs w:val="21"/>
              </w:rPr>
              <w:t>4</w:t>
            </w:r>
          </w:p>
        </w:tc>
        <w:tc>
          <w:tcPr>
            <w:tcW w:w="1334" w:type="pct"/>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2.7</w:t>
            </w:r>
          </w:p>
        </w:tc>
        <w:tc>
          <w:tcPr>
            <w:tcW w:w="1333" w:type="pct"/>
          </w:tcPr>
          <w:p>
            <w:pPr>
              <w:widowControl/>
              <w:jc w:val="center"/>
              <w:rPr>
                <w:rFonts w:ascii="宋体" w:hAnsi="宋体" w:cs="宋体"/>
                <w:color w:val="000000"/>
                <w:kern w:val="0"/>
                <w:szCs w:val="21"/>
              </w:rPr>
            </w:pPr>
            <w:r>
              <w:rPr>
                <w:rFonts w:hint="eastAsia" w:ascii="宋体" w:hAnsi="宋体" w:cs="宋体"/>
                <w:color w:val="000000"/>
                <w:kern w:val="0"/>
                <w:szCs w:val="21"/>
              </w:rPr>
              <w:t>2</w:t>
            </w:r>
            <w:r>
              <w:rPr>
                <w:rFonts w:ascii="宋体" w:hAnsi="宋体" w:cs="宋体"/>
                <w:color w:val="000000"/>
                <w:kern w:val="0"/>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99"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装修状况</w:t>
            </w:r>
          </w:p>
        </w:tc>
        <w:tc>
          <w:tcPr>
            <w:tcW w:w="1334" w:type="pct"/>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精装</w:t>
            </w:r>
          </w:p>
        </w:tc>
        <w:tc>
          <w:tcPr>
            <w:tcW w:w="1334" w:type="pct"/>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精装</w:t>
            </w:r>
          </w:p>
        </w:tc>
        <w:tc>
          <w:tcPr>
            <w:tcW w:w="1333" w:type="pct"/>
          </w:tcPr>
          <w:p>
            <w:pPr>
              <w:widowControl/>
              <w:jc w:val="center"/>
              <w:rPr>
                <w:rFonts w:ascii="宋体" w:hAnsi="宋体" w:cs="宋体"/>
                <w:color w:val="000000"/>
                <w:kern w:val="0"/>
                <w:szCs w:val="21"/>
              </w:rPr>
            </w:pPr>
            <w:r>
              <w:rPr>
                <w:rFonts w:hint="eastAsia" w:ascii="宋体" w:hAnsi="宋体" w:cs="宋体"/>
                <w:color w:val="000000"/>
                <w:kern w:val="0"/>
                <w:szCs w:val="21"/>
              </w:rPr>
              <w:t>精装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99"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计容面积</w:t>
            </w:r>
          </w:p>
          <w:p>
            <w:pPr>
              <w:widowControl/>
              <w:jc w:val="center"/>
              <w:rPr>
                <w:rFonts w:ascii="宋体" w:hAnsi="宋体" w:cs="宋体"/>
                <w:color w:val="000000"/>
                <w:kern w:val="0"/>
                <w:szCs w:val="21"/>
              </w:rPr>
            </w:pPr>
            <w:r>
              <w:rPr>
                <w:rFonts w:hint="eastAsia" w:ascii="宋体" w:hAnsi="宋体" w:cs="宋体"/>
                <w:color w:val="000000"/>
                <w:kern w:val="0"/>
                <w:szCs w:val="21"/>
              </w:rPr>
              <w:t>（万方）</w:t>
            </w:r>
          </w:p>
        </w:tc>
        <w:tc>
          <w:tcPr>
            <w:tcW w:w="1334" w:type="pct"/>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r>
              <w:rPr>
                <w:rFonts w:ascii="宋体" w:hAnsi="宋体" w:cs="宋体"/>
                <w:color w:val="000000"/>
                <w:kern w:val="0"/>
                <w:szCs w:val="21"/>
              </w:rPr>
              <w:t>2.3</w:t>
            </w:r>
          </w:p>
        </w:tc>
        <w:tc>
          <w:tcPr>
            <w:tcW w:w="1334" w:type="pct"/>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7</w:t>
            </w:r>
            <w:r>
              <w:rPr>
                <w:rFonts w:ascii="宋体" w:hAnsi="宋体" w:cs="宋体"/>
                <w:color w:val="000000"/>
                <w:kern w:val="0"/>
                <w:szCs w:val="21"/>
              </w:rPr>
              <w:t>6.3</w:t>
            </w:r>
          </w:p>
        </w:tc>
        <w:tc>
          <w:tcPr>
            <w:tcW w:w="1333" w:type="pct"/>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99" w:type="pct"/>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总户数</w:t>
            </w:r>
          </w:p>
        </w:tc>
        <w:tc>
          <w:tcPr>
            <w:tcW w:w="1334" w:type="pct"/>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1040</w:t>
            </w:r>
          </w:p>
        </w:tc>
        <w:tc>
          <w:tcPr>
            <w:tcW w:w="1334" w:type="pct"/>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1446</w:t>
            </w:r>
          </w:p>
        </w:tc>
        <w:tc>
          <w:tcPr>
            <w:tcW w:w="1333" w:type="pct"/>
          </w:tcPr>
          <w:p>
            <w:pPr>
              <w:widowControl/>
              <w:jc w:val="center"/>
              <w:rPr>
                <w:rFonts w:ascii="宋体" w:hAnsi="宋体" w:cs="宋体"/>
                <w:color w:val="000000"/>
                <w:kern w:val="0"/>
                <w:szCs w:val="21"/>
              </w:rPr>
            </w:pPr>
            <w:r>
              <w:rPr>
                <w:rFonts w:hint="eastAsia" w:ascii="宋体" w:hAnsi="宋体" w:cs="宋体"/>
                <w:color w:val="000000"/>
                <w:kern w:val="0"/>
                <w:szCs w:val="21"/>
              </w:rPr>
              <w:t>1044</w:t>
            </w:r>
          </w:p>
        </w:tc>
      </w:tr>
    </w:tbl>
    <w:p>
      <w:pPr>
        <w:outlineLvl w:val="0"/>
        <w:rPr>
          <w:sz w:val="28"/>
          <w:szCs w:val="28"/>
        </w:rPr>
      </w:pPr>
      <w:r>
        <w:rPr>
          <w:rFonts w:hint="eastAsia"/>
          <w:b/>
          <w:bCs/>
          <w:sz w:val="28"/>
          <w:szCs w:val="28"/>
        </w:rPr>
        <w:t>四、入场流程</w:t>
      </w:r>
      <w:bookmarkEnd w:id="5"/>
    </w:p>
    <w:p>
      <w:pPr>
        <w:numPr>
          <w:ilvl w:val="0"/>
          <w:numId w:val="2"/>
        </w:numPr>
        <w:outlineLvl w:val="1"/>
        <w:rPr>
          <w:b/>
          <w:bCs/>
          <w:sz w:val="24"/>
        </w:rPr>
      </w:pPr>
      <w:bookmarkStart w:id="6" w:name="_Toc28352"/>
      <w:r>
        <w:rPr>
          <w:rFonts w:hint="eastAsia"/>
          <w:b/>
          <w:bCs/>
          <w:sz w:val="24"/>
        </w:rPr>
        <w:t>交接前流程沟通</w:t>
      </w:r>
      <w:bookmarkEnd w:id="6"/>
    </w:p>
    <w:p>
      <w:pPr>
        <w:numPr>
          <w:ilvl w:val="0"/>
          <w:numId w:val="3"/>
        </w:numPr>
        <w:spacing w:line="360" w:lineRule="auto"/>
        <w:ind w:firstLine="480" w:firstLineChars="200"/>
        <w:rPr>
          <w:rFonts w:cs="Arial" w:asciiTheme="minorEastAsia" w:hAnsiTheme="minorEastAsia"/>
          <w:sz w:val="24"/>
        </w:rPr>
      </w:pPr>
      <w:r>
        <w:rPr>
          <w:rFonts w:hint="eastAsia" w:cs="Arial" w:asciiTheme="minorEastAsia" w:hAnsiTheme="minorEastAsia"/>
          <w:sz w:val="24"/>
        </w:rPr>
        <w:t>2020年10月27日，在中航信托的主持下，我司、中航信托与融创方就现场监管事宜及入场流程进行微信电话会议，根据融创方提供的信息，SPV公司注册地在杭州市萧山区，项目公司注册地及基本户开户行在杭州市富阳区，三方约定先到杭州市萧山区办理SPV公司的工商变更及SPV公司的印鉴、账户核验，次日核验项目公司印鉴、账户后进行交接；保险柜放置于富阳区的项目公司办公地，驻场人员在项目公司办公。</w:t>
      </w:r>
    </w:p>
    <w:p>
      <w:pPr>
        <w:numPr>
          <w:ilvl w:val="0"/>
          <w:numId w:val="3"/>
        </w:numPr>
        <w:spacing w:line="360" w:lineRule="auto"/>
        <w:ind w:firstLine="480" w:firstLineChars="200"/>
        <w:rPr>
          <w:rFonts w:cs="Arial" w:asciiTheme="minorEastAsia" w:hAnsiTheme="minorEastAsia"/>
          <w:sz w:val="24"/>
        </w:rPr>
      </w:pPr>
      <w:r>
        <w:rPr>
          <w:rFonts w:hint="eastAsia" w:cs="Arial" w:asciiTheme="minorEastAsia" w:hAnsiTheme="minorEastAsia"/>
          <w:sz w:val="24"/>
        </w:rPr>
        <w:t>为加快流程，项目公司同意将驻场监管人员加入其系统审批流程，后因技术原因，未能实现。现场用印及用款流程为</w:t>
      </w:r>
      <w:r>
        <w:rPr>
          <w:rFonts w:hint="eastAsia" w:asciiTheme="minorEastAsia" w:hAnsiTheme="minorEastAsia"/>
          <w:sz w:val="24"/>
        </w:rPr>
        <w:t>项目公司相应申请人提前向驻场人员发送资料邮件，驻场人员对资料进行审核，待项目公司审核通过后，根据《监管协议》配合办理或提交信托审批后配合办理。</w:t>
      </w:r>
    </w:p>
    <w:p>
      <w:pPr>
        <w:spacing w:line="360" w:lineRule="auto"/>
        <w:ind w:firstLine="480" w:firstLineChars="200"/>
        <w:rPr>
          <w:rFonts w:cs="Arial" w:asciiTheme="minorEastAsia" w:hAnsiTheme="minorEastAsia"/>
          <w:sz w:val="24"/>
        </w:rPr>
      </w:pPr>
      <w:r>
        <w:rPr>
          <w:rFonts w:hint="eastAsia" w:cs="Arial" w:asciiTheme="minorEastAsia" w:hAnsiTheme="minorEastAsia"/>
          <w:sz w:val="24"/>
        </w:rPr>
        <w:t xml:space="preserve">  </w:t>
      </w:r>
    </w:p>
    <w:p>
      <w:pPr>
        <w:numPr>
          <w:ilvl w:val="0"/>
          <w:numId w:val="2"/>
        </w:numPr>
        <w:outlineLvl w:val="1"/>
        <w:rPr>
          <w:b/>
          <w:bCs/>
          <w:sz w:val="24"/>
        </w:rPr>
      </w:pPr>
      <w:bookmarkStart w:id="7" w:name="_Toc10195"/>
      <w:r>
        <w:rPr>
          <w:rFonts w:hint="eastAsia"/>
          <w:b/>
          <w:bCs/>
          <w:sz w:val="24"/>
        </w:rPr>
        <w:t>项目现场</w:t>
      </w:r>
      <w:bookmarkEnd w:id="7"/>
    </w:p>
    <w:p>
      <w:pPr>
        <w:spacing w:line="360" w:lineRule="auto"/>
        <w:ind w:firstLine="480" w:firstLineChars="200"/>
        <w:rPr>
          <w:rFonts w:cs="Arial" w:asciiTheme="minorEastAsia" w:hAnsiTheme="minorEastAsia"/>
          <w:sz w:val="24"/>
        </w:rPr>
      </w:pPr>
      <w:r>
        <w:rPr>
          <w:rFonts w:hint="eastAsia" w:cs="Arial" w:asciiTheme="minorEastAsia" w:hAnsiTheme="minorEastAsia"/>
          <w:sz w:val="24"/>
        </w:rPr>
        <w:t>2020年10月31日上午我司入场主管、驻场人员前往项目现场进行核查（期间并无项目公司人员陪同），项目现场地块正在进行试桩施工，展示区进行开挖地基，地块周边围挡全部设立（详见图8、图9）。</w:t>
      </w:r>
    </w:p>
    <w:p>
      <w:pPr>
        <w:rPr>
          <w:rFonts w:asciiTheme="minorEastAsia" w:hAnsiTheme="minorEastAsia"/>
          <w:sz w:val="24"/>
        </w:rPr>
      </w:pPr>
      <w:bookmarkStart w:id="12" w:name="_GoBack"/>
      <w:bookmarkEnd w:id="12"/>
      <w:r>
        <w:rPr>
          <w:rFonts w:asciiTheme="minorEastAsia" w:hAnsiTheme="minorEastAsia"/>
          <w:sz w:val="24"/>
        </w:rPr>
        <w:drawing>
          <wp:inline distT="0" distB="0" distL="0" distR="0">
            <wp:extent cx="4728210" cy="354647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735245" cy="3551719"/>
                    </a:xfrm>
                    <a:prstGeom prst="rect">
                      <a:avLst/>
                    </a:prstGeom>
                    <a:noFill/>
                    <a:ln>
                      <a:noFill/>
                    </a:ln>
                  </pic:spPr>
                </pic:pic>
              </a:graphicData>
            </a:graphic>
          </wp:inline>
        </w:drawing>
      </w:r>
    </w:p>
    <w:p>
      <w:pPr>
        <w:jc w:val="center"/>
        <w:rPr>
          <w:rFonts w:asciiTheme="minorEastAsia" w:hAnsiTheme="minorEastAsia"/>
          <w:szCs w:val="21"/>
        </w:rPr>
      </w:pPr>
      <w:r>
        <w:rPr>
          <w:rFonts w:hint="eastAsia"/>
          <w:szCs w:val="21"/>
        </w:rPr>
        <w:t>图8 地块</w:t>
      </w:r>
      <w:r>
        <w:rPr>
          <w:rFonts w:hint="eastAsia" w:asciiTheme="minorEastAsia" w:hAnsiTheme="minorEastAsia"/>
          <w:szCs w:val="21"/>
        </w:rPr>
        <w:t>试桩</w:t>
      </w:r>
    </w:p>
    <w:p>
      <w:pPr>
        <w:rPr>
          <w:rFonts w:asciiTheme="minorEastAsia" w:hAnsiTheme="minorEastAsia"/>
          <w:sz w:val="24"/>
        </w:rPr>
      </w:pPr>
      <w:r>
        <w:rPr>
          <w:rFonts w:hint="eastAsia" w:asciiTheme="minorEastAsia" w:hAnsiTheme="minorEastAsia"/>
          <w:sz w:val="24"/>
        </w:rPr>
        <w:t xml:space="preserve">  </w:t>
      </w:r>
    </w:p>
    <w:p>
      <w:pPr>
        <w:jc w:val="center"/>
        <w:rPr>
          <w:rFonts w:asciiTheme="minorEastAsia" w:hAnsiTheme="minorEastAsia"/>
          <w:szCs w:val="21"/>
        </w:rPr>
      </w:pPr>
      <w:r>
        <w:rPr>
          <w:szCs w:val="21"/>
        </w:rPr>
        <w:drawing>
          <wp:inline distT="0" distB="0" distL="0" distR="0">
            <wp:extent cx="4772025" cy="33591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87078" cy="3370148"/>
                    </a:xfrm>
                    <a:prstGeom prst="rect">
                      <a:avLst/>
                    </a:prstGeom>
                    <a:noFill/>
                    <a:ln>
                      <a:noFill/>
                    </a:ln>
                  </pic:spPr>
                </pic:pic>
              </a:graphicData>
            </a:graphic>
          </wp:inline>
        </w:drawing>
      </w:r>
      <w:r>
        <w:rPr>
          <w:rFonts w:hint="eastAsia"/>
          <w:szCs w:val="21"/>
        </w:rPr>
        <w:t xml:space="preserve"> </w:t>
      </w:r>
      <w:r>
        <w:rPr>
          <w:szCs w:val="21"/>
        </w:rPr>
        <w:t xml:space="preserve">      </w:t>
      </w:r>
      <w:r>
        <w:rPr>
          <w:rFonts w:hint="eastAsia"/>
          <w:szCs w:val="21"/>
        </w:rPr>
        <w:t>图9  展示区</w:t>
      </w:r>
      <w:r>
        <w:rPr>
          <w:rFonts w:hint="eastAsia" w:asciiTheme="minorEastAsia" w:hAnsiTheme="minorEastAsia"/>
          <w:szCs w:val="21"/>
        </w:rPr>
        <w:t>施工</w:t>
      </w:r>
    </w:p>
    <w:p>
      <w:pPr>
        <w:jc w:val="center"/>
        <w:rPr>
          <w:rFonts w:asciiTheme="minorEastAsia" w:hAnsiTheme="minorEastAsia"/>
          <w:szCs w:val="21"/>
        </w:rPr>
      </w:pPr>
    </w:p>
    <w:p>
      <w:pPr>
        <w:numPr>
          <w:ilvl w:val="0"/>
          <w:numId w:val="2"/>
        </w:numPr>
        <w:outlineLvl w:val="1"/>
        <w:rPr>
          <w:b/>
          <w:bCs/>
          <w:sz w:val="24"/>
        </w:rPr>
      </w:pPr>
      <w:bookmarkStart w:id="8" w:name="_Toc8898"/>
      <w:r>
        <w:rPr>
          <w:rFonts w:hint="eastAsia"/>
          <w:b/>
          <w:bCs/>
          <w:sz w:val="24"/>
        </w:rPr>
        <w:t>印鉴核验</w:t>
      </w:r>
      <w:bookmarkEnd w:id="8"/>
    </w:p>
    <w:p>
      <w:pPr>
        <w:spacing w:line="360" w:lineRule="auto"/>
        <w:ind w:firstLine="480" w:firstLineChars="200"/>
        <w:rPr>
          <w:rFonts w:cs="Arial" w:asciiTheme="minorEastAsia" w:hAnsiTheme="minorEastAsia"/>
          <w:sz w:val="24"/>
        </w:rPr>
      </w:pPr>
      <w:r>
        <w:rPr>
          <w:rFonts w:hint="eastAsia" w:cs="Arial" w:asciiTheme="minorEastAsia" w:hAnsiTheme="minorEastAsia"/>
          <w:sz w:val="24"/>
        </w:rPr>
        <w:t>（1）2020年10月29日中午我司入场主管、驻场人员与中航信托经理余靖江前往杭州萧山区行政服务中心核验</w:t>
      </w:r>
      <w:r>
        <w:rPr>
          <w:rFonts w:cs="Arial" w:asciiTheme="minorEastAsia" w:hAnsiTheme="minorEastAsia"/>
          <w:sz w:val="24"/>
        </w:rPr>
        <w:t>SPV</w:t>
      </w:r>
      <w:r>
        <w:rPr>
          <w:rFonts w:hint="eastAsia" w:cs="Arial" w:asciiTheme="minorEastAsia" w:hAnsiTheme="minorEastAsia"/>
          <w:sz w:val="24"/>
        </w:rPr>
        <w:t>印鉴。</w:t>
      </w:r>
      <w:r>
        <w:rPr>
          <w:rFonts w:cs="Arial" w:asciiTheme="minorEastAsia" w:hAnsiTheme="minorEastAsia"/>
          <w:sz w:val="24"/>
        </w:rPr>
        <w:t>SPV</w:t>
      </w:r>
      <w:r>
        <w:rPr>
          <w:rFonts w:hint="eastAsia" w:cs="Arial" w:asciiTheme="minorEastAsia" w:hAnsiTheme="minorEastAsia"/>
          <w:sz w:val="24"/>
        </w:rPr>
        <w:t>目前共有</w:t>
      </w:r>
      <w:r>
        <w:rPr>
          <w:rFonts w:cs="Arial" w:asciiTheme="minorEastAsia" w:hAnsiTheme="minorEastAsia"/>
          <w:sz w:val="24"/>
        </w:rPr>
        <w:t>2</w:t>
      </w:r>
      <w:r>
        <w:rPr>
          <w:rFonts w:hint="eastAsia" w:cs="Arial" w:asciiTheme="minorEastAsia" w:hAnsiTheme="minorEastAsia"/>
          <w:sz w:val="24"/>
        </w:rPr>
        <w:t>枚备案印鉴，分别为：公章、财务专用章。经现场工作人员核验备案编码均已备案；经浙江杭州印章网核验公章、财务专用章备案编码均已备案（详见图10）。</w:t>
      </w:r>
    </w:p>
    <w:p>
      <w:pPr>
        <w:jc w:val="center"/>
        <w:rPr>
          <w:szCs w:val="21"/>
        </w:rPr>
      </w:pPr>
      <w:r>
        <w:drawing>
          <wp:inline distT="0" distB="0" distL="0" distR="0">
            <wp:extent cx="4802505" cy="2964815"/>
            <wp:effectExtent l="0" t="0" r="0"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6"/>
                    <a:stretch>
                      <a:fillRect/>
                    </a:stretch>
                  </pic:blipFill>
                  <pic:spPr>
                    <a:xfrm>
                      <a:off x="0" y="0"/>
                      <a:ext cx="4882962" cy="3014483"/>
                    </a:xfrm>
                    <a:prstGeom prst="rect">
                      <a:avLst/>
                    </a:prstGeom>
                  </pic:spPr>
                </pic:pic>
              </a:graphicData>
            </a:graphic>
          </wp:inline>
        </w:drawing>
      </w:r>
      <w:r>
        <w:rPr>
          <w:rFonts w:hint="eastAsia"/>
          <w:szCs w:val="21"/>
        </w:rPr>
        <w:t xml:space="preserve"> </w:t>
      </w:r>
      <w:r>
        <w:rPr>
          <w:szCs w:val="21"/>
        </w:rPr>
        <w:t xml:space="preserve">       </w:t>
      </w:r>
      <w:r>
        <w:rPr>
          <w:rFonts w:hint="eastAsia"/>
          <w:szCs w:val="21"/>
        </w:rPr>
        <w:t>图10备案印鉴明细</w:t>
      </w:r>
    </w:p>
    <w:p>
      <w:pPr>
        <w:spacing w:line="360" w:lineRule="auto"/>
        <w:ind w:firstLine="480" w:firstLineChars="200"/>
        <w:rPr>
          <w:rFonts w:cs="Arial" w:asciiTheme="minorEastAsia" w:hAnsiTheme="minorEastAsia"/>
          <w:sz w:val="24"/>
        </w:rPr>
      </w:pPr>
      <w:r>
        <w:rPr>
          <w:rFonts w:hint="eastAsia" w:cs="Arial" w:asciiTheme="minorEastAsia" w:hAnsiTheme="minorEastAsia"/>
          <w:sz w:val="24"/>
        </w:rPr>
        <w:t>（2）2020年10月30日中午我司入场驻场人员前往杭州富阳区行政服务中心核验项目公司印鉴。项目公司目前共有4枚备案印鉴，分别为：公章、财务专用章、财务专用章（2）、发票专用章。经现场工作人员核验公章、财务专用章、发票专用章备案编码均已备案；经浙江杭州印章网核验公章、财务专用章、发票专用章备案编码均已备案（详见图11）；财务专用章（2）是由项目公司合作方掌握，无法查询。</w:t>
      </w:r>
    </w:p>
    <w:p>
      <w:pPr>
        <w:jc w:val="left"/>
        <w:rPr>
          <w:szCs w:val="21"/>
        </w:rPr>
      </w:pPr>
      <w:r>
        <w:rPr>
          <w:szCs w:val="21"/>
        </w:rPr>
        <w:drawing>
          <wp:inline distT="0" distB="0" distL="0" distR="0">
            <wp:extent cx="5274310" cy="4719955"/>
            <wp:effectExtent l="0" t="0" r="254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4310" cy="4719955"/>
                    </a:xfrm>
                    <a:prstGeom prst="rect">
                      <a:avLst/>
                    </a:prstGeom>
                    <a:noFill/>
                    <a:ln>
                      <a:noFill/>
                    </a:ln>
                  </pic:spPr>
                </pic:pic>
              </a:graphicData>
            </a:graphic>
          </wp:inline>
        </w:drawing>
      </w:r>
    </w:p>
    <w:p>
      <w:pPr>
        <w:jc w:val="center"/>
        <w:rPr>
          <w:szCs w:val="21"/>
        </w:rPr>
      </w:pPr>
      <w:r>
        <w:rPr>
          <w:rFonts w:hint="eastAsia"/>
          <w:szCs w:val="21"/>
        </w:rPr>
        <w:t>图11备案印鉴明细</w:t>
      </w:r>
    </w:p>
    <w:p>
      <w:pPr>
        <w:numPr>
          <w:ilvl w:val="0"/>
          <w:numId w:val="2"/>
        </w:numPr>
        <w:spacing w:line="360" w:lineRule="auto"/>
        <w:outlineLvl w:val="1"/>
        <w:rPr>
          <w:b/>
          <w:bCs/>
          <w:sz w:val="24"/>
        </w:rPr>
      </w:pPr>
      <w:bookmarkStart w:id="9" w:name="_Toc3054"/>
      <w:r>
        <w:rPr>
          <w:rFonts w:hint="eastAsia"/>
          <w:b/>
          <w:bCs/>
          <w:sz w:val="24"/>
        </w:rPr>
        <w:t>银行账户信息查询</w:t>
      </w:r>
      <w:bookmarkEnd w:id="9"/>
    </w:p>
    <w:p>
      <w:pPr>
        <w:spacing w:line="360" w:lineRule="auto"/>
        <w:ind w:firstLine="480" w:firstLineChars="200"/>
        <w:rPr>
          <w:rFonts w:cs="Arial" w:asciiTheme="minorEastAsia" w:hAnsiTheme="minorEastAsia"/>
          <w:sz w:val="24"/>
        </w:rPr>
      </w:pPr>
      <w:r>
        <w:rPr>
          <w:rFonts w:hint="eastAsia" w:cs="Arial" w:asciiTheme="minorEastAsia" w:hAnsiTheme="minorEastAsia"/>
          <w:sz w:val="24"/>
        </w:rPr>
        <w:t>2020年10月29日上午我司入场主管、驻场人员与中航信托经理余靖江、项目公司财务孙佳蓉前往S</w:t>
      </w:r>
      <w:r>
        <w:rPr>
          <w:rFonts w:cs="Arial" w:asciiTheme="minorEastAsia" w:hAnsiTheme="minorEastAsia"/>
          <w:sz w:val="24"/>
        </w:rPr>
        <w:t>PV</w:t>
      </w:r>
      <w:r>
        <w:rPr>
          <w:rFonts w:hint="eastAsia" w:cs="Arial" w:asciiTheme="minorEastAsia" w:hAnsiTheme="minorEastAsia"/>
          <w:sz w:val="24"/>
        </w:rPr>
        <w:t>基本户银行核验预留印鉴及开户情况,打印已开立银行结算清单。</w:t>
      </w:r>
    </w:p>
    <w:p>
      <w:pPr>
        <w:spacing w:line="360" w:lineRule="auto"/>
        <w:ind w:firstLine="480" w:firstLineChars="200"/>
        <w:rPr>
          <w:rFonts w:cs="Arial" w:asciiTheme="minorEastAsia" w:hAnsiTheme="minorEastAsia"/>
          <w:sz w:val="24"/>
        </w:rPr>
      </w:pPr>
      <w:r>
        <w:rPr>
          <w:rFonts w:hint="eastAsia" w:cs="Arial" w:asciiTheme="minorEastAsia" w:hAnsiTheme="minorEastAsia"/>
          <w:sz w:val="24"/>
        </w:rPr>
        <w:t>（1）经核实S</w:t>
      </w:r>
      <w:r>
        <w:rPr>
          <w:rFonts w:cs="Arial" w:asciiTheme="minorEastAsia" w:hAnsiTheme="minorEastAsia"/>
          <w:sz w:val="24"/>
        </w:rPr>
        <w:t>PV</w:t>
      </w:r>
      <w:r>
        <w:rPr>
          <w:rFonts w:hint="eastAsia" w:cs="Arial" w:asciiTheme="minorEastAsia" w:hAnsiTheme="minorEastAsia"/>
          <w:sz w:val="24"/>
        </w:rPr>
        <w:t>银行预留印鉴为公章、财务专用章、法人章，且与备案系统一致；</w:t>
      </w:r>
    </w:p>
    <w:p>
      <w:pPr>
        <w:spacing w:line="360" w:lineRule="auto"/>
        <w:ind w:firstLine="480" w:firstLineChars="200"/>
        <w:rPr>
          <w:rFonts w:cs="Arial" w:asciiTheme="minorEastAsia" w:hAnsiTheme="minorEastAsia"/>
          <w:sz w:val="24"/>
        </w:rPr>
      </w:pPr>
      <w:r>
        <w:rPr>
          <w:rFonts w:hint="eastAsia" w:cs="Arial" w:asciiTheme="minorEastAsia" w:hAnsiTheme="minorEastAsia"/>
          <w:sz w:val="24"/>
        </w:rPr>
        <w:t>（2）</w:t>
      </w:r>
      <w:r>
        <w:rPr>
          <w:rFonts w:cs="Arial" w:asciiTheme="minorEastAsia" w:hAnsiTheme="minorEastAsia"/>
          <w:sz w:val="24"/>
        </w:rPr>
        <w:t>SPV</w:t>
      </w:r>
      <w:r>
        <w:rPr>
          <w:rFonts w:hint="eastAsia" w:cs="Arial" w:asciiTheme="minorEastAsia" w:hAnsiTheme="minorEastAsia"/>
          <w:sz w:val="24"/>
        </w:rPr>
        <w:t>仅开设一个基本存款账户（开户行：招商银行股份有限公司杭州高新支行），账号为：571914442510601，账户余额为4</w:t>
      </w:r>
      <w:r>
        <w:rPr>
          <w:rFonts w:cs="Arial" w:asciiTheme="minorEastAsia" w:hAnsiTheme="minorEastAsia"/>
          <w:sz w:val="24"/>
        </w:rPr>
        <w:t>,</w:t>
      </w:r>
      <w:r>
        <w:rPr>
          <w:rFonts w:hint="eastAsia" w:cs="Arial" w:asciiTheme="minorEastAsia" w:hAnsiTheme="minorEastAsia"/>
          <w:sz w:val="24"/>
        </w:rPr>
        <w:t>166.71元。</w:t>
      </w:r>
      <w:r>
        <w:rPr>
          <w:rFonts w:cs="Arial" w:asciiTheme="minorEastAsia" w:hAnsiTheme="minorEastAsia"/>
          <w:sz w:val="24"/>
        </w:rPr>
        <w:tab/>
      </w:r>
    </w:p>
    <w:p>
      <w:pPr>
        <w:spacing w:line="360" w:lineRule="auto"/>
        <w:ind w:firstLine="480" w:firstLineChars="200"/>
        <w:jc w:val="left"/>
        <w:rPr>
          <w:rFonts w:cs="Arial" w:asciiTheme="minorEastAsia" w:hAnsiTheme="minorEastAsia"/>
          <w:sz w:val="24"/>
        </w:rPr>
      </w:pPr>
      <w:r>
        <w:rPr>
          <w:rFonts w:hint="eastAsia" w:cs="Arial" w:asciiTheme="minorEastAsia" w:hAnsiTheme="minorEastAsia"/>
          <w:sz w:val="24"/>
        </w:rPr>
        <w:t>（3）核实共领取2个U盾均为管理盾，经查询“管理盾”有在网上银行更改“操作盾”权限的功能，按照协议约定应共管“最高权限的U盾”。经与S</w:t>
      </w:r>
      <w:r>
        <w:rPr>
          <w:rFonts w:cs="Arial" w:asciiTheme="minorEastAsia" w:hAnsiTheme="minorEastAsia"/>
          <w:sz w:val="24"/>
        </w:rPr>
        <w:t>PV</w:t>
      </w:r>
      <w:r>
        <w:rPr>
          <w:rFonts w:hint="eastAsia" w:cs="Arial" w:asciiTheme="minorEastAsia" w:hAnsiTheme="minorEastAsia"/>
          <w:sz w:val="24"/>
        </w:rPr>
        <w:t>协商，S</w:t>
      </w:r>
      <w:r>
        <w:rPr>
          <w:rFonts w:cs="Arial" w:asciiTheme="minorEastAsia" w:hAnsiTheme="minorEastAsia"/>
          <w:sz w:val="24"/>
        </w:rPr>
        <w:t>PV</w:t>
      </w:r>
      <w:r>
        <w:rPr>
          <w:rFonts w:hint="eastAsia" w:cs="Arial" w:asciiTheme="minorEastAsia" w:hAnsiTheme="minorEastAsia"/>
          <w:sz w:val="24"/>
        </w:rPr>
        <w:t>同意将基本户2个“管理盾”交接共管。</w:t>
      </w:r>
    </w:p>
    <w:p>
      <w:pPr>
        <w:numPr>
          <w:ilvl w:val="255"/>
          <w:numId w:val="0"/>
        </w:numPr>
        <w:spacing w:line="360" w:lineRule="auto"/>
        <w:ind w:firstLine="480" w:firstLineChars="200"/>
        <w:rPr>
          <w:rFonts w:cs="Arial" w:asciiTheme="minorEastAsia" w:hAnsiTheme="minorEastAsia"/>
          <w:sz w:val="24"/>
        </w:rPr>
      </w:pPr>
      <w:r>
        <w:rPr>
          <w:rFonts w:hint="eastAsia" w:cs="Arial" w:asciiTheme="minorEastAsia" w:hAnsiTheme="minorEastAsia"/>
          <w:sz w:val="24"/>
        </w:rPr>
        <w:t>（4）该账户未领用过支票及其他支付凭证，未开通票据池、资金池及其他信用支付业务。</w:t>
      </w:r>
    </w:p>
    <w:p>
      <w:pPr>
        <w:numPr>
          <w:ilvl w:val="255"/>
          <w:numId w:val="0"/>
        </w:numPr>
        <w:spacing w:line="360" w:lineRule="auto"/>
        <w:ind w:firstLine="480" w:firstLineChars="200"/>
        <w:rPr>
          <w:rFonts w:cs="Arial" w:asciiTheme="minorEastAsia" w:hAnsiTheme="minorEastAsia"/>
          <w:sz w:val="24"/>
        </w:rPr>
      </w:pPr>
      <w:r>
        <w:rPr>
          <w:rFonts w:hint="eastAsia" w:cs="Arial" w:asciiTheme="minorEastAsia" w:hAnsiTheme="minorEastAsia"/>
          <w:sz w:val="24"/>
        </w:rPr>
        <w:t>（5）融创集团向银行提交了对该账户的银企直联申请手续，但SPV公司对其的授权未提交，银企直联业务未开通。</w:t>
      </w:r>
    </w:p>
    <w:p>
      <w:pPr>
        <w:spacing w:line="360" w:lineRule="auto"/>
        <w:ind w:firstLine="480" w:firstLineChars="200"/>
        <w:jc w:val="left"/>
        <w:rPr>
          <w:rFonts w:cs="Arial" w:asciiTheme="minorEastAsia" w:hAnsiTheme="minorEastAsia"/>
          <w:sz w:val="24"/>
        </w:rPr>
      </w:pPr>
      <w:r>
        <w:rPr>
          <w:rFonts w:hint="eastAsia" w:cs="Arial" w:asciiTheme="minorEastAsia" w:hAnsiTheme="minorEastAsia"/>
          <w:sz w:val="24"/>
        </w:rPr>
        <w:t>2020年10月30日下午我司入场主管、驻场人员与中航信托经理余靖江、项目公司财务孙佳蓉前往项目公司基本户银行核验预留印鉴及开户情况，打印已开立银行结算清单。</w:t>
      </w:r>
    </w:p>
    <w:p>
      <w:pPr>
        <w:spacing w:line="360" w:lineRule="auto"/>
        <w:ind w:firstLine="480" w:firstLineChars="200"/>
        <w:rPr>
          <w:rFonts w:cs="Arial" w:asciiTheme="minorEastAsia" w:hAnsiTheme="minorEastAsia"/>
          <w:sz w:val="24"/>
        </w:rPr>
      </w:pPr>
      <w:r>
        <w:rPr>
          <w:rFonts w:hint="eastAsia" w:cs="Arial" w:asciiTheme="minorEastAsia" w:hAnsiTheme="minorEastAsia"/>
          <w:sz w:val="24"/>
        </w:rPr>
        <w:t>（1）经核实项目公司银行预留印鉴为公章、财务专用章、法人章，且与备案系统一致；</w:t>
      </w:r>
    </w:p>
    <w:p>
      <w:pPr>
        <w:spacing w:line="360" w:lineRule="auto"/>
        <w:ind w:firstLine="480" w:firstLineChars="200"/>
        <w:rPr>
          <w:rFonts w:cs="Arial" w:asciiTheme="minorEastAsia" w:hAnsiTheme="minorEastAsia"/>
          <w:sz w:val="24"/>
        </w:rPr>
      </w:pPr>
      <w:r>
        <w:rPr>
          <w:rFonts w:hint="eastAsia" w:cs="Arial" w:asciiTheme="minorEastAsia" w:hAnsiTheme="minorEastAsia"/>
          <w:sz w:val="24"/>
        </w:rPr>
        <w:t>（2）项目公司开设三个存款账户（详见下表），北京银行账户为项目公司合作方开立，无法查询。</w:t>
      </w:r>
    </w:p>
    <w:tbl>
      <w:tblPr>
        <w:tblStyle w:val="7"/>
        <w:tblW w:w="9604" w:type="dxa"/>
        <w:jc w:val="center"/>
        <w:tblLayout w:type="fixed"/>
        <w:tblCellMar>
          <w:top w:w="0" w:type="dxa"/>
          <w:left w:w="108" w:type="dxa"/>
          <w:bottom w:w="0" w:type="dxa"/>
          <w:right w:w="108" w:type="dxa"/>
        </w:tblCellMar>
      </w:tblPr>
      <w:tblGrid>
        <w:gridCol w:w="993"/>
        <w:gridCol w:w="1276"/>
        <w:gridCol w:w="614"/>
        <w:gridCol w:w="1425"/>
        <w:gridCol w:w="630"/>
        <w:gridCol w:w="1125"/>
        <w:gridCol w:w="930"/>
        <w:gridCol w:w="810"/>
        <w:gridCol w:w="645"/>
        <w:gridCol w:w="1156"/>
      </w:tblGrid>
      <w:tr>
        <w:tblPrEx>
          <w:tblCellMar>
            <w:top w:w="0" w:type="dxa"/>
            <w:left w:w="108" w:type="dxa"/>
            <w:bottom w:w="0" w:type="dxa"/>
            <w:right w:w="108" w:type="dxa"/>
          </w:tblCellMar>
        </w:tblPrEx>
        <w:trPr>
          <w:trHeight w:val="480" w:hRule="atLeast"/>
          <w:jc w:val="center"/>
        </w:trPr>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b/>
                <w:bCs/>
                <w:color w:val="000000"/>
                <w:kern w:val="0"/>
                <w:sz w:val="18"/>
                <w:szCs w:val="18"/>
              </w:rPr>
            </w:pPr>
            <w:r>
              <w:rPr>
                <w:rFonts w:hint="eastAsia" w:ascii="Arial" w:hAnsi="Arial" w:eastAsia="宋体" w:cs="Arial"/>
                <w:b/>
                <w:bCs/>
                <w:color w:val="000000"/>
                <w:kern w:val="0"/>
                <w:sz w:val="18"/>
                <w:szCs w:val="18"/>
              </w:rPr>
              <w:t>开户行</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eastAsia="宋体" w:cs="Arial"/>
                <w:b/>
                <w:bCs/>
                <w:color w:val="000000"/>
                <w:kern w:val="0"/>
                <w:sz w:val="18"/>
                <w:szCs w:val="18"/>
              </w:rPr>
            </w:pPr>
            <w:r>
              <w:rPr>
                <w:rFonts w:hint="eastAsia" w:ascii="Arial" w:hAnsi="Arial" w:eastAsia="宋体" w:cs="Arial"/>
                <w:b/>
                <w:bCs/>
                <w:color w:val="000000"/>
                <w:kern w:val="0"/>
                <w:sz w:val="18"/>
                <w:szCs w:val="18"/>
              </w:rPr>
              <w:t>账号</w:t>
            </w:r>
          </w:p>
        </w:tc>
        <w:tc>
          <w:tcPr>
            <w:tcW w:w="61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eastAsia="宋体" w:cs="Arial"/>
                <w:b/>
                <w:bCs/>
                <w:color w:val="000000"/>
                <w:kern w:val="0"/>
                <w:sz w:val="18"/>
                <w:szCs w:val="18"/>
              </w:rPr>
            </w:pPr>
            <w:r>
              <w:rPr>
                <w:rFonts w:hint="eastAsia" w:ascii="Arial" w:hAnsi="Arial" w:eastAsia="宋体" w:cs="Arial"/>
                <w:b/>
                <w:bCs/>
                <w:color w:val="000000"/>
                <w:kern w:val="0"/>
                <w:sz w:val="18"/>
                <w:szCs w:val="18"/>
              </w:rPr>
              <w:t>账户性质</w:t>
            </w:r>
          </w:p>
        </w:tc>
        <w:tc>
          <w:tcPr>
            <w:tcW w:w="14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eastAsia="宋体" w:cs="Arial"/>
                <w:b/>
                <w:bCs/>
                <w:color w:val="000000"/>
                <w:kern w:val="0"/>
                <w:sz w:val="18"/>
                <w:szCs w:val="18"/>
              </w:rPr>
            </w:pPr>
            <w:r>
              <w:rPr>
                <w:rFonts w:hint="eastAsia" w:ascii="Arial" w:hAnsi="Arial" w:eastAsia="宋体" w:cs="Arial"/>
                <w:b/>
                <w:bCs/>
                <w:color w:val="000000"/>
                <w:kern w:val="0"/>
                <w:sz w:val="18"/>
                <w:szCs w:val="18"/>
              </w:rPr>
              <w:t>U盾编号</w:t>
            </w:r>
          </w:p>
        </w:tc>
        <w:tc>
          <w:tcPr>
            <w:tcW w:w="63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eastAsia="宋体" w:cs="Arial"/>
                <w:b/>
                <w:bCs/>
                <w:color w:val="000000"/>
                <w:kern w:val="0"/>
                <w:sz w:val="18"/>
                <w:szCs w:val="18"/>
              </w:rPr>
            </w:pPr>
            <w:r>
              <w:rPr>
                <w:rFonts w:hint="eastAsia" w:ascii="Arial" w:hAnsi="Arial" w:eastAsia="宋体" w:cs="Arial"/>
                <w:b/>
                <w:bCs/>
                <w:color w:val="000000"/>
                <w:kern w:val="0"/>
                <w:sz w:val="18"/>
                <w:szCs w:val="18"/>
              </w:rPr>
              <w:t>U盾权限</w:t>
            </w:r>
          </w:p>
        </w:tc>
        <w:tc>
          <w:tcPr>
            <w:tcW w:w="11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eastAsia="宋体" w:cs="Arial"/>
                <w:b/>
                <w:bCs/>
                <w:color w:val="000000"/>
                <w:kern w:val="0"/>
                <w:sz w:val="18"/>
                <w:szCs w:val="18"/>
              </w:rPr>
            </w:pPr>
            <w:r>
              <w:rPr>
                <w:rFonts w:hint="eastAsia" w:ascii="Arial" w:hAnsi="Arial" w:eastAsia="宋体" w:cs="Arial"/>
                <w:b/>
                <w:bCs/>
                <w:color w:val="000000"/>
                <w:kern w:val="0"/>
                <w:sz w:val="18"/>
                <w:szCs w:val="18"/>
              </w:rPr>
              <w:t>转账支票及汇票</w:t>
            </w:r>
          </w:p>
        </w:tc>
        <w:tc>
          <w:tcPr>
            <w:tcW w:w="93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eastAsia="宋体" w:cs="Arial"/>
                <w:b/>
                <w:bCs/>
                <w:color w:val="000000"/>
                <w:kern w:val="0"/>
                <w:sz w:val="18"/>
                <w:szCs w:val="18"/>
              </w:rPr>
            </w:pPr>
            <w:r>
              <w:rPr>
                <w:rFonts w:hint="eastAsia" w:ascii="Arial" w:hAnsi="Arial" w:eastAsia="宋体" w:cs="Arial"/>
                <w:b/>
                <w:bCs/>
                <w:color w:val="000000"/>
                <w:kern w:val="0"/>
                <w:sz w:val="18"/>
                <w:szCs w:val="18"/>
              </w:rPr>
              <w:t>密码器</w:t>
            </w:r>
          </w:p>
        </w:tc>
        <w:tc>
          <w:tcPr>
            <w:tcW w:w="81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eastAsia="宋体" w:cs="Arial"/>
                <w:b/>
                <w:bCs/>
                <w:color w:val="000000"/>
                <w:kern w:val="0"/>
                <w:sz w:val="18"/>
                <w:szCs w:val="18"/>
              </w:rPr>
            </w:pPr>
            <w:r>
              <w:rPr>
                <w:rFonts w:hint="eastAsia" w:ascii="Arial" w:hAnsi="Arial" w:eastAsia="宋体" w:cs="Arial"/>
                <w:b/>
                <w:bCs/>
                <w:color w:val="000000"/>
                <w:kern w:val="0"/>
                <w:sz w:val="18"/>
                <w:szCs w:val="18"/>
              </w:rPr>
              <w:t>单位结算卡</w:t>
            </w:r>
          </w:p>
        </w:tc>
        <w:tc>
          <w:tcPr>
            <w:tcW w:w="64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eastAsia="宋体" w:cs="Arial"/>
                <w:b/>
                <w:bCs/>
                <w:color w:val="000000"/>
                <w:kern w:val="0"/>
                <w:sz w:val="18"/>
                <w:szCs w:val="18"/>
              </w:rPr>
            </w:pPr>
            <w:r>
              <w:rPr>
                <w:rFonts w:hint="eastAsia" w:ascii="Arial" w:hAnsi="Arial" w:eastAsia="宋体" w:cs="Arial"/>
                <w:b/>
                <w:bCs/>
                <w:color w:val="000000"/>
                <w:kern w:val="0"/>
                <w:sz w:val="18"/>
                <w:szCs w:val="18"/>
              </w:rPr>
              <w:t>银企直连</w:t>
            </w:r>
          </w:p>
        </w:tc>
        <w:tc>
          <w:tcPr>
            <w:tcW w:w="115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eastAsia="宋体" w:cs="Arial"/>
                <w:b/>
                <w:bCs/>
                <w:color w:val="000000"/>
                <w:kern w:val="0"/>
                <w:sz w:val="18"/>
                <w:szCs w:val="18"/>
              </w:rPr>
            </w:pPr>
            <w:r>
              <w:rPr>
                <w:rFonts w:hint="eastAsia" w:ascii="Arial" w:hAnsi="Arial" w:eastAsia="宋体" w:cs="Arial"/>
                <w:b/>
                <w:bCs/>
                <w:color w:val="000000"/>
                <w:kern w:val="0"/>
                <w:sz w:val="18"/>
                <w:szCs w:val="18"/>
              </w:rPr>
              <w:t>账户余额（元）</w:t>
            </w:r>
          </w:p>
        </w:tc>
      </w:tr>
      <w:tr>
        <w:tblPrEx>
          <w:tblCellMar>
            <w:top w:w="0" w:type="dxa"/>
            <w:left w:w="108" w:type="dxa"/>
            <w:bottom w:w="0" w:type="dxa"/>
            <w:right w:w="108" w:type="dxa"/>
          </w:tblCellMar>
        </w:tblPrEx>
        <w:trPr>
          <w:trHeight w:val="563" w:hRule="atLeast"/>
          <w:jc w:val="center"/>
        </w:trPr>
        <w:tc>
          <w:tcPr>
            <w:tcW w:w="993"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中国工商银行杭州富阳支行</w:t>
            </w:r>
          </w:p>
        </w:tc>
        <w:tc>
          <w:tcPr>
            <w:tcW w:w="127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1202087109800061046</w:t>
            </w:r>
          </w:p>
        </w:tc>
        <w:tc>
          <w:tcPr>
            <w:tcW w:w="61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基本存款账户</w:t>
            </w:r>
          </w:p>
        </w:tc>
        <w:tc>
          <w:tcPr>
            <w:tcW w:w="142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5920614608</w:t>
            </w:r>
          </w:p>
        </w:tc>
        <w:tc>
          <w:tcPr>
            <w:tcW w:w="63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制单</w:t>
            </w:r>
          </w:p>
        </w:tc>
        <w:tc>
          <w:tcPr>
            <w:tcW w:w="112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转账支票24张     编号</w:t>
            </w:r>
            <w:bookmarkStart w:id="10" w:name="_Hlk55391414"/>
            <w:r>
              <w:rPr>
                <w:rFonts w:ascii="Arial" w:hAnsi="Arial" w:eastAsia="宋体" w:cs="Arial"/>
                <w:color w:val="000000"/>
                <w:kern w:val="0"/>
                <w:sz w:val="18"/>
                <w:szCs w:val="18"/>
              </w:rPr>
              <w:t>16525176-16525200</w:t>
            </w:r>
            <w:bookmarkEnd w:id="10"/>
          </w:p>
        </w:tc>
        <w:tc>
          <w:tcPr>
            <w:tcW w:w="93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1个编号1908636205</w:t>
            </w:r>
          </w:p>
        </w:tc>
        <w:tc>
          <w:tcPr>
            <w:tcW w:w="81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回单</w:t>
            </w:r>
          </w:p>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权限</w:t>
            </w:r>
          </w:p>
        </w:tc>
        <w:tc>
          <w:tcPr>
            <w:tcW w:w="64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无</w:t>
            </w:r>
          </w:p>
        </w:tc>
        <w:tc>
          <w:tcPr>
            <w:tcW w:w="115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690,094.00</w:t>
            </w:r>
          </w:p>
        </w:tc>
      </w:tr>
      <w:tr>
        <w:tblPrEx>
          <w:tblCellMar>
            <w:top w:w="0" w:type="dxa"/>
            <w:left w:w="108" w:type="dxa"/>
            <w:bottom w:w="0" w:type="dxa"/>
            <w:right w:w="108" w:type="dxa"/>
          </w:tblCellMar>
        </w:tblPrEx>
        <w:trPr>
          <w:trHeight w:val="543" w:hRule="atLeast"/>
          <w:jc w:val="center"/>
        </w:trPr>
        <w:tc>
          <w:tcPr>
            <w:tcW w:w="993"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c>
          <w:tcPr>
            <w:tcW w:w="1276"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c>
          <w:tcPr>
            <w:tcW w:w="614"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c>
          <w:tcPr>
            <w:tcW w:w="142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5920614616</w:t>
            </w:r>
          </w:p>
        </w:tc>
        <w:tc>
          <w:tcPr>
            <w:tcW w:w="63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复核</w:t>
            </w:r>
          </w:p>
        </w:tc>
        <w:tc>
          <w:tcPr>
            <w:tcW w:w="1125"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c>
          <w:tcPr>
            <w:tcW w:w="930"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c>
          <w:tcPr>
            <w:tcW w:w="810"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c>
          <w:tcPr>
            <w:tcW w:w="645"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c>
          <w:tcPr>
            <w:tcW w:w="1156"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r>
      <w:tr>
        <w:tblPrEx>
          <w:tblCellMar>
            <w:top w:w="0" w:type="dxa"/>
            <w:left w:w="108" w:type="dxa"/>
            <w:bottom w:w="0" w:type="dxa"/>
            <w:right w:w="108" w:type="dxa"/>
          </w:tblCellMar>
        </w:tblPrEx>
        <w:trPr>
          <w:trHeight w:val="565" w:hRule="atLeast"/>
          <w:jc w:val="center"/>
        </w:trPr>
        <w:tc>
          <w:tcPr>
            <w:tcW w:w="993"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c>
          <w:tcPr>
            <w:tcW w:w="1276"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c>
          <w:tcPr>
            <w:tcW w:w="614"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c>
          <w:tcPr>
            <w:tcW w:w="142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5920653507</w:t>
            </w:r>
          </w:p>
        </w:tc>
        <w:tc>
          <w:tcPr>
            <w:tcW w:w="63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查询</w:t>
            </w:r>
          </w:p>
        </w:tc>
        <w:tc>
          <w:tcPr>
            <w:tcW w:w="1125"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c>
          <w:tcPr>
            <w:tcW w:w="930"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c>
          <w:tcPr>
            <w:tcW w:w="810"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c>
          <w:tcPr>
            <w:tcW w:w="645"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c>
          <w:tcPr>
            <w:tcW w:w="1156"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r>
      <w:tr>
        <w:tblPrEx>
          <w:tblCellMar>
            <w:top w:w="0" w:type="dxa"/>
            <w:left w:w="108" w:type="dxa"/>
            <w:bottom w:w="0" w:type="dxa"/>
            <w:right w:w="108" w:type="dxa"/>
          </w:tblCellMar>
        </w:tblPrEx>
        <w:trPr>
          <w:trHeight w:val="542" w:hRule="atLeast"/>
          <w:jc w:val="center"/>
        </w:trPr>
        <w:tc>
          <w:tcPr>
            <w:tcW w:w="993"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杭州银行富阳支行</w:t>
            </w:r>
          </w:p>
        </w:tc>
        <w:tc>
          <w:tcPr>
            <w:tcW w:w="127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3301040160016598099</w:t>
            </w:r>
          </w:p>
        </w:tc>
        <w:tc>
          <w:tcPr>
            <w:tcW w:w="61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一般存款账户</w:t>
            </w:r>
          </w:p>
        </w:tc>
        <w:tc>
          <w:tcPr>
            <w:tcW w:w="142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149001115304</w:t>
            </w:r>
          </w:p>
        </w:tc>
        <w:tc>
          <w:tcPr>
            <w:tcW w:w="63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复核</w:t>
            </w:r>
          </w:p>
        </w:tc>
        <w:tc>
          <w:tcPr>
            <w:tcW w:w="112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无</w:t>
            </w:r>
          </w:p>
        </w:tc>
        <w:tc>
          <w:tcPr>
            <w:tcW w:w="93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无</w:t>
            </w:r>
          </w:p>
        </w:tc>
        <w:tc>
          <w:tcPr>
            <w:tcW w:w="81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回单</w:t>
            </w:r>
          </w:p>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权限</w:t>
            </w:r>
          </w:p>
        </w:tc>
        <w:tc>
          <w:tcPr>
            <w:tcW w:w="64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无</w:t>
            </w:r>
          </w:p>
        </w:tc>
        <w:tc>
          <w:tcPr>
            <w:tcW w:w="115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0.00</w:t>
            </w:r>
          </w:p>
        </w:tc>
      </w:tr>
      <w:tr>
        <w:tblPrEx>
          <w:tblCellMar>
            <w:top w:w="0" w:type="dxa"/>
            <w:left w:w="108" w:type="dxa"/>
            <w:bottom w:w="0" w:type="dxa"/>
            <w:right w:w="108" w:type="dxa"/>
          </w:tblCellMar>
        </w:tblPrEx>
        <w:trPr>
          <w:trHeight w:val="567" w:hRule="atLeast"/>
          <w:jc w:val="center"/>
        </w:trPr>
        <w:tc>
          <w:tcPr>
            <w:tcW w:w="993"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c>
          <w:tcPr>
            <w:tcW w:w="1276"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c>
          <w:tcPr>
            <w:tcW w:w="614"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c>
          <w:tcPr>
            <w:tcW w:w="142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149001115317</w:t>
            </w:r>
          </w:p>
        </w:tc>
        <w:tc>
          <w:tcPr>
            <w:tcW w:w="63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制单</w:t>
            </w:r>
          </w:p>
        </w:tc>
        <w:tc>
          <w:tcPr>
            <w:tcW w:w="1125"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c>
          <w:tcPr>
            <w:tcW w:w="930"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c>
          <w:tcPr>
            <w:tcW w:w="810"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c>
          <w:tcPr>
            <w:tcW w:w="645"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c>
          <w:tcPr>
            <w:tcW w:w="1156"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r>
      <w:tr>
        <w:tblPrEx>
          <w:tblCellMar>
            <w:top w:w="0" w:type="dxa"/>
            <w:left w:w="108" w:type="dxa"/>
            <w:bottom w:w="0" w:type="dxa"/>
            <w:right w:w="108" w:type="dxa"/>
          </w:tblCellMar>
        </w:tblPrEx>
        <w:trPr>
          <w:trHeight w:val="558" w:hRule="atLeast"/>
          <w:jc w:val="center"/>
        </w:trPr>
        <w:tc>
          <w:tcPr>
            <w:tcW w:w="993"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c>
          <w:tcPr>
            <w:tcW w:w="1276"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c>
          <w:tcPr>
            <w:tcW w:w="614"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c>
          <w:tcPr>
            <w:tcW w:w="142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149001115323</w:t>
            </w:r>
          </w:p>
        </w:tc>
        <w:tc>
          <w:tcPr>
            <w:tcW w:w="63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制单</w:t>
            </w:r>
          </w:p>
        </w:tc>
        <w:tc>
          <w:tcPr>
            <w:tcW w:w="1125"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c>
          <w:tcPr>
            <w:tcW w:w="930"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c>
          <w:tcPr>
            <w:tcW w:w="810"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c>
          <w:tcPr>
            <w:tcW w:w="645"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c>
          <w:tcPr>
            <w:tcW w:w="1156" w:type="dxa"/>
            <w:vMerge w:val="continue"/>
            <w:tcBorders>
              <w:top w:val="nil"/>
              <w:left w:val="single" w:color="auto" w:sz="4" w:space="0"/>
              <w:bottom w:val="single" w:color="auto" w:sz="4" w:space="0"/>
              <w:right w:val="single" w:color="auto" w:sz="4" w:space="0"/>
            </w:tcBorders>
            <w:vAlign w:val="center"/>
          </w:tcPr>
          <w:p>
            <w:pPr>
              <w:widowControl/>
              <w:jc w:val="center"/>
              <w:rPr>
                <w:rFonts w:ascii="Arial" w:hAnsi="Arial" w:eastAsia="宋体" w:cs="Arial"/>
                <w:color w:val="000000"/>
                <w:kern w:val="0"/>
                <w:sz w:val="18"/>
                <w:szCs w:val="18"/>
              </w:rPr>
            </w:pPr>
          </w:p>
        </w:tc>
      </w:tr>
      <w:tr>
        <w:tblPrEx>
          <w:tblCellMar>
            <w:top w:w="0" w:type="dxa"/>
            <w:left w:w="108" w:type="dxa"/>
            <w:bottom w:w="0" w:type="dxa"/>
            <w:right w:w="108" w:type="dxa"/>
          </w:tblCellMar>
        </w:tblPrEx>
        <w:trPr>
          <w:trHeight w:val="576" w:hRule="atLeast"/>
          <w:jc w:val="center"/>
        </w:trPr>
        <w:tc>
          <w:tcPr>
            <w:tcW w:w="993"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Arial" w:hAnsi="Arial" w:eastAsia="宋体" w:cs="Arial"/>
                <w:color w:val="000000"/>
                <w:kern w:val="0"/>
                <w:sz w:val="18"/>
                <w:szCs w:val="18"/>
              </w:rPr>
            </w:pPr>
            <w:r>
              <w:rPr>
                <w:rFonts w:ascii="Arial" w:hAnsi="Arial" w:eastAsia="宋体" w:cs="Arial"/>
                <w:color w:val="000000"/>
                <w:kern w:val="0"/>
                <w:sz w:val="18"/>
                <w:szCs w:val="18"/>
              </w:rPr>
              <w:t>北京银行富阳支行</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20000045293400037073575</w:t>
            </w:r>
          </w:p>
        </w:tc>
        <w:tc>
          <w:tcPr>
            <w:tcW w:w="614"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ascii="Arial" w:hAnsi="Arial" w:eastAsia="宋体" w:cs="Arial"/>
                <w:color w:val="000000"/>
                <w:kern w:val="0"/>
                <w:sz w:val="18"/>
                <w:szCs w:val="18"/>
              </w:rPr>
              <w:t>一般存款账户</w:t>
            </w:r>
          </w:p>
        </w:tc>
        <w:tc>
          <w:tcPr>
            <w:tcW w:w="1425" w:type="dxa"/>
            <w:tcBorders>
              <w:top w:val="nil"/>
              <w:left w:val="nil"/>
              <w:bottom w:val="single" w:color="auto" w:sz="4" w:space="0"/>
              <w:right w:val="single" w:color="auto" w:sz="4" w:space="0"/>
            </w:tcBorders>
            <w:shd w:val="clear" w:color="auto" w:fill="auto"/>
            <w:vAlign w:val="center"/>
          </w:tcPr>
          <w:p>
            <w:pPr>
              <w:widowControl/>
              <w:ind w:firstLine="540" w:firstLineChars="300"/>
              <w:jc w:val="center"/>
              <w:rPr>
                <w:rFonts w:ascii="Arial" w:hAnsi="Arial" w:eastAsia="宋体" w:cs="Arial"/>
                <w:color w:val="000000"/>
                <w:kern w:val="0"/>
                <w:sz w:val="18"/>
                <w:szCs w:val="18"/>
              </w:rPr>
            </w:pPr>
            <w:r>
              <w:rPr>
                <w:rFonts w:hint="eastAsia" w:ascii="Arial" w:hAnsi="Arial" w:eastAsia="宋体" w:cs="Arial"/>
                <w:color w:val="000000"/>
                <w:kern w:val="0"/>
                <w:sz w:val="18"/>
                <w:szCs w:val="18"/>
              </w:rPr>
              <w:t>-</w:t>
            </w:r>
          </w:p>
        </w:tc>
        <w:tc>
          <w:tcPr>
            <w:tcW w:w="63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hint="eastAsia" w:ascii="Arial" w:hAnsi="Arial" w:eastAsia="宋体" w:cs="Arial"/>
                <w:color w:val="000000"/>
                <w:kern w:val="0"/>
                <w:sz w:val="18"/>
                <w:szCs w:val="18"/>
              </w:rPr>
              <w:t>-</w:t>
            </w: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hint="eastAsia" w:ascii="Arial" w:hAnsi="Arial" w:eastAsia="宋体" w:cs="Arial"/>
                <w:color w:val="000000"/>
                <w:kern w:val="0"/>
                <w:sz w:val="18"/>
                <w:szCs w:val="18"/>
              </w:rPr>
              <w:t>-</w:t>
            </w:r>
          </w:p>
        </w:tc>
        <w:tc>
          <w:tcPr>
            <w:tcW w:w="93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hint="eastAsia" w:ascii="Arial" w:hAnsi="Arial" w:eastAsia="宋体" w:cs="Arial"/>
                <w:color w:val="000000"/>
                <w:kern w:val="0"/>
                <w:sz w:val="18"/>
                <w:szCs w:val="18"/>
              </w:rPr>
              <w:t>-</w:t>
            </w:r>
          </w:p>
        </w:tc>
        <w:tc>
          <w:tcPr>
            <w:tcW w:w="810"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hint="eastAsia" w:ascii="Arial" w:hAnsi="Arial" w:eastAsia="宋体" w:cs="Arial"/>
                <w:color w:val="000000"/>
                <w:kern w:val="0"/>
                <w:sz w:val="18"/>
                <w:szCs w:val="18"/>
              </w:rPr>
              <w:t>-</w:t>
            </w:r>
          </w:p>
        </w:tc>
        <w:tc>
          <w:tcPr>
            <w:tcW w:w="645"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hint="eastAsia" w:ascii="Arial" w:hAnsi="Arial" w:eastAsia="宋体" w:cs="Arial"/>
                <w:color w:val="000000"/>
                <w:kern w:val="0"/>
                <w:sz w:val="18"/>
                <w:szCs w:val="18"/>
              </w:rPr>
              <w:t>-</w:t>
            </w:r>
          </w:p>
        </w:tc>
        <w:tc>
          <w:tcPr>
            <w:tcW w:w="1156"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eastAsia="宋体" w:cs="Arial"/>
                <w:color w:val="000000"/>
                <w:kern w:val="0"/>
                <w:sz w:val="18"/>
                <w:szCs w:val="18"/>
              </w:rPr>
            </w:pPr>
            <w:r>
              <w:rPr>
                <w:rFonts w:hint="eastAsia" w:ascii="Arial" w:hAnsi="Arial" w:eastAsia="宋体" w:cs="Arial"/>
                <w:color w:val="000000"/>
                <w:kern w:val="0"/>
                <w:sz w:val="18"/>
                <w:szCs w:val="18"/>
              </w:rPr>
              <w:t>-</w:t>
            </w:r>
          </w:p>
        </w:tc>
      </w:tr>
    </w:tbl>
    <w:p>
      <w:pPr>
        <w:spacing w:line="360" w:lineRule="auto"/>
        <w:ind w:firstLine="480" w:firstLineChars="200"/>
        <w:rPr>
          <w:rFonts w:cs="Arial" w:asciiTheme="minorEastAsia" w:hAnsiTheme="minorEastAsia"/>
          <w:sz w:val="24"/>
        </w:rPr>
      </w:pPr>
    </w:p>
    <w:p>
      <w:pPr>
        <w:pStyle w:val="17"/>
        <w:numPr>
          <w:ilvl w:val="0"/>
          <w:numId w:val="3"/>
        </w:numPr>
        <w:spacing w:line="360" w:lineRule="auto"/>
        <w:ind w:firstLine="480" w:firstLineChars="0"/>
        <w:rPr>
          <w:rFonts w:cs="Arial" w:asciiTheme="minorEastAsia" w:hAnsiTheme="minorEastAsia"/>
          <w:sz w:val="24"/>
        </w:rPr>
      </w:pPr>
      <w:r>
        <w:rPr>
          <w:rFonts w:hint="eastAsia" w:cs="Arial" w:asciiTheme="minorEastAsia" w:hAnsiTheme="minorEastAsia"/>
          <w:sz w:val="24"/>
        </w:rPr>
        <w:t>核实项目公司基本户工商银行共领取3个U盾，分别为制单U盾2个，审核U盾1个；一般存款账户杭州银行共领取3个U盾，分别为制单U盾1个，审核U盾1个，查询U盾1个，按照协议约定应共管“最高权限的U盾”。经与项目公司协商，项目公司同意将基本户工商银行及一般账户杭州银行各1个审核</w:t>
      </w:r>
      <w:r>
        <w:rPr>
          <w:rFonts w:cs="Arial" w:asciiTheme="minorEastAsia" w:hAnsiTheme="minorEastAsia"/>
          <w:sz w:val="24"/>
        </w:rPr>
        <w:t>U</w:t>
      </w:r>
      <w:r>
        <w:rPr>
          <w:rFonts w:hint="eastAsia" w:cs="Arial" w:asciiTheme="minorEastAsia" w:hAnsiTheme="minorEastAsia"/>
          <w:sz w:val="24"/>
        </w:rPr>
        <w:t>盾交接共管；因北京银行富阳支行账户为项目合作方开立，此次不在共管范围。</w:t>
      </w:r>
    </w:p>
    <w:p>
      <w:pPr>
        <w:pStyle w:val="17"/>
        <w:numPr>
          <w:ilvl w:val="0"/>
          <w:numId w:val="3"/>
        </w:numPr>
        <w:spacing w:line="360" w:lineRule="auto"/>
        <w:ind w:firstLine="480" w:firstLineChars="0"/>
        <w:rPr>
          <w:rFonts w:cs="Arial" w:asciiTheme="minorEastAsia" w:hAnsiTheme="minorEastAsia"/>
          <w:sz w:val="24"/>
        </w:rPr>
      </w:pPr>
      <w:r>
        <w:rPr>
          <w:rFonts w:hint="eastAsia" w:cs="Arial" w:asciiTheme="minorEastAsia" w:hAnsiTheme="minorEastAsia"/>
          <w:sz w:val="24"/>
        </w:rPr>
        <w:t>经核实基本存款账户工商银行领用支票密码器1个及24张转账支票，票号为</w:t>
      </w:r>
      <w:r>
        <w:rPr>
          <w:rFonts w:cs="Arial" w:asciiTheme="minorEastAsia" w:hAnsiTheme="minorEastAsia"/>
          <w:sz w:val="24"/>
        </w:rPr>
        <w:t>16525176-16525200</w:t>
      </w:r>
      <w:r>
        <w:rPr>
          <w:rFonts w:hint="eastAsia" w:cs="Arial" w:asciiTheme="minorEastAsia" w:hAnsiTheme="minorEastAsia"/>
          <w:sz w:val="24"/>
        </w:rPr>
        <w:t>，与项目公司沟通，项目公司同意将23张空白转账支票、1张作废转账支票及密码器交接共管。未开通票据池、资金池及其他信用支付业务。</w:t>
      </w:r>
    </w:p>
    <w:p>
      <w:pPr>
        <w:pStyle w:val="17"/>
        <w:numPr>
          <w:ilvl w:val="0"/>
          <w:numId w:val="3"/>
        </w:numPr>
        <w:spacing w:line="360" w:lineRule="auto"/>
        <w:ind w:firstLine="480" w:firstLineChars="0"/>
        <w:rPr>
          <w:rFonts w:cs="Arial" w:asciiTheme="minorEastAsia" w:hAnsiTheme="minorEastAsia"/>
          <w:sz w:val="24"/>
        </w:rPr>
      </w:pPr>
      <w:r>
        <w:rPr>
          <w:rFonts w:hint="eastAsia" w:cs="Arial" w:asciiTheme="minorEastAsia" w:hAnsiTheme="minorEastAsia"/>
          <w:sz w:val="24"/>
        </w:rPr>
        <w:t>一般存款账户杭州银行未领用过支票及其他支付凭证，未开通票据池、资金池及其他信用支付业务。</w:t>
      </w:r>
    </w:p>
    <w:p>
      <w:pPr>
        <w:pStyle w:val="17"/>
        <w:numPr>
          <w:ilvl w:val="255"/>
          <w:numId w:val="0"/>
        </w:numPr>
        <w:spacing w:line="360" w:lineRule="auto"/>
        <w:rPr>
          <w:rFonts w:cs="Arial" w:asciiTheme="minorEastAsia" w:hAnsiTheme="minorEastAsia"/>
          <w:sz w:val="24"/>
        </w:rPr>
      </w:pPr>
    </w:p>
    <w:p>
      <w:pPr>
        <w:numPr>
          <w:ilvl w:val="0"/>
          <w:numId w:val="2"/>
        </w:numPr>
        <w:outlineLvl w:val="1"/>
        <w:rPr>
          <w:b/>
          <w:bCs/>
          <w:sz w:val="24"/>
        </w:rPr>
      </w:pPr>
      <w:bookmarkStart w:id="11" w:name="_Toc7477"/>
      <w:r>
        <w:rPr>
          <w:rFonts w:hint="eastAsia"/>
          <w:b/>
          <w:bCs/>
          <w:sz w:val="24"/>
        </w:rPr>
        <w:t>共管交接</w:t>
      </w:r>
      <w:bookmarkEnd w:id="11"/>
    </w:p>
    <w:p>
      <w:pPr>
        <w:spacing w:line="360" w:lineRule="auto"/>
        <w:ind w:firstLine="480" w:firstLineChars="200"/>
        <w:rPr>
          <w:rFonts w:cs="Arial" w:asciiTheme="minorEastAsia" w:hAnsiTheme="minorEastAsia"/>
          <w:sz w:val="24"/>
        </w:rPr>
      </w:pPr>
      <w:r>
        <w:rPr>
          <w:rFonts w:hint="eastAsia" w:cs="Arial" w:asciiTheme="minorEastAsia" w:hAnsiTheme="minorEastAsia"/>
          <w:sz w:val="24"/>
        </w:rPr>
        <w:t>（1）2020年10月30日晚上我司入场主管、驻场人员与中航信托经理余靖江、项目公司财务孙佳蓉对共管资料进行交接，交接单如下：</w:t>
      </w:r>
    </w:p>
    <w:p>
      <w:pPr>
        <w:spacing w:line="360" w:lineRule="auto"/>
        <w:ind w:firstLine="480" w:firstLineChars="200"/>
        <w:rPr>
          <w:rFonts w:cs="Arial" w:asciiTheme="minorEastAsia" w:hAnsiTheme="minorEastAsia"/>
          <w:sz w:val="24"/>
        </w:rPr>
      </w:pPr>
      <w:r>
        <w:rPr>
          <w:rFonts w:hint="eastAsia" w:cs="Arial" w:asciiTheme="minorEastAsia" w:hAnsiTheme="minorEastAsia"/>
          <w:sz w:val="24"/>
        </w:rPr>
        <w:t>（转下页）</w:t>
      </w:r>
    </w:p>
    <w:p>
      <w:pPr>
        <w:rPr>
          <w:sz w:val="28"/>
          <w:szCs w:val="28"/>
        </w:rPr>
      </w:pPr>
      <w:r>
        <w:rPr>
          <w:sz w:val="28"/>
          <w:szCs w:val="28"/>
        </w:rPr>
        <w:drawing>
          <wp:inline distT="0" distB="0" distL="0" distR="0">
            <wp:extent cx="5610860" cy="5963920"/>
            <wp:effectExtent l="0" t="0" r="889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614583" cy="5968114"/>
                    </a:xfrm>
                    <a:prstGeom prst="rect">
                      <a:avLst/>
                    </a:prstGeom>
                    <a:noFill/>
                    <a:ln>
                      <a:noFill/>
                    </a:ln>
                  </pic:spPr>
                </pic:pic>
              </a:graphicData>
            </a:graphic>
          </wp:inline>
        </w:drawing>
      </w:r>
      <w:r>
        <w:rPr>
          <w:sz w:val="28"/>
          <w:szCs w:val="28"/>
        </w:rPr>
        <w:drawing>
          <wp:inline distT="0" distB="0" distL="0" distR="0">
            <wp:extent cx="5409565" cy="6068060"/>
            <wp:effectExtent l="0" t="0" r="635" b="889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411684" cy="6070390"/>
                    </a:xfrm>
                    <a:prstGeom prst="rect">
                      <a:avLst/>
                    </a:prstGeom>
                    <a:noFill/>
                    <a:ln>
                      <a:noFill/>
                    </a:ln>
                  </pic:spPr>
                </pic:pic>
              </a:graphicData>
            </a:graphic>
          </wp:inline>
        </w:drawing>
      </w:r>
      <w:r>
        <w:drawing>
          <wp:inline distT="0" distB="0" distL="0" distR="0">
            <wp:extent cx="5274310" cy="6811010"/>
            <wp:effectExtent l="0" t="0" r="2540" b="889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0"/>
                    <a:stretch>
                      <a:fillRect/>
                    </a:stretch>
                  </pic:blipFill>
                  <pic:spPr>
                    <a:xfrm>
                      <a:off x="0" y="0"/>
                      <a:ext cx="5274310" cy="6811010"/>
                    </a:xfrm>
                    <a:prstGeom prst="rect">
                      <a:avLst/>
                    </a:prstGeom>
                  </pic:spPr>
                </pic:pic>
              </a:graphicData>
            </a:graphic>
          </wp:inline>
        </w:drawing>
      </w:r>
      <w:r>
        <w:drawing>
          <wp:inline distT="0" distB="0" distL="0" distR="0">
            <wp:extent cx="5274310" cy="629285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1"/>
                    <a:stretch>
                      <a:fillRect/>
                    </a:stretch>
                  </pic:blipFill>
                  <pic:spPr>
                    <a:xfrm>
                      <a:off x="0" y="0"/>
                      <a:ext cx="5274310" cy="6292850"/>
                    </a:xfrm>
                    <a:prstGeom prst="rect">
                      <a:avLst/>
                    </a:prstGeom>
                  </pic:spPr>
                </pic:pic>
              </a:graphicData>
            </a:graphic>
          </wp:inline>
        </w:drawing>
      </w:r>
      <w:r>
        <w:drawing>
          <wp:inline distT="0" distB="0" distL="0" distR="0">
            <wp:extent cx="5274310" cy="3728085"/>
            <wp:effectExtent l="0" t="0" r="254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2"/>
                    <a:stretch>
                      <a:fillRect/>
                    </a:stretch>
                  </pic:blipFill>
                  <pic:spPr>
                    <a:xfrm>
                      <a:off x="0" y="0"/>
                      <a:ext cx="5274310" cy="3728085"/>
                    </a:xfrm>
                    <a:prstGeom prst="rect">
                      <a:avLst/>
                    </a:prstGeom>
                  </pic:spPr>
                </pic:pic>
              </a:graphicData>
            </a:graphic>
          </wp:inline>
        </w:drawing>
      </w:r>
    </w:p>
    <w:sectPr>
      <w:footerReference r:id="rId5"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JVx3wPAgAACQ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OJVx3wPAgAACQQAAA4AAAAAAAAAAQAgAAAA&#10;HwEAAGRycy9lMm9Eb2MueG1sUEsFBgAAAAAGAAYAWQEAAKAFAAAAAA==&#10;">
              <v:fill on="f" focussize="0,0"/>
              <v:stroke on="f" weight="0.5pt"/>
              <v:imagedata o:title=""/>
              <o:lock v:ext="edit" aspectratio="f"/>
              <v:textbox inset="0mm,0mm,0mm,0mm" style="mso-fit-shape-to-text:t;">
                <w:txbxContent>
                  <w:p>
                    <w:pPr>
                      <w:pStyle w:val="5"/>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13200154"/>
    </w:sdtPr>
    <w:sdtContent>
      <w:p>
        <w:pPr>
          <w:pStyle w:val="5"/>
          <w:jc w:val="center"/>
        </w:pPr>
        <w:r>
          <w:fldChar w:fldCharType="begin"/>
        </w:r>
        <w:r>
          <w:instrText xml:space="preserve">PAGE   \* MERGEFORMAT</w:instrText>
        </w:r>
        <w:r>
          <w:fldChar w:fldCharType="separate"/>
        </w:r>
        <w:r>
          <w:rPr>
            <w:lang w:val="zh-CN"/>
          </w:rPr>
          <w:t>2</w:t>
        </w:r>
        <w:r>
          <w:fldChar w:fldCharType="end"/>
        </w:r>
      </w:p>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p>
    <w:pPr>
      <w:pStyle w:val="6"/>
      <w:rPr>
        <w:rFonts w:ascii="楷体_GB2312" w:eastAsia="楷体_GB2312"/>
        <w:spacing w:val="-20"/>
        <w:sz w:val="24"/>
      </w:rPr>
    </w:pPr>
    <w:r>
      <w:drawing>
        <wp:inline distT="0" distB="0" distL="0" distR="0">
          <wp:extent cx="5274310" cy="362585"/>
          <wp:effectExtent l="0" t="0" r="0" b="0"/>
          <wp:docPr id="3" name="图片 3"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张津夷\工作\08公司宣传\公司VI设计&amp;名片\20200907康信君安报告封面\康信君安信纸20200906-简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274310" cy="36313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811CDD"/>
    <w:multiLevelType w:val="singleLevel"/>
    <w:tmpl w:val="95811CDD"/>
    <w:lvl w:ilvl="0" w:tentative="0">
      <w:start w:val="1"/>
      <w:numFmt w:val="decimal"/>
      <w:suff w:val="nothing"/>
      <w:lvlText w:val="%1、"/>
      <w:lvlJc w:val="left"/>
    </w:lvl>
  </w:abstractNum>
  <w:abstractNum w:abstractNumId="1">
    <w:nsid w:val="F54178CB"/>
    <w:multiLevelType w:val="singleLevel"/>
    <w:tmpl w:val="F54178CB"/>
    <w:lvl w:ilvl="0" w:tentative="0">
      <w:start w:val="1"/>
      <w:numFmt w:val="chineseCounting"/>
      <w:suff w:val="nothing"/>
      <w:lvlText w:val="%1、"/>
      <w:lvlJc w:val="left"/>
      <w:rPr>
        <w:rFonts w:hint="eastAsia"/>
      </w:rPr>
    </w:lvl>
  </w:abstractNum>
  <w:abstractNum w:abstractNumId="2">
    <w:nsid w:val="464B5C2C"/>
    <w:multiLevelType w:val="singleLevel"/>
    <w:tmpl w:val="464B5C2C"/>
    <w:lvl w:ilvl="0" w:tentative="0">
      <w:start w:val="1"/>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trackRevisions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681"/>
    <w:rsid w:val="000137D0"/>
    <w:rsid w:val="00086932"/>
    <w:rsid w:val="00096253"/>
    <w:rsid w:val="000E660C"/>
    <w:rsid w:val="001067D3"/>
    <w:rsid w:val="00112049"/>
    <w:rsid w:val="00116C5E"/>
    <w:rsid w:val="00252846"/>
    <w:rsid w:val="00293726"/>
    <w:rsid w:val="002B6BE9"/>
    <w:rsid w:val="002E38D7"/>
    <w:rsid w:val="00301946"/>
    <w:rsid w:val="00362A18"/>
    <w:rsid w:val="003740EC"/>
    <w:rsid w:val="003D3822"/>
    <w:rsid w:val="003F6E4E"/>
    <w:rsid w:val="004018FF"/>
    <w:rsid w:val="00467C86"/>
    <w:rsid w:val="004B477E"/>
    <w:rsid w:val="004D159B"/>
    <w:rsid w:val="004E00B9"/>
    <w:rsid w:val="004F5E06"/>
    <w:rsid w:val="00544A7A"/>
    <w:rsid w:val="00546243"/>
    <w:rsid w:val="00547ACA"/>
    <w:rsid w:val="00610245"/>
    <w:rsid w:val="0061362B"/>
    <w:rsid w:val="00643E89"/>
    <w:rsid w:val="00651798"/>
    <w:rsid w:val="006E3B45"/>
    <w:rsid w:val="006E7C28"/>
    <w:rsid w:val="007604B6"/>
    <w:rsid w:val="0084701F"/>
    <w:rsid w:val="0092006D"/>
    <w:rsid w:val="009A3D92"/>
    <w:rsid w:val="009C2ACA"/>
    <w:rsid w:val="00A66136"/>
    <w:rsid w:val="00A81B03"/>
    <w:rsid w:val="00AF73F9"/>
    <w:rsid w:val="00BD61D6"/>
    <w:rsid w:val="00BF0681"/>
    <w:rsid w:val="00CF7800"/>
    <w:rsid w:val="00D54A77"/>
    <w:rsid w:val="00D7365D"/>
    <w:rsid w:val="00D827BE"/>
    <w:rsid w:val="00D86D6A"/>
    <w:rsid w:val="00DF1082"/>
    <w:rsid w:val="00E165BB"/>
    <w:rsid w:val="00E54FAC"/>
    <w:rsid w:val="00E856A9"/>
    <w:rsid w:val="00EE3AF2"/>
    <w:rsid w:val="00F60836"/>
    <w:rsid w:val="00F63032"/>
    <w:rsid w:val="00F97982"/>
    <w:rsid w:val="00FB0C34"/>
    <w:rsid w:val="00FD4E1D"/>
    <w:rsid w:val="05721B52"/>
    <w:rsid w:val="06406278"/>
    <w:rsid w:val="069367D5"/>
    <w:rsid w:val="0C263E59"/>
    <w:rsid w:val="1211363E"/>
    <w:rsid w:val="15087B06"/>
    <w:rsid w:val="18A704B0"/>
    <w:rsid w:val="1AE627C7"/>
    <w:rsid w:val="22955826"/>
    <w:rsid w:val="23814090"/>
    <w:rsid w:val="266B13AF"/>
    <w:rsid w:val="30EC4CC0"/>
    <w:rsid w:val="326D1D74"/>
    <w:rsid w:val="32E20806"/>
    <w:rsid w:val="33BE6837"/>
    <w:rsid w:val="3B2B05D8"/>
    <w:rsid w:val="419708D1"/>
    <w:rsid w:val="42663006"/>
    <w:rsid w:val="49B65664"/>
    <w:rsid w:val="4A0E7463"/>
    <w:rsid w:val="4FE964A0"/>
    <w:rsid w:val="54F36899"/>
    <w:rsid w:val="552C0983"/>
    <w:rsid w:val="556D79F4"/>
    <w:rsid w:val="5B1B43CD"/>
    <w:rsid w:val="60956A3D"/>
    <w:rsid w:val="60FA27E6"/>
    <w:rsid w:val="628B45A5"/>
    <w:rsid w:val="68D13A70"/>
    <w:rsid w:val="6B0A3C7F"/>
    <w:rsid w:val="6C4305B6"/>
    <w:rsid w:val="6CD339F0"/>
    <w:rsid w:val="72BF376A"/>
    <w:rsid w:val="72C02A83"/>
    <w:rsid w:val="79B40972"/>
    <w:rsid w:val="7A921598"/>
    <w:rsid w:val="7FE301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Balloon Text"/>
    <w:basedOn w:val="1"/>
    <w:link w:val="15"/>
    <w:uiPriority w:val="0"/>
    <w:rPr>
      <w:sz w:val="18"/>
      <w:szCs w:val="18"/>
    </w:rPr>
  </w:style>
  <w:style w:type="paragraph" w:styleId="5">
    <w:name w:val="footer"/>
    <w:basedOn w:val="1"/>
    <w:link w:val="16"/>
    <w:qFormat/>
    <w:uiPriority w:val="99"/>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8">
    <w:name w:val="Table Grid"/>
    <w:basedOn w:val="7"/>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styleId="11">
    <w:name w:val="annotation reference"/>
    <w:basedOn w:val="9"/>
    <w:uiPriority w:val="0"/>
    <w:rPr>
      <w:sz w:val="21"/>
      <w:szCs w:val="21"/>
    </w:rPr>
  </w:style>
  <w:style w:type="paragraph" w:customStyle="1" w:styleId="12">
    <w:name w:val="WPSOffice手动目录 1"/>
    <w:qFormat/>
    <w:uiPriority w:val="0"/>
    <w:rPr>
      <w:rFonts w:ascii="Times New Roman" w:hAnsi="Times New Roman" w:eastAsia="宋体" w:cs="Times New Roman"/>
      <w:lang w:val="en-US" w:eastAsia="zh-CN" w:bidi="ar-SA"/>
    </w:rPr>
  </w:style>
  <w:style w:type="paragraph" w:customStyle="1" w:styleId="13">
    <w:name w:val="数字"/>
    <w:basedOn w:val="1"/>
    <w:qFormat/>
    <w:uiPriority w:val="0"/>
    <w:rPr>
      <w:sz w:val="18"/>
    </w:rPr>
  </w:style>
  <w:style w:type="paragraph" w:customStyle="1" w:styleId="14">
    <w:name w:val="WPSOffice手动目录 2"/>
    <w:uiPriority w:val="0"/>
    <w:pPr>
      <w:ind w:left="200" w:leftChars="200"/>
    </w:pPr>
    <w:rPr>
      <w:rFonts w:ascii="Times New Roman" w:hAnsi="Times New Roman" w:eastAsia="宋体" w:cs="Times New Roman"/>
      <w:lang w:val="en-US" w:eastAsia="zh-CN" w:bidi="ar-SA"/>
    </w:rPr>
  </w:style>
  <w:style w:type="character" w:customStyle="1" w:styleId="15">
    <w:name w:val="批注框文本 字符"/>
    <w:basedOn w:val="9"/>
    <w:link w:val="4"/>
    <w:uiPriority w:val="0"/>
    <w:rPr>
      <w:rFonts w:asciiTheme="minorHAnsi" w:hAnsiTheme="minorHAnsi" w:eastAsiaTheme="minorEastAsia" w:cstheme="minorBidi"/>
      <w:kern w:val="2"/>
      <w:sz w:val="18"/>
      <w:szCs w:val="18"/>
    </w:rPr>
  </w:style>
  <w:style w:type="character" w:customStyle="1" w:styleId="16">
    <w:name w:val="页脚 字符"/>
    <w:basedOn w:val="9"/>
    <w:link w:val="5"/>
    <w:uiPriority w:val="99"/>
    <w:rPr>
      <w:rFonts w:asciiTheme="minorHAnsi" w:hAnsiTheme="minorHAnsi" w:eastAsiaTheme="minorEastAsia" w:cstheme="minorBidi"/>
      <w:kern w:val="2"/>
      <w:sz w:val="18"/>
      <w:szCs w:val="24"/>
    </w:rPr>
  </w:style>
  <w:style w:type="paragraph" w:styleId="17">
    <w:name w:val="List Paragraph"/>
    <w:basedOn w:val="1"/>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568</Words>
  <Characters>3244</Characters>
  <Lines>27</Lines>
  <Paragraphs>7</Paragraphs>
  <TotalTime>246</TotalTime>
  <ScaleCrop>false</ScaleCrop>
  <LinksUpToDate>false</LinksUpToDate>
  <CharactersWithSpaces>3805</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2020-11-04T08:04:00Z</dcterms:created>
  <dc:creator>Yang</dc:creator>
  <cp:lastModifiedBy>zhenny</cp:lastModifiedBy>
  <dcterms:modified xsi:type="dcterms:W3CDTF">2020-11-07T14:12:58Z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