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hint="eastAsia" w:ascii="宋体" w:hAnsi="宋体" w:eastAsia="宋体" w:cs="宋体"/>
          <w:b/>
          <w:color w:val="000000"/>
          <w:spacing w:val="60"/>
          <w:kern w:val="10"/>
          <w:sz w:val="36"/>
          <w:szCs w:val="36"/>
        </w:rPr>
      </w:pPr>
    </w:p>
    <w:p>
      <w:pPr>
        <w:spacing w:line="480" w:lineRule="auto"/>
        <w:ind w:leftChars="-67" w:hanging="141" w:hangingChars="39"/>
        <w:jc w:val="center"/>
        <w:rPr>
          <w:rFonts w:hint="default" w:ascii="Arial" w:hAnsi="Arial" w:eastAsia="宋体" w:cs="Arial"/>
          <w:b/>
          <w:sz w:val="36"/>
          <w:szCs w:val="36"/>
        </w:rPr>
      </w:pPr>
      <w:r>
        <w:rPr>
          <w:rFonts w:hint="default" w:ascii="Arial" w:hAnsi="Arial" w:eastAsia="宋体" w:cs="Arial"/>
          <w:b/>
          <w:sz w:val="36"/>
          <w:szCs w:val="36"/>
        </w:rPr>
        <w:t>光大信托·瑞华6号集合资金信托计划</w:t>
      </w:r>
    </w:p>
    <w:p>
      <w:pPr>
        <w:spacing w:line="480" w:lineRule="auto"/>
        <w:ind w:leftChars="-67" w:hanging="141" w:hangingChars="39"/>
        <w:jc w:val="center"/>
        <w:rPr>
          <w:rFonts w:hint="default" w:ascii="Arial" w:hAnsi="Arial" w:eastAsia="宋体" w:cs="Arial"/>
          <w:b/>
          <w:sz w:val="36"/>
          <w:szCs w:val="36"/>
        </w:rPr>
      </w:pPr>
      <w:r>
        <w:rPr>
          <w:rFonts w:hint="default" w:ascii="Arial" w:hAnsi="Arial" w:eastAsia="宋体" w:cs="Arial"/>
          <w:b/>
          <w:sz w:val="36"/>
          <w:szCs w:val="36"/>
        </w:rPr>
        <w:t>2020年</w:t>
      </w:r>
      <w:r>
        <w:rPr>
          <w:rFonts w:hint="default" w:ascii="Arial" w:hAnsi="Arial" w:eastAsia="宋体" w:cs="Arial"/>
          <w:b/>
          <w:sz w:val="36"/>
          <w:szCs w:val="36"/>
          <w:lang w:val="en-US" w:eastAsia="zh-CN"/>
        </w:rPr>
        <w:t>11</w:t>
      </w:r>
      <w:r>
        <w:rPr>
          <w:rFonts w:hint="default" w:ascii="Arial" w:hAnsi="Arial" w:eastAsia="宋体" w:cs="Arial"/>
          <w:b/>
          <w:sz w:val="36"/>
          <w:szCs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000000"/>
          <w:szCs w:val="21"/>
        </w:rPr>
      </w:pP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项目名称：光大信托·瑞华6号武汉</w:t>
      </w:r>
      <w:r>
        <w:rPr>
          <w:rFonts w:hint="eastAsia" w:ascii="Arial" w:hAnsi="Arial" w:cs="Arial"/>
          <w:b/>
          <w:color w:val="000000"/>
          <w:szCs w:val="21"/>
        </w:rPr>
        <w:t>光谷正荣府</w:t>
      </w:r>
      <w:r>
        <w:rPr>
          <w:rFonts w:ascii="Arial" w:hAnsi="Arial" w:cs="Arial"/>
          <w:b/>
          <w:color w:val="000000"/>
          <w:szCs w:val="21"/>
        </w:rPr>
        <w:t>项目</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委托方：光大兴陇信托有限责任公司</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受托方：北京康信君安资产管理有限公司</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监管人员：贺康复</w:t>
      </w:r>
    </w:p>
    <w:p>
      <w:pPr>
        <w:spacing w:line="480" w:lineRule="auto"/>
        <w:ind w:left="2517" w:hanging="2517" w:hangingChars="1194"/>
        <w:jc w:val="left"/>
        <w:rPr>
          <w:rFonts w:ascii="Arial" w:hAnsi="Arial" w:cs="Arial"/>
          <w:b/>
          <w:color w:val="000000"/>
          <w:szCs w:val="21"/>
        </w:rPr>
        <w:sectPr>
          <w:headerReference r:id="rId3" w:type="default"/>
          <w:pgSz w:w="11906" w:h="16838"/>
          <w:pgMar w:top="1134" w:right="1134" w:bottom="1134" w:left="1134" w:header="851" w:footer="851" w:gutter="340"/>
          <w:pgNumType w:fmt="numberInDash" w:start="1"/>
          <w:cols w:space="720" w:num="1"/>
          <w:titlePg/>
          <w:docGrid w:linePitch="312" w:charSpace="0"/>
        </w:sectPr>
      </w:pPr>
      <w:r>
        <w:rPr>
          <w:rFonts w:ascii="Arial" w:hAnsi="Arial" w:cs="Arial"/>
          <w:b/>
          <w:color w:val="000000"/>
          <w:szCs w:val="21"/>
        </w:rPr>
        <w:t>日期：二零二零年</w:t>
      </w:r>
      <w:r>
        <w:rPr>
          <w:rFonts w:hint="eastAsia" w:ascii="Arial" w:hAnsi="Arial" w:cs="Arial"/>
          <w:b/>
          <w:color w:val="000000"/>
          <w:szCs w:val="21"/>
          <w:lang w:eastAsia="zh-CN"/>
        </w:rPr>
        <w:t>十二</w:t>
      </w:r>
      <w:r>
        <w:rPr>
          <w:rFonts w:ascii="Arial" w:hAnsi="Arial" w:cs="Arial"/>
          <w:b/>
          <w:color w:val="000000"/>
          <w:szCs w:val="21"/>
        </w:rPr>
        <w:t>月</w:t>
      </w:r>
      <w:r>
        <w:rPr>
          <w:rFonts w:hint="eastAsia" w:ascii="Arial" w:hAnsi="Arial" w:cs="Arial"/>
          <w:b/>
          <w:color w:val="000000"/>
          <w:szCs w:val="21"/>
          <w:lang w:val="en-US" w:eastAsia="zh-CN"/>
        </w:rPr>
        <w:t>十四</w:t>
      </w:r>
      <w:r>
        <w:rPr>
          <w:rFonts w:ascii="Arial" w:hAnsi="Arial" w:cs="Arial"/>
          <w:b/>
          <w:color w:val="000000"/>
          <w:szCs w:val="21"/>
        </w:rPr>
        <w:t>日</w:t>
      </w:r>
    </w:p>
    <w:p>
      <w:pPr>
        <w:pStyle w:val="14"/>
        <w:spacing w:line="360" w:lineRule="auto"/>
        <w:jc w:val="center"/>
        <w:rPr>
          <w:rFonts w:hint="eastAsia" w:ascii="宋体" w:hAnsi="宋体" w:eastAsia="宋体" w:cs="宋体"/>
          <w:b/>
          <w:bCs/>
          <w:sz w:val="28"/>
          <w:szCs w:val="28"/>
        </w:rPr>
      </w:pPr>
      <w:r>
        <w:rPr>
          <w:rFonts w:hint="eastAsia" w:ascii="宋体" w:hAnsi="宋体" w:eastAsia="宋体" w:cs="宋体"/>
          <w:b/>
          <w:bCs/>
          <w:sz w:val="28"/>
          <w:szCs w:val="28"/>
        </w:rPr>
        <w:t>目录</w:t>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sz w:val="21"/>
          <w:szCs w:val="21"/>
        </w:rPr>
        <w:fldChar w:fldCharType="begin"/>
      </w:r>
      <w:r>
        <w:rPr>
          <w:rStyle w:val="27"/>
          <w:rFonts w:hint="default" w:ascii="Arial" w:hAnsi="Arial" w:eastAsia="宋体" w:cs="Arial"/>
          <w:sz w:val="21"/>
          <w:szCs w:val="21"/>
        </w:rPr>
        <w:instrText xml:space="preserve"> TOC \o "1-3" \h \z \u </w:instrText>
      </w:r>
      <w:r>
        <w:rPr>
          <w:rFonts w:hint="default" w:ascii="Arial" w:hAnsi="Arial" w:eastAsia="宋体" w:cs="Arial"/>
          <w:sz w:val="21"/>
          <w:szCs w:val="21"/>
        </w:rPr>
        <w:fldChar w:fldCharType="separate"/>
      </w:r>
      <w:r>
        <w:rPr>
          <w:rFonts w:hint="default" w:ascii="Arial" w:hAnsi="Arial" w:eastAsia="宋体" w:cs="Arial"/>
          <w:sz w:val="21"/>
          <w:szCs w:val="21"/>
        </w:rPr>
        <w:fldChar w:fldCharType="begin"/>
      </w:r>
      <w:r>
        <w:rPr>
          <w:rFonts w:hint="default" w:ascii="Arial" w:hAnsi="Arial" w:eastAsia="宋体" w:cs="Arial"/>
          <w:sz w:val="21"/>
          <w:szCs w:val="21"/>
        </w:rPr>
        <w:instrText xml:space="preserve"> HYPERLINK \l _Toc15574 </w:instrText>
      </w:r>
      <w:r>
        <w:rPr>
          <w:rFonts w:hint="default" w:ascii="Arial" w:hAnsi="Arial" w:eastAsia="宋体" w:cs="Arial"/>
          <w:sz w:val="21"/>
          <w:szCs w:val="21"/>
        </w:rPr>
        <w:fldChar w:fldCharType="separate"/>
      </w:r>
      <w:r>
        <w:rPr>
          <w:rFonts w:hint="default" w:ascii="Arial" w:hAnsi="Arial" w:eastAsia="宋体" w:cs="Arial"/>
          <w:sz w:val="21"/>
          <w:szCs w:val="21"/>
        </w:rPr>
        <w:t>1项目基本情况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_Toc15574 </w:instrText>
      </w:r>
      <w:r>
        <w:rPr>
          <w:rFonts w:hint="default" w:ascii="Arial" w:hAnsi="Arial" w:eastAsia="宋体" w:cs="Arial"/>
          <w:sz w:val="21"/>
          <w:szCs w:val="21"/>
        </w:rPr>
        <w:fldChar w:fldCharType="separate"/>
      </w:r>
      <w:r>
        <w:rPr>
          <w:rFonts w:hint="default" w:ascii="Arial" w:hAnsi="Arial" w:eastAsia="宋体" w:cs="Arial"/>
          <w:sz w:val="21"/>
          <w:szCs w:val="21"/>
        </w:rPr>
        <w:t>1</w:t>
      </w:r>
      <w:r>
        <w:rPr>
          <w:rFonts w:hint="default" w:ascii="Arial" w:hAnsi="Arial" w:eastAsia="宋体" w:cs="Arial"/>
          <w:sz w:val="21"/>
          <w:szCs w:val="21"/>
        </w:rPr>
        <w:fldChar w:fldCharType="end"/>
      </w:r>
      <w:r>
        <w:rPr>
          <w:rFonts w:hint="default" w:ascii="Arial" w:hAnsi="Arial" w:eastAsia="宋体" w:cs="Arial"/>
          <w:sz w:val="21"/>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_Toc26247 </w:instrText>
      </w:r>
      <w:r>
        <w:rPr>
          <w:rFonts w:hint="default" w:ascii="Arial" w:hAnsi="Arial" w:eastAsia="宋体" w:cs="Arial"/>
          <w:sz w:val="21"/>
          <w:szCs w:val="21"/>
        </w:rPr>
        <w:fldChar w:fldCharType="separate"/>
      </w:r>
      <w:r>
        <w:rPr>
          <w:rFonts w:hint="default" w:ascii="Arial" w:hAnsi="Arial" w:eastAsia="宋体" w:cs="Arial"/>
          <w:sz w:val="21"/>
          <w:szCs w:val="21"/>
        </w:rPr>
        <w:t>2重大事件披露</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_Toc26247 </w:instrText>
      </w:r>
      <w:r>
        <w:rPr>
          <w:rFonts w:hint="default" w:ascii="Arial" w:hAnsi="Arial" w:eastAsia="宋体" w:cs="Arial"/>
          <w:sz w:val="21"/>
          <w:szCs w:val="21"/>
        </w:rPr>
        <w:fldChar w:fldCharType="separate"/>
      </w:r>
      <w:r>
        <w:rPr>
          <w:rFonts w:hint="default" w:ascii="Arial" w:hAnsi="Arial" w:eastAsia="宋体" w:cs="Arial"/>
          <w:sz w:val="21"/>
          <w:szCs w:val="21"/>
        </w:rPr>
        <w:t>2</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_Toc20007 </w:instrText>
      </w:r>
      <w:r>
        <w:rPr>
          <w:rFonts w:hint="default" w:ascii="Arial" w:hAnsi="Arial" w:eastAsia="宋体" w:cs="Arial"/>
          <w:sz w:val="21"/>
          <w:szCs w:val="21"/>
        </w:rPr>
        <w:fldChar w:fldCharType="separate"/>
      </w:r>
      <w:r>
        <w:rPr>
          <w:rFonts w:hint="default" w:ascii="Arial" w:hAnsi="Arial" w:eastAsia="宋体" w:cs="Arial"/>
          <w:sz w:val="21"/>
          <w:szCs w:val="21"/>
        </w:rPr>
        <w:t>3项目五证办理情况及施工进度情况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_Toc20007 </w:instrText>
      </w:r>
      <w:r>
        <w:rPr>
          <w:rFonts w:hint="default" w:ascii="Arial" w:hAnsi="Arial" w:eastAsia="宋体" w:cs="Arial"/>
          <w:sz w:val="21"/>
          <w:szCs w:val="21"/>
        </w:rPr>
        <w:fldChar w:fldCharType="separate"/>
      </w:r>
      <w:r>
        <w:rPr>
          <w:rFonts w:hint="default" w:ascii="Arial" w:hAnsi="Arial" w:eastAsia="宋体" w:cs="Arial"/>
          <w:sz w:val="21"/>
          <w:szCs w:val="21"/>
        </w:rPr>
        <w:t>2</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8"/>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_Toc11291 </w:instrText>
      </w:r>
      <w:r>
        <w:rPr>
          <w:rFonts w:hint="default" w:ascii="Arial" w:hAnsi="Arial" w:eastAsia="宋体" w:cs="Arial"/>
          <w:sz w:val="21"/>
          <w:szCs w:val="21"/>
        </w:rPr>
        <w:fldChar w:fldCharType="separate"/>
      </w:r>
      <w:r>
        <w:rPr>
          <w:rFonts w:hint="default" w:ascii="Arial" w:hAnsi="Arial" w:eastAsia="宋体" w:cs="Arial"/>
          <w:sz w:val="21"/>
          <w:szCs w:val="21"/>
        </w:rPr>
        <w:t>3.1项目五证办理情况说明</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_Toc11291 </w:instrText>
      </w:r>
      <w:r>
        <w:rPr>
          <w:rFonts w:hint="default" w:ascii="Arial" w:hAnsi="Arial" w:eastAsia="宋体" w:cs="Arial"/>
          <w:sz w:val="21"/>
          <w:szCs w:val="21"/>
        </w:rPr>
        <w:fldChar w:fldCharType="separate"/>
      </w:r>
      <w:r>
        <w:rPr>
          <w:rFonts w:hint="default" w:ascii="Arial" w:hAnsi="Arial" w:eastAsia="宋体" w:cs="Arial"/>
          <w:sz w:val="21"/>
          <w:szCs w:val="21"/>
        </w:rPr>
        <w:t>2</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8"/>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_Toc19188 </w:instrText>
      </w:r>
      <w:r>
        <w:rPr>
          <w:rFonts w:hint="default" w:ascii="Arial" w:hAnsi="Arial" w:eastAsia="宋体" w:cs="Arial"/>
          <w:sz w:val="21"/>
          <w:szCs w:val="21"/>
        </w:rPr>
        <w:fldChar w:fldCharType="separate"/>
      </w:r>
      <w:r>
        <w:rPr>
          <w:rFonts w:hint="default" w:ascii="Arial" w:hAnsi="Arial" w:eastAsia="宋体" w:cs="Arial"/>
          <w:sz w:val="21"/>
          <w:szCs w:val="21"/>
        </w:rPr>
        <w:t>3.2工程进度考核</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_Toc19188 </w:instrText>
      </w:r>
      <w:r>
        <w:rPr>
          <w:rFonts w:hint="default" w:ascii="Arial" w:hAnsi="Arial" w:eastAsia="宋体" w:cs="Arial"/>
          <w:sz w:val="21"/>
          <w:szCs w:val="21"/>
        </w:rPr>
        <w:fldChar w:fldCharType="separate"/>
      </w:r>
      <w:r>
        <w:rPr>
          <w:rFonts w:hint="default" w:ascii="Arial" w:hAnsi="Arial" w:eastAsia="宋体" w:cs="Arial"/>
          <w:sz w:val="21"/>
          <w:szCs w:val="21"/>
        </w:rPr>
        <w:t>2</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8"/>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_Toc7869 </w:instrText>
      </w:r>
      <w:r>
        <w:rPr>
          <w:rFonts w:hint="default" w:ascii="Arial" w:hAnsi="Arial" w:eastAsia="宋体" w:cs="Arial"/>
          <w:sz w:val="21"/>
          <w:szCs w:val="21"/>
        </w:rPr>
        <w:fldChar w:fldCharType="separate"/>
      </w:r>
      <w:r>
        <w:rPr>
          <w:rFonts w:hint="default" w:ascii="Arial" w:hAnsi="Arial" w:eastAsia="宋体" w:cs="Arial"/>
          <w:sz w:val="21"/>
          <w:szCs w:val="21"/>
        </w:rPr>
        <w:t>3.3项目2020年</w:t>
      </w:r>
      <w:r>
        <w:rPr>
          <w:rFonts w:hint="default" w:ascii="Arial" w:hAnsi="Arial" w:eastAsia="宋体" w:cs="Arial"/>
          <w:sz w:val="21"/>
          <w:szCs w:val="21"/>
          <w:lang w:val="en-US" w:eastAsia="zh-CN"/>
        </w:rPr>
        <w:t>11</w:t>
      </w:r>
      <w:r>
        <w:rPr>
          <w:rFonts w:hint="default" w:ascii="Arial" w:hAnsi="Arial" w:eastAsia="宋体" w:cs="Arial"/>
          <w:sz w:val="21"/>
          <w:szCs w:val="21"/>
        </w:rPr>
        <w:t>月份施工进度情况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_Toc7869 </w:instrText>
      </w:r>
      <w:r>
        <w:rPr>
          <w:rFonts w:hint="default" w:ascii="Arial" w:hAnsi="Arial" w:eastAsia="宋体" w:cs="Arial"/>
          <w:sz w:val="21"/>
          <w:szCs w:val="21"/>
        </w:rPr>
        <w:fldChar w:fldCharType="separate"/>
      </w:r>
      <w:r>
        <w:rPr>
          <w:rFonts w:hint="default" w:ascii="Arial" w:hAnsi="Arial" w:eastAsia="宋体" w:cs="Arial"/>
          <w:sz w:val="21"/>
          <w:szCs w:val="21"/>
        </w:rPr>
        <w:t>3</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8"/>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_Toc17174 </w:instrText>
      </w:r>
      <w:r>
        <w:rPr>
          <w:rFonts w:hint="default" w:ascii="Arial" w:hAnsi="Arial" w:eastAsia="宋体" w:cs="Arial"/>
          <w:sz w:val="21"/>
          <w:szCs w:val="21"/>
        </w:rPr>
        <w:fldChar w:fldCharType="separate"/>
      </w:r>
      <w:r>
        <w:rPr>
          <w:rFonts w:hint="default" w:ascii="Arial" w:hAnsi="Arial" w:eastAsia="宋体" w:cs="Arial"/>
          <w:sz w:val="21"/>
          <w:szCs w:val="21"/>
        </w:rPr>
        <w:t>3.4项目2020年1</w:t>
      </w:r>
      <w:r>
        <w:rPr>
          <w:rFonts w:hint="default" w:ascii="Arial" w:hAnsi="Arial" w:eastAsia="宋体" w:cs="Arial"/>
          <w:sz w:val="21"/>
          <w:szCs w:val="21"/>
          <w:lang w:val="en-US" w:eastAsia="zh-CN"/>
        </w:rPr>
        <w:t>2</w:t>
      </w:r>
      <w:r>
        <w:rPr>
          <w:rFonts w:hint="default" w:ascii="Arial" w:hAnsi="Arial" w:eastAsia="宋体" w:cs="Arial"/>
          <w:sz w:val="21"/>
          <w:szCs w:val="21"/>
        </w:rPr>
        <w:t>月施工计划</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_Toc17174 </w:instrText>
      </w:r>
      <w:r>
        <w:rPr>
          <w:rFonts w:hint="default" w:ascii="Arial" w:hAnsi="Arial" w:eastAsia="宋体" w:cs="Arial"/>
          <w:sz w:val="21"/>
          <w:szCs w:val="21"/>
        </w:rPr>
        <w:fldChar w:fldCharType="separate"/>
      </w:r>
      <w:r>
        <w:rPr>
          <w:rFonts w:hint="default" w:ascii="Arial" w:hAnsi="Arial" w:eastAsia="宋体" w:cs="Arial"/>
          <w:sz w:val="21"/>
          <w:szCs w:val="21"/>
        </w:rPr>
        <w:t>3</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8"/>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_Toc9442 </w:instrText>
      </w:r>
      <w:r>
        <w:rPr>
          <w:rFonts w:hint="default" w:ascii="Arial" w:hAnsi="Arial" w:eastAsia="宋体" w:cs="Arial"/>
          <w:sz w:val="21"/>
          <w:szCs w:val="21"/>
        </w:rPr>
        <w:fldChar w:fldCharType="separate"/>
      </w:r>
      <w:r>
        <w:rPr>
          <w:rFonts w:hint="default" w:ascii="Arial" w:hAnsi="Arial" w:eastAsia="宋体" w:cs="Arial"/>
          <w:sz w:val="21"/>
          <w:szCs w:val="21"/>
        </w:rPr>
        <w:t>3.5 项目现场照片</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_Toc9442 </w:instrText>
      </w:r>
      <w:r>
        <w:rPr>
          <w:rFonts w:hint="default" w:ascii="Arial" w:hAnsi="Arial" w:eastAsia="宋体" w:cs="Arial"/>
          <w:sz w:val="21"/>
          <w:szCs w:val="21"/>
        </w:rPr>
        <w:fldChar w:fldCharType="separate"/>
      </w:r>
      <w:r>
        <w:rPr>
          <w:rFonts w:hint="default" w:ascii="Arial" w:hAnsi="Arial" w:eastAsia="宋体" w:cs="Arial"/>
          <w:sz w:val="21"/>
          <w:szCs w:val="21"/>
        </w:rPr>
        <w:t>3</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_Toc18727 </w:instrText>
      </w:r>
      <w:r>
        <w:rPr>
          <w:rFonts w:hint="default" w:ascii="Arial" w:hAnsi="Arial" w:eastAsia="宋体" w:cs="Arial"/>
          <w:sz w:val="21"/>
          <w:szCs w:val="21"/>
        </w:rPr>
        <w:fldChar w:fldCharType="separate"/>
      </w:r>
      <w:r>
        <w:rPr>
          <w:rFonts w:hint="default" w:ascii="Arial" w:hAnsi="Arial" w:eastAsia="宋体" w:cs="Arial"/>
          <w:sz w:val="21"/>
          <w:szCs w:val="21"/>
        </w:rPr>
        <w:t>4印鉴使用情况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_Toc18727 </w:instrText>
      </w:r>
      <w:r>
        <w:rPr>
          <w:rFonts w:hint="default" w:ascii="Arial" w:hAnsi="Arial" w:eastAsia="宋体" w:cs="Arial"/>
          <w:sz w:val="21"/>
          <w:szCs w:val="21"/>
        </w:rPr>
        <w:fldChar w:fldCharType="separate"/>
      </w:r>
      <w:r>
        <w:rPr>
          <w:rFonts w:hint="default" w:ascii="Arial" w:hAnsi="Arial" w:eastAsia="宋体" w:cs="Arial"/>
          <w:sz w:val="21"/>
          <w:szCs w:val="21"/>
        </w:rPr>
        <w:t>4</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_Toc7373 </w:instrText>
      </w:r>
      <w:r>
        <w:rPr>
          <w:rFonts w:hint="default" w:ascii="Arial" w:hAnsi="Arial" w:eastAsia="宋体" w:cs="Arial"/>
          <w:sz w:val="21"/>
          <w:szCs w:val="21"/>
        </w:rPr>
        <w:fldChar w:fldCharType="separate"/>
      </w:r>
      <w:r>
        <w:rPr>
          <w:rFonts w:hint="default" w:ascii="Arial" w:hAnsi="Arial" w:eastAsia="宋体" w:cs="Arial"/>
          <w:bCs/>
          <w:sz w:val="21"/>
          <w:szCs w:val="21"/>
        </w:rPr>
        <w:t>5合同签订情况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_Toc7373 </w:instrText>
      </w:r>
      <w:r>
        <w:rPr>
          <w:rFonts w:hint="default" w:ascii="Arial" w:hAnsi="Arial" w:eastAsia="宋体" w:cs="Arial"/>
          <w:sz w:val="21"/>
          <w:szCs w:val="21"/>
        </w:rPr>
        <w:fldChar w:fldCharType="separate"/>
      </w:r>
      <w:r>
        <w:rPr>
          <w:rFonts w:hint="default" w:ascii="Arial" w:hAnsi="Arial" w:eastAsia="宋体" w:cs="Arial"/>
          <w:sz w:val="21"/>
          <w:szCs w:val="21"/>
        </w:rPr>
        <w:t>6</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_Toc18473 </w:instrText>
      </w:r>
      <w:r>
        <w:rPr>
          <w:rFonts w:hint="default" w:ascii="Arial" w:hAnsi="Arial" w:eastAsia="宋体" w:cs="Arial"/>
          <w:sz w:val="21"/>
          <w:szCs w:val="21"/>
        </w:rPr>
        <w:fldChar w:fldCharType="separate"/>
      </w:r>
      <w:r>
        <w:rPr>
          <w:rFonts w:hint="default" w:ascii="Arial" w:hAnsi="Arial" w:eastAsia="宋体" w:cs="Arial"/>
          <w:sz w:val="21"/>
          <w:szCs w:val="21"/>
        </w:rPr>
        <w:t>6 项目销售情况汇总表</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_Toc18473 </w:instrText>
      </w:r>
      <w:r>
        <w:rPr>
          <w:rFonts w:hint="default" w:ascii="Arial" w:hAnsi="Arial" w:eastAsia="宋体" w:cs="Arial"/>
          <w:sz w:val="21"/>
          <w:szCs w:val="21"/>
        </w:rPr>
        <w:fldChar w:fldCharType="separate"/>
      </w:r>
      <w:r>
        <w:rPr>
          <w:rFonts w:hint="default" w:ascii="Arial" w:hAnsi="Arial" w:eastAsia="宋体" w:cs="Arial"/>
          <w:sz w:val="21"/>
          <w:szCs w:val="21"/>
        </w:rPr>
        <w:t>8</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_Toc23581 </w:instrText>
      </w:r>
      <w:r>
        <w:rPr>
          <w:rFonts w:hint="default" w:ascii="Arial" w:hAnsi="Arial" w:eastAsia="宋体" w:cs="Arial"/>
          <w:sz w:val="21"/>
          <w:szCs w:val="21"/>
        </w:rPr>
        <w:fldChar w:fldCharType="separate"/>
      </w:r>
      <w:r>
        <w:rPr>
          <w:rFonts w:hint="default" w:ascii="Arial" w:hAnsi="Arial" w:eastAsia="宋体" w:cs="Arial"/>
          <w:sz w:val="21"/>
          <w:szCs w:val="21"/>
        </w:rPr>
        <w:t>7 项目竞品分析</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_Toc23581 </w:instrText>
      </w:r>
      <w:r>
        <w:rPr>
          <w:rFonts w:hint="default" w:ascii="Arial" w:hAnsi="Arial" w:eastAsia="宋体" w:cs="Arial"/>
          <w:sz w:val="21"/>
          <w:szCs w:val="21"/>
        </w:rPr>
        <w:fldChar w:fldCharType="separate"/>
      </w:r>
      <w:r>
        <w:rPr>
          <w:rFonts w:hint="default" w:ascii="Arial" w:hAnsi="Arial" w:eastAsia="宋体" w:cs="Arial"/>
          <w:sz w:val="21"/>
          <w:szCs w:val="21"/>
        </w:rPr>
        <w:t>9</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_Toc859 </w:instrText>
      </w:r>
      <w:r>
        <w:rPr>
          <w:rFonts w:hint="default" w:ascii="Arial" w:hAnsi="Arial" w:eastAsia="宋体" w:cs="Arial"/>
          <w:sz w:val="21"/>
          <w:szCs w:val="21"/>
        </w:rPr>
        <w:fldChar w:fldCharType="separate"/>
      </w:r>
      <w:r>
        <w:rPr>
          <w:rFonts w:hint="default" w:ascii="Arial" w:hAnsi="Arial" w:eastAsia="宋体" w:cs="Arial"/>
          <w:sz w:val="21"/>
          <w:szCs w:val="21"/>
        </w:rPr>
        <w:t>8 资金情况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_Toc859 </w:instrText>
      </w:r>
      <w:r>
        <w:rPr>
          <w:rFonts w:hint="default" w:ascii="Arial" w:hAnsi="Arial" w:eastAsia="宋体" w:cs="Arial"/>
          <w:sz w:val="21"/>
          <w:szCs w:val="21"/>
        </w:rPr>
        <w:fldChar w:fldCharType="separate"/>
      </w:r>
      <w:r>
        <w:rPr>
          <w:rFonts w:hint="default" w:ascii="Arial" w:hAnsi="Arial" w:eastAsia="宋体" w:cs="Arial"/>
          <w:sz w:val="21"/>
          <w:szCs w:val="21"/>
        </w:rPr>
        <w:t>10</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8"/>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_Toc13509 </w:instrText>
      </w:r>
      <w:r>
        <w:rPr>
          <w:rFonts w:hint="default" w:ascii="Arial" w:hAnsi="Arial" w:eastAsia="宋体" w:cs="Arial"/>
          <w:sz w:val="21"/>
          <w:szCs w:val="21"/>
        </w:rPr>
        <w:fldChar w:fldCharType="separate"/>
      </w:r>
      <w:r>
        <w:rPr>
          <w:rFonts w:hint="default" w:ascii="Arial" w:hAnsi="Arial" w:eastAsia="宋体" w:cs="Arial"/>
          <w:sz w:val="21"/>
          <w:szCs w:val="21"/>
        </w:rPr>
        <w:t>8.1 资金使用汇总表（2020年</w:t>
      </w:r>
      <w:r>
        <w:rPr>
          <w:rFonts w:hint="default" w:ascii="Arial" w:hAnsi="Arial" w:eastAsia="宋体" w:cs="Arial"/>
          <w:sz w:val="21"/>
          <w:szCs w:val="21"/>
          <w:lang w:val="en-US" w:eastAsia="zh-CN"/>
        </w:rPr>
        <w:t>11</w:t>
      </w:r>
      <w:r>
        <w:rPr>
          <w:rFonts w:hint="default" w:ascii="Arial" w:hAnsi="Arial" w:eastAsia="宋体" w:cs="Arial"/>
          <w:sz w:val="21"/>
          <w:szCs w:val="21"/>
        </w:rPr>
        <w:t>月）</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_Toc13509 </w:instrText>
      </w:r>
      <w:r>
        <w:rPr>
          <w:rFonts w:hint="default" w:ascii="Arial" w:hAnsi="Arial" w:eastAsia="宋体" w:cs="Arial"/>
          <w:sz w:val="21"/>
          <w:szCs w:val="21"/>
        </w:rPr>
        <w:fldChar w:fldCharType="separate"/>
      </w:r>
      <w:r>
        <w:rPr>
          <w:rFonts w:hint="default" w:ascii="Arial" w:hAnsi="Arial" w:eastAsia="宋体" w:cs="Arial"/>
          <w:sz w:val="21"/>
          <w:szCs w:val="21"/>
        </w:rPr>
        <w:t>10</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8"/>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_Toc31177 </w:instrText>
      </w:r>
      <w:r>
        <w:rPr>
          <w:rFonts w:hint="default" w:ascii="Arial" w:hAnsi="Arial" w:eastAsia="宋体" w:cs="Arial"/>
          <w:sz w:val="21"/>
          <w:szCs w:val="21"/>
        </w:rPr>
        <w:fldChar w:fldCharType="separate"/>
      </w:r>
      <w:r>
        <w:rPr>
          <w:rFonts w:hint="default" w:ascii="Arial" w:hAnsi="Arial" w:eastAsia="宋体" w:cs="Arial"/>
          <w:sz w:val="21"/>
          <w:szCs w:val="21"/>
        </w:rPr>
        <w:t>8.2资金流出情况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_Toc31177 </w:instrText>
      </w:r>
      <w:r>
        <w:rPr>
          <w:rFonts w:hint="default" w:ascii="Arial" w:hAnsi="Arial" w:eastAsia="宋体" w:cs="Arial"/>
          <w:sz w:val="21"/>
          <w:szCs w:val="21"/>
        </w:rPr>
        <w:fldChar w:fldCharType="separate"/>
      </w:r>
      <w:r>
        <w:rPr>
          <w:rFonts w:hint="default" w:ascii="Arial" w:hAnsi="Arial" w:eastAsia="宋体" w:cs="Arial"/>
          <w:sz w:val="21"/>
          <w:szCs w:val="21"/>
        </w:rPr>
        <w:t>11</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8"/>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_Toc29408 </w:instrText>
      </w:r>
      <w:r>
        <w:rPr>
          <w:rFonts w:hint="default" w:ascii="Arial" w:hAnsi="Arial" w:eastAsia="宋体" w:cs="Arial"/>
          <w:sz w:val="21"/>
          <w:szCs w:val="21"/>
        </w:rPr>
        <w:fldChar w:fldCharType="separate"/>
      </w:r>
      <w:r>
        <w:rPr>
          <w:rFonts w:hint="default" w:ascii="Arial" w:hAnsi="Arial" w:eastAsia="宋体" w:cs="Arial"/>
          <w:sz w:val="21"/>
          <w:szCs w:val="21"/>
        </w:rPr>
        <w:t>8.3 资金流入情况</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_Toc29408 </w:instrText>
      </w:r>
      <w:r>
        <w:rPr>
          <w:rFonts w:hint="default" w:ascii="Arial" w:hAnsi="Arial" w:eastAsia="宋体" w:cs="Arial"/>
          <w:sz w:val="21"/>
          <w:szCs w:val="21"/>
        </w:rPr>
        <w:fldChar w:fldCharType="separate"/>
      </w:r>
      <w:r>
        <w:rPr>
          <w:rFonts w:hint="default" w:ascii="Arial" w:hAnsi="Arial" w:eastAsia="宋体" w:cs="Arial"/>
          <w:sz w:val="21"/>
          <w:szCs w:val="21"/>
        </w:rPr>
        <w:t>17</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8"/>
        <w:keepNext w:val="0"/>
        <w:keepLines w:val="0"/>
        <w:pageBreakBefore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_Toc29538 </w:instrText>
      </w:r>
      <w:r>
        <w:rPr>
          <w:rFonts w:hint="default" w:ascii="Arial" w:hAnsi="Arial" w:eastAsia="宋体" w:cs="Arial"/>
          <w:sz w:val="21"/>
          <w:szCs w:val="21"/>
        </w:rPr>
        <w:fldChar w:fldCharType="separate"/>
      </w:r>
      <w:r>
        <w:rPr>
          <w:rFonts w:hint="default" w:ascii="Arial" w:hAnsi="Arial" w:eastAsia="宋体" w:cs="Arial"/>
          <w:bCs/>
          <w:sz w:val="21"/>
          <w:szCs w:val="21"/>
        </w:rPr>
        <w:t>8.3.1其他资金流入明细</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_Toc29538 </w:instrText>
      </w:r>
      <w:r>
        <w:rPr>
          <w:rFonts w:hint="default" w:ascii="Arial" w:hAnsi="Arial" w:eastAsia="宋体" w:cs="Arial"/>
          <w:sz w:val="21"/>
          <w:szCs w:val="21"/>
        </w:rPr>
        <w:fldChar w:fldCharType="separate"/>
      </w:r>
      <w:r>
        <w:rPr>
          <w:rFonts w:hint="default" w:ascii="Arial" w:hAnsi="Arial" w:eastAsia="宋体" w:cs="Arial"/>
          <w:sz w:val="21"/>
          <w:szCs w:val="21"/>
        </w:rPr>
        <w:t>17</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8"/>
        <w:keepNext w:val="0"/>
        <w:keepLines w:val="0"/>
        <w:pageBreakBefore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_Toc8697 </w:instrText>
      </w:r>
      <w:r>
        <w:rPr>
          <w:rFonts w:hint="default" w:ascii="Arial" w:hAnsi="Arial" w:eastAsia="宋体" w:cs="Arial"/>
          <w:sz w:val="21"/>
          <w:szCs w:val="21"/>
        </w:rPr>
        <w:fldChar w:fldCharType="separate"/>
      </w:r>
      <w:r>
        <w:rPr>
          <w:rFonts w:hint="default" w:ascii="Arial" w:hAnsi="Arial" w:eastAsia="宋体" w:cs="Arial"/>
          <w:sz w:val="21"/>
          <w:szCs w:val="21"/>
        </w:rPr>
        <w:t>8.3.2销售资金流入明细</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_Toc8697 </w:instrText>
      </w:r>
      <w:r>
        <w:rPr>
          <w:rFonts w:hint="default" w:ascii="Arial" w:hAnsi="Arial" w:eastAsia="宋体" w:cs="Arial"/>
          <w:sz w:val="21"/>
          <w:szCs w:val="21"/>
        </w:rPr>
        <w:fldChar w:fldCharType="separate"/>
      </w:r>
      <w:r>
        <w:rPr>
          <w:rFonts w:hint="default" w:ascii="Arial" w:hAnsi="Arial" w:eastAsia="宋体" w:cs="Arial"/>
          <w:sz w:val="21"/>
          <w:szCs w:val="21"/>
        </w:rPr>
        <w:t>17</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8"/>
        <w:keepNext w:val="0"/>
        <w:keepLines w:val="0"/>
        <w:pageBreakBefore w:val="0"/>
        <w:tabs>
          <w:tab w:val="right" w:leader="dot" w:pos="9298"/>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_Toc27531 </w:instrText>
      </w:r>
      <w:r>
        <w:rPr>
          <w:rFonts w:hint="default" w:ascii="Arial" w:hAnsi="Arial" w:eastAsia="宋体" w:cs="Arial"/>
          <w:sz w:val="21"/>
          <w:szCs w:val="21"/>
        </w:rPr>
        <w:fldChar w:fldCharType="separate"/>
      </w:r>
      <w:r>
        <w:rPr>
          <w:rFonts w:hint="default" w:ascii="Arial" w:hAnsi="Arial" w:eastAsia="宋体" w:cs="Arial"/>
          <w:sz w:val="21"/>
          <w:szCs w:val="21"/>
        </w:rPr>
        <w:t>8.3.3销售回款明细</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_Toc27531 </w:instrText>
      </w:r>
      <w:r>
        <w:rPr>
          <w:rFonts w:hint="default" w:ascii="Arial" w:hAnsi="Arial" w:eastAsia="宋体" w:cs="Arial"/>
          <w:sz w:val="21"/>
          <w:szCs w:val="21"/>
        </w:rPr>
        <w:fldChar w:fldCharType="separate"/>
      </w:r>
      <w:r>
        <w:rPr>
          <w:rFonts w:hint="default" w:ascii="Arial" w:hAnsi="Arial" w:eastAsia="宋体" w:cs="Arial"/>
          <w:sz w:val="21"/>
          <w:szCs w:val="21"/>
        </w:rPr>
        <w:t>23</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8"/>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_Toc7617 </w:instrText>
      </w:r>
      <w:r>
        <w:rPr>
          <w:rFonts w:hint="default" w:ascii="Arial" w:hAnsi="Arial" w:eastAsia="宋体" w:cs="Arial"/>
          <w:sz w:val="21"/>
          <w:szCs w:val="21"/>
        </w:rPr>
        <w:fldChar w:fldCharType="separate"/>
      </w:r>
      <w:r>
        <w:rPr>
          <w:rFonts w:hint="default" w:ascii="Arial" w:hAnsi="Arial" w:eastAsia="宋体" w:cs="Arial"/>
          <w:sz w:val="21"/>
          <w:szCs w:val="21"/>
        </w:rPr>
        <w:t>8.4 各银行账户余额</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_Toc7617 </w:instrText>
      </w:r>
      <w:r>
        <w:rPr>
          <w:rFonts w:hint="default" w:ascii="Arial" w:hAnsi="Arial" w:eastAsia="宋体" w:cs="Arial"/>
          <w:sz w:val="21"/>
          <w:szCs w:val="21"/>
        </w:rPr>
        <w:fldChar w:fldCharType="separate"/>
      </w:r>
      <w:r>
        <w:rPr>
          <w:rFonts w:hint="default" w:ascii="Arial" w:hAnsi="Arial" w:eastAsia="宋体" w:cs="Arial"/>
          <w:sz w:val="21"/>
          <w:szCs w:val="21"/>
        </w:rPr>
        <w:t>24</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_Toc28047 </w:instrText>
      </w:r>
      <w:r>
        <w:rPr>
          <w:rFonts w:hint="default" w:ascii="Arial" w:hAnsi="Arial" w:eastAsia="宋体" w:cs="Arial"/>
          <w:sz w:val="21"/>
          <w:szCs w:val="21"/>
        </w:rPr>
        <w:fldChar w:fldCharType="separate"/>
      </w:r>
      <w:r>
        <w:rPr>
          <w:rFonts w:hint="default" w:ascii="Arial" w:hAnsi="Arial" w:eastAsia="宋体" w:cs="Arial"/>
          <w:sz w:val="21"/>
          <w:szCs w:val="21"/>
        </w:rPr>
        <w:t>附件</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_Toc28047 </w:instrText>
      </w:r>
      <w:r>
        <w:rPr>
          <w:rFonts w:hint="default" w:ascii="Arial" w:hAnsi="Arial" w:eastAsia="宋体" w:cs="Arial"/>
          <w:sz w:val="21"/>
          <w:szCs w:val="21"/>
        </w:rPr>
        <w:fldChar w:fldCharType="separate"/>
      </w:r>
      <w:r>
        <w:rPr>
          <w:rFonts w:hint="default" w:ascii="Arial" w:hAnsi="Arial" w:eastAsia="宋体" w:cs="Arial"/>
          <w:sz w:val="21"/>
          <w:szCs w:val="21"/>
        </w:rPr>
        <w:t>25</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8"/>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_Toc20809 </w:instrText>
      </w:r>
      <w:r>
        <w:rPr>
          <w:rFonts w:hint="default" w:ascii="Arial" w:hAnsi="Arial" w:eastAsia="宋体" w:cs="Arial"/>
          <w:sz w:val="21"/>
          <w:szCs w:val="21"/>
        </w:rPr>
        <w:fldChar w:fldCharType="separate"/>
      </w:r>
      <w:r>
        <w:rPr>
          <w:rFonts w:hint="default" w:ascii="Arial" w:hAnsi="Arial" w:eastAsia="宋体" w:cs="Arial"/>
          <w:sz w:val="21"/>
          <w:szCs w:val="21"/>
        </w:rPr>
        <w:t>附件一  项目平面图</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_Toc20809 </w:instrText>
      </w:r>
      <w:r>
        <w:rPr>
          <w:rFonts w:hint="default" w:ascii="Arial" w:hAnsi="Arial" w:eastAsia="宋体" w:cs="Arial"/>
          <w:sz w:val="21"/>
          <w:szCs w:val="21"/>
        </w:rPr>
        <w:fldChar w:fldCharType="separate"/>
      </w:r>
      <w:r>
        <w:rPr>
          <w:rFonts w:hint="default" w:ascii="Arial" w:hAnsi="Arial" w:eastAsia="宋体" w:cs="Arial"/>
          <w:sz w:val="21"/>
          <w:szCs w:val="21"/>
        </w:rPr>
        <w:t>25</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18"/>
        <w:keepNext w:val="0"/>
        <w:keepLines w:val="0"/>
        <w:pageBreakBefore w:val="0"/>
        <w:tabs>
          <w:tab w:val="right" w:leader="dot" w:pos="9298"/>
          <w:tab w:val="clear" w:pos="8302"/>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rPr>
      </w:pPr>
      <w:r>
        <w:rPr>
          <w:rFonts w:hint="default" w:ascii="Arial" w:hAnsi="Arial" w:eastAsia="宋体" w:cs="Arial"/>
          <w:color w:val="000000"/>
          <w:sz w:val="21"/>
          <w:szCs w:val="21"/>
        </w:rPr>
        <w:fldChar w:fldCharType="begin"/>
      </w:r>
      <w:r>
        <w:rPr>
          <w:rFonts w:hint="default" w:ascii="Arial" w:hAnsi="Arial" w:eastAsia="宋体" w:cs="Arial"/>
          <w:sz w:val="21"/>
          <w:szCs w:val="21"/>
        </w:rPr>
        <w:instrText xml:space="preserve"> HYPERLINK \l _Toc22880 </w:instrText>
      </w:r>
      <w:r>
        <w:rPr>
          <w:rFonts w:hint="default" w:ascii="Arial" w:hAnsi="Arial" w:eastAsia="宋体" w:cs="Arial"/>
          <w:sz w:val="21"/>
          <w:szCs w:val="21"/>
        </w:rPr>
        <w:fldChar w:fldCharType="separate"/>
      </w:r>
      <w:r>
        <w:rPr>
          <w:rFonts w:hint="default" w:ascii="Arial" w:hAnsi="Arial" w:eastAsia="宋体" w:cs="Arial"/>
          <w:sz w:val="21"/>
          <w:szCs w:val="21"/>
        </w:rPr>
        <w:t xml:space="preserve">附件二 </w:t>
      </w:r>
      <w:r>
        <w:rPr>
          <w:rFonts w:hint="default" w:ascii="Arial" w:hAnsi="Arial" w:eastAsia="宋体" w:cs="Arial"/>
          <w:sz w:val="21"/>
          <w:szCs w:val="21"/>
          <w:lang w:eastAsia="zh-CN"/>
        </w:rPr>
        <w:t>印鉴卡</w:t>
      </w:r>
      <w:r>
        <w:rPr>
          <w:rFonts w:hint="default" w:ascii="Arial" w:hAnsi="Arial" w:eastAsia="宋体" w:cs="Arial"/>
          <w:sz w:val="21"/>
          <w:szCs w:val="21"/>
        </w:rPr>
        <w:tab/>
      </w:r>
      <w:r>
        <w:rPr>
          <w:rFonts w:hint="default" w:ascii="Arial" w:hAnsi="Arial" w:eastAsia="宋体" w:cs="Arial"/>
          <w:sz w:val="21"/>
          <w:szCs w:val="21"/>
        </w:rPr>
        <w:fldChar w:fldCharType="begin"/>
      </w:r>
      <w:r>
        <w:rPr>
          <w:rFonts w:hint="default" w:ascii="Arial" w:hAnsi="Arial" w:eastAsia="宋体" w:cs="Arial"/>
          <w:sz w:val="21"/>
          <w:szCs w:val="21"/>
        </w:rPr>
        <w:instrText xml:space="preserve"> PAGEREF _Toc22880 </w:instrText>
      </w:r>
      <w:r>
        <w:rPr>
          <w:rFonts w:hint="default" w:ascii="Arial" w:hAnsi="Arial" w:eastAsia="宋体" w:cs="Arial"/>
          <w:sz w:val="21"/>
          <w:szCs w:val="21"/>
        </w:rPr>
        <w:fldChar w:fldCharType="separate"/>
      </w:r>
      <w:r>
        <w:rPr>
          <w:rFonts w:hint="default" w:ascii="Arial" w:hAnsi="Arial" w:eastAsia="宋体" w:cs="Arial"/>
          <w:sz w:val="21"/>
          <w:szCs w:val="21"/>
        </w:rPr>
        <w:t>26</w:t>
      </w:r>
      <w:r>
        <w:rPr>
          <w:rFonts w:hint="default" w:ascii="Arial" w:hAnsi="Arial" w:eastAsia="宋体" w:cs="Arial"/>
          <w:sz w:val="21"/>
          <w:szCs w:val="21"/>
        </w:rPr>
        <w:fldChar w:fldCharType="end"/>
      </w:r>
      <w:r>
        <w:rPr>
          <w:rFonts w:hint="default" w:ascii="Arial" w:hAnsi="Arial" w:eastAsia="宋体" w:cs="Arial"/>
          <w:color w:val="000000"/>
          <w:sz w:val="21"/>
          <w:szCs w:val="21"/>
        </w:rPr>
        <w:fldChar w:fldCharType="end"/>
      </w:r>
    </w:p>
    <w:p>
      <w:pPr>
        <w:pStyle w:val="4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color w:val="000000"/>
          <w:sz w:val="21"/>
          <w:szCs w:val="21"/>
        </w:rPr>
        <w:sectPr>
          <w:pgSz w:w="11906" w:h="16838"/>
          <w:pgMar w:top="1134" w:right="1134" w:bottom="1134" w:left="1134" w:header="851" w:footer="851" w:gutter="340"/>
          <w:pgNumType w:start="1"/>
          <w:cols w:space="720" w:num="1"/>
          <w:docGrid w:linePitch="312" w:charSpace="0"/>
        </w:sectPr>
      </w:pPr>
      <w:r>
        <w:rPr>
          <w:rFonts w:hint="default" w:ascii="Arial" w:hAnsi="Arial" w:eastAsia="宋体" w:cs="Arial"/>
          <w:color w:val="000000"/>
          <w:sz w:val="21"/>
          <w:szCs w:val="21"/>
        </w:rPr>
        <w:fldChar w:fldCharType="end"/>
      </w:r>
    </w:p>
    <w:p>
      <w:pPr>
        <w:spacing w:line="480" w:lineRule="auto"/>
        <w:ind w:firstLine="420" w:firstLineChars="200"/>
        <w:jc w:val="left"/>
        <w:rPr>
          <w:rFonts w:ascii="Arial" w:hAnsi="Arial" w:cs="Arial"/>
          <w:bCs/>
          <w:kern w:val="44"/>
          <w:szCs w:val="21"/>
        </w:rPr>
      </w:pPr>
      <w:bookmarkStart w:id="0" w:name="_Toc373309848"/>
      <w:r>
        <w:rPr>
          <w:rFonts w:ascii="Arial" w:hAnsi="Arial" w:cs="Arial"/>
          <w:bCs/>
          <w:kern w:val="44"/>
          <w:szCs w:val="21"/>
        </w:rPr>
        <w:t>为了方便阅读之目的，本报告中将部分名称简写为：</w:t>
      </w:r>
    </w:p>
    <w:p>
      <w:pPr>
        <w:spacing w:line="480" w:lineRule="auto"/>
        <w:ind w:firstLine="420" w:firstLineChars="200"/>
        <w:jc w:val="left"/>
        <w:rPr>
          <w:rFonts w:ascii="Arial" w:hAnsi="Arial" w:cs="Arial"/>
          <w:bCs/>
          <w:kern w:val="44"/>
          <w:szCs w:val="21"/>
        </w:rPr>
      </w:pPr>
      <w:r>
        <w:rPr>
          <w:rFonts w:ascii="Arial" w:hAnsi="Arial" w:cs="Arial"/>
          <w:bCs/>
          <w:kern w:val="44"/>
          <w:szCs w:val="21"/>
        </w:rPr>
        <w:t>·标的项目：武汉光谷正荣府项目</w:t>
      </w:r>
    </w:p>
    <w:p>
      <w:pPr>
        <w:spacing w:line="480" w:lineRule="auto"/>
        <w:ind w:firstLine="424" w:firstLineChars="202"/>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公司：武</w:t>
      </w:r>
      <w:r>
        <w:rPr>
          <w:rFonts w:ascii="Arial" w:hAnsi="Arial" w:cs="Arial"/>
          <w:bCs/>
          <w:kern w:val="44"/>
          <w:szCs w:val="21"/>
          <w:highlight w:val="none"/>
        </w:rPr>
        <w:t>汉正</w:t>
      </w:r>
      <w:r>
        <w:rPr>
          <w:rFonts w:ascii="Arial" w:hAnsi="Arial" w:cs="Arial"/>
          <w:bCs/>
          <w:kern w:val="44"/>
          <w:szCs w:val="21"/>
        </w:rPr>
        <w:t>襄企业管理咨询有限公司（以下简称“正襄”）</w:t>
      </w:r>
    </w:p>
    <w:p>
      <w:pPr>
        <w:spacing w:line="480" w:lineRule="auto"/>
        <w:ind w:firstLine="420" w:firstLineChars="200"/>
        <w:jc w:val="left"/>
        <w:rPr>
          <w:rFonts w:ascii="Arial" w:hAnsi="Arial" w:cs="Arial"/>
          <w:bCs/>
          <w:kern w:val="44"/>
          <w:szCs w:val="21"/>
        </w:rPr>
      </w:pPr>
      <w:r>
        <w:rPr>
          <w:rFonts w:ascii="Arial" w:hAnsi="Arial" w:cs="Arial"/>
          <w:bCs/>
          <w:kern w:val="44"/>
          <w:szCs w:val="21"/>
        </w:rPr>
        <w:t>·项目公司：武</w:t>
      </w:r>
      <w:r>
        <w:rPr>
          <w:rFonts w:ascii="Arial" w:hAnsi="Arial" w:cs="Arial"/>
          <w:bCs/>
          <w:kern w:val="44"/>
          <w:szCs w:val="21"/>
          <w:highlight w:val="none"/>
        </w:rPr>
        <w:t>汉正</w:t>
      </w:r>
      <w:r>
        <w:rPr>
          <w:rFonts w:ascii="Arial" w:hAnsi="Arial" w:cs="Arial"/>
          <w:bCs/>
          <w:kern w:val="44"/>
          <w:szCs w:val="21"/>
        </w:rPr>
        <w:t>楚置业发展有限公司（以下简称“</w:t>
      </w:r>
      <w:r>
        <w:rPr>
          <w:rFonts w:ascii="Arial" w:hAnsi="Arial" w:cs="Arial"/>
          <w:bCs/>
          <w:kern w:val="44"/>
          <w:szCs w:val="21"/>
          <w:highlight w:val="none"/>
        </w:rPr>
        <w:t>正楚</w:t>
      </w:r>
      <w:r>
        <w:rPr>
          <w:rFonts w:ascii="Arial" w:hAnsi="Arial" w:cs="Arial"/>
          <w:bCs/>
          <w:kern w:val="44"/>
          <w:szCs w:val="21"/>
        </w:rPr>
        <w:t>”）</w:t>
      </w:r>
    </w:p>
    <w:p>
      <w:pPr>
        <w:spacing w:line="480" w:lineRule="auto"/>
        <w:ind w:firstLine="420" w:firstLineChars="200"/>
        <w:jc w:val="left"/>
        <w:rPr>
          <w:rFonts w:ascii="Arial" w:hAnsi="Arial" w:cs="Arial"/>
          <w:bCs/>
          <w:kern w:val="44"/>
          <w:szCs w:val="21"/>
        </w:rPr>
      </w:pPr>
      <w:r>
        <w:rPr>
          <w:rFonts w:ascii="Arial" w:hAnsi="Arial" w:cs="Arial"/>
          <w:bCs/>
          <w:kern w:val="44"/>
          <w:szCs w:val="21"/>
        </w:rPr>
        <w:t>·光大信托：光大兴陇信托有限责任公司</w:t>
      </w:r>
    </w:p>
    <w:p>
      <w:pPr>
        <w:spacing w:line="480" w:lineRule="auto"/>
        <w:ind w:firstLine="420" w:firstLineChars="200"/>
        <w:jc w:val="left"/>
        <w:rPr>
          <w:rFonts w:ascii="Arial" w:hAnsi="Arial" w:cs="Arial"/>
          <w:bCs/>
          <w:kern w:val="44"/>
          <w:szCs w:val="21"/>
        </w:rPr>
      </w:pPr>
      <w:r>
        <w:rPr>
          <w:rFonts w:ascii="Arial" w:hAnsi="Arial" w:cs="Arial"/>
          <w:bCs/>
          <w:kern w:val="44"/>
          <w:szCs w:val="21"/>
        </w:rPr>
        <w:t>·康信君安：北京康信君安资产管理有限公司</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color w:val="000000"/>
          <w:sz w:val="24"/>
          <w:szCs w:val="24"/>
        </w:rPr>
      </w:pPr>
      <w:bookmarkStart w:id="2" w:name="_Toc50218126"/>
      <w:bookmarkStart w:id="3" w:name="_Toc535580018"/>
      <w:bookmarkStart w:id="4" w:name="_Toc32129"/>
      <w:bookmarkStart w:id="5" w:name="_Toc1689"/>
      <w:bookmarkStart w:id="6" w:name="_Toc532281654"/>
      <w:bookmarkStart w:id="7" w:name="_Toc535580086"/>
      <w:bookmarkStart w:id="8" w:name="_Toc535570745"/>
      <w:bookmarkStart w:id="9" w:name="_Toc535508633"/>
      <w:bookmarkStart w:id="10" w:name="_Toc15574"/>
      <w:r>
        <w:rPr>
          <w:rFonts w:hint="default" w:ascii="Arial" w:hAnsi="Arial" w:eastAsia="宋体" w:cs="Arial"/>
          <w:color w:val="000000"/>
          <w:sz w:val="24"/>
          <w:szCs w:val="24"/>
        </w:rPr>
        <w:t>1项目基本情况</w:t>
      </w:r>
      <w:bookmarkEnd w:id="2"/>
      <w:bookmarkEnd w:id="3"/>
      <w:bookmarkEnd w:id="4"/>
      <w:bookmarkEnd w:id="5"/>
      <w:bookmarkEnd w:id="6"/>
      <w:bookmarkEnd w:id="7"/>
      <w:bookmarkEnd w:id="8"/>
      <w:bookmarkEnd w:id="9"/>
      <w:bookmarkEnd w:id="10"/>
    </w:p>
    <w:p>
      <w:pPr>
        <w:jc w:val="center"/>
        <w:rPr>
          <w:rFonts w:hint="default" w:ascii="Arial" w:hAnsi="Arial" w:cs="Arial"/>
        </w:rPr>
      </w:pPr>
      <w:r>
        <w:rPr>
          <w:rFonts w:hint="default" w:ascii="Arial" w:hAnsi="Arial" w:cs="Arial"/>
          <w:sz w:val="24"/>
        </w:rPr>
        <w:drawing>
          <wp:inline distT="0" distB="0" distL="114300" distR="114300">
            <wp:extent cx="5819775" cy="3880485"/>
            <wp:effectExtent l="0" t="0" r="9525" b="5715"/>
            <wp:docPr id="35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 descr="IMG_256"/>
                    <pic:cNvPicPr>
                      <a:picLocks noChangeAspect="1"/>
                    </pic:cNvPicPr>
                  </pic:nvPicPr>
                  <pic:blipFill>
                    <a:blip r:embed="rId7"/>
                    <a:stretch>
                      <a:fillRect/>
                    </a:stretch>
                  </pic:blipFill>
                  <pic:spPr>
                    <a:xfrm>
                      <a:off x="0" y="0"/>
                      <a:ext cx="5819775" cy="3880485"/>
                    </a:xfrm>
                    <a:prstGeom prst="rect">
                      <a:avLst/>
                    </a:prstGeom>
                    <a:noFill/>
                    <a:ln w="9525">
                      <a:noFill/>
                    </a:ln>
                  </pic:spPr>
                </pic:pic>
              </a:graphicData>
            </a:graphic>
          </wp:inline>
        </w:drawing>
      </w:r>
    </w:p>
    <w:p>
      <w:pPr>
        <w:spacing w:line="480" w:lineRule="auto"/>
        <w:ind w:firstLine="420" w:firstLineChars="200"/>
        <w:rPr>
          <w:rFonts w:hint="default" w:ascii="Arial" w:hAnsi="Arial" w:cs="Arial"/>
          <w:bCs/>
          <w:kern w:val="44"/>
          <w:szCs w:val="21"/>
        </w:rPr>
      </w:pPr>
    </w:p>
    <w:p>
      <w:pPr>
        <w:spacing w:line="480" w:lineRule="auto"/>
        <w:ind w:firstLine="420" w:firstLineChars="200"/>
        <w:rPr>
          <w:rFonts w:hint="default" w:ascii="Arial" w:hAnsi="Arial" w:cs="Arial"/>
          <w:color w:val="000000"/>
          <w:sz w:val="21"/>
          <w:szCs w:val="21"/>
        </w:rPr>
      </w:pPr>
      <w:r>
        <w:rPr>
          <w:rFonts w:hint="default" w:ascii="Arial" w:hAnsi="Arial" w:cs="Arial"/>
          <w:bCs/>
          <w:kern w:val="44"/>
          <w:szCs w:val="21"/>
        </w:rPr>
        <w:t>光谷正荣府位于</w:t>
      </w:r>
      <w:r>
        <w:rPr>
          <w:rFonts w:hint="default" w:ascii="Arial" w:hAnsi="Arial" w:cs="Arial"/>
          <w:color w:val="000000"/>
          <w:kern w:val="0"/>
          <w:szCs w:val="21"/>
          <w:lang w:bidi="ar"/>
        </w:rPr>
        <w:t>东湖新技术开发区流芳园横路以南，紫何路以西，玉河街以北、豹西路以东，</w:t>
      </w:r>
      <w:r>
        <w:rPr>
          <w:rFonts w:hint="default" w:ascii="Arial" w:hAnsi="Arial" w:cs="Arial"/>
          <w:bCs/>
          <w:kern w:val="44"/>
          <w:szCs w:val="21"/>
        </w:rPr>
        <w:t>项目占地面积46494.45㎡，</w:t>
      </w:r>
      <w:r>
        <w:rPr>
          <w:rFonts w:hint="default" w:ascii="Arial" w:hAnsi="Arial" w:cs="Arial"/>
          <w:szCs w:val="21"/>
        </w:rPr>
        <w:t>规划总建筑面积为140887.32㎡，住宅建筑面积94118㎡（含装配式外墙奖励面积2204.82㎡）,幼儿园1942.52㎡，社区服务站301.00㎡，物业管理用房建筑面积288.02㎡，养老服务用房176.78㎡，体育设施153.51㎡，托老所600.61㎡，开闭所140.82㎡，公厕及环卫工人休息室80.67㎡，消防及安防控制室60.25㎡，垃圾收集屋30.47㎡。地下室建筑面积41044.16㎡。</w:t>
      </w:r>
      <w:r>
        <w:rPr>
          <w:rFonts w:hint="default" w:ascii="Arial" w:hAnsi="Arial" w:cs="Arial"/>
          <w:color w:val="000000"/>
          <w:szCs w:val="21"/>
        </w:rPr>
        <w:t>项目由12栋6-20层住宅楼及配套、1栋商业、1栋幼儿园，1栋开闭所，1栋垃圾收集屋组成。</w:t>
      </w:r>
      <w:bookmarkStart w:id="11" w:name="_Toc50218127"/>
      <w:bookmarkStart w:id="12" w:name="_Toc532281655"/>
      <w:bookmarkStart w:id="13" w:name="_Toc535570748"/>
      <w:bookmarkStart w:id="14" w:name="_Toc535580021"/>
      <w:bookmarkStart w:id="15" w:name="_Toc535508634"/>
      <w:bookmarkStart w:id="16" w:name="_Toc535580089"/>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color w:val="000000"/>
          <w:sz w:val="24"/>
          <w:szCs w:val="24"/>
        </w:rPr>
      </w:pPr>
      <w:bookmarkStart w:id="17" w:name="_Toc17873"/>
      <w:bookmarkStart w:id="18" w:name="_Toc7745"/>
      <w:bookmarkStart w:id="19" w:name="_Toc26247"/>
      <w:r>
        <w:rPr>
          <w:rFonts w:hint="default" w:ascii="Arial" w:hAnsi="Arial" w:eastAsia="宋体" w:cs="Arial"/>
          <w:color w:val="000000"/>
          <w:sz w:val="24"/>
          <w:szCs w:val="24"/>
        </w:rPr>
        <w:t>2重大事件披露</w:t>
      </w:r>
      <w:bookmarkEnd w:id="11"/>
      <w:bookmarkEnd w:id="12"/>
      <w:bookmarkEnd w:id="13"/>
      <w:bookmarkEnd w:id="14"/>
      <w:bookmarkEnd w:id="15"/>
      <w:bookmarkEnd w:id="16"/>
      <w:bookmarkEnd w:id="17"/>
      <w:bookmarkEnd w:id="18"/>
      <w:bookmarkEnd w:id="19"/>
    </w:p>
    <w:p>
      <w:pPr>
        <w:numPr>
          <w:ilvl w:val="255"/>
          <w:numId w:val="0"/>
        </w:numPr>
        <w:spacing w:line="480" w:lineRule="auto"/>
        <w:ind w:firstLine="420" w:firstLineChars="200"/>
        <w:rPr>
          <w:rFonts w:hint="default" w:ascii="Arial" w:hAnsi="Arial" w:cs="Arial"/>
          <w:bCs/>
          <w:kern w:val="44"/>
          <w:szCs w:val="21"/>
        </w:rPr>
      </w:pPr>
      <w:r>
        <w:rPr>
          <w:rFonts w:hint="default" w:ascii="Arial" w:hAnsi="Arial" w:cs="Arial"/>
          <w:bCs/>
          <w:kern w:val="44"/>
          <w:szCs w:val="21"/>
          <w:highlight w:val="none"/>
        </w:rPr>
        <w:t>正楚</w:t>
      </w:r>
      <w:r>
        <w:rPr>
          <w:rFonts w:hint="default" w:ascii="Arial" w:hAnsi="Arial" w:cs="Arial"/>
          <w:bCs/>
          <w:kern w:val="44"/>
          <w:szCs w:val="21"/>
        </w:rPr>
        <w:t>于2020年</w:t>
      </w:r>
      <w:r>
        <w:rPr>
          <w:rFonts w:hint="default" w:ascii="Arial" w:hAnsi="Arial" w:cs="Arial"/>
          <w:bCs/>
          <w:kern w:val="44"/>
          <w:szCs w:val="21"/>
          <w:lang w:val="en-US" w:eastAsia="zh-CN"/>
        </w:rPr>
        <w:t>1</w:t>
      </w:r>
      <w:r>
        <w:rPr>
          <w:rFonts w:hint="eastAsia" w:ascii="Arial" w:hAnsi="Arial" w:cs="Arial"/>
          <w:bCs/>
          <w:kern w:val="44"/>
          <w:szCs w:val="21"/>
          <w:lang w:val="en-US" w:eastAsia="zh-CN"/>
        </w:rPr>
        <w:t>1</w:t>
      </w:r>
      <w:r>
        <w:rPr>
          <w:rFonts w:hint="default" w:ascii="Arial" w:hAnsi="Arial" w:cs="Arial"/>
          <w:bCs/>
          <w:kern w:val="44"/>
          <w:szCs w:val="21"/>
        </w:rPr>
        <w:t>月</w:t>
      </w:r>
      <w:r>
        <w:rPr>
          <w:rFonts w:hint="eastAsia" w:ascii="Arial" w:hAnsi="Arial" w:cs="Arial"/>
          <w:bCs/>
          <w:kern w:val="44"/>
          <w:szCs w:val="21"/>
          <w:lang w:val="en-US" w:eastAsia="zh-CN"/>
        </w:rPr>
        <w:t>6</w:t>
      </w:r>
      <w:r>
        <w:rPr>
          <w:rFonts w:hint="default" w:ascii="Arial" w:hAnsi="Arial" w:cs="Arial"/>
          <w:bCs/>
          <w:kern w:val="44"/>
          <w:szCs w:val="21"/>
        </w:rPr>
        <w:t>日变更</w:t>
      </w:r>
      <w:r>
        <w:rPr>
          <w:rFonts w:hint="eastAsia" w:ascii="Arial" w:hAnsi="Arial" w:cs="Arial"/>
          <w:bCs/>
          <w:kern w:val="44"/>
          <w:szCs w:val="21"/>
          <w:lang w:eastAsia="zh-CN"/>
        </w:rPr>
        <w:t>建设</w:t>
      </w:r>
      <w:r>
        <w:rPr>
          <w:rFonts w:hint="default" w:ascii="Arial" w:hAnsi="Arial" w:cs="Arial"/>
          <w:bCs/>
          <w:kern w:val="44"/>
          <w:szCs w:val="21"/>
        </w:rPr>
        <w:t>银行预留印鉴（印鉴卡详见附件</w:t>
      </w:r>
      <w:r>
        <w:rPr>
          <w:rFonts w:hint="eastAsia" w:ascii="Arial" w:hAnsi="Arial" w:cs="Arial"/>
          <w:bCs/>
          <w:kern w:val="44"/>
          <w:szCs w:val="21"/>
          <w:lang w:eastAsia="zh-CN"/>
        </w:rPr>
        <w:t>二</w:t>
      </w:r>
      <w:r>
        <w:rPr>
          <w:rFonts w:hint="default" w:ascii="Arial" w:hAnsi="Arial" w:cs="Arial"/>
          <w:bCs/>
          <w:kern w:val="44"/>
          <w:szCs w:val="21"/>
        </w:rPr>
        <w:t>）。</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sz w:val="24"/>
          <w:szCs w:val="24"/>
        </w:rPr>
      </w:pPr>
      <w:bookmarkStart w:id="20" w:name="_Toc50218128"/>
      <w:bookmarkStart w:id="21" w:name="_Toc28001"/>
      <w:bookmarkStart w:id="22" w:name="_Toc25842"/>
      <w:bookmarkStart w:id="23" w:name="_Toc20007"/>
      <w:r>
        <w:rPr>
          <w:rFonts w:hint="default" w:ascii="Arial" w:hAnsi="Arial" w:eastAsia="宋体" w:cs="Arial"/>
          <w:sz w:val="24"/>
          <w:szCs w:val="24"/>
        </w:rPr>
        <w:t>3项目五证办理情况及施工进度情况</w:t>
      </w:r>
      <w:bookmarkEnd w:id="20"/>
      <w:bookmarkEnd w:id="21"/>
      <w:bookmarkEnd w:id="22"/>
      <w:bookmarkEnd w:id="23"/>
    </w:p>
    <w:p>
      <w:pPr>
        <w:pStyle w:val="3"/>
        <w:keepNext w:val="0"/>
        <w:keepLines w:val="0"/>
        <w:spacing w:before="300" w:after="300" w:line="360" w:lineRule="exact"/>
        <w:jc w:val="left"/>
        <w:rPr>
          <w:rFonts w:hint="default" w:ascii="Arial" w:hAnsi="Arial" w:eastAsia="宋体" w:cs="Arial"/>
          <w:sz w:val="24"/>
          <w:szCs w:val="24"/>
        </w:rPr>
      </w:pPr>
      <w:bookmarkStart w:id="24" w:name="_Toc10982"/>
      <w:bookmarkStart w:id="25" w:name="_Toc50218129"/>
      <w:bookmarkStart w:id="26" w:name="_Toc16400"/>
      <w:bookmarkStart w:id="27" w:name="_Toc11291"/>
      <w:r>
        <w:rPr>
          <w:rFonts w:hint="default" w:ascii="Arial" w:hAnsi="Arial" w:eastAsia="宋体" w:cs="Arial"/>
          <w:sz w:val="24"/>
          <w:szCs w:val="24"/>
        </w:rPr>
        <w:t>3.1项目五证办理情况说明</w:t>
      </w:r>
      <w:bookmarkEnd w:id="24"/>
      <w:bookmarkEnd w:id="25"/>
      <w:bookmarkEnd w:id="26"/>
      <w:bookmarkEnd w:id="27"/>
    </w:p>
    <w:p>
      <w:pPr>
        <w:spacing w:before="240" w:beforeLines="100"/>
        <w:jc w:val="center"/>
        <w:rPr>
          <w:rFonts w:hint="default" w:ascii="Arial" w:hAnsi="Arial" w:cs="Arial"/>
          <w:b/>
          <w:bCs/>
          <w:kern w:val="44"/>
          <w:sz w:val="24"/>
        </w:rPr>
      </w:pPr>
      <w:r>
        <w:rPr>
          <w:rFonts w:hint="default" w:ascii="Arial" w:hAnsi="Arial" w:cs="Arial"/>
          <w:b/>
          <w:bCs/>
          <w:kern w:val="44"/>
          <w:sz w:val="24"/>
        </w:rPr>
        <w:t>截至2020年</w:t>
      </w:r>
      <w:r>
        <w:rPr>
          <w:rFonts w:hint="default" w:ascii="Arial" w:hAnsi="Arial" w:cs="Arial"/>
          <w:b/>
          <w:bCs/>
          <w:kern w:val="44"/>
          <w:sz w:val="24"/>
          <w:lang w:val="en-US" w:eastAsia="zh-CN"/>
        </w:rPr>
        <w:t>1</w:t>
      </w:r>
      <w:r>
        <w:rPr>
          <w:rFonts w:hint="eastAsia" w:ascii="Arial" w:hAnsi="Arial" w:cs="Arial"/>
          <w:b/>
          <w:bCs/>
          <w:kern w:val="44"/>
          <w:sz w:val="24"/>
          <w:lang w:val="en-US" w:eastAsia="zh-CN"/>
        </w:rPr>
        <w:t>1</w:t>
      </w:r>
      <w:r>
        <w:rPr>
          <w:rFonts w:hint="default" w:ascii="Arial" w:hAnsi="Arial" w:cs="Arial"/>
          <w:b/>
          <w:bCs/>
          <w:kern w:val="44"/>
          <w:sz w:val="24"/>
        </w:rPr>
        <w:t>月3</w:t>
      </w:r>
      <w:r>
        <w:rPr>
          <w:rFonts w:hint="eastAsia" w:ascii="Arial" w:hAnsi="Arial" w:cs="Arial"/>
          <w:b/>
          <w:bCs/>
          <w:kern w:val="44"/>
          <w:sz w:val="24"/>
          <w:lang w:val="en-US" w:eastAsia="zh-CN"/>
        </w:rPr>
        <w:t>0</w:t>
      </w:r>
      <w:r>
        <w:rPr>
          <w:rFonts w:hint="default" w:ascii="Arial" w:hAnsi="Arial" w:cs="Arial"/>
          <w:b/>
          <w:bCs/>
          <w:kern w:val="44"/>
          <w:sz w:val="24"/>
        </w:rPr>
        <w:t>日项目五证办理计划及进度情况</w:t>
      </w:r>
    </w:p>
    <w:p>
      <w:pPr>
        <w:spacing w:before="240" w:beforeLines="100"/>
        <w:jc w:val="center"/>
        <w:rPr>
          <w:rFonts w:hint="default" w:ascii="Arial" w:hAnsi="Arial" w:cs="Arial"/>
          <w:b/>
          <w:bCs/>
          <w:kern w:val="44"/>
          <w:sz w:val="24"/>
        </w:rPr>
      </w:pPr>
    </w:p>
    <w:tbl>
      <w:tblPr>
        <w:tblStyle w:val="22"/>
        <w:tblW w:w="5970" w:type="dxa"/>
        <w:jc w:val="center"/>
        <w:shd w:val="clear" w:color="auto" w:fill="auto"/>
        <w:tblLayout w:type="autofit"/>
        <w:tblCellMar>
          <w:top w:w="0" w:type="dxa"/>
          <w:left w:w="0" w:type="dxa"/>
          <w:bottom w:w="0" w:type="dxa"/>
          <w:right w:w="0" w:type="dxa"/>
        </w:tblCellMar>
      </w:tblPr>
      <w:tblGrid>
        <w:gridCol w:w="2655"/>
        <w:gridCol w:w="3315"/>
      </w:tblGrid>
      <w:tr>
        <w:tblPrEx>
          <w:shd w:val="clear" w:color="auto" w:fill="auto"/>
          <w:tblCellMar>
            <w:top w:w="0" w:type="dxa"/>
            <w:left w:w="0" w:type="dxa"/>
            <w:bottom w:w="0" w:type="dxa"/>
            <w:right w:w="0" w:type="dxa"/>
          </w:tblCellMar>
        </w:tblPrEx>
        <w:trPr>
          <w:trHeight w:val="307" w:hRule="atLeast"/>
          <w:jc w:val="center"/>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证书</w:t>
            </w: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办理情况</w:t>
            </w:r>
          </w:p>
        </w:tc>
      </w:tr>
      <w:tr>
        <w:tblPrEx>
          <w:shd w:val="clear" w:color="auto" w:fill="auto"/>
          <w:tblCellMar>
            <w:top w:w="0" w:type="dxa"/>
            <w:left w:w="0" w:type="dxa"/>
            <w:bottom w:w="0" w:type="dxa"/>
            <w:right w:w="0" w:type="dxa"/>
          </w:tblCellMar>
        </w:tblPrEx>
        <w:trPr>
          <w:trHeight w:val="307" w:hRule="atLeast"/>
          <w:jc w:val="center"/>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不动产权证书</w:t>
            </w: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2020年2月8日</w:t>
            </w:r>
          </w:p>
        </w:tc>
      </w:tr>
      <w:tr>
        <w:tblPrEx>
          <w:shd w:val="clear" w:color="auto" w:fill="auto"/>
          <w:tblCellMar>
            <w:top w:w="0" w:type="dxa"/>
            <w:left w:w="0" w:type="dxa"/>
            <w:bottom w:w="0" w:type="dxa"/>
            <w:right w:w="0" w:type="dxa"/>
          </w:tblCellMar>
        </w:tblPrEx>
        <w:trPr>
          <w:trHeight w:val="327" w:hRule="atLeast"/>
          <w:jc w:val="center"/>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建设用地规划许可证</w:t>
            </w: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2020年1月3日</w:t>
            </w:r>
          </w:p>
        </w:tc>
      </w:tr>
      <w:tr>
        <w:tblPrEx>
          <w:shd w:val="clear" w:color="auto" w:fill="auto"/>
          <w:tblCellMar>
            <w:top w:w="0" w:type="dxa"/>
            <w:left w:w="0" w:type="dxa"/>
            <w:bottom w:w="0" w:type="dxa"/>
            <w:right w:w="0" w:type="dxa"/>
          </w:tblCellMar>
        </w:tblPrEx>
        <w:trPr>
          <w:trHeight w:val="377" w:hRule="atLeast"/>
          <w:jc w:val="center"/>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建设工程规划许可证</w:t>
            </w: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2020年6月29日</w:t>
            </w:r>
          </w:p>
        </w:tc>
      </w:tr>
      <w:tr>
        <w:tblPrEx>
          <w:shd w:val="clear" w:color="auto" w:fill="auto"/>
          <w:tblCellMar>
            <w:top w:w="0" w:type="dxa"/>
            <w:left w:w="0" w:type="dxa"/>
            <w:bottom w:w="0" w:type="dxa"/>
            <w:right w:w="0" w:type="dxa"/>
          </w:tblCellMar>
        </w:tblPrEx>
        <w:trPr>
          <w:trHeight w:val="307" w:hRule="atLeast"/>
          <w:jc w:val="center"/>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建筑工程施工许可证</w:t>
            </w: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2020年7月6日</w:t>
            </w:r>
          </w:p>
        </w:tc>
      </w:tr>
      <w:tr>
        <w:tblPrEx>
          <w:shd w:val="clear" w:color="auto" w:fill="auto"/>
        </w:tblPrEx>
        <w:trPr>
          <w:trHeight w:val="397" w:hRule="atLeast"/>
          <w:jc w:val="center"/>
        </w:trPr>
        <w:tc>
          <w:tcPr>
            <w:tcW w:w="26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预售许可证</w:t>
            </w: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2020年7月24日（5#、6#、7#楼）</w:t>
            </w:r>
          </w:p>
        </w:tc>
      </w:tr>
      <w:tr>
        <w:tblPrEx>
          <w:shd w:val="clear" w:color="auto" w:fill="auto"/>
          <w:tblCellMar>
            <w:top w:w="0" w:type="dxa"/>
            <w:left w:w="0" w:type="dxa"/>
            <w:bottom w:w="0" w:type="dxa"/>
            <w:right w:w="0" w:type="dxa"/>
          </w:tblCellMar>
        </w:tblPrEx>
        <w:trPr>
          <w:trHeight w:val="377" w:hRule="atLeast"/>
          <w:jc w:val="center"/>
        </w:trPr>
        <w:tc>
          <w:tcPr>
            <w:tcW w:w="26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2020年9月17日（3#楼）</w:t>
            </w:r>
          </w:p>
        </w:tc>
      </w:tr>
      <w:tr>
        <w:tblPrEx>
          <w:shd w:val="clear" w:color="auto" w:fill="auto"/>
          <w:tblCellMar>
            <w:top w:w="0" w:type="dxa"/>
            <w:left w:w="0" w:type="dxa"/>
            <w:bottom w:w="0" w:type="dxa"/>
            <w:right w:w="0" w:type="dxa"/>
          </w:tblCellMar>
        </w:tblPrEx>
        <w:trPr>
          <w:trHeight w:val="347" w:hRule="atLeast"/>
          <w:jc w:val="center"/>
        </w:trPr>
        <w:tc>
          <w:tcPr>
            <w:tcW w:w="26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2020年9月24日（2#楼）</w:t>
            </w:r>
          </w:p>
        </w:tc>
      </w:tr>
      <w:tr>
        <w:tblPrEx>
          <w:shd w:val="clear" w:color="auto" w:fill="auto"/>
          <w:tblCellMar>
            <w:top w:w="0" w:type="dxa"/>
            <w:left w:w="0" w:type="dxa"/>
            <w:bottom w:w="0" w:type="dxa"/>
            <w:right w:w="0" w:type="dxa"/>
          </w:tblCellMar>
        </w:tblPrEx>
        <w:trPr>
          <w:trHeight w:val="347" w:hRule="atLeast"/>
          <w:jc w:val="center"/>
        </w:trPr>
        <w:tc>
          <w:tcPr>
            <w:tcW w:w="26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2020年10月19日（8、10#楼）</w:t>
            </w:r>
          </w:p>
        </w:tc>
      </w:tr>
      <w:tr>
        <w:tblPrEx>
          <w:shd w:val="clear" w:color="auto" w:fill="auto"/>
          <w:tblCellMar>
            <w:top w:w="0" w:type="dxa"/>
            <w:left w:w="0" w:type="dxa"/>
            <w:bottom w:w="0" w:type="dxa"/>
            <w:right w:w="0" w:type="dxa"/>
          </w:tblCellMar>
        </w:tblPrEx>
        <w:trPr>
          <w:trHeight w:val="437" w:hRule="atLeast"/>
          <w:jc w:val="center"/>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资质证书</w:t>
            </w: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2020年5月22日暂定等级</w:t>
            </w:r>
          </w:p>
        </w:tc>
      </w:tr>
    </w:tbl>
    <w:p>
      <w:pPr>
        <w:pStyle w:val="3"/>
        <w:keepNext w:val="0"/>
        <w:keepLines w:val="0"/>
        <w:spacing w:before="300" w:after="300" w:line="360" w:lineRule="exact"/>
        <w:jc w:val="left"/>
        <w:rPr>
          <w:rFonts w:hint="default" w:ascii="Arial" w:hAnsi="Arial" w:eastAsia="宋体" w:cs="Arial"/>
          <w:sz w:val="24"/>
          <w:szCs w:val="24"/>
        </w:rPr>
      </w:pPr>
      <w:bookmarkStart w:id="28" w:name="_Toc25385"/>
      <w:bookmarkStart w:id="29" w:name="_Toc27164"/>
      <w:bookmarkStart w:id="30" w:name="_Toc19188"/>
      <w:bookmarkStart w:id="31" w:name="_Toc50218130"/>
      <w:r>
        <w:rPr>
          <w:rFonts w:hint="default" w:ascii="Arial" w:hAnsi="Arial" w:eastAsia="宋体" w:cs="Arial"/>
          <w:sz w:val="24"/>
          <w:szCs w:val="24"/>
        </w:rPr>
        <w:t>3.2工程进度考核</w:t>
      </w:r>
      <w:bookmarkEnd w:id="28"/>
      <w:bookmarkEnd w:id="29"/>
      <w:bookmarkEnd w:id="30"/>
    </w:p>
    <w:p>
      <w:pPr>
        <w:spacing w:line="480" w:lineRule="auto"/>
        <w:ind w:firstLine="420" w:firstLineChars="200"/>
        <w:rPr>
          <w:rFonts w:hint="default" w:ascii="Arial" w:hAnsi="Arial" w:cs="Arial"/>
          <w:bCs/>
          <w:kern w:val="44"/>
          <w:szCs w:val="21"/>
        </w:rPr>
      </w:pPr>
      <w:r>
        <w:rPr>
          <w:rFonts w:hint="default" w:ascii="Arial" w:hAnsi="Arial" w:cs="Arial"/>
          <w:szCs w:val="21"/>
        </w:rPr>
        <w:t>根据监管协议信托计划工程进度考核，合伙企业支付首笔项目投资款后【6】个月内，目标项目可取得预售许可证面积应不低于总可售面积【40】%，截至2020年</w:t>
      </w:r>
      <w:r>
        <w:rPr>
          <w:rFonts w:hint="default" w:ascii="Arial" w:hAnsi="Arial" w:cs="Arial"/>
          <w:szCs w:val="21"/>
          <w:lang w:val="en-US" w:eastAsia="zh-CN"/>
        </w:rPr>
        <w:t>1</w:t>
      </w:r>
      <w:r>
        <w:rPr>
          <w:rFonts w:hint="default" w:ascii="Arial" w:hAnsi="Arial" w:cs="Arial"/>
          <w:szCs w:val="21"/>
          <w:lang w:val="en-US" w:eastAsia="zh-CN"/>
        </w:rPr>
        <w:t>1</w:t>
      </w:r>
      <w:r>
        <w:rPr>
          <w:rFonts w:hint="default" w:ascii="Arial" w:hAnsi="Arial" w:cs="Arial"/>
          <w:szCs w:val="21"/>
        </w:rPr>
        <w:t>月3</w:t>
      </w:r>
      <w:r>
        <w:rPr>
          <w:rFonts w:hint="default" w:ascii="Arial" w:hAnsi="Arial" w:cs="Arial"/>
          <w:szCs w:val="21"/>
          <w:lang w:val="en-US" w:eastAsia="zh-CN"/>
        </w:rPr>
        <w:t>0</w:t>
      </w:r>
      <w:r>
        <w:rPr>
          <w:rFonts w:hint="default" w:ascii="Arial" w:hAnsi="Arial" w:cs="Arial"/>
          <w:szCs w:val="21"/>
        </w:rPr>
        <w:t>日，项目公司收到首笔投资款</w:t>
      </w:r>
      <w:r>
        <w:rPr>
          <w:rFonts w:hint="default" w:ascii="Arial" w:hAnsi="Arial" w:cs="Arial"/>
          <w:szCs w:val="21"/>
          <w:lang w:val="en-US" w:eastAsia="zh-CN"/>
        </w:rPr>
        <w:t>3</w:t>
      </w:r>
      <w:r>
        <w:rPr>
          <w:rFonts w:hint="default" w:ascii="Arial" w:hAnsi="Arial" w:cs="Arial"/>
          <w:szCs w:val="21"/>
        </w:rPr>
        <w:t>个月，项目总建筑面积</w:t>
      </w:r>
      <w:r>
        <w:rPr>
          <w:rFonts w:hint="default" w:ascii="Arial" w:hAnsi="Arial" w:cs="Arial"/>
          <w:color w:val="000000"/>
          <w:kern w:val="0"/>
          <w:szCs w:val="21"/>
          <w:lang w:bidi="ar"/>
        </w:rPr>
        <w:t>140883.32</w:t>
      </w:r>
      <w:r>
        <w:rPr>
          <w:rFonts w:hint="default" w:ascii="Arial" w:hAnsi="Arial" w:cs="Arial"/>
          <w:bCs/>
          <w:kern w:val="44"/>
          <w:szCs w:val="21"/>
        </w:rPr>
        <w:t>㎡，</w:t>
      </w:r>
      <w:r>
        <w:rPr>
          <w:rFonts w:hint="default" w:ascii="Arial" w:hAnsi="Arial" w:cs="Arial"/>
          <w:szCs w:val="21"/>
        </w:rPr>
        <w:t>总可售面积</w:t>
      </w:r>
      <w:r>
        <w:rPr>
          <w:rFonts w:hint="default" w:ascii="Arial" w:hAnsi="Arial" w:eastAsia="仿宋_GB2312" w:cs="Arial"/>
          <w:szCs w:val="21"/>
        </w:rPr>
        <w:t>93863.69</w:t>
      </w:r>
      <w:r>
        <w:rPr>
          <w:rFonts w:hint="default" w:ascii="Arial" w:hAnsi="Arial" w:cs="Arial"/>
          <w:bCs/>
          <w:kern w:val="44"/>
          <w:szCs w:val="21"/>
        </w:rPr>
        <w:t>㎡，</w:t>
      </w:r>
      <w:r>
        <w:rPr>
          <w:rFonts w:hint="default" w:ascii="Arial" w:hAnsi="Arial" w:cs="Arial"/>
          <w:szCs w:val="21"/>
        </w:rPr>
        <w:t>已取得预售许可面积</w:t>
      </w:r>
      <w:r>
        <w:rPr>
          <w:rFonts w:hint="default" w:ascii="Arial" w:hAnsi="Arial" w:eastAsia="宋体" w:cs="Arial"/>
          <w:i w:val="0"/>
          <w:color w:val="000000"/>
          <w:kern w:val="0"/>
          <w:sz w:val="21"/>
          <w:szCs w:val="21"/>
          <w:u w:val="none"/>
          <w:lang w:val="en-US" w:eastAsia="zh-CN" w:bidi="ar"/>
        </w:rPr>
        <w:t>63472.05</w:t>
      </w:r>
      <w:r>
        <w:rPr>
          <w:rFonts w:hint="default" w:ascii="Arial" w:hAnsi="Arial" w:cs="Arial"/>
          <w:bCs/>
          <w:kern w:val="44"/>
          <w:szCs w:val="21"/>
        </w:rPr>
        <w:t>㎡，占项目总可售面积的</w:t>
      </w:r>
      <w:r>
        <w:rPr>
          <w:rFonts w:hint="default" w:ascii="Arial" w:hAnsi="Arial" w:eastAsia="宋体" w:cs="Arial"/>
          <w:i w:val="0"/>
          <w:color w:val="000000"/>
          <w:kern w:val="0"/>
          <w:sz w:val="21"/>
          <w:szCs w:val="21"/>
          <w:u w:val="none"/>
          <w:lang w:val="en-US" w:eastAsia="zh-CN" w:bidi="ar"/>
        </w:rPr>
        <w:t>67.62%</w:t>
      </w:r>
      <w:r>
        <w:rPr>
          <w:rFonts w:hint="default" w:ascii="Arial" w:hAnsi="Arial" w:cs="Arial"/>
          <w:bCs/>
          <w:kern w:val="44"/>
          <w:szCs w:val="21"/>
        </w:rPr>
        <w:t>，符合信托计划工程进度考核要求。</w:t>
      </w:r>
    </w:p>
    <w:tbl>
      <w:tblPr>
        <w:tblStyle w:val="22"/>
        <w:tblW w:w="4471" w:type="dxa"/>
        <w:jc w:val="center"/>
        <w:shd w:val="clear" w:color="auto" w:fill="auto"/>
        <w:tblLayout w:type="autofit"/>
        <w:tblCellMar>
          <w:top w:w="0" w:type="dxa"/>
          <w:left w:w="0" w:type="dxa"/>
          <w:bottom w:w="0" w:type="dxa"/>
          <w:right w:w="0" w:type="dxa"/>
        </w:tblCellMar>
      </w:tblPr>
      <w:tblGrid>
        <w:gridCol w:w="2235"/>
        <w:gridCol w:w="2236"/>
      </w:tblGrid>
      <w:tr>
        <w:tblPrEx>
          <w:shd w:val="clear" w:color="auto" w:fill="auto"/>
          <w:tblCellMar>
            <w:top w:w="0" w:type="dxa"/>
            <w:left w:w="0" w:type="dxa"/>
            <w:bottom w:w="0" w:type="dxa"/>
            <w:right w:w="0" w:type="dxa"/>
          </w:tblCellMar>
        </w:tblPrEx>
        <w:trPr>
          <w:trHeight w:val="420" w:hRule="atLeast"/>
          <w:tblHeader/>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标的项目</w:t>
            </w:r>
          </w:p>
        </w:tc>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光谷正荣府</w:t>
            </w:r>
          </w:p>
        </w:tc>
      </w:tr>
      <w:tr>
        <w:tblPrEx>
          <w:shd w:val="clear" w:color="auto" w:fill="auto"/>
          <w:tblCellMar>
            <w:top w:w="0" w:type="dxa"/>
            <w:left w:w="0" w:type="dxa"/>
            <w:bottom w:w="0" w:type="dxa"/>
            <w:right w:w="0" w:type="dxa"/>
          </w:tblCellMar>
        </w:tblPrEx>
        <w:trPr>
          <w:trHeight w:val="305"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首笔放款日期</w:t>
            </w:r>
          </w:p>
        </w:tc>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2020年9月11日</w:t>
            </w:r>
          </w:p>
        </w:tc>
      </w:tr>
      <w:tr>
        <w:tblPrEx>
          <w:shd w:val="clear" w:color="auto" w:fill="auto"/>
          <w:tblCellMar>
            <w:top w:w="0" w:type="dxa"/>
            <w:left w:w="0" w:type="dxa"/>
            <w:bottom w:w="0" w:type="dxa"/>
            <w:right w:w="0" w:type="dxa"/>
          </w:tblCellMar>
        </w:tblPrEx>
        <w:trPr>
          <w:trHeight w:val="395"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预售许可证面积</w:t>
            </w:r>
          </w:p>
        </w:tc>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63472.05㎡</w:t>
            </w:r>
          </w:p>
        </w:tc>
      </w:tr>
      <w:tr>
        <w:tblPrEx>
          <w:shd w:val="clear" w:color="auto" w:fill="auto"/>
          <w:tblCellMar>
            <w:top w:w="0" w:type="dxa"/>
            <w:left w:w="0" w:type="dxa"/>
            <w:bottom w:w="0" w:type="dxa"/>
            <w:right w:w="0" w:type="dxa"/>
          </w:tblCellMar>
        </w:tblPrEx>
        <w:trPr>
          <w:trHeight w:val="395"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总可售面积</w:t>
            </w:r>
          </w:p>
        </w:tc>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93863.69㎡</w:t>
            </w:r>
          </w:p>
        </w:tc>
      </w:tr>
      <w:tr>
        <w:tblPrEx>
          <w:shd w:val="clear" w:color="auto" w:fill="auto"/>
          <w:tblCellMar>
            <w:top w:w="0" w:type="dxa"/>
            <w:left w:w="0" w:type="dxa"/>
            <w:bottom w:w="0" w:type="dxa"/>
            <w:right w:w="0" w:type="dxa"/>
          </w:tblCellMar>
        </w:tblPrEx>
        <w:trPr>
          <w:trHeight w:val="380"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比例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67.62%</w:t>
            </w:r>
          </w:p>
        </w:tc>
      </w:tr>
      <w:tr>
        <w:tblPrEx>
          <w:shd w:val="clear" w:color="auto" w:fill="auto"/>
          <w:tblCellMar>
            <w:top w:w="0" w:type="dxa"/>
            <w:left w:w="0" w:type="dxa"/>
            <w:bottom w:w="0" w:type="dxa"/>
            <w:right w:w="0" w:type="dxa"/>
          </w:tblCellMar>
        </w:tblPrEx>
        <w:trPr>
          <w:trHeight w:val="445"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进度</w:t>
            </w:r>
          </w:p>
        </w:tc>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已达标</w:t>
            </w:r>
          </w:p>
        </w:tc>
      </w:tr>
    </w:tbl>
    <w:p>
      <w:pPr>
        <w:rPr>
          <w:rFonts w:hint="default" w:ascii="Arial" w:hAnsi="Arial" w:cs="Arial"/>
        </w:rPr>
      </w:pPr>
    </w:p>
    <w:p>
      <w:pPr>
        <w:pStyle w:val="3"/>
        <w:keepNext w:val="0"/>
        <w:keepLines w:val="0"/>
        <w:spacing w:before="300" w:after="300" w:line="360" w:lineRule="exact"/>
        <w:jc w:val="left"/>
        <w:rPr>
          <w:rFonts w:hint="default" w:ascii="Arial" w:hAnsi="Arial" w:eastAsia="宋体" w:cs="Arial"/>
          <w:sz w:val="24"/>
          <w:szCs w:val="24"/>
        </w:rPr>
      </w:pPr>
      <w:bookmarkStart w:id="32" w:name="_Toc689"/>
      <w:bookmarkStart w:id="33" w:name="_Toc7130"/>
    </w:p>
    <w:p>
      <w:pPr>
        <w:pStyle w:val="3"/>
        <w:keepNext w:val="0"/>
        <w:keepLines w:val="0"/>
        <w:spacing w:before="300" w:after="300" w:line="360" w:lineRule="exact"/>
        <w:jc w:val="left"/>
        <w:rPr>
          <w:rFonts w:hint="default" w:ascii="Arial" w:hAnsi="Arial" w:eastAsia="宋体" w:cs="Arial"/>
          <w:sz w:val="24"/>
          <w:szCs w:val="24"/>
        </w:rPr>
      </w:pPr>
      <w:bookmarkStart w:id="34" w:name="_Toc7869"/>
      <w:r>
        <w:rPr>
          <w:rFonts w:hint="default" w:ascii="Arial" w:hAnsi="Arial" w:eastAsia="宋体" w:cs="Arial"/>
          <w:sz w:val="24"/>
          <w:szCs w:val="24"/>
        </w:rPr>
        <w:t>3.3项目2020年</w:t>
      </w:r>
      <w:r>
        <w:rPr>
          <w:rFonts w:hint="default" w:ascii="Arial" w:hAnsi="Arial" w:eastAsia="宋体" w:cs="Arial"/>
          <w:sz w:val="24"/>
          <w:szCs w:val="24"/>
          <w:lang w:val="en-US" w:eastAsia="zh-CN"/>
        </w:rPr>
        <w:t>1</w:t>
      </w:r>
      <w:r>
        <w:rPr>
          <w:rFonts w:hint="eastAsia" w:eastAsia="宋体" w:cs="Arial"/>
          <w:sz w:val="24"/>
          <w:szCs w:val="24"/>
          <w:lang w:val="en-US" w:eastAsia="zh-CN"/>
        </w:rPr>
        <w:t>1</w:t>
      </w:r>
      <w:r>
        <w:rPr>
          <w:rFonts w:hint="default" w:ascii="Arial" w:hAnsi="Arial" w:eastAsia="宋体" w:cs="Arial"/>
          <w:sz w:val="24"/>
          <w:szCs w:val="24"/>
        </w:rPr>
        <w:t>月份施工进度情况</w:t>
      </w:r>
      <w:bookmarkEnd w:id="31"/>
      <w:bookmarkEnd w:id="32"/>
      <w:bookmarkEnd w:id="33"/>
      <w:bookmarkEnd w:id="34"/>
    </w:p>
    <w:p>
      <w:pPr>
        <w:numPr>
          <w:ilvl w:val="-1"/>
          <w:numId w:val="0"/>
        </w:numPr>
        <w:spacing w:line="480" w:lineRule="auto"/>
        <w:rPr>
          <w:rFonts w:hint="default" w:ascii="Arial" w:hAnsi="Arial" w:cs="Arial"/>
          <w:szCs w:val="21"/>
        </w:rPr>
      </w:pPr>
      <w:r>
        <w:rPr>
          <w:rFonts w:hint="default" w:ascii="Arial" w:hAnsi="Arial" w:cs="Arial"/>
          <w:szCs w:val="21"/>
        </w:rPr>
        <w:t>光谷正荣府形象进度：</w:t>
      </w:r>
    </w:p>
    <w:p>
      <w:pPr>
        <w:numPr>
          <w:ilvl w:val="0"/>
          <w:numId w:val="1"/>
        </w:numPr>
        <w:spacing w:line="480" w:lineRule="auto"/>
        <w:ind w:left="425" w:hanging="425" w:firstLineChars="0"/>
        <w:rPr>
          <w:rFonts w:hint="default" w:ascii="Arial" w:hAnsi="Arial" w:cs="Arial"/>
          <w:szCs w:val="21"/>
        </w:rPr>
      </w:pPr>
      <w:r>
        <w:rPr>
          <w:rFonts w:hint="default" w:ascii="Arial" w:hAnsi="Arial" w:cs="Arial"/>
          <w:szCs w:val="21"/>
        </w:rPr>
        <w:t>10#楼地下室一层墙柱钢筋绑扎完成100%，架体搭设完成100%，梁板钢筋绑扎完成60%。</w:t>
      </w:r>
    </w:p>
    <w:p>
      <w:pPr>
        <w:numPr>
          <w:ilvl w:val="0"/>
          <w:numId w:val="1"/>
        </w:numPr>
        <w:spacing w:line="480" w:lineRule="auto"/>
        <w:ind w:left="425" w:hanging="425" w:firstLineChars="0"/>
        <w:rPr>
          <w:rFonts w:hint="default" w:ascii="Arial" w:hAnsi="Arial" w:cs="Arial"/>
          <w:szCs w:val="21"/>
        </w:rPr>
      </w:pPr>
      <w:r>
        <w:rPr>
          <w:rFonts w:hint="default" w:ascii="Arial" w:hAnsi="Arial" w:cs="Arial"/>
          <w:szCs w:val="21"/>
        </w:rPr>
        <w:t>8#楼东单元三层墙柱钢筋绑扎完成；西单元五层砼浇筑完成，六层墙柱钢筋绑扎完成；</w:t>
      </w:r>
    </w:p>
    <w:p>
      <w:pPr>
        <w:numPr>
          <w:ilvl w:val="0"/>
          <w:numId w:val="1"/>
        </w:numPr>
        <w:spacing w:line="480" w:lineRule="auto"/>
        <w:ind w:left="425" w:leftChars="0" w:hanging="425"/>
        <w:jc w:val="left"/>
        <w:rPr>
          <w:rFonts w:hint="default" w:ascii="Arial" w:hAnsi="Arial" w:cs="Arial"/>
          <w:szCs w:val="21"/>
        </w:rPr>
      </w:pPr>
      <w:r>
        <w:rPr>
          <w:rFonts w:hint="default" w:ascii="Arial" w:hAnsi="Arial" w:cs="Arial"/>
          <w:szCs w:val="21"/>
        </w:rPr>
        <w:t>5#：完成九、十、十一层砼浇筑；</w:t>
      </w:r>
    </w:p>
    <w:p>
      <w:pPr>
        <w:numPr>
          <w:ilvl w:val="0"/>
          <w:numId w:val="1"/>
        </w:numPr>
        <w:spacing w:line="480" w:lineRule="auto"/>
        <w:ind w:left="425" w:hanging="425" w:firstLineChars="0"/>
        <w:jc w:val="left"/>
        <w:rPr>
          <w:rFonts w:hint="default" w:ascii="Arial" w:hAnsi="Arial" w:cs="Arial"/>
          <w:b w:val="0"/>
          <w:bCs w:val="0"/>
          <w:szCs w:val="21"/>
        </w:rPr>
      </w:pPr>
      <w:r>
        <w:rPr>
          <w:rFonts w:hint="default" w:ascii="Arial" w:hAnsi="Arial" w:cs="Arial"/>
          <w:szCs w:val="21"/>
        </w:rPr>
        <w:t>6#：东、西单元完成十六、十七、十八层砼浇筑，东单元十九层结构砼浇筑完成；西单元十九层内架搭设完成，屋面梁板面支模完成，pc吊装完成；</w:t>
      </w:r>
    </w:p>
    <w:p>
      <w:pPr>
        <w:numPr>
          <w:ilvl w:val="0"/>
          <w:numId w:val="1"/>
        </w:numPr>
        <w:spacing w:line="480" w:lineRule="auto"/>
        <w:ind w:left="425" w:hanging="425" w:firstLineChars="0"/>
        <w:jc w:val="left"/>
        <w:rPr>
          <w:rFonts w:hint="default" w:ascii="Arial" w:hAnsi="Arial" w:cs="Arial"/>
          <w:b w:val="0"/>
          <w:bCs w:val="0"/>
          <w:szCs w:val="21"/>
        </w:rPr>
      </w:pPr>
      <w:r>
        <w:rPr>
          <w:rFonts w:hint="default" w:ascii="Arial" w:hAnsi="Arial" w:cs="Arial"/>
          <w:szCs w:val="21"/>
        </w:rPr>
        <w:t xml:space="preserve">7#：东、西单元十五、十六层砼浇筑完成，顺利封顶。 </w:t>
      </w:r>
      <w:r>
        <w:rPr>
          <w:rFonts w:hint="default" w:ascii="Arial" w:hAnsi="Arial" w:cs="Arial"/>
          <w:b w:val="0"/>
          <w:bCs w:val="0"/>
          <w:szCs w:val="21"/>
        </w:rPr>
        <w:t xml:space="preserve"> </w:t>
      </w:r>
    </w:p>
    <w:p>
      <w:pPr>
        <w:numPr>
          <w:ilvl w:val="0"/>
          <w:numId w:val="1"/>
        </w:numPr>
        <w:spacing w:line="480" w:lineRule="auto"/>
        <w:ind w:left="425" w:hanging="425" w:firstLineChars="0"/>
        <w:rPr>
          <w:rFonts w:hint="default" w:ascii="Arial" w:hAnsi="Arial" w:cs="Arial"/>
          <w:szCs w:val="21"/>
        </w:rPr>
      </w:pPr>
      <w:r>
        <w:rPr>
          <w:rFonts w:hint="default" w:ascii="Arial" w:hAnsi="Arial" w:cs="Arial"/>
          <w:szCs w:val="21"/>
        </w:rPr>
        <w:t>2#楼东、西单元完成一层、二层砼浇筑，三层内架搭设完成，四层梁板面支模完成，梁版面钢筋绑扎完成，预计12月1日砼浇筑。</w:t>
      </w:r>
    </w:p>
    <w:p>
      <w:pPr>
        <w:numPr>
          <w:ilvl w:val="0"/>
          <w:numId w:val="1"/>
        </w:numPr>
        <w:spacing w:line="480" w:lineRule="auto"/>
        <w:ind w:left="425" w:hanging="425" w:firstLineChars="0"/>
        <w:rPr>
          <w:rFonts w:hint="default" w:ascii="Arial" w:hAnsi="Arial" w:cs="Arial"/>
          <w:szCs w:val="21"/>
        </w:rPr>
      </w:pPr>
      <w:r>
        <w:rPr>
          <w:rFonts w:hint="default" w:ascii="Arial" w:hAnsi="Arial" w:cs="Arial"/>
          <w:szCs w:val="21"/>
        </w:rPr>
        <w:t>1#楼砖胎膜砌筑完成，防水完成,筏板基础钢筋绑扎完成95%；</w:t>
      </w:r>
    </w:p>
    <w:p>
      <w:pPr>
        <w:numPr>
          <w:ilvl w:val="0"/>
          <w:numId w:val="1"/>
        </w:numPr>
        <w:spacing w:line="480" w:lineRule="auto"/>
        <w:ind w:left="425" w:hanging="425" w:firstLineChars="0"/>
        <w:rPr>
          <w:rFonts w:hint="default" w:ascii="Arial" w:hAnsi="Arial" w:cs="Arial"/>
          <w:szCs w:val="21"/>
        </w:rPr>
      </w:pPr>
      <w:r>
        <w:rPr>
          <w:rFonts w:hint="default" w:ascii="Arial" w:hAnsi="Arial" w:cs="Arial"/>
          <w:szCs w:val="21"/>
        </w:rPr>
        <w:t>3#楼一层墙柱钢筋绑扎完成，架体搭设完成60%。</w:t>
      </w:r>
    </w:p>
    <w:p>
      <w:pPr>
        <w:pStyle w:val="3"/>
        <w:keepNext w:val="0"/>
        <w:keepLines w:val="0"/>
        <w:spacing w:before="300" w:after="300" w:line="360" w:lineRule="exact"/>
        <w:jc w:val="left"/>
        <w:rPr>
          <w:rFonts w:hint="default" w:ascii="Arial" w:hAnsi="Arial" w:eastAsia="宋体" w:cs="Arial"/>
          <w:sz w:val="24"/>
          <w:szCs w:val="24"/>
        </w:rPr>
      </w:pPr>
      <w:bookmarkStart w:id="35" w:name="_Toc50218131"/>
      <w:bookmarkStart w:id="36" w:name="_Toc17174"/>
      <w:r>
        <w:rPr>
          <w:rFonts w:hint="default" w:ascii="Arial" w:hAnsi="Arial" w:eastAsia="宋体" w:cs="Arial"/>
          <w:sz w:val="24"/>
          <w:szCs w:val="24"/>
        </w:rPr>
        <w:t>3.4项目2020年1</w:t>
      </w:r>
      <w:r>
        <w:rPr>
          <w:rFonts w:hint="default" w:ascii="Arial" w:hAnsi="Arial" w:eastAsia="宋体" w:cs="Arial"/>
          <w:sz w:val="24"/>
          <w:szCs w:val="24"/>
          <w:lang w:val="en-US" w:eastAsia="zh-CN"/>
        </w:rPr>
        <w:t>2</w:t>
      </w:r>
      <w:r>
        <w:rPr>
          <w:rFonts w:hint="default" w:ascii="Arial" w:hAnsi="Arial" w:eastAsia="宋体" w:cs="Arial"/>
          <w:sz w:val="24"/>
          <w:szCs w:val="24"/>
        </w:rPr>
        <w:t>月施工计划</w:t>
      </w:r>
      <w:bookmarkEnd w:id="35"/>
      <w:bookmarkEnd w:id="36"/>
    </w:p>
    <w:p>
      <w:pPr>
        <w:rPr>
          <w:rFonts w:hint="default" w:ascii="Arial" w:hAnsi="Arial" w:cs="Arial"/>
          <w:b/>
          <w:bCs/>
          <w:sz w:val="21"/>
          <w:szCs w:val="21"/>
        </w:rPr>
      </w:pPr>
    </w:p>
    <w:p>
      <w:pPr>
        <w:numPr>
          <w:ilvl w:val="-1"/>
          <w:numId w:val="0"/>
        </w:numPr>
        <w:spacing w:line="480" w:lineRule="auto"/>
        <w:rPr>
          <w:rFonts w:hint="default" w:ascii="Arial" w:hAnsi="Arial" w:cs="Arial"/>
          <w:szCs w:val="21"/>
        </w:rPr>
      </w:pPr>
      <w:r>
        <w:rPr>
          <w:rFonts w:hint="default" w:ascii="Arial" w:hAnsi="Arial" w:cs="Arial"/>
          <w:szCs w:val="21"/>
        </w:rPr>
        <w:t>光谷正荣府</w:t>
      </w:r>
      <w:r>
        <w:rPr>
          <w:rFonts w:hint="default" w:ascii="Arial" w:hAnsi="Arial" w:cs="Arial"/>
          <w:szCs w:val="21"/>
          <w:lang w:eastAsia="zh-CN"/>
        </w:rPr>
        <w:t>施工计划</w:t>
      </w:r>
      <w:r>
        <w:rPr>
          <w:rFonts w:hint="default" w:ascii="Arial" w:hAnsi="Arial" w:cs="Arial"/>
          <w:szCs w:val="21"/>
        </w:rPr>
        <w:t>：</w:t>
      </w:r>
    </w:p>
    <w:p>
      <w:pPr>
        <w:numPr>
          <w:ilvl w:val="0"/>
          <w:numId w:val="2"/>
        </w:numPr>
        <w:spacing w:line="360" w:lineRule="auto"/>
        <w:ind w:left="425" w:leftChars="0" w:hanging="425" w:firstLineChars="0"/>
        <w:rPr>
          <w:rFonts w:hint="default" w:ascii="Arial" w:hAnsi="Arial" w:eastAsia="宋体" w:cs="Arial"/>
          <w:szCs w:val="21"/>
          <w:lang w:val="en-US" w:eastAsia="zh-CN"/>
        </w:rPr>
      </w:pPr>
      <w:bookmarkStart w:id="37" w:name="_Toc50218132"/>
      <w:r>
        <w:rPr>
          <w:rFonts w:hint="default" w:ascii="Arial" w:hAnsi="Arial" w:eastAsia="宋体" w:cs="Arial"/>
          <w:szCs w:val="21"/>
        </w:rPr>
        <w:t>2#楼</w:t>
      </w:r>
      <w:r>
        <w:rPr>
          <w:rFonts w:hint="default" w:ascii="Arial" w:hAnsi="Arial" w:eastAsia="宋体" w:cs="Arial"/>
          <w:szCs w:val="21"/>
          <w:lang w:eastAsia="zh-CN"/>
        </w:rPr>
        <w:t>完成地上</w:t>
      </w:r>
      <w:r>
        <w:rPr>
          <w:rFonts w:hint="default" w:ascii="Arial" w:hAnsi="Arial" w:eastAsia="宋体" w:cs="Arial"/>
          <w:szCs w:val="21"/>
          <w:lang w:val="en-US" w:eastAsia="zh-CN"/>
        </w:rPr>
        <w:t>1-2层</w:t>
      </w:r>
      <w:r>
        <w:rPr>
          <w:rFonts w:hint="default" w:ascii="Arial" w:hAnsi="Arial" w:cs="Arial"/>
          <w:szCs w:val="21"/>
          <w:lang w:val="en-US" w:eastAsia="zh-CN"/>
        </w:rPr>
        <w:t>；</w:t>
      </w:r>
    </w:p>
    <w:p>
      <w:pPr>
        <w:numPr>
          <w:ilvl w:val="0"/>
          <w:numId w:val="2"/>
        </w:numPr>
        <w:spacing w:line="360" w:lineRule="auto"/>
        <w:ind w:left="425" w:hanging="425" w:firstLineChars="0"/>
        <w:rPr>
          <w:rFonts w:hint="default" w:ascii="Arial" w:hAnsi="Arial" w:eastAsia="宋体" w:cs="Arial"/>
          <w:szCs w:val="21"/>
        </w:rPr>
      </w:pPr>
      <w:r>
        <w:rPr>
          <w:rFonts w:hint="default" w:ascii="Arial" w:hAnsi="Arial" w:eastAsia="宋体" w:cs="Arial"/>
          <w:szCs w:val="21"/>
        </w:rPr>
        <w:t>5#：完成</w:t>
      </w:r>
      <w:r>
        <w:rPr>
          <w:rFonts w:hint="default" w:ascii="Arial" w:hAnsi="Arial" w:eastAsia="宋体" w:cs="Arial"/>
          <w:szCs w:val="21"/>
          <w:lang w:val="en-US" w:eastAsia="zh-CN"/>
        </w:rPr>
        <w:t>1</w:t>
      </w:r>
      <w:r>
        <w:rPr>
          <w:rFonts w:hint="default" w:ascii="Arial" w:hAnsi="Arial" w:cs="Arial"/>
          <w:szCs w:val="21"/>
          <w:lang w:val="en-US" w:eastAsia="zh-CN"/>
        </w:rPr>
        <w:t>1</w:t>
      </w:r>
      <w:r>
        <w:rPr>
          <w:rFonts w:hint="default" w:ascii="Arial" w:hAnsi="Arial" w:eastAsia="宋体" w:cs="Arial"/>
          <w:szCs w:val="21"/>
          <w:lang w:val="en-US" w:eastAsia="zh-CN"/>
        </w:rPr>
        <w:t>-13</w:t>
      </w:r>
      <w:r>
        <w:rPr>
          <w:rFonts w:hint="default" w:ascii="Arial" w:hAnsi="Arial" w:eastAsia="宋体" w:cs="Arial"/>
          <w:szCs w:val="21"/>
        </w:rPr>
        <w:t>层砼浇筑，钢筋、模板安装、砼浇筑</w:t>
      </w:r>
      <w:r>
        <w:rPr>
          <w:rFonts w:hint="default" w:ascii="Arial" w:hAnsi="Arial" w:cs="Arial"/>
          <w:szCs w:val="21"/>
          <w:lang w:eastAsia="zh-CN"/>
        </w:rPr>
        <w:t>；</w:t>
      </w:r>
    </w:p>
    <w:p>
      <w:pPr>
        <w:numPr>
          <w:ilvl w:val="0"/>
          <w:numId w:val="2"/>
        </w:numPr>
        <w:spacing w:line="360" w:lineRule="auto"/>
        <w:ind w:left="425" w:hanging="425" w:firstLineChars="0"/>
        <w:rPr>
          <w:rFonts w:hint="default" w:ascii="Arial" w:hAnsi="Arial" w:eastAsia="宋体" w:cs="Arial"/>
          <w:szCs w:val="21"/>
          <w:lang w:eastAsia="zh-CN"/>
        </w:rPr>
      </w:pPr>
      <w:r>
        <w:rPr>
          <w:rFonts w:hint="default" w:ascii="Arial" w:hAnsi="Arial" w:eastAsia="宋体" w:cs="Arial"/>
          <w:szCs w:val="21"/>
        </w:rPr>
        <w:t>6#：</w:t>
      </w:r>
      <w:r>
        <w:rPr>
          <w:rFonts w:hint="default" w:ascii="Arial" w:hAnsi="Arial" w:cs="Arial"/>
          <w:szCs w:val="21"/>
          <w:lang w:eastAsia="zh-CN"/>
        </w:rPr>
        <w:t>预计封顶进行二次结构施工；</w:t>
      </w:r>
    </w:p>
    <w:p>
      <w:pPr>
        <w:numPr>
          <w:ilvl w:val="0"/>
          <w:numId w:val="2"/>
        </w:numPr>
        <w:spacing w:line="360" w:lineRule="auto"/>
        <w:ind w:left="425" w:hanging="425" w:firstLineChars="0"/>
        <w:rPr>
          <w:rFonts w:hint="default" w:ascii="Arial" w:hAnsi="Arial" w:eastAsia="宋体" w:cs="Arial"/>
          <w:szCs w:val="21"/>
        </w:rPr>
      </w:pPr>
      <w:r>
        <w:rPr>
          <w:rFonts w:hint="default" w:ascii="Arial" w:hAnsi="Arial" w:eastAsia="宋体" w:cs="Arial"/>
          <w:szCs w:val="21"/>
        </w:rPr>
        <w:t>7#：</w:t>
      </w:r>
      <w:r>
        <w:rPr>
          <w:rFonts w:hint="default" w:ascii="Arial" w:hAnsi="Arial" w:cs="Arial"/>
          <w:szCs w:val="21"/>
          <w:lang w:eastAsia="zh-CN"/>
        </w:rPr>
        <w:t>二次结构施工；</w:t>
      </w:r>
      <w:r>
        <w:rPr>
          <w:rFonts w:hint="default" w:ascii="Arial" w:hAnsi="Arial" w:eastAsia="宋体" w:cs="Arial"/>
          <w:szCs w:val="21"/>
        </w:rPr>
        <w:t xml:space="preserve"> </w:t>
      </w:r>
    </w:p>
    <w:p>
      <w:pPr>
        <w:numPr>
          <w:ilvl w:val="0"/>
          <w:numId w:val="2"/>
        </w:numPr>
        <w:spacing w:line="360" w:lineRule="auto"/>
        <w:ind w:left="425" w:hanging="425" w:firstLineChars="0"/>
        <w:rPr>
          <w:rFonts w:hint="default" w:ascii="Arial" w:hAnsi="Arial" w:eastAsia="宋体" w:cs="Arial"/>
          <w:szCs w:val="21"/>
        </w:rPr>
      </w:pPr>
      <w:r>
        <w:rPr>
          <w:rFonts w:hint="default" w:ascii="Arial" w:hAnsi="Arial" w:eastAsia="宋体" w:cs="Arial"/>
          <w:szCs w:val="21"/>
        </w:rPr>
        <w:t>8#楼</w:t>
      </w:r>
      <w:r>
        <w:rPr>
          <w:rFonts w:hint="default" w:ascii="Arial" w:hAnsi="Arial" w:eastAsia="宋体" w:cs="Arial"/>
          <w:szCs w:val="21"/>
          <w:lang w:eastAsia="zh-CN"/>
        </w:rPr>
        <w:t>完成</w:t>
      </w:r>
      <w:r>
        <w:rPr>
          <w:rFonts w:hint="default" w:ascii="Arial" w:hAnsi="Arial" w:eastAsia="宋体" w:cs="Arial"/>
          <w:szCs w:val="21"/>
        </w:rPr>
        <w:t>东单元</w:t>
      </w:r>
      <w:r>
        <w:rPr>
          <w:rFonts w:hint="default" w:ascii="Arial" w:hAnsi="Arial" w:eastAsia="宋体" w:cs="Arial"/>
          <w:szCs w:val="21"/>
          <w:lang w:eastAsia="zh-CN"/>
        </w:rPr>
        <w:t>和</w:t>
      </w:r>
      <w:r>
        <w:rPr>
          <w:rFonts w:hint="default" w:ascii="Arial" w:hAnsi="Arial" w:eastAsia="宋体" w:cs="Arial"/>
          <w:szCs w:val="21"/>
        </w:rPr>
        <w:t>西单元</w:t>
      </w:r>
      <w:r>
        <w:rPr>
          <w:rFonts w:hint="default" w:ascii="Arial" w:hAnsi="Arial" w:cs="Arial"/>
          <w:szCs w:val="21"/>
          <w:lang w:val="en-US" w:eastAsia="zh-CN"/>
        </w:rPr>
        <w:t>6</w:t>
      </w:r>
      <w:r>
        <w:rPr>
          <w:rFonts w:hint="default" w:ascii="Arial" w:hAnsi="Arial" w:eastAsia="宋体" w:cs="Arial"/>
          <w:szCs w:val="21"/>
          <w:lang w:val="en-US" w:eastAsia="zh-CN"/>
        </w:rPr>
        <w:t>-8</w:t>
      </w:r>
      <w:r>
        <w:rPr>
          <w:rFonts w:hint="default" w:ascii="Arial" w:hAnsi="Arial" w:eastAsia="宋体" w:cs="Arial"/>
          <w:szCs w:val="21"/>
        </w:rPr>
        <w:t>层砼浇筑</w:t>
      </w:r>
      <w:r>
        <w:rPr>
          <w:rFonts w:hint="default" w:ascii="Arial" w:hAnsi="Arial" w:cs="Arial"/>
          <w:szCs w:val="21"/>
          <w:lang w:eastAsia="zh-CN"/>
        </w:rPr>
        <w:t>；</w:t>
      </w:r>
    </w:p>
    <w:p>
      <w:pPr>
        <w:numPr>
          <w:ilvl w:val="0"/>
          <w:numId w:val="2"/>
        </w:numPr>
        <w:spacing w:line="360" w:lineRule="auto"/>
        <w:ind w:left="425" w:leftChars="0" w:hanging="425" w:firstLineChars="0"/>
        <w:rPr>
          <w:rFonts w:hint="default" w:ascii="Arial" w:hAnsi="Arial" w:eastAsia="宋体" w:cs="Arial"/>
          <w:szCs w:val="21"/>
          <w:lang w:eastAsia="zh-CN"/>
        </w:rPr>
      </w:pPr>
      <w:r>
        <w:rPr>
          <w:rFonts w:hint="default" w:ascii="Arial" w:hAnsi="Arial" w:eastAsia="宋体" w:cs="Arial"/>
          <w:szCs w:val="21"/>
        </w:rPr>
        <w:t>10#</w:t>
      </w:r>
      <w:r>
        <w:rPr>
          <w:rFonts w:hint="default" w:ascii="Arial" w:hAnsi="Arial" w:eastAsia="宋体" w:cs="Arial"/>
          <w:szCs w:val="21"/>
          <w:lang w:eastAsia="zh-CN"/>
        </w:rPr>
        <w:t>完成</w:t>
      </w:r>
      <w:r>
        <w:rPr>
          <w:rFonts w:hint="default" w:ascii="Arial" w:hAnsi="Arial" w:cs="Arial"/>
          <w:szCs w:val="21"/>
          <w:lang w:eastAsia="zh-CN"/>
        </w:rPr>
        <w:t>地下室建筑</w:t>
      </w:r>
      <w:r>
        <w:rPr>
          <w:rFonts w:hint="eastAsia" w:ascii="Arial" w:hAnsi="Arial" w:cs="Arial"/>
          <w:szCs w:val="21"/>
          <w:lang w:eastAsia="zh-CN"/>
        </w:rPr>
        <w:t>。</w:t>
      </w:r>
    </w:p>
    <w:p>
      <w:pPr>
        <w:pStyle w:val="3"/>
        <w:keepNext w:val="0"/>
        <w:keepLines w:val="0"/>
        <w:spacing w:before="300" w:after="300" w:line="360" w:lineRule="exact"/>
        <w:jc w:val="left"/>
        <w:rPr>
          <w:rFonts w:hint="default" w:ascii="Arial" w:hAnsi="Arial" w:eastAsia="宋体" w:cs="Arial"/>
          <w:sz w:val="24"/>
          <w:szCs w:val="24"/>
        </w:rPr>
      </w:pPr>
      <w:bookmarkStart w:id="38" w:name="_Toc9442"/>
      <w:r>
        <w:rPr>
          <w:rFonts w:hint="default" w:ascii="Arial" w:hAnsi="Arial" w:eastAsia="宋体" w:cs="Arial"/>
          <w:sz w:val="24"/>
          <w:szCs w:val="24"/>
        </w:rPr>
        <w:t>3.5 项目现场照片</w:t>
      </w:r>
      <w:bookmarkEnd w:id="0"/>
      <w:bookmarkEnd w:id="37"/>
      <w:bookmarkEnd w:id="38"/>
      <w:bookmarkStart w:id="39" w:name="_Toc32317097"/>
      <w:bookmarkEnd w:id="39"/>
      <w:bookmarkStart w:id="40" w:name="_Toc32432202"/>
      <w:bookmarkEnd w:id="40"/>
      <w:bookmarkStart w:id="41" w:name="_Toc32317096"/>
      <w:bookmarkEnd w:id="41"/>
      <w:bookmarkStart w:id="42" w:name="_Toc32317073"/>
      <w:bookmarkEnd w:id="42"/>
      <w:bookmarkStart w:id="43" w:name="_Toc32317072"/>
      <w:bookmarkEnd w:id="43"/>
      <w:bookmarkStart w:id="44" w:name="_Toc32432201"/>
      <w:bookmarkEnd w:id="44"/>
    </w:p>
    <w:p>
      <w:pPr>
        <w:spacing w:line="360" w:lineRule="auto"/>
        <w:rPr>
          <w:rFonts w:hint="eastAsia" w:ascii="Arial" w:hAnsi="Arial" w:eastAsia="宋体" w:cs="Arial"/>
          <w:b w:val="0"/>
          <w:bCs w:val="0"/>
          <w:sz w:val="24"/>
          <w:lang w:eastAsia="zh-CN"/>
        </w:rPr>
      </w:pPr>
      <w:r>
        <w:rPr>
          <w:rFonts w:hint="eastAsia" w:ascii="Arial" w:hAnsi="Arial" w:cs="Arial"/>
          <w:b w:val="0"/>
          <w:bCs w:val="0"/>
          <w:sz w:val="24"/>
          <w:lang w:eastAsia="zh-CN"/>
        </w:rPr>
        <w:t>（</w:t>
      </w:r>
      <w:r>
        <w:rPr>
          <w:rFonts w:hint="eastAsia" w:ascii="Arial" w:hAnsi="Arial" w:cs="Arial"/>
          <w:b w:val="0"/>
          <w:bCs w:val="0"/>
          <w:sz w:val="24"/>
          <w:lang w:val="en-US" w:eastAsia="zh-CN"/>
        </w:rPr>
        <w:t>转下页</w:t>
      </w:r>
      <w:r>
        <w:rPr>
          <w:rFonts w:hint="eastAsia" w:ascii="Arial" w:hAnsi="Arial" w:cs="Arial"/>
          <w:b w:val="0"/>
          <w:bCs w:val="0"/>
          <w:sz w:val="24"/>
          <w:lang w:eastAsia="zh-CN"/>
        </w:rPr>
        <w:t>）</w:t>
      </w:r>
    </w:p>
    <w:p>
      <w:pPr>
        <w:spacing w:line="360" w:lineRule="auto"/>
        <w:rPr>
          <w:rFonts w:hint="default" w:ascii="Arial" w:hAnsi="Arial" w:cs="Arial"/>
          <w:b/>
          <w:bCs/>
          <w:sz w:val="24"/>
        </w:rPr>
      </w:pPr>
    </w:p>
    <w:p>
      <w:pPr>
        <w:spacing w:line="360" w:lineRule="auto"/>
        <w:rPr>
          <w:rFonts w:hint="default" w:ascii="Arial" w:hAnsi="Arial" w:cs="Arial"/>
          <w:b/>
          <w:bCs/>
          <w:sz w:val="24"/>
        </w:rPr>
      </w:pPr>
    </w:p>
    <w:p>
      <w:pPr>
        <w:spacing w:line="360" w:lineRule="auto"/>
        <w:rPr>
          <w:rFonts w:hint="default" w:ascii="Arial" w:hAnsi="Arial" w:cs="Arial"/>
          <w:b/>
          <w:bCs/>
          <w:sz w:val="24"/>
        </w:rPr>
      </w:pPr>
    </w:p>
    <w:p>
      <w:pPr>
        <w:spacing w:line="360" w:lineRule="auto"/>
        <w:rPr>
          <w:rFonts w:hint="default" w:ascii="Arial" w:hAnsi="Arial" w:cs="Arial"/>
          <w:b/>
          <w:bCs/>
          <w:sz w:val="24"/>
        </w:rPr>
      </w:pPr>
    </w:p>
    <w:p>
      <w:pPr>
        <w:spacing w:line="360" w:lineRule="auto"/>
        <w:rPr>
          <w:rFonts w:hint="default" w:ascii="Arial" w:hAnsi="Arial" w:cs="Arial"/>
          <w:b/>
          <w:bCs/>
          <w:sz w:val="24"/>
        </w:rPr>
      </w:pPr>
    </w:p>
    <w:tbl>
      <w:tblPr>
        <w:tblStyle w:val="47"/>
        <w:tblW w:w="10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5"/>
        <w:gridCol w:w="2665"/>
        <w:gridCol w:w="266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0660" w:type="dxa"/>
            <w:gridSpan w:val="4"/>
            <w:vAlign w:val="center"/>
          </w:tcPr>
          <w:p>
            <w:pPr>
              <w:jc w:val="center"/>
              <w:rPr>
                <w:rFonts w:hint="default" w:ascii="Arial" w:hAnsi="Arial" w:eastAsia="宋体" w:cs="Arial"/>
                <w:sz w:val="22"/>
                <w:szCs w:val="32"/>
              </w:rPr>
            </w:pPr>
            <w:r>
              <w:rPr>
                <w:rFonts w:hint="default" w:ascii="Arial" w:hAnsi="Arial" w:eastAsia="宋体" w:cs="Arial"/>
                <w:b/>
                <w:bCs/>
                <w:highlight w:val="none"/>
                <w:lang w:eastAsia="zh-CN"/>
              </w:rPr>
              <w:t>正楚</w:t>
            </w:r>
            <w:r>
              <w:rPr>
                <w:rFonts w:hint="default" w:ascii="Arial" w:hAnsi="Arial" w:eastAsia="宋体" w:cs="Arial"/>
                <w:b/>
                <w:bCs/>
              </w:rPr>
              <w:t>（</w:t>
            </w:r>
            <w:r>
              <w:rPr>
                <w:rFonts w:hint="default" w:ascii="Arial" w:hAnsi="Arial" w:eastAsia="宋体" w:cs="Arial"/>
                <w:b/>
                <w:bCs/>
                <w:kern w:val="44"/>
                <w:szCs w:val="21"/>
                <w:lang w:eastAsia="zh-CN"/>
              </w:rPr>
              <w:t>光谷正荣府</w:t>
            </w:r>
            <w:r>
              <w:rPr>
                <w:rFonts w:hint="default" w:ascii="Arial" w:hAnsi="Arial" w:eastAsia="宋体" w:cs="Arial"/>
                <w:b/>
                <w:bCs/>
                <w:kern w:val="4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jc w:val="center"/>
        </w:trPr>
        <w:tc>
          <w:tcPr>
            <w:tcW w:w="2665" w:type="dxa"/>
            <w:vAlign w:val="center"/>
          </w:tcPr>
          <w:p>
            <w:pPr>
              <w:ind w:left="840" w:hanging="840" w:hangingChars="400"/>
              <w:jc w:val="both"/>
              <w:rPr>
                <w:rFonts w:hint="default" w:ascii="Arial" w:hAnsi="Arial" w:eastAsia="宋体" w:cs="Arial"/>
                <w:lang w:eastAsia="zh-CN"/>
              </w:rPr>
            </w:pPr>
            <w:r>
              <w:rPr>
                <w:rFonts w:hint="default" w:ascii="Arial" w:hAnsi="Arial" w:eastAsia="宋体" w:cs="Arial"/>
                <w:lang w:eastAsia="zh-CN"/>
              </w:rPr>
              <w:drawing>
                <wp:inline distT="0" distB="0" distL="114300" distR="114300">
                  <wp:extent cx="2030095" cy="1299210"/>
                  <wp:effectExtent l="0" t="0" r="8255" b="15240"/>
                  <wp:docPr id="7" name="图片 7" descr="微信图片_2020120310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1203100925"/>
                          <pic:cNvPicPr>
                            <a:picLocks noChangeAspect="1"/>
                          </pic:cNvPicPr>
                        </pic:nvPicPr>
                        <pic:blipFill>
                          <a:blip r:embed="rId8"/>
                          <a:stretch>
                            <a:fillRect/>
                          </a:stretch>
                        </pic:blipFill>
                        <pic:spPr>
                          <a:xfrm>
                            <a:off x="0" y="0"/>
                            <a:ext cx="2030095" cy="1299210"/>
                          </a:xfrm>
                          <a:prstGeom prst="rect">
                            <a:avLst/>
                          </a:prstGeom>
                        </pic:spPr>
                      </pic:pic>
                    </a:graphicData>
                  </a:graphic>
                </wp:inline>
              </w:drawing>
            </w:r>
            <w:r>
              <w:rPr>
                <w:rFonts w:hint="default" w:ascii="Arial" w:hAnsi="Arial" w:eastAsia="宋体" w:cs="Arial"/>
                <w:lang w:eastAsia="zh-CN"/>
              </w:rPr>
              <w:t>光谷项目</w:t>
            </w:r>
          </w:p>
        </w:tc>
        <w:tc>
          <w:tcPr>
            <w:tcW w:w="2665" w:type="dxa"/>
            <w:vAlign w:val="center"/>
          </w:tcPr>
          <w:p>
            <w:pPr>
              <w:jc w:val="center"/>
              <w:rPr>
                <w:rFonts w:hint="default" w:ascii="Arial" w:hAnsi="Arial" w:eastAsia="宋体" w:cs="Arial"/>
                <w:lang w:val="en-US" w:eastAsia="zh-CN"/>
              </w:rPr>
            </w:pPr>
            <w:r>
              <w:rPr>
                <w:rFonts w:hint="default" w:ascii="Arial" w:hAnsi="Arial" w:eastAsia="宋体" w:cs="Arial"/>
                <w:lang w:val="en-US" w:eastAsia="zh-CN"/>
              </w:rPr>
              <w:drawing>
                <wp:inline distT="0" distB="0" distL="114300" distR="114300">
                  <wp:extent cx="2225040" cy="1367790"/>
                  <wp:effectExtent l="0" t="0" r="3810" b="3810"/>
                  <wp:docPr id="5" name="图片 5" descr="微信图片_2020120310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1203100936"/>
                          <pic:cNvPicPr>
                            <a:picLocks noChangeAspect="1"/>
                          </pic:cNvPicPr>
                        </pic:nvPicPr>
                        <pic:blipFill>
                          <a:blip r:embed="rId9"/>
                          <a:srcRect t="9884" b="9884"/>
                          <a:stretch>
                            <a:fillRect/>
                          </a:stretch>
                        </pic:blipFill>
                        <pic:spPr>
                          <a:xfrm>
                            <a:off x="0" y="0"/>
                            <a:ext cx="2225040" cy="1367790"/>
                          </a:xfrm>
                          <a:prstGeom prst="rect">
                            <a:avLst/>
                          </a:prstGeom>
                        </pic:spPr>
                      </pic:pic>
                    </a:graphicData>
                  </a:graphic>
                </wp:inline>
              </w:drawing>
            </w:r>
            <w:r>
              <w:rPr>
                <w:rFonts w:hint="default" w:ascii="Arial" w:hAnsi="Arial" w:eastAsia="宋体" w:cs="Arial"/>
                <w:lang w:val="en-US" w:eastAsia="zh-CN"/>
              </w:rPr>
              <w:t>567号楼</w:t>
            </w:r>
          </w:p>
        </w:tc>
        <w:tc>
          <w:tcPr>
            <w:tcW w:w="2665" w:type="dxa"/>
            <w:vAlign w:val="center"/>
          </w:tcPr>
          <w:p>
            <w:pPr>
              <w:jc w:val="center"/>
              <w:rPr>
                <w:rFonts w:hint="default" w:ascii="Arial" w:hAnsi="Arial" w:eastAsia="宋体" w:cs="Arial"/>
                <w:lang w:val="en-US" w:eastAsia="zh-CN"/>
              </w:rPr>
            </w:pPr>
            <w:r>
              <w:rPr>
                <w:rFonts w:hint="default" w:ascii="Arial" w:hAnsi="Arial" w:eastAsia="宋体" w:cs="Arial"/>
                <w:lang w:val="en-US" w:eastAsia="zh-CN"/>
              </w:rPr>
              <w:drawing>
                <wp:inline distT="0" distB="0" distL="114300" distR="114300">
                  <wp:extent cx="2030095" cy="1367155"/>
                  <wp:effectExtent l="0" t="0" r="8255" b="4445"/>
                  <wp:docPr id="6" name="图片 6" descr="微信图片_2020120310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1203100853"/>
                          <pic:cNvPicPr>
                            <a:picLocks noChangeAspect="1"/>
                          </pic:cNvPicPr>
                        </pic:nvPicPr>
                        <pic:blipFill>
                          <a:blip r:embed="rId10"/>
                          <a:srcRect t="6046" b="6046"/>
                          <a:stretch>
                            <a:fillRect/>
                          </a:stretch>
                        </pic:blipFill>
                        <pic:spPr>
                          <a:xfrm>
                            <a:off x="0" y="0"/>
                            <a:ext cx="2030095" cy="1367155"/>
                          </a:xfrm>
                          <a:prstGeom prst="rect">
                            <a:avLst/>
                          </a:prstGeom>
                        </pic:spPr>
                      </pic:pic>
                    </a:graphicData>
                  </a:graphic>
                </wp:inline>
              </w:drawing>
            </w:r>
            <w:r>
              <w:rPr>
                <w:rFonts w:hint="default" w:ascii="Arial" w:hAnsi="Arial" w:eastAsia="宋体" w:cs="Arial"/>
                <w:lang w:val="en-US" w:eastAsia="zh-CN"/>
              </w:rPr>
              <w:t>1号楼</w:t>
            </w:r>
          </w:p>
        </w:tc>
        <w:tc>
          <w:tcPr>
            <w:tcW w:w="2665" w:type="dxa"/>
            <w:vAlign w:val="center"/>
          </w:tcPr>
          <w:p>
            <w:pPr>
              <w:ind w:left="840" w:hanging="840" w:hangingChars="400"/>
              <w:jc w:val="both"/>
              <w:rPr>
                <w:rFonts w:hint="default" w:ascii="Arial" w:hAnsi="Arial" w:eastAsia="宋体" w:cs="Arial"/>
                <w:lang w:val="en-US" w:eastAsia="zh-CN"/>
              </w:rPr>
            </w:pPr>
            <w:r>
              <w:rPr>
                <w:rFonts w:hint="default" w:ascii="Arial" w:hAnsi="Arial" w:eastAsia="宋体" w:cs="Arial"/>
                <w:lang w:val="en-US" w:eastAsia="zh-CN"/>
              </w:rPr>
              <w:drawing>
                <wp:inline distT="0" distB="0" distL="114300" distR="114300">
                  <wp:extent cx="2030095" cy="1346835"/>
                  <wp:effectExtent l="0" t="0" r="8255" b="5715"/>
                  <wp:docPr id="8" name="图片 8" descr="微信图片_2020120310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1203100929"/>
                          <pic:cNvPicPr>
                            <a:picLocks noChangeAspect="1"/>
                          </pic:cNvPicPr>
                        </pic:nvPicPr>
                        <pic:blipFill>
                          <a:blip r:embed="rId11"/>
                          <a:stretch>
                            <a:fillRect/>
                          </a:stretch>
                        </pic:blipFill>
                        <pic:spPr>
                          <a:xfrm>
                            <a:off x="0" y="0"/>
                            <a:ext cx="2030095" cy="1346835"/>
                          </a:xfrm>
                          <a:prstGeom prst="rect">
                            <a:avLst/>
                          </a:prstGeom>
                        </pic:spPr>
                      </pic:pic>
                    </a:graphicData>
                  </a:graphic>
                </wp:inline>
              </w:drawing>
            </w:r>
            <w:r>
              <w:rPr>
                <w:rFonts w:hint="default" w:ascii="Arial" w:hAnsi="Arial" w:eastAsia="宋体" w:cs="Arial"/>
                <w:lang w:val="en-US" w:eastAsia="zh-CN"/>
              </w:rPr>
              <w:t>8号楼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2665" w:type="dxa"/>
            <w:vAlign w:val="center"/>
          </w:tcPr>
          <w:p>
            <w:pPr>
              <w:ind w:left="630" w:hanging="630" w:hangingChars="300"/>
              <w:rPr>
                <w:rFonts w:hint="default" w:ascii="Arial" w:hAnsi="Arial" w:eastAsia="宋体" w:cs="Arial"/>
                <w:lang w:val="en-US" w:eastAsia="zh-CN"/>
              </w:rPr>
            </w:pPr>
            <w:r>
              <w:rPr>
                <w:rFonts w:hint="eastAsia" w:ascii="Arial" w:hAnsi="Arial" w:cs="Arial"/>
                <w:lang w:val="en-US" w:eastAsia="zh-CN"/>
              </w:rPr>
              <w:drawing>
                <wp:inline distT="0" distB="0" distL="114300" distR="114300">
                  <wp:extent cx="2390140" cy="1472565"/>
                  <wp:effectExtent l="0" t="0" r="10160" b="13335"/>
                  <wp:docPr id="9" name="图片 9" descr="微信图片_2020120310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1203100932"/>
                          <pic:cNvPicPr>
                            <a:picLocks noChangeAspect="1"/>
                          </pic:cNvPicPr>
                        </pic:nvPicPr>
                        <pic:blipFill>
                          <a:blip r:embed="rId12"/>
                          <a:stretch>
                            <a:fillRect/>
                          </a:stretch>
                        </pic:blipFill>
                        <pic:spPr>
                          <a:xfrm>
                            <a:off x="0" y="0"/>
                            <a:ext cx="2390140" cy="1472565"/>
                          </a:xfrm>
                          <a:prstGeom prst="rect">
                            <a:avLst/>
                          </a:prstGeom>
                        </pic:spPr>
                      </pic:pic>
                    </a:graphicData>
                  </a:graphic>
                </wp:inline>
              </w:drawing>
            </w:r>
            <w:r>
              <w:rPr>
                <w:rFonts w:hint="eastAsia" w:ascii="Arial" w:hAnsi="Arial" w:cs="Arial"/>
                <w:lang w:val="en-US" w:eastAsia="zh-CN"/>
              </w:rPr>
              <w:t>3</w:t>
            </w:r>
            <w:r>
              <w:rPr>
                <w:rFonts w:hint="default" w:ascii="Arial" w:hAnsi="Arial" w:eastAsia="宋体" w:cs="Arial"/>
                <w:lang w:val="en-US" w:eastAsia="zh-CN"/>
              </w:rPr>
              <w:t>号楼</w:t>
            </w:r>
          </w:p>
        </w:tc>
        <w:tc>
          <w:tcPr>
            <w:tcW w:w="2665" w:type="dxa"/>
            <w:vAlign w:val="center"/>
          </w:tcPr>
          <w:p>
            <w:pPr>
              <w:jc w:val="both"/>
              <w:rPr>
                <w:rFonts w:hint="default" w:ascii="Arial" w:hAnsi="Arial" w:eastAsia="宋体" w:cs="Arial"/>
                <w:lang w:eastAsia="zh-CN"/>
              </w:rPr>
            </w:pPr>
          </w:p>
        </w:tc>
        <w:tc>
          <w:tcPr>
            <w:tcW w:w="2665" w:type="dxa"/>
            <w:vAlign w:val="center"/>
          </w:tcPr>
          <w:p>
            <w:pPr>
              <w:jc w:val="both"/>
              <w:rPr>
                <w:rFonts w:hint="default" w:ascii="Arial" w:hAnsi="Arial" w:eastAsia="宋体" w:cs="Arial"/>
                <w:lang w:eastAsia="zh-CN"/>
              </w:rPr>
            </w:pPr>
          </w:p>
        </w:tc>
        <w:tc>
          <w:tcPr>
            <w:tcW w:w="2665" w:type="dxa"/>
            <w:vAlign w:val="center"/>
          </w:tcPr>
          <w:p>
            <w:pPr>
              <w:jc w:val="both"/>
              <w:rPr>
                <w:rFonts w:hint="default" w:ascii="Arial" w:hAnsi="Arial" w:eastAsia="宋体" w:cs="Arial"/>
                <w:lang w:eastAsia="zh-CN"/>
              </w:rPr>
            </w:pPr>
          </w:p>
        </w:tc>
      </w:tr>
    </w:tbl>
    <w:p>
      <w:pPr>
        <w:rPr>
          <w:rFonts w:hint="default" w:ascii="Arial" w:hAnsi="Arial" w:eastAsia="宋体" w:cs="Arial"/>
          <w:sz w:val="24"/>
          <w:szCs w:val="24"/>
        </w:rPr>
      </w:pPr>
      <w:bookmarkStart w:id="45" w:name="_Toc22284"/>
      <w:bookmarkStart w:id="46" w:name="_Toc535570753"/>
      <w:bookmarkStart w:id="47" w:name="_Toc535508639"/>
      <w:bookmarkStart w:id="48" w:name="_Toc535580026"/>
      <w:bookmarkStart w:id="49" w:name="_Toc532281660"/>
      <w:bookmarkStart w:id="50" w:name="_Toc50218133"/>
      <w:bookmarkStart w:id="51" w:name="_Toc535580094"/>
      <w:bookmarkStart w:id="52" w:name="_Toc29813"/>
    </w:p>
    <w:bookmarkEnd w:id="45"/>
    <w:bookmarkEnd w:id="46"/>
    <w:bookmarkEnd w:id="47"/>
    <w:bookmarkEnd w:id="48"/>
    <w:bookmarkEnd w:id="49"/>
    <w:bookmarkEnd w:id="50"/>
    <w:bookmarkEnd w:id="51"/>
    <w:bookmarkEnd w:id="52"/>
    <w:p>
      <w:pPr>
        <w:pStyle w:val="2"/>
        <w:spacing w:before="300" w:after="300" w:line="360" w:lineRule="exact"/>
        <w:rPr>
          <w:rFonts w:hint="default" w:ascii="Arial" w:hAnsi="Arial" w:eastAsia="宋体" w:cs="Arial"/>
          <w:sz w:val="24"/>
          <w:szCs w:val="24"/>
        </w:rPr>
      </w:pPr>
      <w:bookmarkStart w:id="53" w:name="_Toc18727"/>
      <w:r>
        <w:rPr>
          <w:rFonts w:hint="default" w:ascii="Arial" w:hAnsi="Arial" w:eastAsia="宋体" w:cs="Arial"/>
          <w:sz w:val="24"/>
          <w:szCs w:val="24"/>
        </w:rPr>
        <w:t>4印鉴使用情况</w:t>
      </w:r>
      <w:bookmarkEnd w:id="53"/>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pPr>
        <w:spacing w:before="240" w:beforeLines="100"/>
        <w:jc w:val="center"/>
        <w:rPr>
          <w:rFonts w:hint="default" w:ascii="Arial" w:hAnsi="Arial" w:cs="Arial"/>
          <w:b/>
          <w:kern w:val="44"/>
          <w:sz w:val="24"/>
        </w:rPr>
      </w:pPr>
      <w:bookmarkStart w:id="54" w:name="_Hlk18530413"/>
      <w:r>
        <w:rPr>
          <w:rFonts w:hint="default" w:ascii="Arial" w:hAnsi="Arial" w:cs="Arial"/>
          <w:b/>
          <w:kern w:val="44"/>
          <w:sz w:val="24"/>
        </w:rPr>
        <w:t>2020年</w:t>
      </w:r>
      <w:r>
        <w:rPr>
          <w:rFonts w:hint="default" w:ascii="Arial" w:hAnsi="Arial" w:cs="Arial"/>
          <w:b/>
          <w:kern w:val="44"/>
          <w:sz w:val="24"/>
          <w:lang w:val="en-US" w:eastAsia="zh-CN"/>
        </w:rPr>
        <w:t>1</w:t>
      </w:r>
      <w:r>
        <w:rPr>
          <w:rFonts w:hint="eastAsia" w:ascii="Arial" w:hAnsi="Arial" w:cs="Arial"/>
          <w:b/>
          <w:kern w:val="44"/>
          <w:sz w:val="24"/>
          <w:lang w:val="en-US" w:eastAsia="zh-CN"/>
        </w:rPr>
        <w:t>1</w:t>
      </w:r>
      <w:r>
        <w:rPr>
          <w:rFonts w:hint="default" w:ascii="Arial" w:hAnsi="Arial" w:cs="Arial"/>
          <w:b/>
          <w:kern w:val="44"/>
          <w:sz w:val="24"/>
        </w:rPr>
        <w:t xml:space="preserve">月印鉴使用登记表 </w:t>
      </w:r>
    </w:p>
    <w:bookmarkEnd w:id="54"/>
    <w:tbl>
      <w:tblPr>
        <w:tblStyle w:val="22"/>
        <w:tblW w:w="9405" w:type="dxa"/>
        <w:jc w:val="center"/>
        <w:shd w:val="clear" w:color="auto" w:fill="auto"/>
        <w:tblLayout w:type="autofit"/>
        <w:tblCellMar>
          <w:top w:w="0" w:type="dxa"/>
          <w:left w:w="0" w:type="dxa"/>
          <w:bottom w:w="0" w:type="dxa"/>
          <w:right w:w="0" w:type="dxa"/>
        </w:tblCellMar>
      </w:tblPr>
      <w:tblGrid>
        <w:gridCol w:w="975"/>
        <w:gridCol w:w="1125"/>
        <w:gridCol w:w="1245"/>
        <w:gridCol w:w="2040"/>
        <w:gridCol w:w="2940"/>
        <w:gridCol w:w="1080"/>
      </w:tblGrid>
      <w:tr>
        <w:tblPrEx>
          <w:shd w:val="clear" w:color="auto" w:fill="auto"/>
          <w:tblCellMar>
            <w:top w:w="0" w:type="dxa"/>
            <w:left w:w="0" w:type="dxa"/>
            <w:bottom w:w="0" w:type="dxa"/>
            <w:right w:w="0" w:type="dxa"/>
          </w:tblCellMar>
        </w:tblPrEx>
        <w:trPr>
          <w:trHeight w:val="272" w:hRule="atLeast"/>
          <w:tblHeader/>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bookmarkStart w:id="55" w:name="_Toc535570754"/>
            <w:bookmarkStart w:id="56" w:name="_Toc535580095"/>
            <w:bookmarkStart w:id="57" w:name="_Toc535580027"/>
            <w:bookmarkStart w:id="58" w:name="_Toc535508640"/>
            <w:bookmarkStart w:id="59" w:name="_Toc532281661"/>
            <w:bookmarkStart w:id="60" w:name="_Toc373309851"/>
            <w:bookmarkStart w:id="61" w:name="_Toc411430359"/>
            <w:r>
              <w:rPr>
                <w:rStyle w:val="58"/>
                <w:rFonts w:hint="default" w:ascii="Arial" w:hAnsi="Arial" w:cs="Arial"/>
                <w:sz w:val="18"/>
                <w:szCs w:val="18"/>
                <w:lang w:val="en-US" w:eastAsia="zh-CN" w:bidi="ar"/>
              </w:rPr>
              <w:t>用印公司</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8"/>
                <w:rFonts w:hint="default" w:ascii="Arial" w:hAnsi="Arial" w:cs="Arial"/>
                <w:sz w:val="18"/>
                <w:szCs w:val="18"/>
                <w:lang w:val="en-US" w:eastAsia="zh-CN" w:bidi="ar"/>
              </w:rPr>
              <w:t>用印日期</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8"/>
                <w:rFonts w:hint="default" w:ascii="Arial" w:hAnsi="Arial" w:cs="Arial"/>
                <w:sz w:val="18"/>
                <w:szCs w:val="18"/>
                <w:lang w:val="en-US" w:eastAsia="zh-CN" w:bidi="ar"/>
              </w:rPr>
              <w:t>印章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8"/>
                <w:rFonts w:hint="default" w:ascii="Arial" w:hAnsi="Arial" w:cs="Arial"/>
                <w:sz w:val="18"/>
                <w:szCs w:val="18"/>
                <w:lang w:val="en-US" w:eastAsia="zh-CN" w:bidi="ar"/>
              </w:rPr>
              <w:t>用印事由</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8"/>
                <w:rFonts w:hint="default" w:ascii="Arial" w:hAnsi="Arial" w:cs="Arial"/>
                <w:sz w:val="18"/>
                <w:szCs w:val="18"/>
                <w:lang w:val="en-US" w:eastAsia="zh-CN" w:bidi="ar"/>
              </w:rPr>
              <w:t>用印材料及份数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8"/>
                <w:rFonts w:hint="default" w:ascii="Arial" w:hAnsi="Arial" w:cs="Arial"/>
                <w:sz w:val="18"/>
                <w:szCs w:val="18"/>
                <w:lang w:val="en-US" w:eastAsia="zh-CN" w:bidi="ar"/>
              </w:rPr>
              <w:t>经办人</w:t>
            </w:r>
          </w:p>
        </w:tc>
      </w:tr>
      <w:tr>
        <w:tblPrEx>
          <w:tblCellMar>
            <w:top w:w="0" w:type="dxa"/>
            <w:left w:w="0" w:type="dxa"/>
            <w:bottom w:w="0" w:type="dxa"/>
            <w:right w:w="0" w:type="dxa"/>
          </w:tblCellMar>
        </w:tblPrEx>
        <w:trPr>
          <w:trHeight w:val="15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项目8#10#合同备案资料用印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1、授权委托书；2、8号楼楼10号楼房屋价格清册；3、具结书；4、同意预售函以及他项权利证复印件；5、武汉市房屋楼盘表告知书；6、不动产证以及预售许可证复印件；（各1份）（各1份）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冯远程</w:t>
            </w:r>
          </w:p>
        </w:tc>
      </w:tr>
      <w:tr>
        <w:tblPrEx>
          <w:shd w:val="clear" w:color="auto" w:fill="auto"/>
          <w:tblCellMar>
            <w:top w:w="0" w:type="dxa"/>
            <w:left w:w="0" w:type="dxa"/>
            <w:bottom w:w="0" w:type="dxa"/>
            <w:right w:w="0"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项目8#10#监管户银联POS机办理用印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1、银联商务特约商户业务申请书；2、银联商务特约商户支付服务协议；3、营业执照复印件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王芳亮</w:t>
            </w:r>
          </w:p>
        </w:tc>
      </w:tr>
      <w:tr>
        <w:tblPrEx>
          <w:tblCellMar>
            <w:top w:w="0" w:type="dxa"/>
            <w:left w:w="0" w:type="dxa"/>
            <w:bottom w:w="0" w:type="dxa"/>
            <w:right w:w="0" w:type="dxa"/>
          </w:tblCellMar>
        </w:tblPrEx>
        <w:trPr>
          <w:trHeight w:val="4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缴款催告函和解除函用印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吴彩燕合同签约及首付款缴款催告函和解除函（各1份）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冯远程</w:t>
            </w:r>
          </w:p>
        </w:tc>
      </w:tr>
      <w:tr>
        <w:tblPrEx>
          <w:shd w:val="clear" w:color="auto" w:fill="auto"/>
          <w:tblCellMar>
            <w:top w:w="0" w:type="dxa"/>
            <w:left w:w="0" w:type="dxa"/>
            <w:bottom w:w="0" w:type="dxa"/>
            <w:right w:w="0"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售楼处设计控制手册室内设计合同</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正荣·武汉公司600标售楼处设计控制手册室内设计合同（4份）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李雯</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企业自查表用印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企业自查表（1份）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冯远程</w:t>
            </w:r>
          </w:p>
        </w:tc>
      </w:tr>
      <w:tr>
        <w:tblPrEx>
          <w:tblCellMar>
            <w:top w:w="0" w:type="dxa"/>
            <w:left w:w="0" w:type="dxa"/>
            <w:bottom w:w="0" w:type="dxa"/>
            <w:right w:w="0" w:type="dxa"/>
          </w:tblCellMar>
        </w:tblPrEx>
        <w:trPr>
          <w:trHeight w:val="4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工作联系函用印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《工程联系单》发科顿叠拼示范区整改（附整改报告）（1份）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肖欢</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图纸会审记录用印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图纸会审记录（3份）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肖欢</w:t>
            </w:r>
          </w:p>
        </w:tc>
      </w:tr>
      <w:tr>
        <w:tblPrEx>
          <w:tblCellMar>
            <w:top w:w="0" w:type="dxa"/>
            <w:left w:w="0" w:type="dxa"/>
            <w:bottom w:w="0" w:type="dxa"/>
            <w:right w:w="0"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公章、法人章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r>
              <w:rPr>
                <w:rFonts w:hint="default" w:ascii="Arial" w:hAnsi="Arial" w:eastAsia="宋体" w:cs="Arial"/>
                <w:i w:val="0"/>
                <w:color w:val="000000"/>
                <w:kern w:val="0"/>
                <w:sz w:val="18"/>
                <w:szCs w:val="18"/>
                <w:u w:val="none"/>
                <w:lang w:val="en-US" w:eastAsia="zh-CN" w:bidi="ar"/>
              </w:rPr>
              <w:t>建设银行变更预留印鉴</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1、单位结算账户预留印鉴变更申请书；2、一般业务申请书；3、营业执照复印件；4、印鉴卡（各1份）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刘旖莎</w:t>
            </w:r>
          </w:p>
        </w:tc>
      </w:tr>
      <w:tr>
        <w:tblPrEx>
          <w:shd w:val="clear" w:color="auto" w:fill="auto"/>
          <w:tblCellMar>
            <w:top w:w="0" w:type="dxa"/>
            <w:left w:w="0" w:type="dxa"/>
            <w:bottom w:w="0" w:type="dxa"/>
            <w:right w:w="0" w:type="dxa"/>
          </w:tblCellMar>
        </w:tblPrEx>
        <w:trPr>
          <w:trHeight w:val="10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光谷正荣府项目关于应付申请审批单的用印申请</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1、东方雨虹付款审批表；2、福珍付款审批表；3、中核二二付款审批表；4、中南勘察付款审批表；（各1份）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肖欢</w:t>
            </w:r>
          </w:p>
        </w:tc>
      </w:tr>
      <w:tr>
        <w:tblPrEx>
          <w:shd w:val="clear" w:color="auto" w:fill="auto"/>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营销合同（北京搜房科技发展有限公司武汉分公司）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媒体广告发布合同（4份）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吴小方</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营销合同（武汉合瑞泽广告有限公司）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户外广告发布合同（8月）4份）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吴小方</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营销合同（武汉合瑞泽广告有限公司）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户外广告发布合同（9月）4份）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吴小方</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营销合同（武汉合瑞泽广告有限公司）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户外广告发布合同（10月）4份）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吴小方</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营销合同（武汉恩立本模型有限公司）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建筑模型制作安装合同（4份）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吴小方</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营销合同（武汉市山之田模型艺术设计有限公司）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建筑模型制作安装合同（4份）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吴小方</w:t>
            </w:r>
          </w:p>
        </w:tc>
      </w:tr>
      <w:tr>
        <w:tblPrEx>
          <w:shd w:val="clear" w:color="auto" w:fill="auto"/>
          <w:tblCellMar>
            <w:top w:w="0" w:type="dxa"/>
            <w:left w:w="0" w:type="dxa"/>
            <w:bottom w:w="0" w:type="dxa"/>
            <w:right w:w="0" w:type="dxa"/>
          </w:tblCellMar>
        </w:tblPrEx>
        <w:trPr>
          <w:trHeight w:val="12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工程形象进度资料用印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工程形象进度单（中国核工业第二三建设有限公司、上海东方雨虹防水工程有限公司、湖北福珍建筑有限公司、中南勘察基础工程有限公司）各1份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肖欢</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办理税务延期缴纳</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税务行政许可申请表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刘晓</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质量整改答复函用印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安全监督整改回复函（1份）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肖欢</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离职证明用印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离职证明</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齐雅楠）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阮文静</w:t>
            </w:r>
          </w:p>
        </w:tc>
      </w:tr>
      <w:tr>
        <w:tblPrEx>
          <w:tblCellMar>
            <w:top w:w="0" w:type="dxa"/>
            <w:left w:w="0" w:type="dxa"/>
            <w:bottom w:w="0" w:type="dxa"/>
            <w:right w:w="0" w:type="dxa"/>
          </w:tblCellMar>
        </w:tblPrEx>
        <w:trPr>
          <w:trHeight w:val="73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认购书解约函3份</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商品房买卖合同签约及首付款缴款催告函（程翠珍、叶永清、彭彬各1份）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冯远程</w:t>
            </w:r>
          </w:p>
        </w:tc>
      </w:tr>
      <w:tr>
        <w:tblPrEx>
          <w:tblCellMar>
            <w:top w:w="0" w:type="dxa"/>
            <w:left w:w="0" w:type="dxa"/>
            <w:bottom w:w="0" w:type="dxa"/>
            <w:right w:w="0" w:type="dxa"/>
          </w:tblCellMar>
        </w:tblPrEx>
        <w:trPr>
          <w:trHeight w:val="4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疫情项目冷链食品自查表用印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建筑工地进口食品冷链食品自查表（1份）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肖欢</w:t>
            </w:r>
          </w:p>
        </w:tc>
      </w:tr>
      <w:tr>
        <w:tblPrEx>
          <w:tblCellMar>
            <w:top w:w="0" w:type="dxa"/>
            <w:left w:w="0" w:type="dxa"/>
            <w:bottom w:w="0" w:type="dxa"/>
            <w:right w:w="0" w:type="dxa"/>
          </w:tblCellMar>
        </w:tblPrEx>
        <w:trPr>
          <w:trHeight w:val="7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居民</w:t>
            </w:r>
            <w:r>
              <w:rPr>
                <w:rFonts w:hint="default" w:ascii="Arial" w:hAnsi="Arial" w:cs="Arial"/>
                <w:i w:val="0"/>
                <w:color w:val="000000"/>
                <w:kern w:val="0"/>
                <w:sz w:val="18"/>
                <w:szCs w:val="18"/>
                <w:highlight w:val="none"/>
                <w:u w:val="none"/>
                <w:lang w:val="en-US" w:eastAsia="zh-CN" w:bidi="ar"/>
              </w:rPr>
              <w:t>天然气</w:t>
            </w:r>
            <w:r>
              <w:rPr>
                <w:rFonts w:hint="default" w:ascii="Arial" w:hAnsi="Arial" w:eastAsia="宋体" w:cs="Arial"/>
                <w:i w:val="0"/>
                <w:color w:val="000000"/>
                <w:kern w:val="0"/>
                <w:sz w:val="18"/>
                <w:szCs w:val="18"/>
                <w:u w:val="none"/>
                <w:lang w:val="en-US" w:eastAsia="zh-CN" w:bidi="ar"/>
              </w:rPr>
              <w:t>申报用印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1、天然气供用意向书；2、承诺函；3、委托书；4、往来单位申请表；5、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肖欢</w:t>
            </w:r>
          </w:p>
        </w:tc>
      </w:tr>
      <w:tr>
        <w:tblPrEx>
          <w:shd w:val="clear" w:color="auto" w:fill="auto"/>
          <w:tblCellMar>
            <w:top w:w="0" w:type="dxa"/>
            <w:left w:w="0" w:type="dxa"/>
            <w:bottom w:w="0" w:type="dxa"/>
            <w:right w:w="0"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营销合同（武汉创联凯尔咨询顾问有限公司）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光谷正荣府业主私宴（9月）活动执行合同（4份）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吴小方</w:t>
            </w:r>
          </w:p>
        </w:tc>
      </w:tr>
      <w:tr>
        <w:tblPrEx>
          <w:shd w:val="clear" w:color="auto" w:fill="auto"/>
          <w:tblCellMar>
            <w:top w:w="0" w:type="dxa"/>
            <w:left w:w="0" w:type="dxa"/>
            <w:bottom w:w="0" w:type="dxa"/>
            <w:right w:w="0" w:type="dxa"/>
          </w:tblCellMar>
        </w:tblPrEx>
        <w:trPr>
          <w:trHeight w:val="4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催签函用印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《商品房买卖合同》签订通知书（吴彩燕）1份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冯远程</w:t>
            </w:r>
          </w:p>
        </w:tc>
      </w:tr>
      <w:tr>
        <w:tblPrEx>
          <w:tblCellMar>
            <w:top w:w="0" w:type="dxa"/>
            <w:left w:w="0" w:type="dxa"/>
            <w:bottom w:w="0" w:type="dxa"/>
            <w:right w:w="0" w:type="dxa"/>
          </w:tblCellMar>
        </w:tblPrEx>
        <w:trPr>
          <w:trHeight w:val="12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保理合同回执用印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1、回执用印（中南勘察基础工程有限公司、上海东方雨虹防水工程有限公司、湖北福珍建筑工程有限公司、中国核工业第二二建设有限公司以上各4份）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r>
      <w:tr>
        <w:tblPrEx>
          <w:shd w:val="clear" w:color="auto" w:fill="auto"/>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售楼处电梯工程结算单用印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1、电梯供应合同结算协议书；2、电梯施工合同结算协议书；（4份）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8月电梯营销合同</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户外广告发布合同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吴小方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10月电梯营销合同</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媒体广告发布合同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吴小方</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关于《调价补偿补充协议》的承诺函</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承诺函（1份）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肖欢</w:t>
            </w:r>
          </w:p>
        </w:tc>
      </w:tr>
      <w:tr>
        <w:tblPrEx>
          <w:tblCellMar>
            <w:top w:w="0" w:type="dxa"/>
            <w:left w:w="0" w:type="dxa"/>
            <w:bottom w:w="0" w:type="dxa"/>
            <w:right w:w="0" w:type="dxa"/>
          </w:tblCellMar>
        </w:tblPrEx>
        <w:trPr>
          <w:trHeight w:val="4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设计合同审查咨询合同</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武汉市建设工程设计文件审查咨询合同（4份）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吴明</w:t>
            </w:r>
          </w:p>
        </w:tc>
      </w:tr>
      <w:tr>
        <w:tblPrEx>
          <w:shd w:val="clear" w:color="auto" w:fill="auto"/>
          <w:tblCellMar>
            <w:top w:w="0" w:type="dxa"/>
            <w:left w:w="0" w:type="dxa"/>
            <w:bottom w:w="0" w:type="dxa"/>
            <w:right w:w="0" w:type="dxa"/>
          </w:tblCellMar>
        </w:tblPrEx>
        <w:trPr>
          <w:trHeight w:val="4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总包调价协议用印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《武汉光谷正荣府项目总承包工程》之调价补偿补充协议（6份）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肖欢</w:t>
            </w:r>
          </w:p>
        </w:tc>
      </w:tr>
      <w:tr>
        <w:tblPrEx>
          <w:shd w:val="clear" w:color="auto" w:fill="auto"/>
          <w:tblCellMar>
            <w:top w:w="0" w:type="dxa"/>
            <w:left w:w="0" w:type="dxa"/>
            <w:bottom w:w="0" w:type="dxa"/>
            <w:right w:w="0" w:type="dxa"/>
          </w:tblCellMar>
        </w:tblPrEx>
        <w:trPr>
          <w:trHeight w:val="5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催告函解约函用印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催告函（陈珊、叶萍、孙玉容、徐颖婷）（和解约函徐颖婷用印（各1份）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冯远程</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收入证明</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收入证明（孙小琴）2份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吴小方</w:t>
            </w:r>
          </w:p>
        </w:tc>
      </w:tr>
      <w:tr>
        <w:tblPrEx>
          <w:shd w:val="clear" w:color="auto" w:fill="auto"/>
        </w:tblPrEx>
        <w:trPr>
          <w:trHeight w:val="4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异动申请用印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武汉市商房买卖合同异动信息申请表2份（王晗、王娅）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吴小方</w:t>
            </w:r>
          </w:p>
        </w:tc>
      </w:tr>
      <w:tr>
        <w:tblPrEx>
          <w:tblCellMar>
            <w:top w:w="0" w:type="dxa"/>
            <w:left w:w="0" w:type="dxa"/>
            <w:bottom w:w="0" w:type="dxa"/>
            <w:right w:w="0" w:type="dxa"/>
          </w:tblCellMar>
        </w:tblPrEx>
        <w:trPr>
          <w:trHeight w:val="12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催告函解约函用印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1、【商品房买卖合同签约及首付款催缴催告函（龚亚鑫，钱镜宇）；2、【武汉市商品房认购书】解除通知书（程俊萍1份）；3、商品房买卖合同签订通知书（李斌1份）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吴小方</w:t>
            </w:r>
          </w:p>
        </w:tc>
      </w:tr>
      <w:tr>
        <w:tblPrEx>
          <w:shd w:val="clear" w:color="auto" w:fill="auto"/>
          <w:tblCellMar>
            <w:top w:w="0" w:type="dxa"/>
            <w:left w:w="0" w:type="dxa"/>
            <w:bottom w:w="0" w:type="dxa"/>
            <w:right w:w="0" w:type="dxa"/>
          </w:tblCellMar>
        </w:tblPrEx>
        <w:trPr>
          <w:trHeight w:val="5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保理函用印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1、回执用印（湖北福珍建筑工程有限公司3份）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蒋逸凡</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合同章</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四川洲宇建筑设计有限公司武汉分公司</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光谷正荣府门窗幕墙工程深化设计合同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吴明</w:t>
            </w:r>
          </w:p>
        </w:tc>
      </w:tr>
    </w:tbl>
    <w:p>
      <w:pPr>
        <w:rPr>
          <w:rFonts w:hint="default" w:ascii="Arial" w:hAnsi="Arial" w:cs="Arial"/>
        </w:rPr>
      </w:pPr>
    </w:p>
    <w:p>
      <w:pPr>
        <w:spacing w:line="360" w:lineRule="auto"/>
        <w:ind w:firstLine="420" w:firstLineChars="200"/>
        <w:rPr>
          <w:rFonts w:hint="default" w:ascii="Arial" w:hAnsi="Arial" w:cs="Arial"/>
          <w:bCs/>
          <w:kern w:val="44"/>
          <w:szCs w:val="21"/>
        </w:rPr>
      </w:pPr>
    </w:p>
    <w:p>
      <w:pPr>
        <w:spacing w:line="360" w:lineRule="auto"/>
        <w:ind w:firstLine="420" w:firstLineChars="200"/>
        <w:rPr>
          <w:rFonts w:hint="default" w:ascii="Arial" w:hAnsi="Arial" w:cs="Arial"/>
          <w:bCs/>
          <w:kern w:val="44"/>
          <w:szCs w:val="21"/>
        </w:rPr>
      </w:pPr>
      <w:r>
        <w:rPr>
          <w:rFonts w:hint="default" w:ascii="Arial" w:hAnsi="Arial" w:cs="Arial"/>
          <w:bCs/>
          <w:kern w:val="44"/>
          <w:szCs w:val="21"/>
        </w:rPr>
        <w:t>本月证照章外带情况表如下：</w:t>
      </w:r>
    </w:p>
    <w:p>
      <w:pPr>
        <w:spacing w:line="360" w:lineRule="auto"/>
        <w:ind w:firstLine="420" w:firstLineChars="200"/>
        <w:rPr>
          <w:rFonts w:hint="default" w:ascii="Arial" w:hAnsi="Arial" w:cs="Arial"/>
          <w:bCs/>
          <w:kern w:val="44"/>
          <w:szCs w:val="21"/>
        </w:rPr>
      </w:pPr>
    </w:p>
    <w:tbl>
      <w:tblPr>
        <w:tblStyle w:val="22"/>
        <w:tblW w:w="10170" w:type="dxa"/>
        <w:jc w:val="center"/>
        <w:tblLayout w:type="autofit"/>
        <w:tblCellMar>
          <w:top w:w="0" w:type="dxa"/>
          <w:left w:w="0" w:type="dxa"/>
          <w:bottom w:w="0" w:type="dxa"/>
          <w:right w:w="0" w:type="dxa"/>
        </w:tblCellMar>
      </w:tblPr>
      <w:tblGrid>
        <w:gridCol w:w="1020"/>
        <w:gridCol w:w="1110"/>
        <w:gridCol w:w="2205"/>
        <w:gridCol w:w="2655"/>
        <w:gridCol w:w="2430"/>
        <w:gridCol w:w="750"/>
      </w:tblGrid>
      <w:tr>
        <w:tblPrEx>
          <w:tblCellMar>
            <w:top w:w="0" w:type="dxa"/>
            <w:left w:w="0" w:type="dxa"/>
            <w:bottom w:w="0" w:type="dxa"/>
            <w:right w:w="0" w:type="dxa"/>
          </w:tblCellMar>
        </w:tblPrEx>
        <w:trPr>
          <w:trHeight w:val="27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sz w:val="18"/>
                <w:szCs w:val="18"/>
              </w:rPr>
            </w:pPr>
            <w:r>
              <w:rPr>
                <w:rFonts w:hint="default" w:ascii="Arial" w:hAnsi="Arial" w:cs="Arial"/>
                <w:b/>
                <w:bCs/>
                <w:color w:val="000000"/>
                <w:kern w:val="0"/>
                <w:sz w:val="18"/>
                <w:szCs w:val="18"/>
                <w:lang w:bidi="ar"/>
              </w:rPr>
              <w:t>项目公司</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sz w:val="18"/>
                <w:szCs w:val="18"/>
              </w:rPr>
            </w:pPr>
            <w:r>
              <w:rPr>
                <w:rFonts w:hint="default" w:ascii="Arial" w:hAnsi="Arial" w:cs="Arial"/>
                <w:b/>
                <w:bCs/>
                <w:color w:val="000000"/>
                <w:kern w:val="0"/>
                <w:sz w:val="18"/>
                <w:szCs w:val="18"/>
                <w:lang w:bidi="ar"/>
              </w:rPr>
              <w:t>外/借出日期</w:t>
            </w:r>
          </w:p>
        </w:tc>
        <w:tc>
          <w:tcPr>
            <w:tcW w:w="2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sz w:val="18"/>
                <w:szCs w:val="18"/>
              </w:rPr>
            </w:pPr>
            <w:r>
              <w:rPr>
                <w:rFonts w:hint="default" w:ascii="Arial" w:hAnsi="Arial" w:cs="Arial"/>
                <w:b/>
                <w:bCs/>
                <w:color w:val="000000"/>
                <w:kern w:val="0"/>
                <w:sz w:val="18"/>
                <w:szCs w:val="18"/>
                <w:lang w:bidi="ar"/>
              </w:rPr>
              <w:t>印鉴/证照名称</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sz w:val="18"/>
                <w:szCs w:val="18"/>
              </w:rPr>
            </w:pPr>
            <w:r>
              <w:rPr>
                <w:rFonts w:hint="default" w:ascii="Arial" w:hAnsi="Arial" w:cs="Arial"/>
                <w:b/>
                <w:bCs/>
                <w:color w:val="000000"/>
                <w:kern w:val="0"/>
                <w:sz w:val="18"/>
                <w:szCs w:val="18"/>
                <w:lang w:bidi="ar"/>
              </w:rPr>
              <w:t>事由</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sz w:val="18"/>
                <w:szCs w:val="18"/>
              </w:rPr>
            </w:pPr>
            <w:r>
              <w:rPr>
                <w:rFonts w:hint="default" w:ascii="Arial" w:hAnsi="Arial" w:cs="Arial"/>
                <w:b/>
                <w:bCs/>
                <w:color w:val="000000"/>
                <w:kern w:val="0"/>
                <w:sz w:val="18"/>
                <w:szCs w:val="18"/>
                <w:lang w:bidi="ar"/>
              </w:rPr>
              <w:t>外/借出至机构</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sz w:val="18"/>
                <w:szCs w:val="18"/>
              </w:rPr>
            </w:pPr>
            <w:r>
              <w:rPr>
                <w:rFonts w:hint="default" w:ascii="Arial" w:hAnsi="Arial" w:cs="Arial"/>
                <w:b/>
                <w:bCs/>
                <w:color w:val="000000"/>
                <w:kern w:val="0"/>
                <w:sz w:val="18"/>
                <w:szCs w:val="18"/>
                <w:lang w:bidi="ar"/>
              </w:rPr>
              <w:t>经办人</w:t>
            </w:r>
          </w:p>
        </w:tc>
      </w:tr>
      <w:tr>
        <w:tblPrEx>
          <w:tblCellMar>
            <w:top w:w="0" w:type="dxa"/>
            <w:left w:w="0" w:type="dxa"/>
            <w:bottom w:w="0" w:type="dxa"/>
            <w:right w:w="0" w:type="dxa"/>
          </w:tblCellMar>
        </w:tblPrEx>
        <w:trPr>
          <w:trHeight w:val="48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highlight w:val="none"/>
                <w:u w:val="none"/>
                <w:lang w:val="en-US" w:eastAsia="zh-CN" w:bidi="ar"/>
              </w:rPr>
              <w:t>正楚</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2020-11-2</w:t>
            </w:r>
          </w:p>
        </w:tc>
        <w:tc>
          <w:tcPr>
            <w:tcW w:w="2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不动产证，8#10#预售许可证</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办理8#10#合同备案手续</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光谷东湖开发去政务中心</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000000"/>
                <w:sz w:val="18"/>
                <w:szCs w:val="18"/>
                <w:lang w:eastAsia="zh-CN"/>
              </w:rPr>
            </w:pPr>
            <w:r>
              <w:rPr>
                <w:rFonts w:hint="default" w:ascii="Arial" w:hAnsi="Arial" w:cs="Arial"/>
                <w:color w:val="000000"/>
                <w:sz w:val="18"/>
                <w:szCs w:val="18"/>
                <w:lang w:eastAsia="zh-CN"/>
              </w:rPr>
              <w:t>冯远程</w:t>
            </w:r>
          </w:p>
        </w:tc>
      </w:tr>
      <w:tr>
        <w:tblPrEx>
          <w:tblCellMar>
            <w:top w:w="0" w:type="dxa"/>
            <w:left w:w="0" w:type="dxa"/>
            <w:bottom w:w="0" w:type="dxa"/>
            <w:right w:w="0" w:type="dxa"/>
          </w:tblCellMar>
        </w:tblPrEx>
        <w:trPr>
          <w:trHeight w:val="75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highlight w:val="none"/>
                <w:u w:val="none"/>
                <w:lang w:val="en-US" w:eastAsia="zh-CN" w:bidi="ar"/>
              </w:rPr>
              <w:t>正楚</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2020-11-6</w:t>
            </w:r>
          </w:p>
        </w:tc>
        <w:tc>
          <w:tcPr>
            <w:tcW w:w="2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1、公章、财务章、人名章（朱文博）； 2.营业执照正副本，开户许可证</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办理建设银行预留印鉴变更</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建设银行汉阳</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刘旖莎</w:t>
            </w:r>
          </w:p>
        </w:tc>
      </w:tr>
      <w:bookmarkEnd w:id="55"/>
      <w:bookmarkEnd w:id="56"/>
      <w:bookmarkEnd w:id="57"/>
      <w:bookmarkEnd w:id="58"/>
      <w:bookmarkEnd w:id="59"/>
    </w:tbl>
    <w:p>
      <w:pPr>
        <w:rPr>
          <w:rFonts w:hint="default" w:ascii="Arial" w:hAnsi="Arial" w:cs="Arial"/>
        </w:rPr>
      </w:pPr>
    </w:p>
    <w:p>
      <w:pPr>
        <w:pStyle w:val="2"/>
        <w:spacing w:before="300" w:after="300" w:line="360" w:lineRule="exact"/>
        <w:rPr>
          <w:rFonts w:hint="default" w:ascii="Arial" w:hAnsi="Arial" w:cs="Arial"/>
          <w:b/>
          <w:bCs/>
          <w:kern w:val="44"/>
          <w:szCs w:val="21"/>
        </w:rPr>
      </w:pPr>
      <w:bookmarkStart w:id="62" w:name="_Toc7373"/>
      <w:r>
        <w:rPr>
          <w:rFonts w:hint="default" w:ascii="Arial" w:hAnsi="Arial" w:eastAsia="宋体" w:cs="Arial"/>
          <w:b/>
          <w:bCs/>
          <w:color w:val="000000"/>
          <w:sz w:val="24"/>
          <w:szCs w:val="24"/>
        </w:rPr>
        <w:t>5合同签订情况</w:t>
      </w:r>
      <w:bookmarkEnd w:id="62"/>
    </w:p>
    <w:p>
      <w:pPr>
        <w:spacing w:line="360" w:lineRule="auto"/>
        <w:ind w:firstLine="420" w:firstLineChars="200"/>
        <w:rPr>
          <w:rFonts w:hint="default" w:ascii="Arial" w:hAnsi="Arial" w:cs="Arial"/>
          <w:b/>
          <w:color w:val="000000"/>
          <w:szCs w:val="21"/>
        </w:rPr>
      </w:pPr>
      <w:r>
        <w:rPr>
          <w:rFonts w:hint="default" w:ascii="Arial" w:hAnsi="Arial" w:cs="Arial"/>
          <w:bCs/>
          <w:kern w:val="44"/>
          <w:szCs w:val="21"/>
        </w:rPr>
        <w:t>截止2020年</w:t>
      </w:r>
      <w:r>
        <w:rPr>
          <w:rFonts w:hint="default" w:ascii="Arial" w:hAnsi="Arial" w:cs="Arial"/>
          <w:bCs/>
          <w:kern w:val="44"/>
          <w:szCs w:val="21"/>
          <w:lang w:val="en-US" w:eastAsia="zh-CN"/>
        </w:rPr>
        <w:t>1</w:t>
      </w:r>
      <w:r>
        <w:rPr>
          <w:rFonts w:hint="eastAsia" w:ascii="Arial" w:hAnsi="Arial" w:cs="Arial"/>
          <w:bCs/>
          <w:kern w:val="44"/>
          <w:szCs w:val="21"/>
          <w:lang w:val="en-US" w:eastAsia="zh-CN"/>
        </w:rPr>
        <w:t>1</w:t>
      </w:r>
      <w:r>
        <w:rPr>
          <w:rFonts w:hint="default" w:ascii="Arial" w:hAnsi="Arial" w:cs="Arial"/>
          <w:bCs/>
          <w:kern w:val="44"/>
          <w:szCs w:val="21"/>
        </w:rPr>
        <w:t>月3</w:t>
      </w:r>
      <w:r>
        <w:rPr>
          <w:rFonts w:hint="eastAsia" w:ascii="Arial" w:hAnsi="Arial" w:cs="Arial"/>
          <w:bCs/>
          <w:kern w:val="44"/>
          <w:szCs w:val="21"/>
          <w:lang w:val="en-US" w:eastAsia="zh-CN"/>
        </w:rPr>
        <w:t>0</w:t>
      </w:r>
      <w:r>
        <w:rPr>
          <w:rFonts w:hint="default" w:ascii="Arial" w:hAnsi="Arial" w:cs="Arial"/>
          <w:bCs/>
          <w:kern w:val="44"/>
          <w:szCs w:val="21"/>
        </w:rPr>
        <w:t>日期间，项目公司共计新签订合同</w:t>
      </w:r>
      <w:r>
        <w:rPr>
          <w:rFonts w:hint="eastAsia" w:ascii="Arial" w:hAnsi="Arial" w:cs="Arial"/>
          <w:bCs/>
          <w:kern w:val="44"/>
          <w:szCs w:val="21"/>
          <w:lang w:val="en-US" w:eastAsia="zh-CN"/>
        </w:rPr>
        <w:t>13</w:t>
      </w:r>
      <w:r>
        <w:rPr>
          <w:rFonts w:hint="default" w:ascii="Arial" w:hAnsi="Arial" w:cs="Arial"/>
          <w:bCs/>
          <w:kern w:val="44"/>
          <w:szCs w:val="21"/>
        </w:rPr>
        <w:t>份。</w:t>
      </w:r>
    </w:p>
    <w:p>
      <w:pPr>
        <w:spacing w:line="360" w:lineRule="auto"/>
        <w:rPr>
          <w:rFonts w:hint="default" w:ascii="Arial" w:hAnsi="Arial" w:cs="Arial"/>
          <w:b/>
          <w:color w:val="000000"/>
          <w:szCs w:val="21"/>
        </w:rPr>
      </w:pPr>
    </w:p>
    <w:p>
      <w:pPr>
        <w:spacing w:line="360" w:lineRule="auto"/>
        <w:jc w:val="center"/>
        <w:rPr>
          <w:rFonts w:hint="default" w:ascii="Arial" w:hAnsi="Arial" w:cs="Arial"/>
          <w:b/>
          <w:color w:val="000000"/>
          <w:sz w:val="24"/>
        </w:rPr>
      </w:pPr>
      <w:r>
        <w:rPr>
          <w:rFonts w:hint="default" w:ascii="Arial" w:hAnsi="Arial" w:cs="Arial"/>
          <w:b/>
          <w:color w:val="000000"/>
          <w:sz w:val="24"/>
        </w:rPr>
        <w:t>2020年</w:t>
      </w:r>
      <w:r>
        <w:rPr>
          <w:rFonts w:hint="default" w:ascii="Arial" w:hAnsi="Arial" w:cs="Arial"/>
          <w:b/>
          <w:color w:val="000000"/>
          <w:sz w:val="24"/>
          <w:lang w:val="en-US" w:eastAsia="zh-CN"/>
        </w:rPr>
        <w:t>1</w:t>
      </w:r>
      <w:r>
        <w:rPr>
          <w:rFonts w:hint="eastAsia" w:ascii="Arial" w:hAnsi="Arial" w:cs="Arial"/>
          <w:b/>
          <w:color w:val="000000"/>
          <w:sz w:val="24"/>
          <w:lang w:val="en-US" w:eastAsia="zh-CN"/>
        </w:rPr>
        <w:t>1</w:t>
      </w:r>
      <w:r>
        <w:rPr>
          <w:rFonts w:hint="default" w:ascii="Arial" w:hAnsi="Arial" w:cs="Arial"/>
          <w:b/>
          <w:color w:val="000000"/>
          <w:sz w:val="24"/>
        </w:rPr>
        <w:t>月合同签订情况表</w:t>
      </w:r>
    </w:p>
    <w:tbl>
      <w:tblPr>
        <w:tblStyle w:val="22"/>
        <w:tblW w:w="10305" w:type="dxa"/>
        <w:jc w:val="center"/>
        <w:shd w:val="clear" w:color="auto" w:fill="auto"/>
        <w:tblLayout w:type="autofit"/>
        <w:tblCellMar>
          <w:top w:w="0" w:type="dxa"/>
          <w:left w:w="0" w:type="dxa"/>
          <w:bottom w:w="0" w:type="dxa"/>
          <w:right w:w="0" w:type="dxa"/>
        </w:tblCellMar>
      </w:tblPr>
      <w:tblGrid>
        <w:gridCol w:w="915"/>
        <w:gridCol w:w="1050"/>
        <w:gridCol w:w="1335"/>
        <w:gridCol w:w="2700"/>
        <w:gridCol w:w="2940"/>
        <w:gridCol w:w="1365"/>
      </w:tblGrid>
      <w:tr>
        <w:tblPrEx>
          <w:tblCellMar>
            <w:top w:w="0" w:type="dxa"/>
            <w:left w:w="0" w:type="dxa"/>
            <w:bottom w:w="0" w:type="dxa"/>
            <w:right w:w="0" w:type="dxa"/>
          </w:tblCellMar>
        </w:tblPrEx>
        <w:trPr>
          <w:trHeight w:val="482" w:hRule="atLeast"/>
          <w:tblHeader/>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项目公司</w:t>
            </w: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对方单位</w:t>
            </w:r>
          </w:p>
        </w:tc>
        <w:tc>
          <w:tcPr>
            <w:tcW w:w="13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合同文件名称</w:t>
            </w:r>
          </w:p>
        </w:tc>
        <w:tc>
          <w:tcPr>
            <w:tcW w:w="27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合同内容</w:t>
            </w:r>
          </w:p>
        </w:tc>
        <w:tc>
          <w:tcPr>
            <w:tcW w:w="29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付款节点</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合同金额（元）</w:t>
            </w:r>
          </w:p>
        </w:tc>
      </w:tr>
      <w:tr>
        <w:tblPrEx>
          <w:tblCellMar>
            <w:top w:w="0" w:type="dxa"/>
            <w:left w:w="0" w:type="dxa"/>
            <w:bottom w:w="0" w:type="dxa"/>
            <w:right w:w="0" w:type="dxa"/>
          </w:tblCellMar>
        </w:tblPrEx>
        <w:trPr>
          <w:trHeight w:val="241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武汉中标水平室内设计有限公司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正荣·武汉公司600标售楼处设计控制手册室内设计合同</w:t>
            </w:r>
          </w:p>
        </w:tc>
        <w:tc>
          <w:tcPr>
            <w:tcW w:w="27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本项目设计总面积为600平方米，乙方根据甲方提供的工程相关图纸资料、设计任务书等，完成指定范围内初步方案设计工作。室内设计方完成该项目初步设计方案的概念设计提案，并向甲方提供其认为有助于说明设计概念和设计方向的</w:t>
            </w:r>
            <w:r>
              <w:rPr>
                <w:rFonts w:hint="default" w:ascii="Arial" w:hAnsi="Arial" w:eastAsia="宋体" w:cs="Arial"/>
                <w:i w:val="0"/>
                <w:color w:val="000000"/>
                <w:kern w:val="0"/>
                <w:sz w:val="18"/>
                <w:szCs w:val="18"/>
                <w:highlight w:val="none"/>
                <w:u w:val="none"/>
                <w:lang w:val="en-US" w:eastAsia="zh-CN" w:bidi="ar"/>
              </w:rPr>
              <w:t>平面布置图</w:t>
            </w:r>
            <w:r>
              <w:rPr>
                <w:rFonts w:hint="default" w:ascii="Arial" w:hAnsi="Arial" w:eastAsia="宋体" w:cs="Arial"/>
                <w:i w:val="0"/>
                <w:color w:val="000000"/>
                <w:kern w:val="0"/>
                <w:sz w:val="18"/>
                <w:szCs w:val="18"/>
                <w:u w:val="none"/>
                <w:lang w:val="en-US" w:eastAsia="zh-CN" w:bidi="ar"/>
              </w:rPr>
              <w:t>、空间效果示意等设计资料。</w:t>
            </w:r>
          </w:p>
        </w:tc>
        <w:tc>
          <w:tcPr>
            <w:tcW w:w="29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1、合同定金20 % 14000合同签订后 7 个工作日内。2、方案设计60％42000设计控制手册制作完成，甲方确认通过，并且完成正式的文本提交。3、施工配合服务 20％14000材料板验收合格</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70</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000.00 </w:t>
            </w:r>
          </w:p>
        </w:tc>
      </w:tr>
      <w:tr>
        <w:tblPrEx>
          <w:shd w:val="clear" w:color="auto" w:fill="auto"/>
          <w:tblCellMar>
            <w:top w:w="0" w:type="dxa"/>
            <w:left w:w="0" w:type="dxa"/>
            <w:bottom w:w="0" w:type="dxa"/>
            <w:right w:w="0" w:type="dxa"/>
          </w:tblCellMar>
        </w:tblPrEx>
        <w:trPr>
          <w:trHeight w:val="123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北京搜房科技发展有限公司武汉分公司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媒体广告发布合同</w:t>
            </w: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房天下广告套餐,广告发布时间： 8 月 15 日-9 月 13 日，具体以实际投放为准</w:t>
            </w:r>
          </w:p>
        </w:tc>
        <w:tc>
          <w:tcPr>
            <w:tcW w:w="29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乙方按本合同约定发布完广告并经甲方验收通过后 60 个工作日内，支付本合同结算价款【含预付款（若有）】即：人民币250000 元</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250,000.00 </w:t>
            </w:r>
          </w:p>
        </w:tc>
      </w:tr>
      <w:tr>
        <w:tblPrEx>
          <w:shd w:val="clear" w:color="auto" w:fill="auto"/>
          <w:tblCellMar>
            <w:top w:w="0" w:type="dxa"/>
            <w:left w:w="0" w:type="dxa"/>
            <w:bottom w:w="0" w:type="dxa"/>
            <w:right w:w="0" w:type="dxa"/>
          </w:tblCellMar>
        </w:tblPrEx>
        <w:trPr>
          <w:trHeight w:val="177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武汉合瑞泽广告有限公司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户外广告发布合同（8月）</w:t>
            </w: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甲方委托乙方制作并发布 光谷正荣府候车厅（第3 批） 广告，具体要求如下：发布期间： 2020年8月2日至2020年8 月 29 日发布数量：18 块 ，尺寸：尺寸 3.5 米*1. 5</w:t>
            </w:r>
          </w:p>
        </w:tc>
        <w:tc>
          <w:tcPr>
            <w:tcW w:w="29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广告发布满【3】个月后，甲方向乙方支付合同总价款的【100】 %，即人民币（大写）：【柒万柒仟肆佰 】</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77,400.00 </w:t>
            </w:r>
          </w:p>
        </w:tc>
      </w:tr>
      <w:tr>
        <w:tblPrEx>
          <w:tblCellMar>
            <w:top w:w="0" w:type="dxa"/>
            <w:left w:w="0" w:type="dxa"/>
            <w:bottom w:w="0" w:type="dxa"/>
            <w:right w:w="0" w:type="dxa"/>
          </w:tblCellMar>
        </w:tblPrEx>
        <w:trPr>
          <w:trHeight w:val="177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武汉合瑞泽广告有限公司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户外广告发布合同（9月）</w:t>
            </w: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甲方委托乙方制作并发布 候车厅 广告，具体要求如下：发布期间： 2020 年 9 月 12 日至 2020 年 10 月 11 日发布地点： 光谷正荣府营销中心发布数量： 18 ，尺寸： 3.5 米*1.5 米</w:t>
            </w:r>
          </w:p>
        </w:tc>
        <w:tc>
          <w:tcPr>
            <w:tcW w:w="29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广告发布满【3】个月后，甲方向乙方支付合同总价款的【100】 %，即人民币（大写）：【柒万柒仟肆佰 】</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77,400.00 </w:t>
            </w:r>
          </w:p>
        </w:tc>
      </w:tr>
      <w:tr>
        <w:tblPrEx>
          <w:tblCellMar>
            <w:top w:w="0" w:type="dxa"/>
            <w:left w:w="0" w:type="dxa"/>
            <w:bottom w:w="0" w:type="dxa"/>
            <w:right w:w="0" w:type="dxa"/>
          </w:tblCellMar>
        </w:tblPrEx>
        <w:trPr>
          <w:trHeight w:val="202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武汉合瑞泽广告有限公司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户外广告发布合同（10月）</w:t>
            </w: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甲方委托乙方制作并发布 候车厅 广告，具体要求如下：发布期间：2020 年 10 月 12 日至 2020 年 101 月 8 日（具体以实际投放时间为准）发布地点： 高新二路沿线，关山大道沿线发布数量： 18 ，尺寸： 3.5*1.5m</w:t>
            </w:r>
          </w:p>
        </w:tc>
        <w:tc>
          <w:tcPr>
            <w:tcW w:w="29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乙方制作及发布的广告经甲方验收合格后 60 个工作日内，甲方向乙方支付合同总价款的【100】%，即人民币（大写）：【柒万柒仟肆佰元整 】 元。</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77,400.00 </w:t>
            </w:r>
          </w:p>
        </w:tc>
      </w:tr>
      <w:tr>
        <w:tblPrEx>
          <w:shd w:val="clear" w:color="auto" w:fill="auto"/>
          <w:tblCellMar>
            <w:top w:w="0" w:type="dxa"/>
            <w:left w:w="0" w:type="dxa"/>
            <w:bottom w:w="0" w:type="dxa"/>
            <w:right w:w="0" w:type="dxa"/>
          </w:tblCellMar>
        </w:tblPrEx>
        <w:trPr>
          <w:trHeight w:val="12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正楚</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武汉恩立本模型有限公司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建筑模型制作安装合同</w:t>
            </w: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甲方委托乙方按本合同约定为【光谷正荣府】项目提供建筑模型（</w:t>
            </w:r>
            <w:r>
              <w:rPr>
                <w:rFonts w:hint="default" w:ascii="Arial" w:hAnsi="Arial" w:eastAsia="宋体" w:cs="Arial"/>
                <w:i w:val="0"/>
                <w:color w:val="000000"/>
                <w:kern w:val="0"/>
                <w:sz w:val="18"/>
                <w:szCs w:val="18"/>
                <w:highlight w:val="none"/>
                <w:u w:val="none"/>
                <w:lang w:val="en-US" w:eastAsia="zh-CN" w:bidi="ar"/>
              </w:rPr>
              <w:t>含整</w:t>
            </w:r>
            <w:r>
              <w:rPr>
                <w:rFonts w:hint="default" w:ascii="Arial" w:hAnsi="Arial" w:eastAsia="宋体" w:cs="Arial"/>
                <w:i w:val="0"/>
                <w:color w:val="000000"/>
                <w:kern w:val="0"/>
                <w:sz w:val="18"/>
                <w:szCs w:val="18"/>
                <w:u w:val="none"/>
                <w:lang w:val="en-US" w:eastAsia="zh-CN" w:bidi="ar"/>
              </w:rPr>
              <w:t>体模型、区域模型、户型模型）设计、制作、运输、安装、维护等服务</w:t>
            </w:r>
          </w:p>
        </w:tc>
        <w:tc>
          <w:tcPr>
            <w:tcW w:w="29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待每一批次模型由乙方运至甲方指定地点并完成安装调试，经甲方验收确认合格后，支付该批次模型价格的【100 】%；</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65,000.00 </w:t>
            </w:r>
          </w:p>
        </w:tc>
      </w:tr>
      <w:tr>
        <w:tblPrEx>
          <w:shd w:val="clear" w:color="auto" w:fill="auto"/>
          <w:tblCellMar>
            <w:top w:w="0" w:type="dxa"/>
            <w:left w:w="0" w:type="dxa"/>
            <w:bottom w:w="0" w:type="dxa"/>
            <w:right w:w="0" w:type="dxa"/>
          </w:tblCellMar>
        </w:tblPrEx>
        <w:trPr>
          <w:trHeight w:val="171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正楚</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武汉市山之田模型艺术设计有限公司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建筑模型制作安装合同</w:t>
            </w: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甲方委托乙方按本合同约定为【武汉光谷正荣府】项目提供建筑模型（</w:t>
            </w:r>
            <w:r>
              <w:rPr>
                <w:rFonts w:hint="default" w:ascii="Arial" w:hAnsi="Arial" w:eastAsia="宋体" w:cs="Arial"/>
                <w:i w:val="0"/>
                <w:color w:val="000000"/>
                <w:kern w:val="0"/>
                <w:sz w:val="18"/>
                <w:szCs w:val="18"/>
                <w:highlight w:val="none"/>
                <w:u w:val="none"/>
                <w:lang w:val="en-US" w:eastAsia="zh-CN" w:bidi="ar"/>
              </w:rPr>
              <w:t>含整</w:t>
            </w:r>
            <w:r>
              <w:rPr>
                <w:rFonts w:hint="default" w:ascii="Arial" w:hAnsi="Arial" w:eastAsia="宋体" w:cs="Arial"/>
                <w:i w:val="0"/>
                <w:color w:val="000000"/>
                <w:kern w:val="0"/>
                <w:sz w:val="18"/>
                <w:szCs w:val="18"/>
                <w:u w:val="none"/>
                <w:lang w:val="en-US" w:eastAsia="zh-CN" w:bidi="ar"/>
              </w:rPr>
              <w:t>体模型、户型模型）设计、制作、运输、安装、维护等服务</w:t>
            </w:r>
          </w:p>
        </w:tc>
        <w:tc>
          <w:tcPr>
            <w:tcW w:w="29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待每一批次模型由乙方运至甲方指定地点并完成安装调试，经甲方验收确认合格后，支付该批次模型价格的【95】%；</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7.1.3 剩余 5%费用作为质保金，待质保期届满后无息支付给乙方。</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90,000.00 </w:t>
            </w:r>
          </w:p>
        </w:tc>
      </w:tr>
      <w:tr>
        <w:tblPrEx>
          <w:tblCellMar>
            <w:top w:w="0" w:type="dxa"/>
            <w:left w:w="0" w:type="dxa"/>
            <w:bottom w:w="0" w:type="dxa"/>
            <w:right w:w="0" w:type="dxa"/>
          </w:tblCellMar>
        </w:tblPrEx>
        <w:trPr>
          <w:trHeight w:val="126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0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武汉创联凯尔咨询顾问有限公司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光谷正荣府业主私宴（9月）活动执行合同</w:t>
            </w:r>
          </w:p>
        </w:tc>
        <w:tc>
          <w:tcPr>
            <w:tcW w:w="27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乙方为【光谷正荣府 】项目的【业主私宴（9 月） 】活动提供策划及执行管理等服务自 2020 年 9 月 24 日起，至本项目所有服务内容履行完毕为止</w:t>
            </w:r>
          </w:p>
        </w:tc>
        <w:tc>
          <w:tcPr>
            <w:tcW w:w="29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本项目服务内容全部执行完毕后并验收合格日起十个工作日内，甲方向乙方支付合同剩余款项，即 55000 元整（大写： 伍万伍仟元整</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55</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000.00 </w:t>
            </w:r>
          </w:p>
        </w:tc>
      </w:tr>
      <w:tr>
        <w:tblPrEx>
          <w:shd w:val="clear" w:color="auto" w:fill="auto"/>
          <w:tblCellMar>
            <w:top w:w="0" w:type="dxa"/>
            <w:left w:w="0" w:type="dxa"/>
            <w:bottom w:w="0" w:type="dxa"/>
            <w:right w:w="0" w:type="dxa"/>
          </w:tblCellMar>
        </w:tblPrEx>
        <w:trPr>
          <w:trHeight w:val="208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武汉道森网络科技有限公司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户外广告发布合同</w:t>
            </w: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本合同服务期限：自 2020 年 9 月 24 日起，至本项目所有服务内容履行完毕为止。甲方委托乙方制作并发布 电梯框架 广告，具体要求如下：发布期间： 2020 年 9 月 5 日至 2020 年 10 月 1 日（4 周，具体以实际投放为准）发布地点：光谷片区</w:t>
            </w:r>
          </w:p>
        </w:tc>
        <w:tc>
          <w:tcPr>
            <w:tcW w:w="29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广告发布满【3】个月后，甲方向乙方支付合同总价款的【100】 %，即人民币（大写）：【50000】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000.00 </w:t>
            </w:r>
          </w:p>
        </w:tc>
      </w:tr>
      <w:tr>
        <w:tblPrEx>
          <w:shd w:val="clear" w:color="auto" w:fill="auto"/>
          <w:tblCellMar>
            <w:top w:w="0" w:type="dxa"/>
            <w:left w:w="0" w:type="dxa"/>
            <w:bottom w:w="0" w:type="dxa"/>
            <w:right w:w="0" w:type="dxa"/>
          </w:tblCellMar>
        </w:tblPrEx>
        <w:trPr>
          <w:trHeight w:val="102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武汉道森网络科技有限公司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媒体广告发布合同</w:t>
            </w: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光谷正荣府项目广告,发布媒体形式： 电梯框架，发布时间： 2020.10.8-2020.11.04</w:t>
            </w:r>
          </w:p>
        </w:tc>
        <w:tc>
          <w:tcPr>
            <w:tcW w:w="29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乙方按本合同约定发布完广告并经甲方验收通过后 60 个工作日内，支付本合同结算价款【含预付款（若有）】即：人民币 50000元</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000.00 </w:t>
            </w:r>
          </w:p>
        </w:tc>
      </w:tr>
      <w:tr>
        <w:tblPrEx>
          <w:tblCellMar>
            <w:top w:w="0" w:type="dxa"/>
            <w:left w:w="0" w:type="dxa"/>
            <w:bottom w:w="0" w:type="dxa"/>
            <w:right w:w="0" w:type="dxa"/>
          </w:tblCellMar>
        </w:tblPrEx>
        <w:trPr>
          <w:trHeight w:val="76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湖北建鄂勘察设计审查咨询有限公司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武汉市建设工程设计文件审查咨询合同</w:t>
            </w: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委托方委托咨询方承担居住项目（正荣府）（变更）工程施工图设计文件审查咨询</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both"/>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完成审查后支付</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000.00 </w:t>
            </w:r>
          </w:p>
        </w:tc>
      </w:tr>
      <w:tr>
        <w:tblPrEx>
          <w:tblCellMar>
            <w:top w:w="0" w:type="dxa"/>
            <w:left w:w="0" w:type="dxa"/>
            <w:bottom w:w="0" w:type="dxa"/>
            <w:right w:w="0" w:type="dxa"/>
          </w:tblCellMar>
        </w:tblPrEx>
        <w:trPr>
          <w:trHeight w:val="167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中国核工业第二二建设有限公司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《武汉光谷正荣府项目总承包工程》之调价补偿补充协议</w:t>
            </w: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现因市场人工、材料、机械上涨以及支付方式变更等因素，使得整个工程成本上涨，为了保证按时交房，双方本着平等自愿、互利互惠的原则，发包人（甲方）与承包人（乙方）经过协商一致签订本调价补偿补充协议</w:t>
            </w:r>
          </w:p>
        </w:tc>
        <w:tc>
          <w:tcPr>
            <w:tcW w:w="29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甲乙双方协商调高价格，支付方式跟随主合同</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500</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000.00 </w:t>
            </w:r>
          </w:p>
        </w:tc>
      </w:tr>
      <w:tr>
        <w:tblPrEx>
          <w:shd w:val="clear" w:color="auto" w:fill="auto"/>
          <w:tblCellMar>
            <w:top w:w="0" w:type="dxa"/>
            <w:left w:w="0" w:type="dxa"/>
            <w:bottom w:w="0" w:type="dxa"/>
            <w:right w:w="0" w:type="dxa"/>
          </w:tblCellMar>
        </w:tblPrEx>
        <w:trPr>
          <w:trHeight w:val="5077"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四川洲宇建筑设计有限公司武汉分公司</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光谷正荣府门窗幕墙工程深化设计合同</w:t>
            </w:r>
          </w:p>
        </w:tc>
        <w:tc>
          <w:tcPr>
            <w:tcW w:w="2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含所有的外立面门窗，叠拼首层采光井、铝板幕墙及装饰格栅，包含但不限于以下系统：铝板幕墙、外立面门窗、采光顶玻璃幕墙及其遮阳、电动葫芦系统；金属装饰构架、雨篷设计</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包含钢结构</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；擦窗机系统设计；以及幕墙灯光、广告位、LOGO 的配合设计,并均附结构计算书</w:t>
            </w:r>
          </w:p>
        </w:tc>
        <w:tc>
          <w:tcPr>
            <w:tcW w:w="29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1、定金阶段10％ 10000 合同签订后 15 个工作日内；2、扩初阶段20％ 20000完成方案及扩初设计，并经甲方书面认可（有盖甲方技术部章的确认函）；3、施工图阶段（招标文件编制）30％ 30000交付正式施工图（含计算书）且经甲方验收合格（满足限额设计要求且有盖甲方技术部章的确认函）；4、施 工 图 审 核阶段20％ 20000通过施工图审查及政府相关部门的报批报建，并且通过幕墙物理性能测试，完成模型性能试验阶段成果性报告并经甲方验收合格（ 有 盖 甲 方 技 术 部 章 的 确 认函），双方按实际设计面积书面确认实际设计费总金额。5、施工现场服务15％ 15000建筑单体竣工验收合格，乙方提供后评估报告；6、尾款 5000项目竣工验收合格且两年内无由于设计原因导致质量问题，双方结清设计费</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w:t>
            </w:r>
            <w:r>
              <w:rPr>
                <w:rFonts w:hint="default"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 xml:space="preserve">000.00 </w:t>
            </w:r>
          </w:p>
        </w:tc>
      </w:tr>
    </w:tbl>
    <w:p>
      <w:pPr>
        <w:pStyle w:val="2"/>
        <w:spacing w:before="300" w:after="300" w:line="360" w:lineRule="exact"/>
        <w:rPr>
          <w:rFonts w:hint="default" w:ascii="Arial" w:hAnsi="Arial" w:eastAsia="宋体" w:cs="Arial"/>
          <w:sz w:val="24"/>
          <w:szCs w:val="24"/>
        </w:rPr>
      </w:pPr>
      <w:bookmarkStart w:id="63" w:name="_Toc22040"/>
      <w:bookmarkStart w:id="64" w:name="_Toc20444"/>
      <w:bookmarkStart w:id="65" w:name="_Toc18473"/>
      <w:bookmarkStart w:id="66" w:name="_Toc50218135"/>
      <w:r>
        <w:rPr>
          <w:rFonts w:hint="default" w:ascii="Arial" w:hAnsi="Arial" w:eastAsia="宋体" w:cs="Arial"/>
          <w:sz w:val="24"/>
          <w:szCs w:val="24"/>
        </w:rPr>
        <w:t>6 项目销售情况汇总表</w:t>
      </w:r>
      <w:bookmarkEnd w:id="63"/>
      <w:bookmarkEnd w:id="64"/>
      <w:bookmarkEnd w:id="65"/>
    </w:p>
    <w:p>
      <w:pPr>
        <w:spacing w:line="360" w:lineRule="auto"/>
        <w:ind w:firstLine="420" w:firstLineChars="200"/>
        <w:rPr>
          <w:rFonts w:hint="default" w:ascii="Arial" w:hAnsi="Arial" w:cs="Arial"/>
          <w:sz w:val="21"/>
          <w:szCs w:val="21"/>
        </w:rPr>
      </w:pPr>
      <w:r>
        <w:rPr>
          <w:rFonts w:hint="default" w:ascii="Arial" w:hAnsi="Arial" w:cs="Arial"/>
          <w:bCs/>
          <w:kern w:val="44"/>
          <w:szCs w:val="21"/>
        </w:rPr>
        <w:t>截至2020年</w:t>
      </w:r>
      <w:r>
        <w:rPr>
          <w:rFonts w:hint="default" w:ascii="Arial" w:hAnsi="Arial" w:cs="Arial"/>
          <w:bCs/>
          <w:kern w:val="44"/>
          <w:szCs w:val="21"/>
          <w:lang w:val="en-US" w:eastAsia="zh-CN"/>
        </w:rPr>
        <w:t>1</w:t>
      </w:r>
      <w:r>
        <w:rPr>
          <w:rFonts w:hint="default" w:ascii="Arial" w:hAnsi="Arial" w:cs="Arial"/>
          <w:bCs/>
          <w:kern w:val="44"/>
          <w:szCs w:val="21"/>
          <w:lang w:val="en-US" w:eastAsia="zh-CN"/>
        </w:rPr>
        <w:t>1</w:t>
      </w:r>
      <w:r>
        <w:rPr>
          <w:rFonts w:hint="default" w:ascii="Arial" w:hAnsi="Arial" w:cs="Arial"/>
          <w:bCs/>
          <w:kern w:val="44"/>
          <w:szCs w:val="21"/>
        </w:rPr>
        <w:t>月</w:t>
      </w:r>
      <w:r>
        <w:rPr>
          <w:rFonts w:hint="default" w:ascii="Arial" w:hAnsi="Arial" w:cs="Arial"/>
          <w:bCs/>
          <w:kern w:val="44"/>
          <w:szCs w:val="21"/>
          <w:lang w:val="en-US" w:eastAsia="zh-CN"/>
        </w:rPr>
        <w:t>3</w:t>
      </w:r>
      <w:r>
        <w:rPr>
          <w:rFonts w:hint="default" w:ascii="Arial" w:hAnsi="Arial" w:cs="Arial"/>
          <w:bCs/>
          <w:kern w:val="44"/>
          <w:szCs w:val="21"/>
          <w:lang w:val="en-US" w:eastAsia="zh-CN"/>
        </w:rPr>
        <w:t>0</w:t>
      </w:r>
      <w:r>
        <w:rPr>
          <w:rFonts w:hint="default" w:ascii="Arial" w:hAnsi="Arial" w:cs="Arial"/>
          <w:bCs/>
          <w:kern w:val="44"/>
          <w:szCs w:val="21"/>
        </w:rPr>
        <w:t>日武汉光谷正荣府项目销售汇总表</w:t>
      </w:r>
      <w:r>
        <w:rPr>
          <w:rFonts w:hint="default" w:ascii="Arial" w:hAnsi="Arial" w:cs="Arial"/>
          <w:sz w:val="21"/>
          <w:szCs w:val="21"/>
        </w:rPr>
        <w:t>：</w:t>
      </w:r>
    </w:p>
    <w:tbl>
      <w:tblPr>
        <w:tblStyle w:val="22"/>
        <w:tblW w:w="8940" w:type="dxa"/>
        <w:jc w:val="center"/>
        <w:shd w:val="clear" w:color="auto" w:fill="auto"/>
        <w:tblLayout w:type="autofit"/>
        <w:tblCellMar>
          <w:top w:w="0" w:type="dxa"/>
          <w:left w:w="0" w:type="dxa"/>
          <w:bottom w:w="0" w:type="dxa"/>
          <w:right w:w="0" w:type="dxa"/>
        </w:tblCellMar>
      </w:tblPr>
      <w:tblGrid>
        <w:gridCol w:w="1810"/>
        <w:gridCol w:w="941"/>
        <w:gridCol w:w="3094"/>
        <w:gridCol w:w="3095"/>
      </w:tblGrid>
      <w:tr>
        <w:tblPrEx>
          <w:shd w:val="clear" w:color="auto" w:fill="auto"/>
          <w:tblCellMar>
            <w:top w:w="0" w:type="dxa"/>
            <w:left w:w="0" w:type="dxa"/>
            <w:bottom w:w="0" w:type="dxa"/>
            <w:right w:w="0" w:type="dxa"/>
          </w:tblCellMar>
        </w:tblPrEx>
        <w:trPr>
          <w:trHeight w:val="460" w:hRule="atLeast"/>
          <w:tblHeade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住宅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本期累计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本期新增</w:t>
            </w:r>
          </w:p>
        </w:tc>
      </w:tr>
      <w:tr>
        <w:tblPrEx>
          <w:shd w:val="clear" w:color="auto" w:fill="auto"/>
          <w:tblCellMar>
            <w:top w:w="0" w:type="dxa"/>
            <w:left w:w="0" w:type="dxa"/>
            <w:bottom w:w="0" w:type="dxa"/>
            <w:right w:w="0" w:type="dxa"/>
          </w:tblCellMar>
        </w:tblPrEx>
        <w:trPr>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房源套数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r>
      <w:tr>
        <w:tblPrEx>
          <w:shd w:val="clear" w:color="auto" w:fill="auto"/>
          <w:tblCellMar>
            <w:top w:w="0" w:type="dxa"/>
            <w:left w:w="0" w:type="dxa"/>
            <w:bottom w:w="0" w:type="dxa"/>
            <w:right w:w="0" w:type="dxa"/>
          </w:tblCellMar>
        </w:tblPrEx>
        <w:trPr>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认购套数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63</w:t>
            </w:r>
          </w:p>
        </w:tc>
      </w:tr>
      <w:tr>
        <w:tblPrEx>
          <w:shd w:val="clear" w:color="auto" w:fill="auto"/>
          <w:tblCellMar>
            <w:top w:w="0" w:type="dxa"/>
            <w:left w:w="0" w:type="dxa"/>
            <w:bottom w:w="0" w:type="dxa"/>
            <w:right w:w="0" w:type="dxa"/>
          </w:tblCellMar>
        </w:tblPrEx>
        <w:trPr>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签约套数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66</w:t>
            </w:r>
          </w:p>
        </w:tc>
      </w:tr>
      <w:tr>
        <w:tblPrEx>
          <w:shd w:val="clear" w:color="auto" w:fill="auto"/>
          <w:tblCellMar>
            <w:top w:w="0" w:type="dxa"/>
            <w:left w:w="0" w:type="dxa"/>
            <w:bottom w:w="0" w:type="dxa"/>
            <w:right w:w="0" w:type="dxa"/>
          </w:tblCellMar>
        </w:tblPrEx>
        <w:trPr>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备案套数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w:t>
            </w:r>
          </w:p>
        </w:tc>
      </w:tr>
      <w:tr>
        <w:tblPrEx>
          <w:shd w:val="clear" w:color="auto" w:fill="auto"/>
          <w:tblCellMar>
            <w:top w:w="0" w:type="dxa"/>
            <w:left w:w="0" w:type="dxa"/>
            <w:bottom w:w="0" w:type="dxa"/>
            <w:right w:w="0" w:type="dxa"/>
          </w:tblCellMar>
        </w:tblPrEx>
        <w:trPr>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房源面积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63,472.05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r>
      <w:tr>
        <w:tblPrEx>
          <w:shd w:val="clear" w:color="auto" w:fill="auto"/>
          <w:tblCellMar>
            <w:top w:w="0" w:type="dxa"/>
            <w:left w:w="0" w:type="dxa"/>
            <w:bottom w:w="0" w:type="dxa"/>
            <w:right w:w="0" w:type="dxa"/>
          </w:tblCellMar>
        </w:tblPrEx>
        <w:trPr>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认购面积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46,033.42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6,501.05 </w:t>
            </w:r>
          </w:p>
        </w:tc>
      </w:tr>
      <w:tr>
        <w:tblPrEx>
          <w:shd w:val="clear" w:color="auto" w:fill="auto"/>
          <w:tblCellMar>
            <w:top w:w="0" w:type="dxa"/>
            <w:left w:w="0" w:type="dxa"/>
            <w:bottom w:w="0" w:type="dxa"/>
            <w:right w:w="0" w:type="dxa"/>
          </w:tblCellMar>
        </w:tblPrEx>
        <w:trPr>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签约面积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45,837.76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6,808.27 </w:t>
            </w:r>
          </w:p>
        </w:tc>
      </w:tr>
      <w:tr>
        <w:tblPrEx>
          <w:shd w:val="clear" w:color="auto" w:fill="auto"/>
          <w:tblCellMar>
            <w:top w:w="0" w:type="dxa"/>
            <w:left w:w="0" w:type="dxa"/>
            <w:bottom w:w="0" w:type="dxa"/>
            <w:right w:w="0" w:type="dxa"/>
          </w:tblCellMar>
        </w:tblPrEx>
        <w:trPr>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备案面积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29,098.96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2,303.60 </w:t>
            </w:r>
          </w:p>
        </w:tc>
      </w:tr>
      <w:tr>
        <w:tblPrEx>
          <w:shd w:val="clear" w:color="auto" w:fill="auto"/>
          <w:tblCellMar>
            <w:top w:w="0" w:type="dxa"/>
            <w:left w:w="0" w:type="dxa"/>
            <w:bottom w:w="0" w:type="dxa"/>
            <w:right w:w="0" w:type="dxa"/>
          </w:tblCellMar>
        </w:tblPrEx>
        <w:trPr>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签约总额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867,403,163.00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135,207,905.00 </w:t>
            </w:r>
          </w:p>
        </w:tc>
      </w:tr>
      <w:tr>
        <w:tblPrEx>
          <w:shd w:val="clear" w:color="auto" w:fill="auto"/>
          <w:tblCellMar>
            <w:top w:w="0" w:type="dxa"/>
            <w:left w:w="0" w:type="dxa"/>
            <w:bottom w:w="0" w:type="dxa"/>
            <w:right w:w="0" w:type="dxa"/>
          </w:tblCellMar>
        </w:tblPrEx>
        <w:trPr>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回款总额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647,157,631.21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100,468,043.21 </w:t>
            </w:r>
          </w:p>
        </w:tc>
      </w:tr>
      <w:bookmarkEnd w:id="66"/>
    </w:tbl>
    <w:p>
      <w:pPr>
        <w:ind w:right="525" w:rightChars="250" w:firstLine="150" w:firstLineChars="100"/>
        <w:rPr>
          <w:rFonts w:hint="default" w:ascii="Arial" w:hAnsi="Arial" w:cs="Arial"/>
          <w:sz w:val="15"/>
          <w:szCs w:val="15"/>
        </w:rPr>
      </w:pPr>
      <w:r>
        <w:rPr>
          <w:rFonts w:hint="default" w:ascii="Arial" w:hAnsi="Arial" w:cs="Arial"/>
          <w:sz w:val="15"/>
          <w:szCs w:val="15"/>
        </w:rPr>
        <w:t>注：1、网签账户名、密码未移交共管，网签备案信息来源为项目公司提供的网签明细表；</w:t>
      </w:r>
    </w:p>
    <w:p>
      <w:pPr>
        <w:numPr>
          <w:ilvl w:val="0"/>
          <w:numId w:val="3"/>
        </w:numPr>
        <w:ind w:right="525" w:rightChars="250" w:firstLine="450" w:firstLineChars="300"/>
        <w:rPr>
          <w:rFonts w:hint="default" w:ascii="Arial" w:hAnsi="Arial" w:cs="Arial"/>
          <w:sz w:val="15"/>
          <w:szCs w:val="15"/>
        </w:rPr>
      </w:pPr>
      <w:r>
        <w:rPr>
          <w:rFonts w:hint="default" w:ascii="Arial" w:hAnsi="Arial" w:cs="Arial"/>
          <w:sz w:val="15"/>
          <w:szCs w:val="15"/>
        </w:rPr>
        <w:t>房源套数及房源面积为汉口项目已取得商品房预售证的总套数及总面积,回款总额为银行收到销售回款金额</w:t>
      </w:r>
      <w:r>
        <w:rPr>
          <w:rFonts w:hint="default" w:ascii="Arial" w:hAnsi="Arial" w:cs="Arial"/>
          <w:sz w:val="15"/>
          <w:szCs w:val="15"/>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right="525" w:rightChars="250" w:firstLine="450" w:firstLineChars="300"/>
        <w:textAlignment w:val="auto"/>
        <w:rPr>
          <w:rFonts w:hint="eastAsia" w:ascii="Arial" w:hAnsi="Arial" w:cs="Arial"/>
          <w:sz w:val="15"/>
          <w:szCs w:val="15"/>
          <w:lang w:val="en-US" w:eastAsia="zh-CN"/>
        </w:rPr>
      </w:pPr>
      <w:r>
        <w:rPr>
          <w:rFonts w:hint="default" w:ascii="Arial" w:hAnsi="Arial" w:cs="Arial"/>
          <w:sz w:val="15"/>
          <w:szCs w:val="15"/>
          <w:lang w:val="en-US" w:eastAsia="zh-CN"/>
        </w:rPr>
        <w:t>本月发生</w:t>
      </w:r>
      <w:r>
        <w:rPr>
          <w:rFonts w:hint="eastAsia" w:ascii="Arial" w:hAnsi="Arial" w:cs="Arial"/>
          <w:sz w:val="15"/>
          <w:szCs w:val="15"/>
          <w:lang w:val="en-US" w:eastAsia="zh-CN"/>
        </w:rPr>
        <w:t>退认购3套</w:t>
      </w:r>
      <w:r>
        <w:rPr>
          <w:rFonts w:hint="default" w:ascii="Arial" w:hAnsi="Arial" w:cs="Arial"/>
          <w:sz w:val="15"/>
          <w:szCs w:val="15"/>
          <w:lang w:val="en-US" w:eastAsia="zh-CN"/>
        </w:rPr>
        <w:t>，</w:t>
      </w:r>
      <w:r>
        <w:rPr>
          <w:rFonts w:hint="eastAsia" w:ascii="Arial" w:hAnsi="Arial" w:cs="Arial"/>
          <w:sz w:val="15"/>
          <w:szCs w:val="15"/>
          <w:lang w:val="en-US" w:eastAsia="zh-CN"/>
        </w:rPr>
        <w:t>退签约1套，</w:t>
      </w:r>
      <w:r>
        <w:rPr>
          <w:rFonts w:hint="default" w:ascii="Arial" w:hAnsi="Arial" w:cs="Arial"/>
          <w:sz w:val="15"/>
          <w:szCs w:val="15"/>
          <w:lang w:val="en-US" w:eastAsia="zh-CN"/>
        </w:rPr>
        <w:t>计入本月新增</w:t>
      </w:r>
      <w:r>
        <w:rPr>
          <w:rFonts w:hint="eastAsia" w:ascii="Arial" w:hAnsi="Arial" w:cs="Arial"/>
          <w:sz w:val="15"/>
          <w:szCs w:val="15"/>
          <w:lang w:val="en-US" w:eastAsia="zh-CN"/>
        </w:rPr>
        <w:t>认购</w:t>
      </w:r>
      <w:r>
        <w:rPr>
          <w:rFonts w:hint="default" w:ascii="Arial" w:hAnsi="Arial" w:cs="Arial"/>
          <w:sz w:val="15"/>
          <w:szCs w:val="15"/>
          <w:lang w:val="en-US" w:eastAsia="zh-CN"/>
        </w:rPr>
        <w:t>套数减少</w:t>
      </w:r>
      <w:r>
        <w:rPr>
          <w:rFonts w:hint="eastAsia" w:ascii="Arial" w:hAnsi="Arial" w:cs="Arial"/>
          <w:sz w:val="15"/>
          <w:szCs w:val="15"/>
          <w:lang w:val="en-US" w:eastAsia="zh-CN"/>
        </w:rPr>
        <w:t>3</w:t>
      </w:r>
      <w:r>
        <w:rPr>
          <w:rFonts w:hint="default" w:ascii="Arial" w:hAnsi="Arial" w:cs="Arial"/>
          <w:sz w:val="15"/>
          <w:szCs w:val="15"/>
          <w:lang w:val="en-US" w:eastAsia="zh-CN"/>
        </w:rPr>
        <w:t>套，</w:t>
      </w:r>
      <w:r>
        <w:rPr>
          <w:rFonts w:hint="eastAsia" w:ascii="Arial" w:hAnsi="Arial" w:cs="Arial"/>
          <w:sz w:val="15"/>
          <w:szCs w:val="15"/>
          <w:lang w:val="en-US" w:eastAsia="zh-CN"/>
        </w:rPr>
        <w:t>新增签约套数减少1套，</w:t>
      </w:r>
      <w:r>
        <w:rPr>
          <w:rFonts w:hint="default" w:ascii="Arial" w:hAnsi="Arial" w:cs="Arial"/>
          <w:sz w:val="15"/>
          <w:szCs w:val="15"/>
          <w:lang w:val="en-US" w:eastAsia="zh-CN"/>
        </w:rPr>
        <w:t>本月实际新</w:t>
      </w:r>
      <w:r>
        <w:rPr>
          <w:rFonts w:hint="eastAsia" w:ascii="Arial" w:hAnsi="Arial" w:cs="Arial"/>
          <w:sz w:val="15"/>
          <w:szCs w:val="15"/>
          <w:lang w:val="en-US" w:eastAsia="zh-CN"/>
        </w:rPr>
        <w:t>认购</w:t>
      </w:r>
      <w:r>
        <w:rPr>
          <w:rFonts w:hint="default" w:ascii="Arial" w:hAnsi="Arial" w:cs="Arial"/>
          <w:sz w:val="15"/>
          <w:szCs w:val="15"/>
          <w:lang w:val="en-US" w:eastAsia="zh-CN"/>
        </w:rPr>
        <w:t>6</w:t>
      </w:r>
      <w:r>
        <w:rPr>
          <w:rFonts w:hint="eastAsia" w:ascii="Arial" w:hAnsi="Arial" w:cs="Arial"/>
          <w:sz w:val="15"/>
          <w:szCs w:val="15"/>
          <w:lang w:val="en-US" w:eastAsia="zh-CN"/>
        </w:rPr>
        <w:t>3</w:t>
      </w:r>
      <w:r>
        <w:rPr>
          <w:rFonts w:hint="default" w:ascii="Arial" w:hAnsi="Arial" w:cs="Arial"/>
          <w:sz w:val="15"/>
          <w:szCs w:val="15"/>
          <w:lang w:val="en-US" w:eastAsia="zh-CN"/>
        </w:rPr>
        <w:t>套</w:t>
      </w:r>
      <w:r>
        <w:rPr>
          <w:rFonts w:hint="eastAsia" w:ascii="Arial" w:hAnsi="Arial" w:cs="Arial"/>
          <w:sz w:val="15"/>
          <w:szCs w:val="15"/>
          <w:lang w:val="en-US" w:eastAsia="zh-CN"/>
        </w:rPr>
        <w:t>、签约66套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300" w:right="525" w:rightChars="250"/>
        <w:textAlignment w:val="auto"/>
        <w:rPr>
          <w:rFonts w:hint="default" w:ascii="Arial" w:hAnsi="Arial" w:cs="Arial"/>
          <w:sz w:val="15"/>
          <w:szCs w:val="15"/>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300" w:right="525" w:rightChars="250"/>
        <w:textAlignment w:val="auto"/>
        <w:rPr>
          <w:rFonts w:hint="default" w:ascii="Arial" w:hAnsi="Arial" w:cs="Arial"/>
          <w:sz w:val="15"/>
          <w:szCs w:val="15"/>
          <w:lang w:val="en-US" w:eastAsia="zh-CN"/>
        </w:rPr>
      </w:pPr>
    </w:p>
    <w:p>
      <w:pPr>
        <w:pStyle w:val="2"/>
        <w:spacing w:before="300" w:after="300" w:line="360" w:lineRule="exact"/>
        <w:rPr>
          <w:rFonts w:hint="default" w:ascii="Arial" w:hAnsi="Arial" w:eastAsia="宋体" w:cs="Arial"/>
          <w:sz w:val="24"/>
          <w:szCs w:val="24"/>
        </w:rPr>
      </w:pPr>
      <w:bookmarkStart w:id="67" w:name="_Toc19151"/>
      <w:bookmarkStart w:id="68" w:name="_Toc23581"/>
      <w:bookmarkStart w:id="69" w:name="_Toc50218136"/>
      <w:bookmarkStart w:id="70" w:name="_Toc535580029"/>
      <w:bookmarkStart w:id="71" w:name="_Toc532281663"/>
      <w:bookmarkStart w:id="72" w:name="_Toc535580097"/>
      <w:bookmarkStart w:id="73" w:name="_Toc535508642"/>
      <w:bookmarkStart w:id="74" w:name="_Toc535570756"/>
      <w:r>
        <w:rPr>
          <w:rFonts w:hint="default" w:ascii="Arial" w:hAnsi="Arial" w:eastAsia="宋体" w:cs="Arial"/>
          <w:sz w:val="24"/>
          <w:szCs w:val="24"/>
        </w:rPr>
        <w:t xml:space="preserve">7 </w:t>
      </w:r>
      <w:bookmarkStart w:id="75" w:name="_Toc18780"/>
      <w:bookmarkStart w:id="76" w:name="_Toc26522"/>
      <w:bookmarkStart w:id="77" w:name="_Toc1799"/>
      <w:bookmarkStart w:id="78" w:name="_Toc1084"/>
      <w:bookmarkStart w:id="79" w:name="_Toc4641"/>
      <w:bookmarkStart w:id="80" w:name="_Toc26931"/>
      <w:r>
        <w:rPr>
          <w:rFonts w:hint="default" w:ascii="Arial" w:hAnsi="Arial" w:eastAsia="宋体" w:cs="Arial"/>
          <w:sz w:val="24"/>
          <w:szCs w:val="24"/>
        </w:rPr>
        <w:t>项目竞品分析</w:t>
      </w:r>
      <w:bookmarkEnd w:id="67"/>
      <w:bookmarkEnd w:id="68"/>
      <w:bookmarkEnd w:id="75"/>
      <w:bookmarkEnd w:id="76"/>
      <w:bookmarkEnd w:id="77"/>
      <w:bookmarkEnd w:id="78"/>
      <w:bookmarkEnd w:id="79"/>
      <w:bookmarkEnd w:id="80"/>
    </w:p>
    <w:p>
      <w:pPr>
        <w:jc w:val="center"/>
        <w:rPr>
          <w:rFonts w:hint="default" w:ascii="Arial" w:hAnsi="Arial" w:cs="Arial"/>
        </w:rPr>
      </w:pPr>
      <w:r>
        <w:rPr>
          <w:rFonts w:hint="default" w:ascii="Arial" w:hAnsi="Arial" w:cs="Arial"/>
        </w:rPr>
        <w:drawing>
          <wp:inline distT="0" distB="0" distL="114300" distR="114300">
            <wp:extent cx="5259070" cy="3788410"/>
            <wp:effectExtent l="0" t="0" r="1778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59070" cy="3788410"/>
                    </a:xfrm>
                    <a:prstGeom prst="rect">
                      <a:avLst/>
                    </a:prstGeom>
                    <a:noFill/>
                    <a:ln w="9525">
                      <a:noFill/>
                    </a:ln>
                  </pic:spPr>
                </pic:pic>
              </a:graphicData>
            </a:graphic>
          </wp:inline>
        </w:drawing>
      </w:r>
    </w:p>
    <w:p>
      <w:pPr>
        <w:numPr>
          <w:ilvl w:val="-1"/>
          <w:numId w:val="0"/>
        </w:numPr>
        <w:spacing w:line="360" w:lineRule="auto"/>
        <w:ind w:right="0" w:rightChars="0" w:firstLine="420" w:firstLineChars="200"/>
        <w:rPr>
          <w:rFonts w:hint="default" w:ascii="Arial" w:hAnsi="Arial" w:cs="Arial"/>
          <w:bCs/>
          <w:kern w:val="44"/>
          <w:szCs w:val="21"/>
        </w:rPr>
      </w:pPr>
    </w:p>
    <w:p>
      <w:pPr>
        <w:numPr>
          <w:ilvl w:val="-1"/>
          <w:numId w:val="0"/>
        </w:numPr>
        <w:spacing w:line="480" w:lineRule="auto"/>
        <w:ind w:right="0" w:rightChars="0" w:firstLine="420" w:firstLineChars="200"/>
        <w:rPr>
          <w:rFonts w:hint="default" w:ascii="Arial" w:hAnsi="Arial" w:cs="Arial"/>
          <w:b w:val="0"/>
          <w:bCs/>
          <w:kern w:val="44"/>
          <w:sz w:val="21"/>
          <w:szCs w:val="21"/>
          <w:lang w:val="en-US" w:eastAsia="zh-CN"/>
        </w:rPr>
      </w:pPr>
      <w:r>
        <w:rPr>
          <w:rFonts w:hint="default" w:ascii="Arial" w:hAnsi="Arial" w:cs="Arial"/>
          <w:bCs/>
          <w:kern w:val="44"/>
          <w:szCs w:val="21"/>
        </w:rPr>
        <w:t>标的项目位于光谷中心城的流芳园区域附近，流芳新城规划建设承担关山科研集聚区的公共服务职能，重点建设综合性服务设施。东南方向有东湖高新保税区，富士康产业园，光电子产业园区；西</w:t>
      </w:r>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北方向有金融港企业中心，光谷软件园，未来科技城等，人口吸附力增强。配套</w:t>
      </w:r>
      <w:r>
        <w:rPr>
          <w:rFonts w:hint="default" w:ascii="Arial" w:hAnsi="Arial" w:cs="Arial"/>
          <w:bCs/>
          <w:color w:val="333333"/>
          <w:szCs w:val="21"/>
        </w:rPr>
        <w:t>交通750路，光谷有轨电车l2路、地铁11号线、19号线（规划中），项目西邻光谷四路，南邻高新四路，北面关豹高速，交通主干道环绕；</w:t>
      </w:r>
      <w:r>
        <w:rPr>
          <w:rFonts w:hint="default" w:ascii="Arial" w:hAnsi="Arial" w:cs="Arial"/>
          <w:bCs/>
          <w:kern w:val="44"/>
          <w:szCs w:val="21"/>
        </w:rPr>
        <w:t>购物方面</w:t>
      </w:r>
      <w:r>
        <w:rPr>
          <w:rFonts w:hint="default" w:ascii="Arial" w:hAnsi="Arial" w:cs="Arial"/>
          <w:bCs/>
          <w:color w:val="333333"/>
          <w:szCs w:val="21"/>
        </w:rPr>
        <w:t>项目周边有首创奥特莱斯小镇（已开业）、宜家（规划中）、永旺（规划中）、瑞安光谷天地、龙湖天街</w:t>
      </w:r>
      <w:r>
        <w:rPr>
          <w:rFonts w:hint="default" w:ascii="Arial" w:hAnsi="Arial" w:cs="Arial"/>
          <w:bCs/>
          <w:kern w:val="44"/>
          <w:szCs w:val="21"/>
        </w:rPr>
        <w:t>；</w:t>
      </w:r>
      <w:r>
        <w:rPr>
          <w:rFonts w:hint="default" w:ascii="Arial" w:hAnsi="Arial" w:cs="Arial"/>
          <w:bCs/>
          <w:color w:val="333333"/>
          <w:szCs w:val="21"/>
        </w:rPr>
        <w:t>医院同济医院光谷分院、省人民医院光谷分院、省妇幼光谷分院、光谷国际医院，休闲本项目西面总长度5090米豹子溪生态廊道沿线生态中轴，将打造文化山林区、湿地田园区和雨洪花园区，兼具生态休闲、生产和科普的生态绿地功能，坐享得天独厚的生态资源；新月溪公园、二妃山生态体育公园等。</w:t>
      </w:r>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2020年</w:t>
      </w:r>
      <w:r>
        <w:rPr>
          <w:rFonts w:hint="default" w:ascii="Arial" w:hAnsi="Arial" w:cs="Arial"/>
          <w:bCs/>
          <w:kern w:val="44"/>
          <w:szCs w:val="21"/>
          <w:lang w:val="en-US" w:eastAsia="zh-CN"/>
        </w:rPr>
        <w:t>1</w:t>
      </w:r>
      <w:r>
        <w:rPr>
          <w:rFonts w:hint="default" w:ascii="Arial" w:hAnsi="Arial" w:cs="Arial"/>
          <w:bCs/>
          <w:kern w:val="44"/>
          <w:szCs w:val="21"/>
          <w:lang w:val="en-US" w:eastAsia="zh-CN"/>
        </w:rPr>
        <w:t>1</w:t>
      </w:r>
      <w:r>
        <w:rPr>
          <w:rFonts w:hint="default" w:ascii="Arial" w:hAnsi="Arial" w:cs="Arial"/>
          <w:bCs/>
          <w:kern w:val="44"/>
          <w:szCs w:val="21"/>
        </w:rPr>
        <w:t>月份竞品楼盘情况如下：</w:t>
      </w:r>
    </w:p>
    <w:tbl>
      <w:tblPr>
        <w:tblStyle w:val="22"/>
        <w:tblW w:w="10830" w:type="dxa"/>
        <w:jc w:val="center"/>
        <w:shd w:val="clear" w:color="auto" w:fill="auto"/>
        <w:tblLayout w:type="autofit"/>
        <w:tblCellMar>
          <w:top w:w="0" w:type="dxa"/>
          <w:left w:w="0" w:type="dxa"/>
          <w:bottom w:w="0" w:type="dxa"/>
          <w:right w:w="0" w:type="dxa"/>
        </w:tblCellMar>
      </w:tblPr>
      <w:tblGrid>
        <w:gridCol w:w="465"/>
        <w:gridCol w:w="1110"/>
        <w:gridCol w:w="3375"/>
        <w:gridCol w:w="855"/>
        <w:gridCol w:w="1035"/>
        <w:gridCol w:w="1080"/>
        <w:gridCol w:w="2910"/>
      </w:tblGrid>
      <w:tr>
        <w:tblPrEx>
          <w:shd w:val="clear" w:color="auto" w:fill="auto"/>
          <w:tblCellMar>
            <w:top w:w="0" w:type="dxa"/>
            <w:left w:w="0" w:type="dxa"/>
            <w:bottom w:w="0" w:type="dxa"/>
            <w:right w:w="0" w:type="dxa"/>
          </w:tblCellMar>
        </w:tblPrEx>
        <w:trPr>
          <w:trHeight w:val="480"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序号</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项目名称</w:t>
            </w:r>
          </w:p>
        </w:tc>
        <w:tc>
          <w:tcPr>
            <w:tcW w:w="33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项目简介</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主力在售</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面积分布（㎡）</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2020年11月</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当前楼盘详情</w:t>
            </w:r>
          </w:p>
        </w:tc>
      </w:tr>
      <w:tr>
        <w:tblPrEx>
          <w:shd w:val="clear" w:color="auto" w:fill="auto"/>
          <w:tblCellMar>
            <w:top w:w="0" w:type="dxa"/>
            <w:left w:w="0" w:type="dxa"/>
            <w:bottom w:w="0" w:type="dxa"/>
            <w:right w:w="0" w:type="dxa"/>
          </w:tblCellMar>
        </w:tblPrEx>
        <w:trPr>
          <w:trHeight w:val="750"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新希望锦粼九里</w:t>
            </w:r>
          </w:p>
        </w:tc>
        <w:tc>
          <w:tcPr>
            <w:tcW w:w="3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高新五路与光谷五路交叉口，占地面积116003.09平方米，338418.03平方米，项目规划建设1954户户。33栋楼</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毛坯高层</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92-132㎡</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暂无，预计11月开盘</w:t>
            </w:r>
          </w:p>
        </w:tc>
        <w:tc>
          <w:tcPr>
            <w:tcW w:w="2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总房源921套，非住宅84套，住宅可售732，当前已售86套,11月去化86</w:t>
            </w:r>
          </w:p>
        </w:tc>
      </w:tr>
      <w:tr>
        <w:tblPrEx>
          <w:shd w:val="clear" w:color="auto" w:fill="auto"/>
          <w:tblCellMar>
            <w:top w:w="0" w:type="dxa"/>
            <w:left w:w="0" w:type="dxa"/>
            <w:bottom w:w="0" w:type="dxa"/>
            <w:right w:w="0" w:type="dxa"/>
          </w:tblCellMar>
        </w:tblPrEx>
        <w:trPr>
          <w:trHeight w:val="1020"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光谷澎湃城奥山府</w:t>
            </w:r>
          </w:p>
        </w:tc>
        <w:tc>
          <w:tcPr>
            <w:tcW w:w="33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光谷三路与高新三路交汇处，占地面积：130000平方米建筑面积：430000平方米，项目规划建设2362户，37栋楼</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别墅</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高层95㎡-140㎡，叠拼251㎡-258㎡</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高层已</w:t>
            </w:r>
            <w:r>
              <w:rPr>
                <w:rFonts w:hint="default" w:ascii="Arial" w:hAnsi="Arial" w:cs="Arial"/>
                <w:i w:val="0"/>
                <w:color w:val="000000"/>
                <w:kern w:val="0"/>
                <w:sz w:val="18"/>
                <w:szCs w:val="18"/>
                <w:highlight w:val="none"/>
                <w:u w:val="none"/>
                <w:lang w:val="en-US" w:eastAsia="zh-CN" w:bidi="ar"/>
              </w:rPr>
              <w:t>售罄</w:t>
            </w:r>
            <w:r>
              <w:rPr>
                <w:rFonts w:hint="default" w:ascii="Arial" w:hAnsi="Arial" w:eastAsia="宋体" w:cs="Arial"/>
                <w:i w:val="0"/>
                <w:color w:val="000000"/>
                <w:kern w:val="0"/>
                <w:sz w:val="18"/>
                <w:szCs w:val="18"/>
                <w:u w:val="none"/>
                <w:lang w:val="en-US" w:eastAsia="zh-CN" w:bidi="ar"/>
              </w:rPr>
              <w:t>，叠拼均价2500元/㎡</w:t>
            </w:r>
          </w:p>
        </w:tc>
        <w:tc>
          <w:tcPr>
            <w:tcW w:w="2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总房源2222套，非住宅107套，住宅可售216，10月已售1657套，当前已售1682套，11月去化25套</w:t>
            </w:r>
          </w:p>
        </w:tc>
      </w:tr>
      <w:tr>
        <w:tblPrEx>
          <w:shd w:val="clear" w:color="auto" w:fill="auto"/>
          <w:tblCellMar>
            <w:top w:w="0" w:type="dxa"/>
            <w:left w:w="0" w:type="dxa"/>
            <w:bottom w:w="0" w:type="dxa"/>
            <w:right w:w="0" w:type="dxa"/>
          </w:tblCellMar>
        </w:tblPrEx>
        <w:trPr>
          <w:trHeight w:val="1680"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新城璞樾门第</w:t>
            </w:r>
          </w:p>
        </w:tc>
        <w:tc>
          <w:tcPr>
            <w:tcW w:w="33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东湖高新区光谷四路和流芳园横</w:t>
            </w:r>
            <w:r>
              <w:rPr>
                <w:rFonts w:hint="default" w:ascii="Arial" w:hAnsi="Arial" w:eastAsia="宋体" w:cs="Arial"/>
                <w:i w:val="0"/>
                <w:color w:val="000000"/>
                <w:kern w:val="0"/>
                <w:sz w:val="18"/>
                <w:szCs w:val="18"/>
                <w:highlight w:val="none"/>
                <w:u w:val="none"/>
                <w:lang w:val="en-US" w:eastAsia="zh-CN" w:bidi="ar"/>
              </w:rPr>
              <w:t>路交汇处</w:t>
            </w:r>
            <w:r>
              <w:rPr>
                <w:rFonts w:hint="default" w:ascii="Arial" w:hAnsi="Arial" w:eastAsia="宋体" w:cs="Arial"/>
                <w:i w:val="0"/>
                <w:color w:val="000000"/>
                <w:kern w:val="0"/>
                <w:sz w:val="18"/>
                <w:szCs w:val="18"/>
                <w:u w:val="none"/>
                <w:lang w:val="en-US" w:eastAsia="zh-CN" w:bidi="ar"/>
              </w:rPr>
              <w:t>，占地面积：170000平方米建筑面积：550000平方米，项目规划建设3084户户。</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精装高层，毛坯叠拼</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高层109㎡-139㎡，叠拼137㎡-223㎡</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普通住宅：18750元/m²联排：33000元/m²叠拼：27000元/m²</w:t>
            </w:r>
          </w:p>
        </w:tc>
        <w:tc>
          <w:tcPr>
            <w:tcW w:w="2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总房源3200套，非住宅116套，住宅可售1208，10月已售1700套，当前已售1875套，11月去化175套</w:t>
            </w:r>
          </w:p>
        </w:tc>
      </w:tr>
      <w:tr>
        <w:tblPrEx>
          <w:shd w:val="clear" w:color="auto" w:fill="auto"/>
          <w:tblCellMar>
            <w:top w:w="0" w:type="dxa"/>
            <w:left w:w="0" w:type="dxa"/>
            <w:bottom w:w="0" w:type="dxa"/>
            <w:right w:w="0" w:type="dxa"/>
          </w:tblCellMar>
        </w:tblPrEx>
        <w:trPr>
          <w:trHeight w:val="1470"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碧桂园十里春风</w:t>
            </w:r>
          </w:p>
        </w:tc>
        <w:tc>
          <w:tcPr>
            <w:tcW w:w="33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光谷四路与大吕</w:t>
            </w:r>
            <w:r>
              <w:rPr>
                <w:rFonts w:hint="default" w:ascii="Arial" w:hAnsi="Arial" w:eastAsia="宋体" w:cs="Arial"/>
                <w:i w:val="0"/>
                <w:color w:val="000000"/>
                <w:kern w:val="0"/>
                <w:sz w:val="18"/>
                <w:szCs w:val="18"/>
                <w:highlight w:val="none"/>
                <w:u w:val="none"/>
                <w:lang w:val="en-US" w:eastAsia="zh-CN" w:bidi="ar"/>
              </w:rPr>
              <w:t>路交汇处</w:t>
            </w:r>
            <w:r>
              <w:rPr>
                <w:rFonts w:hint="default" w:ascii="Arial" w:hAnsi="Arial" w:eastAsia="宋体" w:cs="Arial"/>
                <w:i w:val="0"/>
                <w:color w:val="000000"/>
                <w:kern w:val="0"/>
                <w:sz w:val="18"/>
                <w:szCs w:val="18"/>
                <w:u w:val="none"/>
                <w:lang w:val="en-US" w:eastAsia="zh-CN" w:bidi="ar"/>
              </w:rPr>
              <w:t>，占地面积：100000平方米建筑面积：225000平方米，项目规划建设1826户，楼栋总数：29栋</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毛坯高层，毛坯叠拼</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高层109㎡-141㎡，叠拼141㎡-151㎡</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普通住宅均价18700元/平方米；叠拼均价27000元/平方米</w:t>
            </w:r>
          </w:p>
        </w:tc>
        <w:tc>
          <w:tcPr>
            <w:tcW w:w="29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总房源2270套，非住宅459套，住宅可售842，10月已售892套。当前已售969套，11月去化77套</w:t>
            </w:r>
          </w:p>
        </w:tc>
      </w:tr>
    </w:tbl>
    <w:p>
      <w:pPr>
        <w:spacing w:line="480" w:lineRule="auto"/>
        <w:ind w:firstLine="420" w:firstLineChars="200"/>
        <w:rPr>
          <w:rFonts w:hint="default" w:ascii="Arial" w:hAnsi="Arial" w:cs="Arial"/>
          <w:bCs/>
          <w:kern w:val="44"/>
          <w:szCs w:val="21"/>
        </w:rPr>
      </w:pPr>
    </w:p>
    <w:p>
      <w:pPr>
        <w:pStyle w:val="2"/>
        <w:spacing w:before="300" w:after="300" w:line="360" w:lineRule="exact"/>
        <w:rPr>
          <w:rFonts w:hint="default" w:ascii="Arial" w:hAnsi="Arial" w:eastAsia="宋体" w:cs="Arial"/>
          <w:sz w:val="24"/>
          <w:szCs w:val="24"/>
        </w:rPr>
      </w:pPr>
      <w:bookmarkStart w:id="81" w:name="_Toc31318"/>
      <w:bookmarkStart w:id="82" w:name="_Toc20313"/>
      <w:bookmarkStart w:id="83" w:name="_Toc859"/>
      <w:r>
        <w:rPr>
          <w:rFonts w:hint="default" w:ascii="Arial" w:hAnsi="Arial" w:eastAsia="宋体" w:cs="Arial"/>
          <w:sz w:val="24"/>
          <w:szCs w:val="24"/>
        </w:rPr>
        <w:t>8 资金情况</w:t>
      </w:r>
      <w:bookmarkEnd w:id="60"/>
      <w:bookmarkEnd w:id="61"/>
      <w:bookmarkEnd w:id="69"/>
      <w:bookmarkEnd w:id="70"/>
      <w:bookmarkEnd w:id="71"/>
      <w:bookmarkEnd w:id="72"/>
      <w:bookmarkEnd w:id="73"/>
      <w:bookmarkEnd w:id="74"/>
      <w:bookmarkEnd w:id="81"/>
      <w:bookmarkEnd w:id="82"/>
      <w:bookmarkEnd w:id="83"/>
    </w:p>
    <w:p>
      <w:pPr>
        <w:pStyle w:val="3"/>
        <w:keepNext w:val="0"/>
        <w:keepLines w:val="0"/>
        <w:spacing w:before="300" w:after="300" w:line="360" w:lineRule="exact"/>
        <w:jc w:val="left"/>
        <w:rPr>
          <w:rFonts w:hint="default" w:ascii="Arial" w:hAnsi="Arial" w:eastAsia="宋体" w:cs="Arial"/>
          <w:sz w:val="24"/>
          <w:szCs w:val="24"/>
        </w:rPr>
      </w:pPr>
      <w:bookmarkStart w:id="84" w:name="_Toc50218137"/>
      <w:bookmarkStart w:id="85" w:name="_Toc18768"/>
      <w:bookmarkStart w:id="86" w:name="_Toc32724"/>
      <w:bookmarkStart w:id="87" w:name="_Toc13509"/>
      <w:r>
        <w:rPr>
          <w:rFonts w:hint="default" w:ascii="Arial" w:hAnsi="Arial" w:eastAsia="宋体" w:cs="Arial"/>
          <w:sz w:val="24"/>
          <w:szCs w:val="24"/>
        </w:rPr>
        <w:t>8.1 资金使用汇总表</w:t>
      </w:r>
      <w:bookmarkEnd w:id="84"/>
      <w:r>
        <w:rPr>
          <w:rFonts w:hint="default" w:ascii="Arial" w:hAnsi="Arial" w:eastAsia="宋体" w:cs="Arial"/>
          <w:sz w:val="24"/>
          <w:szCs w:val="24"/>
        </w:rPr>
        <w:t>（2020年</w:t>
      </w:r>
      <w:r>
        <w:rPr>
          <w:rFonts w:hint="default" w:ascii="Arial" w:hAnsi="Arial" w:eastAsia="宋体" w:cs="Arial"/>
          <w:sz w:val="24"/>
          <w:szCs w:val="24"/>
          <w:lang w:val="en-US" w:eastAsia="zh-CN"/>
        </w:rPr>
        <w:t>1</w:t>
      </w:r>
      <w:r>
        <w:rPr>
          <w:rFonts w:hint="eastAsia" w:eastAsia="宋体" w:cs="Arial"/>
          <w:sz w:val="24"/>
          <w:szCs w:val="24"/>
          <w:lang w:val="en-US" w:eastAsia="zh-CN"/>
        </w:rPr>
        <w:t>1</w:t>
      </w:r>
      <w:r>
        <w:rPr>
          <w:rFonts w:hint="default" w:ascii="Arial" w:hAnsi="Arial" w:eastAsia="宋体" w:cs="Arial"/>
          <w:sz w:val="24"/>
          <w:szCs w:val="24"/>
        </w:rPr>
        <w:t>月）</w:t>
      </w:r>
      <w:bookmarkEnd w:id="85"/>
      <w:bookmarkEnd w:id="86"/>
      <w:bookmarkEnd w:id="87"/>
    </w:p>
    <w:tbl>
      <w:tblPr>
        <w:tblStyle w:val="22"/>
        <w:tblW w:w="9327" w:type="dxa"/>
        <w:jc w:val="center"/>
        <w:tblLayout w:type="fixed"/>
        <w:tblCellMar>
          <w:top w:w="0" w:type="dxa"/>
          <w:left w:w="0" w:type="dxa"/>
          <w:bottom w:w="0" w:type="dxa"/>
          <w:right w:w="0" w:type="dxa"/>
        </w:tblCellMar>
      </w:tblPr>
      <w:tblGrid>
        <w:gridCol w:w="794"/>
        <w:gridCol w:w="2415"/>
        <w:gridCol w:w="2580"/>
        <w:gridCol w:w="2265"/>
        <w:gridCol w:w="1273"/>
      </w:tblGrid>
      <w:tr>
        <w:trPr>
          <w:cantSplit/>
          <w:trHeight w:val="442" w:hRule="atLeast"/>
          <w:tblHeader/>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b/>
                <w:bCs/>
                <w:kern w:val="0"/>
                <w:sz w:val="18"/>
                <w:szCs w:val="18"/>
              </w:rPr>
            </w:pPr>
            <w:r>
              <w:rPr>
                <w:rFonts w:hint="default" w:ascii="Arial" w:hAnsi="Arial" w:cs="Arial"/>
                <w:b/>
                <w:bCs/>
                <w:kern w:val="0"/>
                <w:sz w:val="18"/>
                <w:szCs w:val="18"/>
              </w:rPr>
              <w:t>序号</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b/>
                <w:bCs/>
                <w:kern w:val="0"/>
                <w:sz w:val="18"/>
                <w:szCs w:val="18"/>
              </w:rPr>
              <w:t>成本项目</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sz w:val="18"/>
                <w:szCs w:val="18"/>
              </w:rPr>
            </w:pPr>
            <w:r>
              <w:rPr>
                <w:rFonts w:hint="default" w:ascii="Arial" w:hAnsi="Arial" w:cs="Arial"/>
                <w:b/>
                <w:bCs/>
                <w:kern w:val="0"/>
                <w:sz w:val="18"/>
                <w:szCs w:val="18"/>
              </w:rPr>
              <w:t>本月付款（元）</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b/>
                <w:bCs/>
                <w:kern w:val="0"/>
                <w:sz w:val="18"/>
                <w:szCs w:val="18"/>
              </w:rPr>
              <w:t>入场后累计已支付（元）</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b/>
                <w:bCs/>
                <w:kern w:val="0"/>
                <w:sz w:val="18"/>
                <w:szCs w:val="18"/>
              </w:rPr>
              <w:t>备注</w:t>
            </w: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1</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土地费用</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sz w:val="18"/>
                <w:szCs w:val="18"/>
              </w:rPr>
            </w:pPr>
            <w:r>
              <w:rPr>
                <w:rFonts w:hint="default" w:ascii="Arial" w:hAnsi="Arial" w:eastAsia="宋体" w:cs="Arial"/>
                <w:i w:val="0"/>
                <w:color w:val="000000"/>
                <w:kern w:val="0"/>
                <w:sz w:val="18"/>
                <w:szCs w:val="18"/>
                <w:u w:val="none"/>
                <w:lang w:val="en-US" w:eastAsia="zh-CN" w:bidi="ar"/>
              </w:rPr>
              <w:t xml:space="preserve">0.00 </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0.00 </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2</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前期费用</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sz w:val="18"/>
                <w:szCs w:val="18"/>
              </w:rPr>
            </w:pPr>
            <w:r>
              <w:rPr>
                <w:rFonts w:hint="default" w:ascii="Arial" w:hAnsi="Arial" w:eastAsia="宋体" w:cs="Arial"/>
                <w:i w:val="0"/>
                <w:color w:val="000000"/>
                <w:kern w:val="0"/>
                <w:sz w:val="18"/>
                <w:szCs w:val="18"/>
                <w:u w:val="none"/>
                <w:lang w:val="en-US" w:eastAsia="zh-CN" w:bidi="ar"/>
              </w:rPr>
              <w:t xml:space="preserve">0.00 </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613,847.06 </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3</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建筑工程费用</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sz w:val="18"/>
                <w:szCs w:val="18"/>
              </w:rPr>
            </w:pPr>
            <w:r>
              <w:rPr>
                <w:rFonts w:hint="default" w:ascii="Arial" w:hAnsi="Arial" w:eastAsia="宋体" w:cs="Arial"/>
                <w:i w:val="0"/>
                <w:color w:val="000000"/>
                <w:kern w:val="0"/>
                <w:sz w:val="18"/>
                <w:szCs w:val="18"/>
                <w:u w:val="none"/>
                <w:lang w:val="en-US" w:eastAsia="zh-CN" w:bidi="ar"/>
              </w:rPr>
              <w:t xml:space="preserve">1,176,752.48 </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67,502,372.48 </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4</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开发间接费</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sz w:val="18"/>
                <w:szCs w:val="18"/>
              </w:rPr>
            </w:pPr>
            <w:r>
              <w:rPr>
                <w:rFonts w:hint="default" w:ascii="Arial" w:hAnsi="Arial" w:eastAsia="宋体" w:cs="Arial"/>
                <w:i w:val="0"/>
                <w:color w:val="000000"/>
                <w:kern w:val="0"/>
                <w:sz w:val="18"/>
                <w:szCs w:val="18"/>
                <w:u w:val="none"/>
                <w:lang w:val="en-US" w:eastAsia="zh-CN" w:bidi="ar"/>
              </w:rPr>
              <w:t xml:space="preserve">0.00 </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0.00 </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5</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财务费用</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1,855.83 </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6,232,737.47 </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6</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税费</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498,449.86 </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9,383,824.52 </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7</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管理费用</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2,207,653.09 </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7,732,953.16 </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8</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营销费用</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2,884,987.50 </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3,114,407.89 </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9</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往来款</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624,450,000.00 </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1,975,022,685.33 </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10</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收费退款</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1,021,464.00 </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8,854,077.60 </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320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b/>
                <w:bCs/>
                <w:color w:val="000000"/>
                <w:sz w:val="18"/>
                <w:szCs w:val="18"/>
              </w:rPr>
            </w:pPr>
            <w:r>
              <w:rPr>
                <w:rFonts w:hint="default" w:ascii="Arial" w:hAnsi="Arial" w:cs="Arial"/>
                <w:b/>
                <w:bCs/>
                <w:color w:val="000000"/>
                <w:kern w:val="0"/>
                <w:sz w:val="18"/>
                <w:szCs w:val="18"/>
                <w:lang w:bidi="ar"/>
              </w:rPr>
              <w:t>总计</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sz w:val="18"/>
                <w:szCs w:val="18"/>
              </w:rPr>
            </w:pPr>
            <w:r>
              <w:rPr>
                <w:rFonts w:hint="default" w:ascii="Arial" w:hAnsi="Arial" w:eastAsia="宋体" w:cs="Arial"/>
                <w:b/>
                <w:i w:val="0"/>
                <w:color w:val="000000"/>
                <w:kern w:val="0"/>
                <w:sz w:val="18"/>
                <w:szCs w:val="18"/>
                <w:u w:val="none"/>
                <w:lang w:val="en-US" w:eastAsia="zh-CN" w:bidi="ar"/>
              </w:rPr>
              <w:t xml:space="preserve">632,241,162.76 </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18"/>
                <w:szCs w:val="18"/>
                <w:lang w:bidi="ar"/>
              </w:rPr>
            </w:pPr>
            <w:r>
              <w:rPr>
                <w:rFonts w:hint="default" w:ascii="Arial" w:hAnsi="Arial" w:eastAsia="宋体" w:cs="Arial"/>
                <w:b/>
                <w:i w:val="0"/>
                <w:color w:val="000000"/>
                <w:kern w:val="0"/>
                <w:sz w:val="18"/>
                <w:szCs w:val="18"/>
                <w:u w:val="none"/>
                <w:lang w:val="en-US" w:eastAsia="zh-CN" w:bidi="ar"/>
              </w:rPr>
              <w:t xml:space="preserve">2,078,456,905.51 </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b/>
                <w:bCs/>
                <w:color w:val="000000"/>
                <w:kern w:val="0"/>
                <w:sz w:val="18"/>
                <w:szCs w:val="18"/>
                <w:lang w:bidi="ar"/>
              </w:rPr>
            </w:pPr>
          </w:p>
        </w:tc>
      </w:tr>
    </w:tbl>
    <w:p>
      <w:pPr>
        <w:rPr>
          <w:rFonts w:hint="default" w:ascii="Arial" w:hAnsi="Arial" w:cs="Arial"/>
          <w:sz w:val="18"/>
          <w:szCs w:val="18"/>
        </w:rPr>
      </w:pPr>
    </w:p>
    <w:p>
      <w:pPr>
        <w:pStyle w:val="3"/>
        <w:keepNext w:val="0"/>
        <w:keepLines w:val="0"/>
        <w:spacing w:before="300" w:after="300" w:line="360" w:lineRule="exact"/>
        <w:jc w:val="left"/>
        <w:rPr>
          <w:rFonts w:hint="default" w:ascii="Arial" w:hAnsi="Arial" w:eastAsia="宋体" w:cs="Arial"/>
          <w:sz w:val="24"/>
          <w:szCs w:val="24"/>
        </w:rPr>
      </w:pPr>
      <w:bookmarkStart w:id="88" w:name="_Toc50218138"/>
      <w:bookmarkStart w:id="89" w:name="_Toc29918"/>
      <w:bookmarkStart w:id="90" w:name="_Toc18337"/>
      <w:bookmarkStart w:id="91" w:name="_Toc31177"/>
      <w:r>
        <w:rPr>
          <w:rFonts w:hint="default" w:ascii="Arial" w:hAnsi="Arial" w:eastAsia="宋体" w:cs="Arial"/>
          <w:sz w:val="24"/>
          <w:szCs w:val="24"/>
        </w:rPr>
        <w:t>8.2资金流出情况</w:t>
      </w:r>
      <w:bookmarkEnd w:id="88"/>
      <w:bookmarkEnd w:id="89"/>
      <w:bookmarkEnd w:id="90"/>
      <w:bookmarkEnd w:id="91"/>
    </w:p>
    <w:p>
      <w:pPr>
        <w:spacing w:line="480" w:lineRule="auto"/>
        <w:ind w:firstLine="420" w:firstLineChars="200"/>
        <w:rPr>
          <w:rFonts w:hint="default" w:ascii="Arial" w:hAnsi="Arial" w:cs="Arial"/>
          <w:bCs/>
          <w:color w:val="0000FF"/>
          <w:kern w:val="44"/>
          <w:szCs w:val="21"/>
        </w:rPr>
      </w:pPr>
      <w:r>
        <w:rPr>
          <w:rFonts w:hint="default" w:ascii="Arial" w:hAnsi="Arial" w:cs="Arial"/>
          <w:bCs/>
          <w:kern w:val="44"/>
          <w:szCs w:val="21"/>
        </w:rPr>
        <w:t>2020年</w:t>
      </w:r>
      <w:r>
        <w:rPr>
          <w:rFonts w:hint="default" w:ascii="Arial" w:hAnsi="Arial" w:cs="Arial"/>
          <w:bCs/>
          <w:kern w:val="44"/>
          <w:szCs w:val="21"/>
          <w:lang w:val="en-US" w:eastAsia="zh-CN"/>
        </w:rPr>
        <w:t>1</w:t>
      </w:r>
      <w:r>
        <w:rPr>
          <w:rFonts w:hint="eastAsia" w:ascii="Arial" w:hAnsi="Arial" w:cs="Arial"/>
          <w:bCs/>
          <w:kern w:val="44"/>
          <w:szCs w:val="21"/>
          <w:lang w:val="en-US" w:eastAsia="zh-CN"/>
        </w:rPr>
        <w:t>1</w:t>
      </w:r>
      <w:r>
        <w:rPr>
          <w:rFonts w:hint="default" w:ascii="Arial" w:hAnsi="Arial" w:cs="Arial"/>
          <w:bCs/>
          <w:kern w:val="44"/>
          <w:szCs w:val="21"/>
        </w:rPr>
        <w:t>月监管范围内资金流出额共计</w:t>
      </w:r>
      <w:r>
        <w:rPr>
          <w:rFonts w:hint="default" w:ascii="Arial" w:hAnsi="Arial" w:eastAsia="宋体" w:cs="Arial"/>
          <w:i w:val="0"/>
          <w:color w:val="000000"/>
          <w:kern w:val="0"/>
          <w:sz w:val="21"/>
          <w:szCs w:val="21"/>
          <w:u w:val="none"/>
          <w:lang w:val="en-US" w:eastAsia="zh-CN" w:bidi="ar"/>
        </w:rPr>
        <w:t xml:space="preserve">632,241,162.76 </w:t>
      </w:r>
      <w:r>
        <w:rPr>
          <w:rFonts w:hint="default" w:ascii="Arial" w:hAnsi="Arial" w:cs="Arial"/>
          <w:bCs/>
          <w:kern w:val="44"/>
          <w:szCs w:val="21"/>
        </w:rPr>
        <w:t>元。</w:t>
      </w:r>
    </w:p>
    <w:p>
      <w:pPr>
        <w:widowControl/>
        <w:jc w:val="center"/>
        <w:textAlignment w:val="center"/>
        <w:rPr>
          <w:rFonts w:hint="default" w:ascii="Arial" w:hAnsi="Arial" w:cs="Arial"/>
          <w:b/>
          <w:color w:val="000000"/>
          <w:sz w:val="24"/>
        </w:rPr>
      </w:pPr>
      <w:r>
        <w:rPr>
          <w:rFonts w:hint="default" w:ascii="Arial" w:hAnsi="Arial" w:cs="Arial"/>
          <w:b/>
          <w:color w:val="000000"/>
          <w:sz w:val="24"/>
        </w:rPr>
        <w:t>2020年</w:t>
      </w:r>
      <w:r>
        <w:rPr>
          <w:rFonts w:hint="default" w:ascii="Arial" w:hAnsi="Arial" w:cs="Arial"/>
          <w:b/>
          <w:color w:val="000000"/>
          <w:sz w:val="24"/>
          <w:lang w:val="en-US" w:eastAsia="zh-CN"/>
        </w:rPr>
        <w:t>1</w:t>
      </w:r>
      <w:r>
        <w:rPr>
          <w:rFonts w:hint="eastAsia" w:ascii="Arial" w:hAnsi="Arial" w:cs="Arial"/>
          <w:b/>
          <w:color w:val="000000"/>
          <w:sz w:val="24"/>
          <w:lang w:val="en-US" w:eastAsia="zh-CN"/>
        </w:rPr>
        <w:t>1</w:t>
      </w:r>
      <w:r>
        <w:rPr>
          <w:rFonts w:hint="default" w:ascii="Arial" w:hAnsi="Arial" w:cs="Arial"/>
          <w:b/>
          <w:color w:val="000000"/>
          <w:sz w:val="24"/>
        </w:rPr>
        <w:t>月资金流出明细表</w:t>
      </w:r>
    </w:p>
    <w:tbl>
      <w:tblPr>
        <w:tblStyle w:val="22"/>
        <w:tblW w:w="10035" w:type="dxa"/>
        <w:jc w:val="center"/>
        <w:shd w:val="clear" w:color="auto" w:fill="auto"/>
        <w:tblLayout w:type="autofit"/>
        <w:tblCellMar>
          <w:top w:w="0" w:type="dxa"/>
          <w:left w:w="0" w:type="dxa"/>
          <w:bottom w:w="0" w:type="dxa"/>
          <w:right w:w="0" w:type="dxa"/>
        </w:tblCellMar>
      </w:tblPr>
      <w:tblGrid>
        <w:gridCol w:w="919"/>
        <w:gridCol w:w="1217"/>
        <w:gridCol w:w="1991"/>
        <w:gridCol w:w="1770"/>
        <w:gridCol w:w="1710"/>
        <w:gridCol w:w="1362"/>
        <w:gridCol w:w="1066"/>
      </w:tblGrid>
      <w:tr>
        <w:tblPrEx>
          <w:shd w:val="clear" w:color="auto" w:fill="auto"/>
          <w:tblCellMar>
            <w:top w:w="0" w:type="dxa"/>
            <w:left w:w="0" w:type="dxa"/>
            <w:bottom w:w="0" w:type="dxa"/>
            <w:right w:w="0" w:type="dxa"/>
          </w:tblCellMar>
        </w:tblPrEx>
        <w:trPr>
          <w:trHeight w:val="272" w:hRule="atLeast"/>
          <w:tblHeader/>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项目公司</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收款日期</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5" name="Host_Control__7"/>
                  <wp:cNvGraphicFramePr/>
                  <a:graphic xmlns:a="http://schemas.openxmlformats.org/drawingml/2006/main">
                    <a:graphicData uri="http://schemas.openxmlformats.org/drawingml/2006/picture">
                      <pic:pic xmlns:pic="http://schemas.openxmlformats.org/drawingml/2006/picture">
                        <pic:nvPicPr>
                          <pic:cNvPr id="25" name="Host_Control__7"/>
                          <pic:cNvPicPr/>
                        </pic:nvPicPr>
                        <pic:blipFill>
                          <a:blip r:embed="rId14"/>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9" name="Host_Control__9"/>
                  <wp:cNvGraphicFramePr/>
                  <a:graphic xmlns:a="http://schemas.openxmlformats.org/drawingml/2006/main">
                    <a:graphicData uri="http://schemas.openxmlformats.org/drawingml/2006/picture">
                      <pic:pic xmlns:pic="http://schemas.openxmlformats.org/drawingml/2006/picture">
                        <pic:nvPicPr>
                          <pic:cNvPr id="29" name="Host_Control__9"/>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0" name="Host_Control__13"/>
                  <wp:cNvGraphicFramePr/>
                  <a:graphic xmlns:a="http://schemas.openxmlformats.org/drawingml/2006/main">
                    <a:graphicData uri="http://schemas.openxmlformats.org/drawingml/2006/picture">
                      <pic:pic xmlns:pic="http://schemas.openxmlformats.org/drawingml/2006/picture">
                        <pic:nvPicPr>
                          <pic:cNvPr id="40" name="Host_Control__1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6" name="Host_Control__21"/>
                  <wp:cNvGraphicFramePr/>
                  <a:graphic xmlns:a="http://schemas.openxmlformats.org/drawingml/2006/main">
                    <a:graphicData uri="http://schemas.openxmlformats.org/drawingml/2006/picture">
                      <pic:pic xmlns:pic="http://schemas.openxmlformats.org/drawingml/2006/picture">
                        <pic:nvPicPr>
                          <pic:cNvPr id="26" name="Host_Control__2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8" name="Host_Control__36"/>
                  <wp:cNvGraphicFramePr/>
                  <a:graphic xmlns:a="http://schemas.openxmlformats.org/drawingml/2006/main">
                    <a:graphicData uri="http://schemas.openxmlformats.org/drawingml/2006/picture">
                      <pic:pic xmlns:pic="http://schemas.openxmlformats.org/drawingml/2006/picture">
                        <pic:nvPicPr>
                          <pic:cNvPr id="28" name="Host_Control__36"/>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6" name="Host_Control__37"/>
                  <wp:cNvGraphicFramePr/>
                  <a:graphic xmlns:a="http://schemas.openxmlformats.org/drawingml/2006/main">
                    <a:graphicData uri="http://schemas.openxmlformats.org/drawingml/2006/picture">
                      <pic:pic xmlns:pic="http://schemas.openxmlformats.org/drawingml/2006/picture">
                        <pic:nvPicPr>
                          <pic:cNvPr id="36" name="Host_Control__37"/>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5" name="Host_Control__35"/>
                  <wp:cNvGraphicFramePr/>
                  <a:graphic xmlns:a="http://schemas.openxmlformats.org/drawingml/2006/main">
                    <a:graphicData uri="http://schemas.openxmlformats.org/drawingml/2006/picture">
                      <pic:pic xmlns:pic="http://schemas.openxmlformats.org/drawingml/2006/picture">
                        <pic:nvPicPr>
                          <pic:cNvPr id="35" name="Host_Control__35"/>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7" name="Host_Control__34"/>
                  <wp:cNvGraphicFramePr/>
                  <a:graphic xmlns:a="http://schemas.openxmlformats.org/drawingml/2006/main">
                    <a:graphicData uri="http://schemas.openxmlformats.org/drawingml/2006/picture">
                      <pic:pic xmlns:pic="http://schemas.openxmlformats.org/drawingml/2006/picture">
                        <pic:nvPicPr>
                          <pic:cNvPr id="27" name="Host_Control__34"/>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8" name="Host_Control__33"/>
                  <wp:cNvGraphicFramePr/>
                  <a:graphic xmlns:a="http://schemas.openxmlformats.org/drawingml/2006/main">
                    <a:graphicData uri="http://schemas.openxmlformats.org/drawingml/2006/picture">
                      <pic:pic xmlns:pic="http://schemas.openxmlformats.org/drawingml/2006/picture">
                        <pic:nvPicPr>
                          <pic:cNvPr id="18" name="Host_Control__3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0" name="Host_Control__32"/>
                  <wp:cNvGraphicFramePr/>
                  <a:graphic xmlns:a="http://schemas.openxmlformats.org/drawingml/2006/main">
                    <a:graphicData uri="http://schemas.openxmlformats.org/drawingml/2006/picture">
                      <pic:pic xmlns:pic="http://schemas.openxmlformats.org/drawingml/2006/picture">
                        <pic:nvPicPr>
                          <pic:cNvPr id="30" name="Host_Control__3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1" name="Host_Control__31"/>
                  <wp:cNvGraphicFramePr/>
                  <a:graphic xmlns:a="http://schemas.openxmlformats.org/drawingml/2006/main">
                    <a:graphicData uri="http://schemas.openxmlformats.org/drawingml/2006/picture">
                      <pic:pic xmlns:pic="http://schemas.openxmlformats.org/drawingml/2006/picture">
                        <pic:nvPicPr>
                          <pic:cNvPr id="21" name="Host_Control__3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7" name="Host_Control__30"/>
                  <wp:cNvGraphicFramePr/>
                  <a:graphic xmlns:a="http://schemas.openxmlformats.org/drawingml/2006/main">
                    <a:graphicData uri="http://schemas.openxmlformats.org/drawingml/2006/picture">
                      <pic:pic xmlns:pic="http://schemas.openxmlformats.org/drawingml/2006/picture">
                        <pic:nvPicPr>
                          <pic:cNvPr id="37" name="Host_Control__30"/>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9" name="Host_Control__29"/>
                  <wp:cNvGraphicFramePr/>
                  <a:graphic xmlns:a="http://schemas.openxmlformats.org/drawingml/2006/main">
                    <a:graphicData uri="http://schemas.openxmlformats.org/drawingml/2006/picture">
                      <pic:pic xmlns:pic="http://schemas.openxmlformats.org/drawingml/2006/picture">
                        <pic:nvPicPr>
                          <pic:cNvPr id="39" name="Host_Control__29"/>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2" name="Host_Control__28"/>
                  <wp:cNvGraphicFramePr/>
                  <a:graphic xmlns:a="http://schemas.openxmlformats.org/drawingml/2006/main">
                    <a:graphicData uri="http://schemas.openxmlformats.org/drawingml/2006/picture">
                      <pic:pic xmlns:pic="http://schemas.openxmlformats.org/drawingml/2006/picture">
                        <pic:nvPicPr>
                          <pic:cNvPr id="32" name="Host_Control__28"/>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1" name="Host_Control__27"/>
                  <wp:cNvGraphicFramePr/>
                  <a:graphic xmlns:a="http://schemas.openxmlformats.org/drawingml/2006/main">
                    <a:graphicData uri="http://schemas.openxmlformats.org/drawingml/2006/picture">
                      <pic:pic xmlns:pic="http://schemas.openxmlformats.org/drawingml/2006/picture">
                        <pic:nvPicPr>
                          <pic:cNvPr id="31" name="Host_Control__27"/>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5" name="Host_Control__26"/>
                  <wp:cNvGraphicFramePr/>
                  <a:graphic xmlns:a="http://schemas.openxmlformats.org/drawingml/2006/main">
                    <a:graphicData uri="http://schemas.openxmlformats.org/drawingml/2006/picture">
                      <pic:pic xmlns:pic="http://schemas.openxmlformats.org/drawingml/2006/picture">
                        <pic:nvPicPr>
                          <pic:cNvPr id="15" name="Host_Control__26"/>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3" name="Host_Control__25"/>
                  <wp:cNvGraphicFramePr/>
                  <a:graphic xmlns:a="http://schemas.openxmlformats.org/drawingml/2006/main">
                    <a:graphicData uri="http://schemas.openxmlformats.org/drawingml/2006/picture">
                      <pic:pic xmlns:pic="http://schemas.openxmlformats.org/drawingml/2006/picture">
                        <pic:nvPicPr>
                          <pic:cNvPr id="23" name="Host_Control__25"/>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9" name="Host_Control__24"/>
                  <wp:cNvGraphicFramePr/>
                  <a:graphic xmlns:a="http://schemas.openxmlformats.org/drawingml/2006/main">
                    <a:graphicData uri="http://schemas.openxmlformats.org/drawingml/2006/picture">
                      <pic:pic xmlns:pic="http://schemas.openxmlformats.org/drawingml/2006/picture">
                        <pic:nvPicPr>
                          <pic:cNvPr id="19" name="Host_Control__24"/>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3" name="Host_Control__23"/>
                  <wp:cNvGraphicFramePr/>
                  <a:graphic xmlns:a="http://schemas.openxmlformats.org/drawingml/2006/main">
                    <a:graphicData uri="http://schemas.openxmlformats.org/drawingml/2006/picture">
                      <pic:pic xmlns:pic="http://schemas.openxmlformats.org/drawingml/2006/picture">
                        <pic:nvPicPr>
                          <pic:cNvPr id="33" name="Host_Control__2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4" name="Host_Control__20"/>
                  <wp:cNvGraphicFramePr/>
                  <a:graphic xmlns:a="http://schemas.openxmlformats.org/drawingml/2006/main">
                    <a:graphicData uri="http://schemas.openxmlformats.org/drawingml/2006/picture">
                      <pic:pic xmlns:pic="http://schemas.openxmlformats.org/drawingml/2006/picture">
                        <pic:nvPicPr>
                          <pic:cNvPr id="24" name="Host_Control__20"/>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2" name="Host_Control__22"/>
                  <wp:cNvGraphicFramePr/>
                  <a:graphic xmlns:a="http://schemas.openxmlformats.org/drawingml/2006/main">
                    <a:graphicData uri="http://schemas.openxmlformats.org/drawingml/2006/picture">
                      <pic:pic xmlns:pic="http://schemas.openxmlformats.org/drawingml/2006/picture">
                        <pic:nvPicPr>
                          <pic:cNvPr id="22" name="Host_Control__2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0" name="Host_Control__19"/>
                  <wp:cNvGraphicFramePr/>
                  <a:graphic xmlns:a="http://schemas.openxmlformats.org/drawingml/2006/main">
                    <a:graphicData uri="http://schemas.openxmlformats.org/drawingml/2006/picture">
                      <pic:pic xmlns:pic="http://schemas.openxmlformats.org/drawingml/2006/picture">
                        <pic:nvPicPr>
                          <pic:cNvPr id="20" name="Host_Control__19"/>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7" name="Host_Control__18"/>
                  <wp:cNvGraphicFramePr/>
                  <a:graphic xmlns:a="http://schemas.openxmlformats.org/drawingml/2006/main">
                    <a:graphicData uri="http://schemas.openxmlformats.org/drawingml/2006/picture">
                      <pic:pic xmlns:pic="http://schemas.openxmlformats.org/drawingml/2006/picture">
                        <pic:nvPicPr>
                          <pic:cNvPr id="17" name="Host_Control__18"/>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4" name="Host_Control__17"/>
                  <wp:cNvGraphicFramePr/>
                  <a:graphic xmlns:a="http://schemas.openxmlformats.org/drawingml/2006/main">
                    <a:graphicData uri="http://schemas.openxmlformats.org/drawingml/2006/picture">
                      <pic:pic xmlns:pic="http://schemas.openxmlformats.org/drawingml/2006/picture">
                        <pic:nvPicPr>
                          <pic:cNvPr id="34" name="Host_Control__17"/>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38" name="Host_Control__16"/>
                  <wp:cNvGraphicFramePr/>
                  <a:graphic xmlns:a="http://schemas.openxmlformats.org/drawingml/2006/main">
                    <a:graphicData uri="http://schemas.openxmlformats.org/drawingml/2006/picture">
                      <pic:pic xmlns:pic="http://schemas.openxmlformats.org/drawingml/2006/picture">
                        <pic:nvPicPr>
                          <pic:cNvPr id="38" name="Host_Control__16"/>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6" name="Host_Control__15"/>
                  <wp:cNvGraphicFramePr/>
                  <a:graphic xmlns:a="http://schemas.openxmlformats.org/drawingml/2006/main">
                    <a:graphicData uri="http://schemas.openxmlformats.org/drawingml/2006/picture">
                      <pic:pic xmlns:pic="http://schemas.openxmlformats.org/drawingml/2006/picture">
                        <pic:nvPicPr>
                          <pic:cNvPr id="16" name="Host_Control__15"/>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1" name="Host_Control__12"/>
                  <wp:cNvGraphicFramePr/>
                  <a:graphic xmlns:a="http://schemas.openxmlformats.org/drawingml/2006/main">
                    <a:graphicData uri="http://schemas.openxmlformats.org/drawingml/2006/picture">
                      <pic:pic xmlns:pic="http://schemas.openxmlformats.org/drawingml/2006/picture">
                        <pic:nvPicPr>
                          <pic:cNvPr id="11" name="Host_Control__1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0" name="Host_Control__14"/>
                  <wp:cNvGraphicFramePr/>
                  <a:graphic xmlns:a="http://schemas.openxmlformats.org/drawingml/2006/main">
                    <a:graphicData uri="http://schemas.openxmlformats.org/drawingml/2006/picture">
                      <pic:pic xmlns:pic="http://schemas.openxmlformats.org/drawingml/2006/picture">
                        <pic:nvPicPr>
                          <pic:cNvPr id="10" name="Host_Control__14"/>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2" name="Host_Control__11"/>
                  <wp:cNvGraphicFramePr/>
                  <a:graphic xmlns:a="http://schemas.openxmlformats.org/drawingml/2006/main">
                    <a:graphicData uri="http://schemas.openxmlformats.org/drawingml/2006/picture">
                      <pic:pic xmlns:pic="http://schemas.openxmlformats.org/drawingml/2006/picture">
                        <pic:nvPicPr>
                          <pic:cNvPr id="12" name="Host_Control__1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4" name="Host_Control__8"/>
                  <wp:cNvGraphicFramePr/>
                  <a:graphic xmlns:a="http://schemas.openxmlformats.org/drawingml/2006/main">
                    <a:graphicData uri="http://schemas.openxmlformats.org/drawingml/2006/picture">
                      <pic:pic xmlns:pic="http://schemas.openxmlformats.org/drawingml/2006/picture">
                        <pic:nvPicPr>
                          <pic:cNvPr id="14" name="Host_Control__8"/>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3" name="Host_Control__10"/>
                  <wp:cNvGraphicFramePr/>
                  <a:graphic xmlns:a="http://schemas.openxmlformats.org/drawingml/2006/main">
                    <a:graphicData uri="http://schemas.openxmlformats.org/drawingml/2006/picture">
                      <pic:pic xmlns:pic="http://schemas.openxmlformats.org/drawingml/2006/picture">
                        <pic:nvPicPr>
                          <pic:cNvPr id="13" name="Host_Control__10"/>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lang w:val="en-US" w:eastAsia="zh-CN" w:bidi="ar"/>
              </w:rPr>
              <w:t>付款方</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资金用途</w:t>
            </w:r>
          </w:p>
        </w:tc>
        <w:tc>
          <w:tcPr>
            <w:tcW w:w="1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金额</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收款行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用款类型</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东湖高新税务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202,740.89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税费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短信通知手续费收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银行手续费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中国建设银行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账户变更手续费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建设银行0764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待报解预算收入-银税通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银税通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税费</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襄企业管理咨询有限公司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代付工程费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转账手续费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正荣正创（武汉）置业发展有限公司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代付工程费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中信梨园2861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借支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企业网银非基本户代发工资过渡性款项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发工资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1,311,641.30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转账手续费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26.23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2020-11-13</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襄企业管理咨询有限公司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代付工程费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2020-11-13</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2020-11-13</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待报解预算收入-银税通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税费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37,077.90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税费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2020-11-13</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待报解预算收入-银税通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税费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66,612.24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税费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2020-11-13</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待报解预算收入-银税通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税费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2,498.05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税费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2020-11-13</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待报解预算收入-银税通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税费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89,520.78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税费</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2020-11-13</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正荣正创（武汉）置业发展有限公司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代付工程费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中信梨园2861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京东购物卡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武汉住房公积金管理中心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缴存住房公积金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219,272.82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赵强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3,351.00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赵强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5,102.00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朱文博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朱文博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6,767.50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赵强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9,010.00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赵强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2,881.00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袁州区城北阳光贸易经营部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商务礼品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10,350.00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朱文博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4,362.00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甘露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1,878.00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殷婷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2,635.60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殷婷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3,552.00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阮文静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员工福利费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福州华祥苑茶业有限公司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商务礼品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16,450.00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武汉市洪山区兴锐烟酒副食店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商务礼品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朱文博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18,456.00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黎文骏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严兴华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殷婷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275.18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朱文博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16,384.00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杜顺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3,269.00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武汉小盆景芙蓉堂酒店管理有限公司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2,385.00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罗托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商务礼品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1,226.00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吴汉明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秦晗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5,734.26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5,907.00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杨志秘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3,155.00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谢志飞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6,715.68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银联商务股份有限公司湖北分公司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梁绍伟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9,787.60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李梅玲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971.50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候家卉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1,146.00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京东慧采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中国建设银行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建设银行0764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中国建设银行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建设银行0764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中国建设银行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建设银行0764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2020-11-21</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中国建设银行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建设银行0764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湖北福珍建筑工程有限公司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退投标保证金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耿翔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7,339.00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向风璐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2,644.00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工商加急费用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张群洁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1,190.00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银联商务股份有限公司湖北分公司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吴卫星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1,088.00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福州市正山堂茶业有限公司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商务礼品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2,306.00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吴卫星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730.00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北京戴德梁行物业管理有限公司武汉分公司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电费及服务费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3,056.28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吴汉明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2,416.00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武汉市洪山区兴锐烟酒副食店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商务礼品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吴汉明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6,070.04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吴卫星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杨志秘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1,395.00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吴汉明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陈求军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武汉市洪山区兴锐烟酒副食店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商务礼品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中国工商银行汉阳分行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跨行快汇手续费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中国工商银行汉阳分行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杨春梅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退定金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黄华桥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退预约金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收费退款</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朱文博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朱文博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13,408.00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甘露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1,068.00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樊珊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团建费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5,266.00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冯远程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快递费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792.00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熊伟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1,494.00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杨志秘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李思嘉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1,286.00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2,815.00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李思嘉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2,588.50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黎文骏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熊伟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4,912.32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康健硕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公证费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殷婷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2,375.00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裴欣童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成都科顿装饰工程有限公司南京分公司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163,770.01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建筑工程费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深圳市旗云智能科技有限公司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14,012.56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建筑工程费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武汉首之创电器有限公司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14,865.99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建筑工程费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湖北福珍建筑工程有限公司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320,983.20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建筑工程费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江西方正工程监理造价咨询有限公司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11,556.12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建筑工程费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广州黄埔建筑设计院有限公司江西分公司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31,482.00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建筑工程费</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一鼎</w:t>
            </w:r>
            <w:r>
              <w:rPr>
                <w:rFonts w:hint="default" w:ascii="Arial" w:hAnsi="Arial" w:eastAsia="宋体" w:cs="Arial"/>
                <w:i w:val="0"/>
                <w:color w:val="000000"/>
                <w:kern w:val="0"/>
                <w:sz w:val="18"/>
                <w:szCs w:val="18"/>
                <w:u w:val="none"/>
                <w:lang w:val="en-US" w:eastAsia="zh-CN" w:bidi="ar"/>
              </w:rPr>
              <w:t>（福建）生态园林建设有限公司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161,128.64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建筑工程费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湖北地矿建设勘察有限公司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建筑工程费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武汉鑫思宏建筑工程有限公司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建筑工程费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网上银行手续费收入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退房款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221,464.00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建设银行0764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收费退款</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退房款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建设银行0764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收费退款</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武汉众视云传媒科技有限公司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武汉保丰物业服务有限公司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垃圾清运费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武汉对视广告有限公司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武汉道森网络科技有限公司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京东慧采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5,453.84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正荣物业服务有限公司武汉分公司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前介费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41,092.13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梯彩（湖北）传媒有限公司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正荣物业服务有限公司武汉分公司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前介费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82,184.26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武汉立德众和广告有限公司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26,169.00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正荣物业服务有限公司武汉分公司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物业费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486,858.04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分行电子汇划费</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对公</w:t>
            </w:r>
            <w:r>
              <w:rPr>
                <w:rFonts w:hint="default" w:ascii="Arial" w:hAnsi="Arial" w:eastAsia="宋体" w:cs="Arial"/>
                <w:i w:val="0"/>
                <w:color w:val="000000"/>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分行电子汇划费</w:t>
            </w:r>
            <w:r>
              <w:rPr>
                <w:rFonts w:hint="default" w:ascii="Arial" w:hAnsi="Arial" w:eastAsia="宋体" w:cs="Arial"/>
                <w:i w:val="0"/>
                <w:color w:val="000000"/>
                <w:kern w:val="0"/>
                <w:sz w:val="18"/>
                <w:szCs w:val="18"/>
                <w:highlight w:val="none"/>
                <w:u w:val="none"/>
                <w:lang w:val="en-US" w:eastAsia="zh-CN" w:bidi="ar"/>
              </w:rPr>
              <w:t>(</w:t>
            </w:r>
            <w:r>
              <w:rPr>
                <w:rFonts w:hint="default" w:ascii="Arial" w:hAnsi="Arial" w:eastAsia="宋体" w:cs="Arial"/>
                <w:i w:val="0"/>
                <w:color w:val="000000"/>
                <w:kern w:val="0"/>
                <w:sz w:val="18"/>
                <w:szCs w:val="18"/>
                <w:u w:val="none"/>
                <w:lang w:val="en-US" w:eastAsia="zh-CN" w:bidi="ar"/>
              </w:rPr>
              <w:t>对公</w:t>
            </w:r>
            <w:r>
              <w:rPr>
                <w:rFonts w:hint="default" w:ascii="Arial" w:hAnsi="Arial" w:eastAsia="宋体" w:cs="Arial"/>
                <w:i w:val="0"/>
                <w:color w:val="000000"/>
                <w:kern w:val="0"/>
                <w:sz w:val="18"/>
                <w:szCs w:val="18"/>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武汉常胜嘉华装饰工程有限公司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191,800,140.00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武汉市苏木图建筑装饰有限公司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108,199,860.00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徐小龙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全民佣金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15,937.14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京东慧采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京东慧采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40,693.00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京东慧采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13,467.21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京东慧采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19,758.00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京东慧采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1,197.00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京东慧采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京东慧采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9,490.55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京东慧采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38,107.00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京东慧采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19,758.00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徐超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2,747.00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武汉祥安阁文化传播有限公司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上海仁礼智数码科技有限公司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13,750.00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武汉礼记尚品文化传播有限公司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5,760.00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武汉东湖新技术高新开发区优果鲜水果店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水果费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1,192.00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武汉世纪奥通创意文化传媒有限公司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武汉云松文化传播有限公司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武汉世纪奥通创意文化传媒有限公司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上海潜意识广告有限公司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武汉立德众和广告有限公司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上海潜意识广告有限公司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京东慧采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京东慧采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11,350.00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京东慧采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2,162.50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武汉尼雅商务发展有限公司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张雨飞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全民佣金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14,891.39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王志豪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全民佣金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15,881.28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蔡琼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全民佣金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15,113.77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全民佣金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14,809.07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郭冬萍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全民佣金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18,072.79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孙超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全民佣金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15,334.73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全民佣金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15,121.29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张晴天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全民佣金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16,128.70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郎超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全民佣金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15,000.64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袁甜望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全民佣金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15,833.40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全民佣金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15,997.01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楚置业发展有限公司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191,800,140.00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中信梨园2861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楚置业发展有限公司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108,199,860.00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中信梨园2861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武汉合瑞泽广告有限公司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98,900.00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武汉合瑞泽广告有限公司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81,700.00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武汉合瑞泽广告有限公司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77,400.00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武汉合瑞泽广告有限公司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77,400.00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武汉合瑞泽广告有限公司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77,400.00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中国核工业第二二建设有限公司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396,153.96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建筑工程费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北京搜房科技发展有限公司武汉分公司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北京搜房科技发展有限公司武汉分公司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北京搜房科技发展有限公司武汉分公司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北京搜房科技发展有限公司武汉分公司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网银电子汇划费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财务费用</w:t>
            </w:r>
          </w:p>
        </w:tc>
      </w:tr>
      <w:tr>
        <w:tblPrEx>
          <w:shd w:val="clear" w:color="auto" w:fill="auto"/>
          <w:tblCellMar>
            <w:top w:w="0" w:type="dxa"/>
            <w:left w:w="0" w:type="dxa"/>
            <w:bottom w:w="0" w:type="dxa"/>
            <w:right w:w="0"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北京搜房科技发展有限公司武汉分公司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营销费用</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水果费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1,192.00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京东慧采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8,456.27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李思嘉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伴手礼采购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3,361.00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谢志飞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借支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管理费</w:t>
            </w:r>
          </w:p>
        </w:tc>
      </w:tr>
      <w:tr>
        <w:tblPrEx>
          <w:shd w:val="clear" w:color="auto" w:fill="auto"/>
          <w:tblCellMar>
            <w:top w:w="0" w:type="dxa"/>
            <w:left w:w="0" w:type="dxa"/>
            <w:bottom w:w="0" w:type="dxa"/>
            <w:right w:w="0" w:type="dxa"/>
          </w:tblCellMar>
        </w:tblPrEx>
        <w:trPr>
          <w:trHeight w:val="270"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632,241,162.76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Arial" w:hAnsi="Arial" w:eastAsia="宋体" w:cs="Arial"/>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Arial" w:hAnsi="Arial" w:eastAsia="宋体" w:cs="Arial"/>
                <w:i w:val="0"/>
                <w:color w:val="000000"/>
                <w:sz w:val="18"/>
                <w:szCs w:val="18"/>
                <w:u w:val="none"/>
              </w:rPr>
            </w:pPr>
          </w:p>
        </w:tc>
      </w:tr>
    </w:tbl>
    <w:p>
      <w:pPr>
        <w:widowControl/>
        <w:jc w:val="center"/>
        <w:textAlignment w:val="center"/>
        <w:rPr>
          <w:rFonts w:hint="default" w:ascii="Arial" w:hAnsi="Arial" w:cs="Arial"/>
          <w:b/>
          <w:color w:val="000000"/>
          <w:sz w:val="24"/>
        </w:rPr>
      </w:pPr>
    </w:p>
    <w:p>
      <w:pPr>
        <w:keepNext w:val="0"/>
        <w:keepLines w:val="0"/>
        <w:pageBreakBefore w:val="0"/>
        <w:widowControl/>
        <w:kinsoku/>
        <w:wordWrap/>
        <w:overflowPunct/>
        <w:topLinePunct w:val="0"/>
        <w:autoSpaceDE/>
        <w:autoSpaceDN/>
        <w:bidi w:val="0"/>
        <w:adjustRightInd/>
        <w:snapToGrid/>
        <w:spacing w:before="157" w:beforeLines="50" w:line="0" w:lineRule="atLeast"/>
        <w:jc w:val="center"/>
        <w:textAlignment w:val="center"/>
        <w:rPr>
          <w:rFonts w:hint="default" w:ascii="Arial" w:hAnsi="Arial" w:cs="Arial"/>
          <w:b/>
          <w:color w:val="000000"/>
          <w:sz w:val="24"/>
        </w:rPr>
      </w:pPr>
      <w:r>
        <w:rPr>
          <w:rFonts w:hint="default" w:ascii="Arial" w:hAnsi="Arial" w:cs="Arial"/>
          <w:b/>
          <w:color w:val="000000"/>
          <w:sz w:val="24"/>
        </w:rPr>
        <w:t>2020年</w:t>
      </w:r>
      <w:r>
        <w:rPr>
          <w:rFonts w:hint="default" w:ascii="Arial" w:hAnsi="Arial" w:cs="Arial"/>
          <w:b/>
          <w:color w:val="000000"/>
          <w:sz w:val="24"/>
          <w:lang w:val="en-US" w:eastAsia="zh-CN"/>
        </w:rPr>
        <w:t>1</w:t>
      </w:r>
      <w:r>
        <w:rPr>
          <w:rFonts w:hint="eastAsia" w:ascii="Arial" w:hAnsi="Arial" w:cs="Arial"/>
          <w:b/>
          <w:color w:val="000000"/>
          <w:sz w:val="24"/>
          <w:lang w:val="en-US" w:eastAsia="zh-CN"/>
        </w:rPr>
        <w:t>1</w:t>
      </w:r>
      <w:r>
        <w:rPr>
          <w:rFonts w:hint="default" w:ascii="Arial" w:hAnsi="Arial" w:cs="Arial"/>
          <w:b/>
          <w:color w:val="000000"/>
          <w:sz w:val="24"/>
        </w:rPr>
        <w:t>月账内互转表</w:t>
      </w:r>
    </w:p>
    <w:tbl>
      <w:tblPr>
        <w:tblStyle w:val="22"/>
        <w:tblW w:w="9735" w:type="dxa"/>
        <w:tblInd w:w="0" w:type="dxa"/>
        <w:shd w:val="clear" w:color="auto" w:fill="auto"/>
        <w:tblLayout w:type="autofit"/>
        <w:tblCellMar>
          <w:top w:w="0" w:type="dxa"/>
          <w:left w:w="0" w:type="dxa"/>
          <w:bottom w:w="0" w:type="dxa"/>
          <w:right w:w="0" w:type="dxa"/>
        </w:tblCellMar>
      </w:tblPr>
      <w:tblGrid>
        <w:gridCol w:w="1005"/>
        <w:gridCol w:w="3420"/>
        <w:gridCol w:w="1350"/>
        <w:gridCol w:w="1350"/>
        <w:gridCol w:w="1485"/>
        <w:gridCol w:w="1125"/>
      </w:tblGrid>
      <w:tr>
        <w:tblPrEx>
          <w:shd w:val="clear" w:color="auto" w:fill="auto"/>
          <w:tblCellMar>
            <w:top w:w="0" w:type="dxa"/>
            <w:left w:w="0" w:type="dxa"/>
            <w:bottom w:w="0" w:type="dxa"/>
            <w:right w:w="0" w:type="dxa"/>
          </w:tblCellMar>
        </w:tblPrEx>
        <w:trPr>
          <w:cantSplit/>
          <w:trHeight w:val="272" w:hRule="atLeast"/>
          <w:tblHeader/>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项目公司</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事由</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付款行</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收款行</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金额（元）</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申请日期</w:t>
            </w:r>
          </w:p>
        </w:tc>
      </w:tr>
      <w:tr>
        <w:tblPrEx>
          <w:shd w:val="clear" w:color="auto" w:fill="auto"/>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转转监管</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w:t>
            </w:r>
          </w:p>
        </w:tc>
      </w:tr>
      <w:tr>
        <w:tblPrEx>
          <w:shd w:val="clear" w:color="auto" w:fill="auto"/>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转监管</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2020-11-6</w:t>
            </w:r>
          </w:p>
        </w:tc>
      </w:tr>
      <w:tr>
        <w:tblPrEx>
          <w:shd w:val="clear" w:color="auto" w:fill="auto"/>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转监管</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4,500,000.00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r>
      <w:tr>
        <w:tblPrEx>
          <w:shd w:val="clear" w:color="auto" w:fill="auto"/>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提取非重点监管资金</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光大预售1088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6,690,000.00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2020-11-10</w:t>
            </w:r>
          </w:p>
        </w:tc>
      </w:tr>
      <w:tr>
        <w:tblPrEx>
          <w:shd w:val="clear" w:color="auto" w:fill="auto"/>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转监管</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8,033,562.00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2020-11-10</w:t>
            </w:r>
          </w:p>
        </w:tc>
      </w:tr>
      <w:tr>
        <w:tblPrEx>
          <w:shd w:val="clear" w:color="auto" w:fill="auto"/>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提取非重点监管资金</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17,000,000.00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2020-11-11</w:t>
            </w:r>
          </w:p>
        </w:tc>
      </w:tr>
      <w:tr>
        <w:tblPrEx>
          <w:shd w:val="clear" w:color="auto" w:fill="auto"/>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转监管</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光大预售9500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9,353,132.00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r>
      <w:tr>
        <w:tblPrEx>
          <w:shd w:val="clear" w:color="auto" w:fill="auto"/>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转监管</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光大预售1088</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2,045,999.00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r>
      <w:tr>
        <w:tblPrEx>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补充小额账户</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1,650,000.00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r>
      <w:tr>
        <w:tblPrEx>
          <w:shd w:val="clear" w:color="auto" w:fill="auto"/>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转监管</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光大预售1088</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4,450,869.00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r>
      <w:tr>
        <w:tblPrEx>
          <w:shd w:val="clear" w:color="auto" w:fill="auto"/>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转监管</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光大银行3640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光大预售2665</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10,068,836.00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2020-11-24</w:t>
            </w:r>
          </w:p>
        </w:tc>
      </w:tr>
      <w:tr>
        <w:tblPrEx>
          <w:shd w:val="clear" w:color="auto" w:fill="auto"/>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highlight w:val="none"/>
                <w:u w:val="none"/>
                <w:lang w:val="en-US" w:eastAsia="zh-CN" w:bidi="ar"/>
              </w:rPr>
              <w:t>正楚</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退房款因光大对私转账限额</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光大银行3640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建设银行0764</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200,000.00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2020-11-26</w:t>
            </w:r>
          </w:p>
        </w:tc>
      </w:tr>
    </w:tbl>
    <w:p>
      <w:pPr>
        <w:widowControl/>
        <w:jc w:val="center"/>
        <w:textAlignment w:val="center"/>
        <w:rPr>
          <w:rFonts w:hint="default" w:ascii="Arial" w:hAnsi="Arial" w:cs="Arial"/>
          <w:b/>
          <w:color w:val="000000"/>
          <w:sz w:val="18"/>
          <w:szCs w:val="18"/>
        </w:rPr>
      </w:pPr>
    </w:p>
    <w:p>
      <w:pPr>
        <w:pStyle w:val="3"/>
        <w:spacing w:before="300" w:after="300" w:line="360" w:lineRule="exact"/>
        <w:rPr>
          <w:rFonts w:hint="default" w:ascii="Arial" w:hAnsi="Arial" w:eastAsia="宋体" w:cs="Arial"/>
          <w:sz w:val="24"/>
          <w:szCs w:val="24"/>
        </w:rPr>
      </w:pPr>
      <w:bookmarkStart w:id="92" w:name="_Toc12484"/>
      <w:bookmarkStart w:id="93" w:name="_Toc50218139"/>
      <w:bookmarkStart w:id="94" w:name="_Toc16162"/>
      <w:bookmarkStart w:id="95" w:name="_Toc29408"/>
      <w:bookmarkStart w:id="96" w:name="_Toc50218140"/>
      <w:r>
        <w:rPr>
          <w:rFonts w:hint="default" w:ascii="Arial" w:hAnsi="Arial" w:eastAsia="宋体" w:cs="Arial"/>
          <w:sz w:val="24"/>
          <w:szCs w:val="24"/>
        </w:rPr>
        <w:t>8.3 资金流入情况</w:t>
      </w:r>
      <w:bookmarkEnd w:id="92"/>
      <w:bookmarkEnd w:id="93"/>
      <w:bookmarkEnd w:id="94"/>
      <w:bookmarkEnd w:id="95"/>
    </w:p>
    <w:p>
      <w:pPr>
        <w:keepNext w:val="0"/>
        <w:keepLines w:val="0"/>
        <w:pageBreakBefore w:val="0"/>
        <w:widowControl w:val="0"/>
        <w:kinsoku/>
        <w:wordWrap/>
        <w:overflowPunct/>
        <w:topLinePunct w:val="0"/>
        <w:autoSpaceDE/>
        <w:autoSpaceDN/>
        <w:bidi w:val="0"/>
        <w:adjustRightInd/>
        <w:snapToGrid/>
        <w:spacing w:before="300" w:after="300" w:line="480" w:lineRule="auto"/>
        <w:ind w:firstLine="420" w:firstLineChars="200"/>
        <w:textAlignment w:val="auto"/>
        <w:rPr>
          <w:rFonts w:hint="default" w:ascii="Arial" w:hAnsi="Arial" w:eastAsia="宋体" w:cs="Arial"/>
          <w:b/>
          <w:bCs/>
          <w:sz w:val="21"/>
          <w:szCs w:val="21"/>
        </w:rPr>
      </w:pPr>
      <w:r>
        <w:rPr>
          <w:rFonts w:hint="default" w:ascii="Arial" w:hAnsi="Arial" w:cs="Arial"/>
          <w:bCs/>
          <w:kern w:val="44"/>
          <w:szCs w:val="21"/>
        </w:rPr>
        <w:t>2020年</w:t>
      </w:r>
      <w:r>
        <w:rPr>
          <w:rFonts w:hint="default" w:ascii="Arial" w:hAnsi="Arial" w:cs="Arial"/>
          <w:bCs/>
          <w:kern w:val="44"/>
          <w:szCs w:val="21"/>
          <w:lang w:val="en-US" w:eastAsia="zh-CN"/>
        </w:rPr>
        <w:t>1</w:t>
      </w:r>
      <w:r>
        <w:rPr>
          <w:rFonts w:hint="default" w:ascii="Arial" w:hAnsi="Arial" w:cs="Arial"/>
          <w:bCs/>
          <w:kern w:val="44"/>
          <w:szCs w:val="21"/>
          <w:lang w:val="en-US" w:eastAsia="zh-CN"/>
        </w:rPr>
        <w:t>1</w:t>
      </w:r>
      <w:r>
        <w:rPr>
          <w:rFonts w:hint="default" w:ascii="Arial" w:hAnsi="Arial" w:cs="Arial"/>
          <w:bCs/>
          <w:kern w:val="44"/>
          <w:szCs w:val="21"/>
        </w:rPr>
        <w:t>月监管范围内各类资金流入共计</w:t>
      </w:r>
      <w:r>
        <w:rPr>
          <w:rFonts w:hint="default" w:ascii="Arial" w:hAnsi="Arial" w:cs="Arial"/>
          <w:color w:val="000000"/>
          <w:szCs w:val="21"/>
        </w:rPr>
        <w:t>713</w:t>
      </w:r>
      <w:r>
        <w:rPr>
          <w:rFonts w:hint="default" w:ascii="Arial" w:hAnsi="Arial" w:cs="Arial"/>
          <w:color w:val="000000"/>
          <w:szCs w:val="21"/>
          <w:lang w:val="en-US" w:eastAsia="zh-CN"/>
        </w:rPr>
        <w:t>,</w:t>
      </w:r>
      <w:r>
        <w:rPr>
          <w:rFonts w:hint="default" w:ascii="Arial" w:hAnsi="Arial" w:cs="Arial"/>
          <w:color w:val="000000"/>
          <w:szCs w:val="21"/>
        </w:rPr>
        <w:t>139</w:t>
      </w:r>
      <w:r>
        <w:rPr>
          <w:rFonts w:hint="default" w:ascii="Arial" w:hAnsi="Arial" w:cs="Arial"/>
          <w:color w:val="000000"/>
          <w:szCs w:val="21"/>
          <w:lang w:val="en-US" w:eastAsia="zh-CN"/>
        </w:rPr>
        <w:t>,</w:t>
      </w:r>
      <w:r>
        <w:rPr>
          <w:rFonts w:hint="default" w:ascii="Arial" w:hAnsi="Arial" w:cs="Arial"/>
          <w:color w:val="000000"/>
          <w:szCs w:val="21"/>
        </w:rPr>
        <w:t>693.21</w:t>
      </w:r>
      <w:r>
        <w:rPr>
          <w:rFonts w:hint="default" w:ascii="Arial" w:hAnsi="Arial" w:cs="Arial"/>
          <w:bCs/>
          <w:kern w:val="44"/>
          <w:szCs w:val="21"/>
        </w:rPr>
        <w:t>元，其中销售回款流入</w:t>
      </w:r>
      <w:r>
        <w:rPr>
          <w:rFonts w:hint="default" w:ascii="Arial" w:hAnsi="Arial" w:eastAsia="宋体" w:cs="Arial"/>
          <w:i w:val="0"/>
          <w:color w:val="000000"/>
          <w:kern w:val="0"/>
          <w:sz w:val="21"/>
          <w:szCs w:val="21"/>
          <w:u w:val="none"/>
          <w:lang w:val="en-US" w:eastAsia="zh-CN" w:bidi="ar"/>
        </w:rPr>
        <w:t>100,468,043.21</w:t>
      </w:r>
      <w:r>
        <w:rPr>
          <w:rFonts w:hint="default" w:ascii="Arial" w:hAnsi="Arial" w:cs="Arial"/>
          <w:bCs/>
          <w:kern w:val="44"/>
          <w:szCs w:val="21"/>
          <w:lang w:bidi="ar"/>
        </w:rPr>
        <w:t>元，</w:t>
      </w:r>
      <w:r>
        <w:rPr>
          <w:rFonts w:hint="default" w:ascii="Arial" w:hAnsi="Arial" w:cs="Arial"/>
          <w:bCs/>
          <w:kern w:val="44"/>
          <w:szCs w:val="21"/>
        </w:rPr>
        <w:t>其他资金流入额</w:t>
      </w:r>
      <w:r>
        <w:rPr>
          <w:rFonts w:hint="default" w:ascii="Arial" w:hAnsi="Arial" w:eastAsia="宋体" w:cs="Arial"/>
          <w:i w:val="0"/>
          <w:color w:val="000000"/>
          <w:kern w:val="0"/>
          <w:sz w:val="21"/>
          <w:szCs w:val="21"/>
          <w:u w:val="none"/>
          <w:lang w:val="en-US" w:eastAsia="zh-CN" w:bidi="ar"/>
        </w:rPr>
        <w:t>612,671,650.00</w:t>
      </w:r>
      <w:r>
        <w:rPr>
          <w:rFonts w:hint="default" w:ascii="Arial" w:hAnsi="Arial" w:cs="Arial"/>
          <w:bCs/>
          <w:kern w:val="44"/>
          <w:szCs w:val="21"/>
        </w:rPr>
        <w:t>元。</w:t>
      </w:r>
      <w:bookmarkStart w:id="97" w:name="_Toc9400"/>
      <w:bookmarkStart w:id="98" w:name="_Toc24752"/>
    </w:p>
    <w:p>
      <w:pPr>
        <w:pStyle w:val="4"/>
        <w:spacing w:before="300" w:after="300" w:line="360" w:lineRule="exact"/>
        <w:rPr>
          <w:rFonts w:hint="default" w:ascii="Arial" w:hAnsi="Arial" w:eastAsia="宋体" w:cs="Arial"/>
          <w:sz w:val="24"/>
          <w:szCs w:val="24"/>
        </w:rPr>
      </w:pPr>
      <w:bookmarkStart w:id="99" w:name="_Toc29538"/>
      <w:r>
        <w:rPr>
          <w:rFonts w:hint="default" w:ascii="Arial" w:hAnsi="Arial" w:eastAsia="宋体" w:cs="Arial"/>
          <w:b/>
          <w:bCs/>
          <w:sz w:val="24"/>
          <w:szCs w:val="24"/>
        </w:rPr>
        <w:t>8.3.1其他资金流入明细</w:t>
      </w:r>
      <w:bookmarkEnd w:id="96"/>
      <w:bookmarkEnd w:id="97"/>
      <w:bookmarkEnd w:id="98"/>
      <w:bookmarkEnd w:id="99"/>
    </w:p>
    <w:p>
      <w:pPr>
        <w:widowControl/>
        <w:jc w:val="center"/>
        <w:textAlignment w:val="center"/>
        <w:rPr>
          <w:rFonts w:hint="default" w:ascii="Arial" w:hAnsi="Arial" w:cs="Arial"/>
          <w:b/>
          <w:color w:val="000000"/>
          <w:sz w:val="24"/>
        </w:rPr>
      </w:pPr>
      <w:r>
        <w:rPr>
          <w:rFonts w:hint="default" w:ascii="Arial" w:hAnsi="Arial" w:cs="Arial"/>
          <w:b/>
          <w:color w:val="000000"/>
          <w:sz w:val="24"/>
        </w:rPr>
        <w:t>2020年</w:t>
      </w:r>
      <w:r>
        <w:rPr>
          <w:rFonts w:hint="eastAsia" w:ascii="Arial" w:hAnsi="Arial" w:cs="Arial"/>
          <w:b/>
          <w:color w:val="000000"/>
          <w:sz w:val="24"/>
          <w:lang w:val="en-US" w:eastAsia="zh-CN"/>
        </w:rPr>
        <w:t>11</w:t>
      </w:r>
      <w:r>
        <w:rPr>
          <w:rFonts w:hint="default" w:ascii="Arial" w:hAnsi="Arial" w:cs="Arial"/>
          <w:b/>
          <w:color w:val="000000"/>
          <w:sz w:val="24"/>
        </w:rPr>
        <w:t>月资金流入明细表</w:t>
      </w:r>
    </w:p>
    <w:tbl>
      <w:tblPr>
        <w:tblStyle w:val="22"/>
        <w:tblW w:w="9163" w:type="dxa"/>
        <w:tblInd w:w="-223" w:type="dxa"/>
        <w:shd w:val="clear" w:color="auto" w:fill="auto"/>
        <w:tblLayout w:type="fixed"/>
        <w:tblCellMar>
          <w:top w:w="0" w:type="dxa"/>
          <w:left w:w="0" w:type="dxa"/>
          <w:bottom w:w="0" w:type="dxa"/>
          <w:right w:w="0" w:type="dxa"/>
        </w:tblCellMar>
      </w:tblPr>
      <w:tblGrid>
        <w:gridCol w:w="880"/>
        <w:gridCol w:w="1087"/>
        <w:gridCol w:w="3418"/>
        <w:gridCol w:w="976"/>
        <w:gridCol w:w="1451"/>
        <w:gridCol w:w="1351"/>
      </w:tblGrid>
      <w:tr>
        <w:tblPrEx>
          <w:shd w:val="clear" w:color="auto" w:fill="auto"/>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项目公司</w:t>
            </w:r>
          </w:p>
        </w:tc>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收款日期</w:t>
            </w:r>
          </w:p>
        </w:tc>
        <w:tc>
          <w:tcPr>
            <w:tcW w:w="34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付款方</w:t>
            </w:r>
          </w:p>
        </w:tc>
        <w:tc>
          <w:tcPr>
            <w:tcW w:w="9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资金用途</w:t>
            </w:r>
          </w:p>
        </w:tc>
        <w:tc>
          <w:tcPr>
            <w:tcW w:w="14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金额</w:t>
            </w:r>
          </w:p>
        </w:tc>
        <w:tc>
          <w:tcPr>
            <w:tcW w:w="13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收款行</w:t>
            </w:r>
          </w:p>
        </w:tc>
      </w:tr>
      <w:tr>
        <w:tblPrEx>
          <w:shd w:val="clear" w:color="auto" w:fill="auto"/>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34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楚天水电工程有限公司</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保证金</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正襄</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34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正楚代付工程费</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2,200,000.00 </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中信梨园2861</w:t>
            </w:r>
          </w:p>
        </w:tc>
      </w:tr>
      <w:tr>
        <w:tblPrEx>
          <w:shd w:val="clear" w:color="auto" w:fill="auto"/>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2020-11-10</w:t>
            </w:r>
          </w:p>
        </w:tc>
        <w:tc>
          <w:tcPr>
            <w:tcW w:w="34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武汉市铭杰电气工程有限公司</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保证金</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2020-11-11</w:t>
            </w:r>
          </w:p>
        </w:tc>
        <w:tc>
          <w:tcPr>
            <w:tcW w:w="34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湖北长江电气有限公司</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保证金</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2020-11-13</w:t>
            </w:r>
          </w:p>
        </w:tc>
        <w:tc>
          <w:tcPr>
            <w:tcW w:w="34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盛隆电气集团电力工程有限公司</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保证金</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正襄</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2020-11-13</w:t>
            </w:r>
          </w:p>
        </w:tc>
        <w:tc>
          <w:tcPr>
            <w:tcW w:w="34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楚置业发展有限公司</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10,000,000.00 </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中信梨园2861</w:t>
            </w:r>
          </w:p>
        </w:tc>
      </w:tr>
      <w:tr>
        <w:tblPrEx>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34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武汉华源铸诚电力股份有限公司</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保证金</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34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李思嘉</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其他</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 </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r>
      <w:tr>
        <w:tblPrEx>
          <w:shd w:val="clear" w:color="auto" w:fill="auto"/>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34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肖康</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其他</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 </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r>
      <w:tr>
        <w:tblPrEx>
          <w:shd w:val="clear" w:color="auto" w:fill="auto"/>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34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襄企业管理咨询有限公司</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108,199,860.00 </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34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w:t>
            </w:r>
            <w:r>
              <w:rPr>
                <w:rFonts w:hint="default" w:ascii="Arial" w:hAnsi="Arial" w:eastAsia="宋体" w:cs="Arial"/>
                <w:i w:val="0"/>
                <w:color w:val="000000"/>
                <w:kern w:val="0"/>
                <w:sz w:val="18"/>
                <w:szCs w:val="18"/>
                <w:highlight w:val="none"/>
                <w:u w:val="none"/>
                <w:lang w:val="en-US" w:eastAsia="zh-CN" w:bidi="ar"/>
              </w:rPr>
              <w:t>汉正</w:t>
            </w:r>
            <w:r>
              <w:rPr>
                <w:rFonts w:hint="default" w:ascii="Arial" w:hAnsi="Arial" w:eastAsia="宋体" w:cs="Arial"/>
                <w:i w:val="0"/>
                <w:color w:val="000000"/>
                <w:kern w:val="0"/>
                <w:sz w:val="18"/>
                <w:szCs w:val="18"/>
                <w:u w:val="none"/>
                <w:lang w:val="en-US" w:eastAsia="zh-CN" w:bidi="ar"/>
              </w:rPr>
              <w:t>襄企业管理咨询有限公司</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191,800,140.00 </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正襄</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34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正荣正创（武汉）置业发展有限公司</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191,800,140.00 </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中信梨园2861</w:t>
            </w:r>
          </w:p>
        </w:tc>
      </w:tr>
      <w:tr>
        <w:tblPrEx>
          <w:shd w:val="clear" w:color="auto" w:fill="auto"/>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正襄</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34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正荣正创（武汉）置业发展有限公司</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108,199,860.00 </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中信梨园2861</w:t>
            </w:r>
          </w:p>
        </w:tc>
      </w:tr>
      <w:tr>
        <w:tblPrEx>
          <w:shd w:val="clear" w:color="auto" w:fill="auto"/>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34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湖北福珍建筑工程有限公司</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保证金</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34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其他</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19,758.00 </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r>
      <w:tr>
        <w:tblPrEx>
          <w:tblCellMar>
            <w:top w:w="0" w:type="dxa"/>
            <w:left w:w="0" w:type="dxa"/>
            <w:bottom w:w="0" w:type="dxa"/>
            <w:right w:w="0" w:type="dxa"/>
          </w:tblCellMar>
        </w:tblPrEx>
        <w:trPr>
          <w:trHeight w:val="27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34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武汉东湖新技术高新开发区优果鲜水果店</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其他</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1,192.00 </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r>
      <w:tr>
        <w:tblPrEx>
          <w:tblCellMar>
            <w:top w:w="0" w:type="dxa"/>
            <w:left w:w="0" w:type="dxa"/>
            <w:bottom w:w="0" w:type="dxa"/>
            <w:right w:w="0" w:type="dxa"/>
          </w:tblCellMar>
        </w:tblPrEx>
        <w:trPr>
          <w:trHeight w:val="270" w:hRule="atLeast"/>
        </w:trPr>
        <w:tc>
          <w:tcPr>
            <w:tcW w:w="636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合计</w:t>
            </w:r>
          </w:p>
        </w:tc>
        <w:tc>
          <w:tcPr>
            <w:tcW w:w="14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612,671,650.00 </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Arial" w:hAnsi="Arial" w:eastAsia="宋体" w:cs="Arial"/>
                <w:i w:val="0"/>
                <w:color w:val="000000"/>
                <w:sz w:val="18"/>
                <w:szCs w:val="18"/>
                <w:u w:val="none"/>
              </w:rPr>
            </w:pPr>
          </w:p>
        </w:tc>
      </w:tr>
    </w:tbl>
    <w:p>
      <w:pPr>
        <w:widowControl/>
        <w:jc w:val="center"/>
        <w:textAlignment w:val="center"/>
        <w:rPr>
          <w:rFonts w:hint="default" w:ascii="Arial" w:hAnsi="Arial" w:cs="Arial"/>
          <w:b/>
          <w:color w:val="000000"/>
          <w:sz w:val="24"/>
        </w:rPr>
      </w:pPr>
    </w:p>
    <w:p>
      <w:pPr>
        <w:pStyle w:val="4"/>
        <w:rPr>
          <w:rFonts w:hint="default" w:ascii="Arial" w:hAnsi="Arial" w:eastAsia="宋体" w:cs="Arial"/>
          <w:sz w:val="24"/>
          <w:szCs w:val="24"/>
        </w:rPr>
      </w:pPr>
      <w:bookmarkStart w:id="127" w:name="_GoBack"/>
      <w:bookmarkEnd w:id="127"/>
      <w:bookmarkStart w:id="100" w:name="_Toc25943"/>
      <w:bookmarkStart w:id="101" w:name="_Toc8697"/>
      <w:r>
        <w:rPr>
          <w:rFonts w:hint="default" w:ascii="Arial" w:hAnsi="Arial" w:eastAsia="宋体" w:cs="Arial"/>
          <w:sz w:val="24"/>
          <w:szCs w:val="24"/>
        </w:rPr>
        <w:t>8.3.2销售资金流入明细</w:t>
      </w:r>
      <w:bookmarkEnd w:id="100"/>
      <w:bookmarkEnd w:id="101"/>
    </w:p>
    <w:p>
      <w:pPr>
        <w:widowControl/>
        <w:jc w:val="center"/>
        <w:textAlignment w:val="center"/>
        <w:rPr>
          <w:rFonts w:hint="default" w:ascii="Arial" w:hAnsi="Arial" w:cs="Arial"/>
          <w:b/>
          <w:color w:val="000000"/>
          <w:sz w:val="24"/>
        </w:rPr>
      </w:pPr>
      <w:r>
        <w:rPr>
          <w:rFonts w:hint="default" w:ascii="Arial" w:hAnsi="Arial" w:cs="Arial"/>
          <w:b/>
          <w:color w:val="000000"/>
          <w:sz w:val="24"/>
        </w:rPr>
        <w:t>2020年</w:t>
      </w:r>
      <w:r>
        <w:rPr>
          <w:rFonts w:hint="default" w:ascii="Arial" w:hAnsi="Arial" w:cs="Arial"/>
          <w:b/>
          <w:color w:val="000000"/>
          <w:sz w:val="24"/>
          <w:lang w:val="en-US" w:eastAsia="zh-CN"/>
        </w:rPr>
        <w:t>1</w:t>
      </w:r>
      <w:r>
        <w:rPr>
          <w:rFonts w:hint="eastAsia" w:ascii="Arial" w:hAnsi="Arial" w:cs="Arial"/>
          <w:b/>
          <w:color w:val="000000"/>
          <w:sz w:val="24"/>
          <w:lang w:val="en-US" w:eastAsia="zh-CN"/>
        </w:rPr>
        <w:t>1</w:t>
      </w:r>
      <w:r>
        <w:rPr>
          <w:rFonts w:hint="default" w:ascii="Arial" w:hAnsi="Arial" w:cs="Arial"/>
          <w:b/>
          <w:color w:val="000000"/>
          <w:sz w:val="24"/>
        </w:rPr>
        <w:t>月销售资金流入明细表</w:t>
      </w:r>
    </w:p>
    <w:tbl>
      <w:tblPr>
        <w:tblStyle w:val="22"/>
        <w:tblW w:w="8895" w:type="dxa"/>
        <w:jc w:val="center"/>
        <w:shd w:val="clear" w:color="auto" w:fill="auto"/>
        <w:tblLayout w:type="autofit"/>
        <w:tblCellMar>
          <w:top w:w="0" w:type="dxa"/>
          <w:left w:w="0" w:type="dxa"/>
          <w:bottom w:w="0" w:type="dxa"/>
          <w:right w:w="0" w:type="dxa"/>
        </w:tblCellMar>
      </w:tblPr>
      <w:tblGrid>
        <w:gridCol w:w="1125"/>
        <w:gridCol w:w="2055"/>
        <w:gridCol w:w="1965"/>
        <w:gridCol w:w="915"/>
        <w:gridCol w:w="1485"/>
        <w:gridCol w:w="1350"/>
      </w:tblGrid>
      <w:tr>
        <w:tblPrEx>
          <w:shd w:val="clear" w:color="auto" w:fill="auto"/>
          <w:tblCellMar>
            <w:top w:w="0" w:type="dxa"/>
            <w:left w:w="0" w:type="dxa"/>
            <w:bottom w:w="0" w:type="dxa"/>
            <w:right w:w="0" w:type="dxa"/>
          </w:tblCellMar>
        </w:tblPrEx>
        <w:trPr>
          <w:trHeight w:val="272" w:hRule="atLeast"/>
          <w:tblHeader/>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项目公司</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收款日期</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63" name="Host_Control__7"/>
                  <wp:cNvGraphicFramePr/>
                  <a:graphic xmlns:a="http://schemas.openxmlformats.org/drawingml/2006/main">
                    <a:graphicData uri="http://schemas.openxmlformats.org/drawingml/2006/picture">
                      <pic:pic xmlns:pic="http://schemas.openxmlformats.org/drawingml/2006/picture">
                        <pic:nvPicPr>
                          <pic:cNvPr id="63" name="Host_Control__7"/>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59" name="Host_Control__9"/>
                  <wp:cNvGraphicFramePr/>
                  <a:graphic xmlns:a="http://schemas.openxmlformats.org/drawingml/2006/main">
                    <a:graphicData uri="http://schemas.openxmlformats.org/drawingml/2006/picture">
                      <pic:pic xmlns:pic="http://schemas.openxmlformats.org/drawingml/2006/picture">
                        <pic:nvPicPr>
                          <pic:cNvPr id="59" name="Host_Control__9"/>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64" name="Host_Control__13"/>
                  <wp:cNvGraphicFramePr/>
                  <a:graphic xmlns:a="http://schemas.openxmlformats.org/drawingml/2006/main">
                    <a:graphicData uri="http://schemas.openxmlformats.org/drawingml/2006/picture">
                      <pic:pic xmlns:pic="http://schemas.openxmlformats.org/drawingml/2006/picture">
                        <pic:nvPicPr>
                          <pic:cNvPr id="64" name="Host_Control__1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66" name="Host_Control__21"/>
                  <wp:cNvGraphicFramePr/>
                  <a:graphic xmlns:a="http://schemas.openxmlformats.org/drawingml/2006/main">
                    <a:graphicData uri="http://schemas.openxmlformats.org/drawingml/2006/picture">
                      <pic:pic xmlns:pic="http://schemas.openxmlformats.org/drawingml/2006/picture">
                        <pic:nvPicPr>
                          <pic:cNvPr id="66" name="Host_Control__2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60" name="Host_Control__37"/>
                  <wp:cNvGraphicFramePr/>
                  <a:graphic xmlns:a="http://schemas.openxmlformats.org/drawingml/2006/main">
                    <a:graphicData uri="http://schemas.openxmlformats.org/drawingml/2006/picture">
                      <pic:pic xmlns:pic="http://schemas.openxmlformats.org/drawingml/2006/picture">
                        <pic:nvPicPr>
                          <pic:cNvPr id="60" name="Host_Control__37"/>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65" name="Host_Control__7_SpCnt_1"/>
                  <wp:cNvGraphicFramePr/>
                  <a:graphic xmlns:a="http://schemas.openxmlformats.org/drawingml/2006/main">
                    <a:graphicData uri="http://schemas.openxmlformats.org/drawingml/2006/picture">
                      <pic:pic xmlns:pic="http://schemas.openxmlformats.org/drawingml/2006/picture">
                        <pic:nvPicPr>
                          <pic:cNvPr id="65" name="Host_Control__7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54" name="Host_Control__37_SpCnt_1"/>
                  <wp:cNvGraphicFramePr/>
                  <a:graphic xmlns:a="http://schemas.openxmlformats.org/drawingml/2006/main">
                    <a:graphicData uri="http://schemas.openxmlformats.org/drawingml/2006/picture">
                      <pic:pic xmlns:pic="http://schemas.openxmlformats.org/drawingml/2006/picture">
                        <pic:nvPicPr>
                          <pic:cNvPr id="54" name="Host_Control__37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57" name="Host_Control__36"/>
                  <wp:cNvGraphicFramePr/>
                  <a:graphic xmlns:a="http://schemas.openxmlformats.org/drawingml/2006/main">
                    <a:graphicData uri="http://schemas.openxmlformats.org/drawingml/2006/picture">
                      <pic:pic xmlns:pic="http://schemas.openxmlformats.org/drawingml/2006/picture">
                        <pic:nvPicPr>
                          <pic:cNvPr id="57" name="Host_Control__36"/>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27" name="Host_Control__35"/>
                  <wp:cNvGraphicFramePr/>
                  <a:graphic xmlns:a="http://schemas.openxmlformats.org/drawingml/2006/main">
                    <a:graphicData uri="http://schemas.openxmlformats.org/drawingml/2006/picture">
                      <pic:pic xmlns:pic="http://schemas.openxmlformats.org/drawingml/2006/picture">
                        <pic:nvPicPr>
                          <pic:cNvPr id="127" name="Host_Control__35"/>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25" name="Host_Control__34"/>
                  <wp:cNvGraphicFramePr/>
                  <a:graphic xmlns:a="http://schemas.openxmlformats.org/drawingml/2006/main">
                    <a:graphicData uri="http://schemas.openxmlformats.org/drawingml/2006/picture">
                      <pic:pic xmlns:pic="http://schemas.openxmlformats.org/drawingml/2006/picture">
                        <pic:nvPicPr>
                          <pic:cNvPr id="125" name="Host_Control__34"/>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26" name="Host_Control__33"/>
                  <wp:cNvGraphicFramePr/>
                  <a:graphic xmlns:a="http://schemas.openxmlformats.org/drawingml/2006/main">
                    <a:graphicData uri="http://schemas.openxmlformats.org/drawingml/2006/picture">
                      <pic:pic xmlns:pic="http://schemas.openxmlformats.org/drawingml/2006/picture">
                        <pic:nvPicPr>
                          <pic:cNvPr id="126" name="Host_Control__3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23" name="Host_Control__32"/>
                  <wp:cNvGraphicFramePr/>
                  <a:graphic xmlns:a="http://schemas.openxmlformats.org/drawingml/2006/main">
                    <a:graphicData uri="http://schemas.openxmlformats.org/drawingml/2006/picture">
                      <pic:pic xmlns:pic="http://schemas.openxmlformats.org/drawingml/2006/picture">
                        <pic:nvPicPr>
                          <pic:cNvPr id="123" name="Host_Control__3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24" name="Host_Control__31"/>
                  <wp:cNvGraphicFramePr/>
                  <a:graphic xmlns:a="http://schemas.openxmlformats.org/drawingml/2006/main">
                    <a:graphicData uri="http://schemas.openxmlformats.org/drawingml/2006/picture">
                      <pic:pic xmlns:pic="http://schemas.openxmlformats.org/drawingml/2006/picture">
                        <pic:nvPicPr>
                          <pic:cNvPr id="124" name="Host_Control__3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21" name="Host_Control__30"/>
                  <wp:cNvGraphicFramePr/>
                  <a:graphic xmlns:a="http://schemas.openxmlformats.org/drawingml/2006/main">
                    <a:graphicData uri="http://schemas.openxmlformats.org/drawingml/2006/picture">
                      <pic:pic xmlns:pic="http://schemas.openxmlformats.org/drawingml/2006/picture">
                        <pic:nvPicPr>
                          <pic:cNvPr id="121" name="Host_Control__30"/>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22" name="Host_Control__29"/>
                  <wp:cNvGraphicFramePr/>
                  <a:graphic xmlns:a="http://schemas.openxmlformats.org/drawingml/2006/main">
                    <a:graphicData uri="http://schemas.openxmlformats.org/drawingml/2006/picture">
                      <pic:pic xmlns:pic="http://schemas.openxmlformats.org/drawingml/2006/picture">
                        <pic:nvPicPr>
                          <pic:cNvPr id="122" name="Host_Control__29"/>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19" name="Host_Control__28"/>
                  <wp:cNvGraphicFramePr/>
                  <a:graphic xmlns:a="http://schemas.openxmlformats.org/drawingml/2006/main">
                    <a:graphicData uri="http://schemas.openxmlformats.org/drawingml/2006/picture">
                      <pic:pic xmlns:pic="http://schemas.openxmlformats.org/drawingml/2006/picture">
                        <pic:nvPicPr>
                          <pic:cNvPr id="119" name="Host_Control__28"/>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20" name="Host_Control__27"/>
                  <wp:cNvGraphicFramePr/>
                  <a:graphic xmlns:a="http://schemas.openxmlformats.org/drawingml/2006/main">
                    <a:graphicData uri="http://schemas.openxmlformats.org/drawingml/2006/picture">
                      <pic:pic xmlns:pic="http://schemas.openxmlformats.org/drawingml/2006/picture">
                        <pic:nvPicPr>
                          <pic:cNvPr id="120" name="Host_Control__27"/>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17" name="Host_Control__26"/>
                  <wp:cNvGraphicFramePr/>
                  <a:graphic xmlns:a="http://schemas.openxmlformats.org/drawingml/2006/main">
                    <a:graphicData uri="http://schemas.openxmlformats.org/drawingml/2006/picture">
                      <pic:pic xmlns:pic="http://schemas.openxmlformats.org/drawingml/2006/picture">
                        <pic:nvPicPr>
                          <pic:cNvPr id="117" name="Host_Control__26"/>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18" name="Host_Control__25"/>
                  <wp:cNvGraphicFramePr/>
                  <a:graphic xmlns:a="http://schemas.openxmlformats.org/drawingml/2006/main">
                    <a:graphicData uri="http://schemas.openxmlformats.org/drawingml/2006/picture">
                      <pic:pic xmlns:pic="http://schemas.openxmlformats.org/drawingml/2006/picture">
                        <pic:nvPicPr>
                          <pic:cNvPr id="118" name="Host_Control__25"/>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15" name="Host_Control__24"/>
                  <wp:cNvGraphicFramePr/>
                  <a:graphic xmlns:a="http://schemas.openxmlformats.org/drawingml/2006/main">
                    <a:graphicData uri="http://schemas.openxmlformats.org/drawingml/2006/picture">
                      <pic:pic xmlns:pic="http://schemas.openxmlformats.org/drawingml/2006/picture">
                        <pic:nvPicPr>
                          <pic:cNvPr id="115" name="Host_Control__24"/>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16" name="Host_Control__23"/>
                  <wp:cNvGraphicFramePr/>
                  <a:graphic xmlns:a="http://schemas.openxmlformats.org/drawingml/2006/main">
                    <a:graphicData uri="http://schemas.openxmlformats.org/drawingml/2006/picture">
                      <pic:pic xmlns:pic="http://schemas.openxmlformats.org/drawingml/2006/picture">
                        <pic:nvPicPr>
                          <pic:cNvPr id="116" name="Host_Control__2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13" name="Host_Control__22"/>
                  <wp:cNvGraphicFramePr/>
                  <a:graphic xmlns:a="http://schemas.openxmlformats.org/drawingml/2006/main">
                    <a:graphicData uri="http://schemas.openxmlformats.org/drawingml/2006/picture">
                      <pic:pic xmlns:pic="http://schemas.openxmlformats.org/drawingml/2006/picture">
                        <pic:nvPicPr>
                          <pic:cNvPr id="113" name="Host_Control__2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14" name="Host_Control__21_SpCnt_1"/>
                  <wp:cNvGraphicFramePr/>
                  <a:graphic xmlns:a="http://schemas.openxmlformats.org/drawingml/2006/main">
                    <a:graphicData uri="http://schemas.openxmlformats.org/drawingml/2006/picture">
                      <pic:pic xmlns:pic="http://schemas.openxmlformats.org/drawingml/2006/picture">
                        <pic:nvPicPr>
                          <pic:cNvPr id="114" name="Host_Control__21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11" name="Host_Control__20"/>
                  <wp:cNvGraphicFramePr/>
                  <a:graphic xmlns:a="http://schemas.openxmlformats.org/drawingml/2006/main">
                    <a:graphicData uri="http://schemas.openxmlformats.org/drawingml/2006/picture">
                      <pic:pic xmlns:pic="http://schemas.openxmlformats.org/drawingml/2006/picture">
                        <pic:nvPicPr>
                          <pic:cNvPr id="111" name="Host_Control__20"/>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12" name="Host_Control__19"/>
                  <wp:cNvGraphicFramePr/>
                  <a:graphic xmlns:a="http://schemas.openxmlformats.org/drawingml/2006/main">
                    <a:graphicData uri="http://schemas.openxmlformats.org/drawingml/2006/picture">
                      <pic:pic xmlns:pic="http://schemas.openxmlformats.org/drawingml/2006/picture">
                        <pic:nvPicPr>
                          <pic:cNvPr id="112" name="Host_Control__19"/>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09" name="Host_Control__18"/>
                  <wp:cNvGraphicFramePr/>
                  <a:graphic xmlns:a="http://schemas.openxmlformats.org/drawingml/2006/main">
                    <a:graphicData uri="http://schemas.openxmlformats.org/drawingml/2006/picture">
                      <pic:pic xmlns:pic="http://schemas.openxmlformats.org/drawingml/2006/picture">
                        <pic:nvPicPr>
                          <pic:cNvPr id="109" name="Host_Control__18"/>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10" name="Host_Control__17"/>
                  <wp:cNvGraphicFramePr/>
                  <a:graphic xmlns:a="http://schemas.openxmlformats.org/drawingml/2006/main">
                    <a:graphicData uri="http://schemas.openxmlformats.org/drawingml/2006/picture">
                      <pic:pic xmlns:pic="http://schemas.openxmlformats.org/drawingml/2006/picture">
                        <pic:nvPicPr>
                          <pic:cNvPr id="110" name="Host_Control__17"/>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07" name="Host_Control__16"/>
                  <wp:cNvGraphicFramePr/>
                  <a:graphic xmlns:a="http://schemas.openxmlformats.org/drawingml/2006/main">
                    <a:graphicData uri="http://schemas.openxmlformats.org/drawingml/2006/picture">
                      <pic:pic xmlns:pic="http://schemas.openxmlformats.org/drawingml/2006/picture">
                        <pic:nvPicPr>
                          <pic:cNvPr id="107" name="Host_Control__16"/>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08" name="Host_Control__15"/>
                  <wp:cNvGraphicFramePr/>
                  <a:graphic xmlns:a="http://schemas.openxmlformats.org/drawingml/2006/main">
                    <a:graphicData uri="http://schemas.openxmlformats.org/drawingml/2006/picture">
                      <pic:pic xmlns:pic="http://schemas.openxmlformats.org/drawingml/2006/picture">
                        <pic:nvPicPr>
                          <pic:cNvPr id="108" name="Host_Control__15"/>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06" name="Host_Control__14"/>
                  <wp:cNvGraphicFramePr/>
                  <a:graphic xmlns:a="http://schemas.openxmlformats.org/drawingml/2006/main">
                    <a:graphicData uri="http://schemas.openxmlformats.org/drawingml/2006/picture">
                      <pic:pic xmlns:pic="http://schemas.openxmlformats.org/drawingml/2006/picture">
                        <pic:nvPicPr>
                          <pic:cNvPr id="106" name="Host_Control__14"/>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67" name="Host_Control__13_SpCnt_1"/>
                  <wp:cNvGraphicFramePr/>
                  <a:graphic xmlns:a="http://schemas.openxmlformats.org/drawingml/2006/main">
                    <a:graphicData uri="http://schemas.openxmlformats.org/drawingml/2006/picture">
                      <pic:pic xmlns:pic="http://schemas.openxmlformats.org/drawingml/2006/picture">
                        <pic:nvPicPr>
                          <pic:cNvPr id="67" name="Host_Control__13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7" name="Host_Control__12"/>
                  <wp:cNvGraphicFramePr/>
                  <a:graphic xmlns:a="http://schemas.openxmlformats.org/drawingml/2006/main">
                    <a:graphicData uri="http://schemas.openxmlformats.org/drawingml/2006/picture">
                      <pic:pic xmlns:pic="http://schemas.openxmlformats.org/drawingml/2006/picture">
                        <pic:nvPicPr>
                          <pic:cNvPr id="47" name="Host_Control__1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5" name="Host_Control__11"/>
                  <wp:cNvGraphicFramePr/>
                  <a:graphic xmlns:a="http://schemas.openxmlformats.org/drawingml/2006/main">
                    <a:graphicData uri="http://schemas.openxmlformats.org/drawingml/2006/picture">
                      <pic:pic xmlns:pic="http://schemas.openxmlformats.org/drawingml/2006/picture">
                        <pic:nvPicPr>
                          <pic:cNvPr id="45" name="Host_Control__1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51" name="Host_Control__10"/>
                  <wp:cNvGraphicFramePr/>
                  <a:graphic xmlns:a="http://schemas.openxmlformats.org/drawingml/2006/main">
                    <a:graphicData uri="http://schemas.openxmlformats.org/drawingml/2006/picture">
                      <pic:pic xmlns:pic="http://schemas.openxmlformats.org/drawingml/2006/picture">
                        <pic:nvPicPr>
                          <pic:cNvPr id="51" name="Host_Control__10"/>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3" name="Host_Control__9_SpCnt_1"/>
                  <wp:cNvGraphicFramePr/>
                  <a:graphic xmlns:a="http://schemas.openxmlformats.org/drawingml/2006/main">
                    <a:graphicData uri="http://schemas.openxmlformats.org/drawingml/2006/picture">
                      <pic:pic xmlns:pic="http://schemas.openxmlformats.org/drawingml/2006/picture">
                        <pic:nvPicPr>
                          <pic:cNvPr id="43" name="Host_Control__9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9" name="Host_Control__8"/>
                  <wp:cNvGraphicFramePr/>
                  <a:graphic xmlns:a="http://schemas.openxmlformats.org/drawingml/2006/main">
                    <a:graphicData uri="http://schemas.openxmlformats.org/drawingml/2006/picture">
                      <pic:pic xmlns:pic="http://schemas.openxmlformats.org/drawingml/2006/picture">
                        <pic:nvPicPr>
                          <pic:cNvPr id="49" name="Host_Control__8"/>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50" name="Host_Control__7_SpCnt_2"/>
                  <wp:cNvGraphicFramePr/>
                  <a:graphic xmlns:a="http://schemas.openxmlformats.org/drawingml/2006/main">
                    <a:graphicData uri="http://schemas.openxmlformats.org/drawingml/2006/picture">
                      <pic:pic xmlns:pic="http://schemas.openxmlformats.org/drawingml/2006/picture">
                        <pic:nvPicPr>
                          <pic:cNvPr id="50" name="Host_Control__7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2" name="Host_Control__37_SpCnt_2"/>
                  <wp:cNvGraphicFramePr/>
                  <a:graphic xmlns:a="http://schemas.openxmlformats.org/drawingml/2006/main">
                    <a:graphicData uri="http://schemas.openxmlformats.org/drawingml/2006/picture">
                      <pic:pic xmlns:pic="http://schemas.openxmlformats.org/drawingml/2006/picture">
                        <pic:nvPicPr>
                          <pic:cNvPr id="42" name="Host_Control__37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52" name="Host_Control__36_SpCnt_1"/>
                  <wp:cNvGraphicFramePr/>
                  <a:graphic xmlns:a="http://schemas.openxmlformats.org/drawingml/2006/main">
                    <a:graphicData uri="http://schemas.openxmlformats.org/drawingml/2006/picture">
                      <pic:pic xmlns:pic="http://schemas.openxmlformats.org/drawingml/2006/picture">
                        <pic:nvPicPr>
                          <pic:cNvPr id="152" name="Host_Control__36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49" name="Host_Control__35_SpCnt_1"/>
                  <wp:cNvGraphicFramePr/>
                  <a:graphic xmlns:a="http://schemas.openxmlformats.org/drawingml/2006/main">
                    <a:graphicData uri="http://schemas.openxmlformats.org/drawingml/2006/picture">
                      <pic:pic xmlns:pic="http://schemas.openxmlformats.org/drawingml/2006/picture">
                        <pic:nvPicPr>
                          <pic:cNvPr id="149" name="Host_Control__35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50" name="Host_Control__34_SpCnt_1"/>
                  <wp:cNvGraphicFramePr/>
                  <a:graphic xmlns:a="http://schemas.openxmlformats.org/drawingml/2006/main">
                    <a:graphicData uri="http://schemas.openxmlformats.org/drawingml/2006/picture">
                      <pic:pic xmlns:pic="http://schemas.openxmlformats.org/drawingml/2006/picture">
                        <pic:nvPicPr>
                          <pic:cNvPr id="150" name="Host_Control__34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47" name="Host_Control__33_SpCnt_1"/>
                  <wp:cNvGraphicFramePr/>
                  <a:graphic xmlns:a="http://schemas.openxmlformats.org/drawingml/2006/main">
                    <a:graphicData uri="http://schemas.openxmlformats.org/drawingml/2006/picture">
                      <pic:pic xmlns:pic="http://schemas.openxmlformats.org/drawingml/2006/picture">
                        <pic:nvPicPr>
                          <pic:cNvPr id="147" name="Host_Control__33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48" name="Host_Control__32_SpCnt_1"/>
                  <wp:cNvGraphicFramePr/>
                  <a:graphic xmlns:a="http://schemas.openxmlformats.org/drawingml/2006/main">
                    <a:graphicData uri="http://schemas.openxmlformats.org/drawingml/2006/picture">
                      <pic:pic xmlns:pic="http://schemas.openxmlformats.org/drawingml/2006/picture">
                        <pic:nvPicPr>
                          <pic:cNvPr id="148" name="Host_Control__32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45" name="Host_Control__31_SpCnt_1"/>
                  <wp:cNvGraphicFramePr/>
                  <a:graphic xmlns:a="http://schemas.openxmlformats.org/drawingml/2006/main">
                    <a:graphicData uri="http://schemas.openxmlformats.org/drawingml/2006/picture">
                      <pic:pic xmlns:pic="http://schemas.openxmlformats.org/drawingml/2006/picture">
                        <pic:nvPicPr>
                          <pic:cNvPr id="145" name="Host_Control__31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46" name="Host_Control__30_SpCnt_1"/>
                  <wp:cNvGraphicFramePr/>
                  <a:graphic xmlns:a="http://schemas.openxmlformats.org/drawingml/2006/main">
                    <a:graphicData uri="http://schemas.openxmlformats.org/drawingml/2006/picture">
                      <pic:pic xmlns:pic="http://schemas.openxmlformats.org/drawingml/2006/picture">
                        <pic:nvPicPr>
                          <pic:cNvPr id="146" name="Host_Control__30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43" name="Host_Control__29_SpCnt_1"/>
                  <wp:cNvGraphicFramePr/>
                  <a:graphic xmlns:a="http://schemas.openxmlformats.org/drawingml/2006/main">
                    <a:graphicData uri="http://schemas.openxmlformats.org/drawingml/2006/picture">
                      <pic:pic xmlns:pic="http://schemas.openxmlformats.org/drawingml/2006/picture">
                        <pic:nvPicPr>
                          <pic:cNvPr id="143" name="Host_Control__29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44" name="Host_Control__28_SpCnt_1"/>
                  <wp:cNvGraphicFramePr/>
                  <a:graphic xmlns:a="http://schemas.openxmlformats.org/drawingml/2006/main">
                    <a:graphicData uri="http://schemas.openxmlformats.org/drawingml/2006/picture">
                      <pic:pic xmlns:pic="http://schemas.openxmlformats.org/drawingml/2006/picture">
                        <pic:nvPicPr>
                          <pic:cNvPr id="144" name="Host_Control__28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41" name="Host_Control__27_SpCnt_1"/>
                  <wp:cNvGraphicFramePr/>
                  <a:graphic xmlns:a="http://schemas.openxmlformats.org/drawingml/2006/main">
                    <a:graphicData uri="http://schemas.openxmlformats.org/drawingml/2006/picture">
                      <pic:pic xmlns:pic="http://schemas.openxmlformats.org/drawingml/2006/picture">
                        <pic:nvPicPr>
                          <pic:cNvPr id="141" name="Host_Control__27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42" name="Host_Control__26_SpCnt_1"/>
                  <wp:cNvGraphicFramePr/>
                  <a:graphic xmlns:a="http://schemas.openxmlformats.org/drawingml/2006/main">
                    <a:graphicData uri="http://schemas.openxmlformats.org/drawingml/2006/picture">
                      <pic:pic xmlns:pic="http://schemas.openxmlformats.org/drawingml/2006/picture">
                        <pic:nvPicPr>
                          <pic:cNvPr id="142" name="Host_Control__26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39" name="Host_Control__25_SpCnt_1"/>
                  <wp:cNvGraphicFramePr/>
                  <a:graphic xmlns:a="http://schemas.openxmlformats.org/drawingml/2006/main">
                    <a:graphicData uri="http://schemas.openxmlformats.org/drawingml/2006/picture">
                      <pic:pic xmlns:pic="http://schemas.openxmlformats.org/drawingml/2006/picture">
                        <pic:nvPicPr>
                          <pic:cNvPr id="139" name="Host_Control__25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40" name="Host_Control__24_SpCnt_1"/>
                  <wp:cNvGraphicFramePr/>
                  <a:graphic xmlns:a="http://schemas.openxmlformats.org/drawingml/2006/main">
                    <a:graphicData uri="http://schemas.openxmlformats.org/drawingml/2006/picture">
                      <pic:pic xmlns:pic="http://schemas.openxmlformats.org/drawingml/2006/picture">
                        <pic:nvPicPr>
                          <pic:cNvPr id="140" name="Host_Control__24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37" name="Host_Control__23_SpCnt_1"/>
                  <wp:cNvGraphicFramePr/>
                  <a:graphic xmlns:a="http://schemas.openxmlformats.org/drawingml/2006/main">
                    <a:graphicData uri="http://schemas.openxmlformats.org/drawingml/2006/picture">
                      <pic:pic xmlns:pic="http://schemas.openxmlformats.org/drawingml/2006/picture">
                        <pic:nvPicPr>
                          <pic:cNvPr id="137" name="Host_Control__23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38" name="Host_Control__22_SpCnt_1"/>
                  <wp:cNvGraphicFramePr/>
                  <a:graphic xmlns:a="http://schemas.openxmlformats.org/drawingml/2006/main">
                    <a:graphicData uri="http://schemas.openxmlformats.org/drawingml/2006/picture">
                      <pic:pic xmlns:pic="http://schemas.openxmlformats.org/drawingml/2006/picture">
                        <pic:nvPicPr>
                          <pic:cNvPr id="138" name="Host_Control__22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35" name="Host_Control__21_SpCnt_2"/>
                  <wp:cNvGraphicFramePr/>
                  <a:graphic xmlns:a="http://schemas.openxmlformats.org/drawingml/2006/main">
                    <a:graphicData uri="http://schemas.openxmlformats.org/drawingml/2006/picture">
                      <pic:pic xmlns:pic="http://schemas.openxmlformats.org/drawingml/2006/picture">
                        <pic:nvPicPr>
                          <pic:cNvPr id="135" name="Host_Control__21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36" name="Host_Control__20_SpCnt_1"/>
                  <wp:cNvGraphicFramePr/>
                  <a:graphic xmlns:a="http://schemas.openxmlformats.org/drawingml/2006/main">
                    <a:graphicData uri="http://schemas.openxmlformats.org/drawingml/2006/picture">
                      <pic:pic xmlns:pic="http://schemas.openxmlformats.org/drawingml/2006/picture">
                        <pic:nvPicPr>
                          <pic:cNvPr id="136" name="Host_Control__20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33" name="Host_Control__19_SpCnt_1"/>
                  <wp:cNvGraphicFramePr/>
                  <a:graphic xmlns:a="http://schemas.openxmlformats.org/drawingml/2006/main">
                    <a:graphicData uri="http://schemas.openxmlformats.org/drawingml/2006/picture">
                      <pic:pic xmlns:pic="http://schemas.openxmlformats.org/drawingml/2006/picture">
                        <pic:nvPicPr>
                          <pic:cNvPr id="133" name="Host_Control__19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34" name="Host_Control__18_SpCnt_1"/>
                  <wp:cNvGraphicFramePr/>
                  <a:graphic xmlns:a="http://schemas.openxmlformats.org/drawingml/2006/main">
                    <a:graphicData uri="http://schemas.openxmlformats.org/drawingml/2006/picture">
                      <pic:pic xmlns:pic="http://schemas.openxmlformats.org/drawingml/2006/picture">
                        <pic:nvPicPr>
                          <pic:cNvPr id="134" name="Host_Control__18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31" name="Host_Control__17_SpCnt_1"/>
                  <wp:cNvGraphicFramePr/>
                  <a:graphic xmlns:a="http://schemas.openxmlformats.org/drawingml/2006/main">
                    <a:graphicData uri="http://schemas.openxmlformats.org/drawingml/2006/picture">
                      <pic:pic xmlns:pic="http://schemas.openxmlformats.org/drawingml/2006/picture">
                        <pic:nvPicPr>
                          <pic:cNvPr id="131" name="Host_Control__17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32" name="Host_Control__16_SpCnt_1"/>
                  <wp:cNvGraphicFramePr/>
                  <a:graphic xmlns:a="http://schemas.openxmlformats.org/drawingml/2006/main">
                    <a:graphicData uri="http://schemas.openxmlformats.org/drawingml/2006/picture">
                      <pic:pic xmlns:pic="http://schemas.openxmlformats.org/drawingml/2006/picture">
                        <pic:nvPicPr>
                          <pic:cNvPr id="132" name="Host_Control__16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29" name="Host_Control__15_SpCnt_1"/>
                  <wp:cNvGraphicFramePr/>
                  <a:graphic xmlns:a="http://schemas.openxmlformats.org/drawingml/2006/main">
                    <a:graphicData uri="http://schemas.openxmlformats.org/drawingml/2006/picture">
                      <pic:pic xmlns:pic="http://schemas.openxmlformats.org/drawingml/2006/picture">
                        <pic:nvPicPr>
                          <pic:cNvPr id="129" name="Host_Control__15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30" name="Host_Control__14_SpCnt_1"/>
                  <wp:cNvGraphicFramePr/>
                  <a:graphic xmlns:a="http://schemas.openxmlformats.org/drawingml/2006/main">
                    <a:graphicData uri="http://schemas.openxmlformats.org/drawingml/2006/picture">
                      <pic:pic xmlns:pic="http://schemas.openxmlformats.org/drawingml/2006/picture">
                        <pic:nvPicPr>
                          <pic:cNvPr id="130" name="Host_Control__14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28" name="Host_Control__13_SpCnt_2"/>
                  <wp:cNvGraphicFramePr/>
                  <a:graphic xmlns:a="http://schemas.openxmlformats.org/drawingml/2006/main">
                    <a:graphicData uri="http://schemas.openxmlformats.org/drawingml/2006/picture">
                      <pic:pic xmlns:pic="http://schemas.openxmlformats.org/drawingml/2006/picture">
                        <pic:nvPicPr>
                          <pic:cNvPr id="128" name="Host_Control__13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56" name="Host_Control__12_SpCnt_1"/>
                  <wp:cNvGraphicFramePr/>
                  <a:graphic xmlns:a="http://schemas.openxmlformats.org/drawingml/2006/main">
                    <a:graphicData uri="http://schemas.openxmlformats.org/drawingml/2006/picture">
                      <pic:pic xmlns:pic="http://schemas.openxmlformats.org/drawingml/2006/picture">
                        <pic:nvPicPr>
                          <pic:cNvPr id="56" name="Host_Control__12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67" name="Host_Control__11_SpCnt_1"/>
                  <wp:cNvGraphicFramePr/>
                  <a:graphic xmlns:a="http://schemas.openxmlformats.org/drawingml/2006/main">
                    <a:graphicData uri="http://schemas.openxmlformats.org/drawingml/2006/picture">
                      <pic:pic xmlns:pic="http://schemas.openxmlformats.org/drawingml/2006/picture">
                        <pic:nvPicPr>
                          <pic:cNvPr id="167" name="Host_Control__11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05" name="Host_Control__10_SpCnt_1"/>
                  <wp:cNvGraphicFramePr/>
                  <a:graphic xmlns:a="http://schemas.openxmlformats.org/drawingml/2006/main">
                    <a:graphicData uri="http://schemas.openxmlformats.org/drawingml/2006/picture">
                      <pic:pic xmlns:pic="http://schemas.openxmlformats.org/drawingml/2006/picture">
                        <pic:nvPicPr>
                          <pic:cNvPr id="105" name="Host_Control__10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66" name="Host_Control__9_SpCnt_2"/>
                  <wp:cNvGraphicFramePr/>
                  <a:graphic xmlns:a="http://schemas.openxmlformats.org/drawingml/2006/main">
                    <a:graphicData uri="http://schemas.openxmlformats.org/drawingml/2006/picture">
                      <pic:pic xmlns:pic="http://schemas.openxmlformats.org/drawingml/2006/picture">
                        <pic:nvPicPr>
                          <pic:cNvPr id="166" name="Host_Control__9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64" name="Host_Control__37_SpCnt_3"/>
                  <wp:cNvGraphicFramePr/>
                  <a:graphic xmlns:a="http://schemas.openxmlformats.org/drawingml/2006/main">
                    <a:graphicData uri="http://schemas.openxmlformats.org/drawingml/2006/picture">
                      <pic:pic xmlns:pic="http://schemas.openxmlformats.org/drawingml/2006/picture">
                        <pic:nvPicPr>
                          <pic:cNvPr id="164" name="Host_Control__37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61" name="Host_Control__8_SpCnt_1"/>
                  <wp:cNvGraphicFramePr/>
                  <a:graphic xmlns:a="http://schemas.openxmlformats.org/drawingml/2006/main">
                    <a:graphicData uri="http://schemas.openxmlformats.org/drawingml/2006/picture">
                      <pic:pic xmlns:pic="http://schemas.openxmlformats.org/drawingml/2006/picture">
                        <pic:nvPicPr>
                          <pic:cNvPr id="61" name="Host_Control__8_SpCnt_1"/>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65" name="Host_Control__36_SpCnt_2"/>
                  <wp:cNvGraphicFramePr/>
                  <a:graphic xmlns:a="http://schemas.openxmlformats.org/drawingml/2006/main">
                    <a:graphicData uri="http://schemas.openxmlformats.org/drawingml/2006/picture">
                      <pic:pic xmlns:pic="http://schemas.openxmlformats.org/drawingml/2006/picture">
                        <pic:nvPicPr>
                          <pic:cNvPr id="165" name="Host_Control__36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62" name="Host_Control__35_SpCnt_2"/>
                  <wp:cNvGraphicFramePr/>
                  <a:graphic xmlns:a="http://schemas.openxmlformats.org/drawingml/2006/main">
                    <a:graphicData uri="http://schemas.openxmlformats.org/drawingml/2006/picture">
                      <pic:pic xmlns:pic="http://schemas.openxmlformats.org/drawingml/2006/picture">
                        <pic:nvPicPr>
                          <pic:cNvPr id="162" name="Host_Control__35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55" name="Host_Control__34_SpCnt_2"/>
                  <wp:cNvGraphicFramePr/>
                  <a:graphic xmlns:a="http://schemas.openxmlformats.org/drawingml/2006/main">
                    <a:graphicData uri="http://schemas.openxmlformats.org/drawingml/2006/picture">
                      <pic:pic xmlns:pic="http://schemas.openxmlformats.org/drawingml/2006/picture">
                        <pic:nvPicPr>
                          <pic:cNvPr id="55" name="Host_Control__34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63" name="Host_Control__33_SpCnt_2"/>
                  <wp:cNvGraphicFramePr/>
                  <a:graphic xmlns:a="http://schemas.openxmlformats.org/drawingml/2006/main">
                    <a:graphicData uri="http://schemas.openxmlformats.org/drawingml/2006/picture">
                      <pic:pic xmlns:pic="http://schemas.openxmlformats.org/drawingml/2006/picture">
                        <pic:nvPicPr>
                          <pic:cNvPr id="163" name="Host_Control__33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60" name="Host_Control__32_SpCnt_2"/>
                  <wp:cNvGraphicFramePr/>
                  <a:graphic xmlns:a="http://schemas.openxmlformats.org/drawingml/2006/main">
                    <a:graphicData uri="http://schemas.openxmlformats.org/drawingml/2006/picture">
                      <pic:pic xmlns:pic="http://schemas.openxmlformats.org/drawingml/2006/picture">
                        <pic:nvPicPr>
                          <pic:cNvPr id="160" name="Host_Control__32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53" name="Host_Control__31_SpCnt_2"/>
                  <wp:cNvGraphicFramePr/>
                  <a:graphic xmlns:a="http://schemas.openxmlformats.org/drawingml/2006/main">
                    <a:graphicData uri="http://schemas.openxmlformats.org/drawingml/2006/picture">
                      <pic:pic xmlns:pic="http://schemas.openxmlformats.org/drawingml/2006/picture">
                        <pic:nvPicPr>
                          <pic:cNvPr id="53" name="Host_Control__31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61" name="Host_Control__30_SpCnt_2"/>
                  <wp:cNvGraphicFramePr/>
                  <a:graphic xmlns:a="http://schemas.openxmlformats.org/drawingml/2006/main">
                    <a:graphicData uri="http://schemas.openxmlformats.org/drawingml/2006/picture">
                      <pic:pic xmlns:pic="http://schemas.openxmlformats.org/drawingml/2006/picture">
                        <pic:nvPicPr>
                          <pic:cNvPr id="161" name="Host_Control__30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58" name="Host_Control__29_SpCnt_2"/>
                  <wp:cNvGraphicFramePr/>
                  <a:graphic xmlns:a="http://schemas.openxmlformats.org/drawingml/2006/main">
                    <a:graphicData uri="http://schemas.openxmlformats.org/drawingml/2006/picture">
                      <pic:pic xmlns:pic="http://schemas.openxmlformats.org/drawingml/2006/picture">
                        <pic:nvPicPr>
                          <pic:cNvPr id="158" name="Host_Control__29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52" name="Host_Control__28_SpCnt_2"/>
                  <wp:cNvGraphicFramePr/>
                  <a:graphic xmlns:a="http://schemas.openxmlformats.org/drawingml/2006/main">
                    <a:graphicData uri="http://schemas.openxmlformats.org/drawingml/2006/picture">
                      <pic:pic xmlns:pic="http://schemas.openxmlformats.org/drawingml/2006/picture">
                        <pic:nvPicPr>
                          <pic:cNvPr id="52" name="Host_Control__28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59" name="Host_Control__27_SpCnt_2"/>
                  <wp:cNvGraphicFramePr/>
                  <a:graphic xmlns:a="http://schemas.openxmlformats.org/drawingml/2006/main">
                    <a:graphicData uri="http://schemas.openxmlformats.org/drawingml/2006/picture">
                      <pic:pic xmlns:pic="http://schemas.openxmlformats.org/drawingml/2006/picture">
                        <pic:nvPicPr>
                          <pic:cNvPr id="159" name="Host_Control__27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55" name="Host_Control__26_SpCnt_2"/>
                  <wp:cNvGraphicFramePr/>
                  <a:graphic xmlns:a="http://schemas.openxmlformats.org/drawingml/2006/main">
                    <a:graphicData uri="http://schemas.openxmlformats.org/drawingml/2006/picture">
                      <pic:pic xmlns:pic="http://schemas.openxmlformats.org/drawingml/2006/picture">
                        <pic:nvPicPr>
                          <pic:cNvPr id="155" name="Host_Control__26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8" name="Host_Control__25_SpCnt_2"/>
                  <wp:cNvGraphicFramePr/>
                  <a:graphic xmlns:a="http://schemas.openxmlformats.org/drawingml/2006/main">
                    <a:graphicData uri="http://schemas.openxmlformats.org/drawingml/2006/picture">
                      <pic:pic xmlns:pic="http://schemas.openxmlformats.org/drawingml/2006/picture">
                        <pic:nvPicPr>
                          <pic:cNvPr id="48" name="Host_Control__25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56" name="Host_Control__24_SpCnt_2"/>
                  <wp:cNvGraphicFramePr/>
                  <a:graphic xmlns:a="http://schemas.openxmlformats.org/drawingml/2006/main">
                    <a:graphicData uri="http://schemas.openxmlformats.org/drawingml/2006/picture">
                      <pic:pic xmlns:pic="http://schemas.openxmlformats.org/drawingml/2006/picture">
                        <pic:nvPicPr>
                          <pic:cNvPr id="156" name="Host_Control__24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53" name="Host_Control__23_SpCnt_2"/>
                  <wp:cNvGraphicFramePr/>
                  <a:graphic xmlns:a="http://schemas.openxmlformats.org/drawingml/2006/main">
                    <a:graphicData uri="http://schemas.openxmlformats.org/drawingml/2006/picture">
                      <pic:pic xmlns:pic="http://schemas.openxmlformats.org/drawingml/2006/picture">
                        <pic:nvPicPr>
                          <pic:cNvPr id="153" name="Host_Control__23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6" name="Host_Control__22_SpCnt_2"/>
                  <wp:cNvGraphicFramePr/>
                  <a:graphic xmlns:a="http://schemas.openxmlformats.org/drawingml/2006/main">
                    <a:graphicData uri="http://schemas.openxmlformats.org/drawingml/2006/picture">
                      <pic:pic xmlns:pic="http://schemas.openxmlformats.org/drawingml/2006/picture">
                        <pic:nvPicPr>
                          <pic:cNvPr id="46" name="Host_Control__22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54" name="Host_Control__21_SpCnt_3"/>
                  <wp:cNvGraphicFramePr/>
                  <a:graphic xmlns:a="http://schemas.openxmlformats.org/drawingml/2006/main">
                    <a:graphicData uri="http://schemas.openxmlformats.org/drawingml/2006/picture">
                      <pic:pic xmlns:pic="http://schemas.openxmlformats.org/drawingml/2006/picture">
                        <pic:nvPicPr>
                          <pic:cNvPr id="154" name="Host_Control__21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51" name="Host_Control__20_SpCnt_2"/>
                  <wp:cNvGraphicFramePr/>
                  <a:graphic xmlns:a="http://schemas.openxmlformats.org/drawingml/2006/main">
                    <a:graphicData uri="http://schemas.openxmlformats.org/drawingml/2006/picture">
                      <pic:pic xmlns:pic="http://schemas.openxmlformats.org/drawingml/2006/picture">
                        <pic:nvPicPr>
                          <pic:cNvPr id="151" name="Host_Control__20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62" name="Host_Control__19_SpCnt_2"/>
                  <wp:cNvGraphicFramePr/>
                  <a:graphic xmlns:a="http://schemas.openxmlformats.org/drawingml/2006/main">
                    <a:graphicData uri="http://schemas.openxmlformats.org/drawingml/2006/picture">
                      <pic:pic xmlns:pic="http://schemas.openxmlformats.org/drawingml/2006/picture">
                        <pic:nvPicPr>
                          <pic:cNvPr id="62" name="Host_Control__19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44" name="Host_Control__18_SpCnt_2"/>
                  <wp:cNvGraphicFramePr/>
                  <a:graphic xmlns:a="http://schemas.openxmlformats.org/drawingml/2006/main">
                    <a:graphicData uri="http://schemas.openxmlformats.org/drawingml/2006/picture">
                      <pic:pic xmlns:pic="http://schemas.openxmlformats.org/drawingml/2006/picture">
                        <pic:nvPicPr>
                          <pic:cNvPr id="44" name="Host_Control__18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04" name="Host_Control__17_SpCnt_2"/>
                  <wp:cNvGraphicFramePr/>
                  <a:graphic xmlns:a="http://schemas.openxmlformats.org/drawingml/2006/main">
                    <a:graphicData uri="http://schemas.openxmlformats.org/drawingml/2006/picture">
                      <pic:pic xmlns:pic="http://schemas.openxmlformats.org/drawingml/2006/picture">
                        <pic:nvPicPr>
                          <pic:cNvPr id="104" name="Host_Control__17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03" name="Host_Control__16_SpCnt_2"/>
                  <wp:cNvGraphicFramePr/>
                  <a:graphic xmlns:a="http://schemas.openxmlformats.org/drawingml/2006/main">
                    <a:graphicData uri="http://schemas.openxmlformats.org/drawingml/2006/picture">
                      <pic:pic xmlns:pic="http://schemas.openxmlformats.org/drawingml/2006/picture">
                        <pic:nvPicPr>
                          <pic:cNvPr id="103" name="Host_Control__16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02" name="Host_Control__15_SpCnt_2"/>
                  <wp:cNvGraphicFramePr/>
                  <a:graphic xmlns:a="http://schemas.openxmlformats.org/drawingml/2006/main">
                    <a:graphicData uri="http://schemas.openxmlformats.org/drawingml/2006/picture">
                      <pic:pic xmlns:pic="http://schemas.openxmlformats.org/drawingml/2006/picture">
                        <pic:nvPicPr>
                          <pic:cNvPr id="102" name="Host_Control__15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01" name="Host_Control__14_SpCnt_2"/>
                  <wp:cNvGraphicFramePr/>
                  <a:graphic xmlns:a="http://schemas.openxmlformats.org/drawingml/2006/main">
                    <a:graphicData uri="http://schemas.openxmlformats.org/drawingml/2006/picture">
                      <pic:pic xmlns:pic="http://schemas.openxmlformats.org/drawingml/2006/picture">
                        <pic:nvPicPr>
                          <pic:cNvPr id="101" name="Host_Control__14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00" name="Host_Control__13_SpCnt_3"/>
                  <wp:cNvGraphicFramePr/>
                  <a:graphic xmlns:a="http://schemas.openxmlformats.org/drawingml/2006/main">
                    <a:graphicData uri="http://schemas.openxmlformats.org/drawingml/2006/picture">
                      <pic:pic xmlns:pic="http://schemas.openxmlformats.org/drawingml/2006/picture">
                        <pic:nvPicPr>
                          <pic:cNvPr id="100" name="Host_Control__13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99" name="Host_Control__12_SpCnt_2"/>
                  <wp:cNvGraphicFramePr/>
                  <a:graphic xmlns:a="http://schemas.openxmlformats.org/drawingml/2006/main">
                    <a:graphicData uri="http://schemas.openxmlformats.org/drawingml/2006/picture">
                      <pic:pic xmlns:pic="http://schemas.openxmlformats.org/drawingml/2006/picture">
                        <pic:nvPicPr>
                          <pic:cNvPr id="99" name="Host_Control__12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98" name="Host_Control__11_SpCnt_2"/>
                  <wp:cNvGraphicFramePr/>
                  <a:graphic xmlns:a="http://schemas.openxmlformats.org/drawingml/2006/main">
                    <a:graphicData uri="http://schemas.openxmlformats.org/drawingml/2006/picture">
                      <pic:pic xmlns:pic="http://schemas.openxmlformats.org/drawingml/2006/picture">
                        <pic:nvPicPr>
                          <pic:cNvPr id="98" name="Host_Control__11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97" name="Host_Control__10_SpCnt_2"/>
                  <wp:cNvGraphicFramePr/>
                  <a:graphic xmlns:a="http://schemas.openxmlformats.org/drawingml/2006/main">
                    <a:graphicData uri="http://schemas.openxmlformats.org/drawingml/2006/picture">
                      <pic:pic xmlns:pic="http://schemas.openxmlformats.org/drawingml/2006/picture">
                        <pic:nvPicPr>
                          <pic:cNvPr id="97" name="Host_Control__10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96" name="Host_Control__9_SpCnt_3"/>
                  <wp:cNvGraphicFramePr/>
                  <a:graphic xmlns:a="http://schemas.openxmlformats.org/drawingml/2006/main">
                    <a:graphicData uri="http://schemas.openxmlformats.org/drawingml/2006/picture">
                      <pic:pic xmlns:pic="http://schemas.openxmlformats.org/drawingml/2006/picture">
                        <pic:nvPicPr>
                          <pic:cNvPr id="96" name="Host_Control__9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95" name="Host_Control__8_SpCnt_2"/>
                  <wp:cNvGraphicFramePr/>
                  <a:graphic xmlns:a="http://schemas.openxmlformats.org/drawingml/2006/main">
                    <a:graphicData uri="http://schemas.openxmlformats.org/drawingml/2006/picture">
                      <pic:pic xmlns:pic="http://schemas.openxmlformats.org/drawingml/2006/picture">
                        <pic:nvPicPr>
                          <pic:cNvPr id="95" name="Host_Control__8_SpCnt_2"/>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94" name="Host_Control__36_SpCnt_3"/>
                  <wp:cNvGraphicFramePr/>
                  <a:graphic xmlns:a="http://schemas.openxmlformats.org/drawingml/2006/main">
                    <a:graphicData uri="http://schemas.openxmlformats.org/drawingml/2006/picture">
                      <pic:pic xmlns:pic="http://schemas.openxmlformats.org/drawingml/2006/picture">
                        <pic:nvPicPr>
                          <pic:cNvPr id="94" name="Host_Control__36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93" name="Host_Control__7_SpCnt_3"/>
                  <wp:cNvGraphicFramePr/>
                  <a:graphic xmlns:a="http://schemas.openxmlformats.org/drawingml/2006/main">
                    <a:graphicData uri="http://schemas.openxmlformats.org/drawingml/2006/picture">
                      <pic:pic xmlns:pic="http://schemas.openxmlformats.org/drawingml/2006/picture">
                        <pic:nvPicPr>
                          <pic:cNvPr id="93" name="Host_Control__7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92" name="Host_Control__35_SpCnt_3"/>
                  <wp:cNvGraphicFramePr/>
                  <a:graphic xmlns:a="http://schemas.openxmlformats.org/drawingml/2006/main">
                    <a:graphicData uri="http://schemas.openxmlformats.org/drawingml/2006/picture">
                      <pic:pic xmlns:pic="http://schemas.openxmlformats.org/drawingml/2006/picture">
                        <pic:nvPicPr>
                          <pic:cNvPr id="92" name="Host_Control__35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91" name="Host_Control__34_SpCnt_3"/>
                  <wp:cNvGraphicFramePr/>
                  <a:graphic xmlns:a="http://schemas.openxmlformats.org/drawingml/2006/main">
                    <a:graphicData uri="http://schemas.openxmlformats.org/drawingml/2006/picture">
                      <pic:pic xmlns:pic="http://schemas.openxmlformats.org/drawingml/2006/picture">
                        <pic:nvPicPr>
                          <pic:cNvPr id="91" name="Host_Control__34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90" name="Host_Control__33_SpCnt_3"/>
                  <wp:cNvGraphicFramePr/>
                  <a:graphic xmlns:a="http://schemas.openxmlformats.org/drawingml/2006/main">
                    <a:graphicData uri="http://schemas.openxmlformats.org/drawingml/2006/picture">
                      <pic:pic xmlns:pic="http://schemas.openxmlformats.org/drawingml/2006/picture">
                        <pic:nvPicPr>
                          <pic:cNvPr id="90" name="Host_Control__33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89" name="Host_Control__32_SpCnt_3"/>
                  <wp:cNvGraphicFramePr/>
                  <a:graphic xmlns:a="http://schemas.openxmlformats.org/drawingml/2006/main">
                    <a:graphicData uri="http://schemas.openxmlformats.org/drawingml/2006/picture">
                      <pic:pic xmlns:pic="http://schemas.openxmlformats.org/drawingml/2006/picture">
                        <pic:nvPicPr>
                          <pic:cNvPr id="89" name="Host_Control__32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88" name="Host_Control__31_SpCnt_3"/>
                  <wp:cNvGraphicFramePr/>
                  <a:graphic xmlns:a="http://schemas.openxmlformats.org/drawingml/2006/main">
                    <a:graphicData uri="http://schemas.openxmlformats.org/drawingml/2006/picture">
                      <pic:pic xmlns:pic="http://schemas.openxmlformats.org/drawingml/2006/picture">
                        <pic:nvPicPr>
                          <pic:cNvPr id="88" name="Host_Control__31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87" name="Host_Control__30_SpCnt_3"/>
                  <wp:cNvGraphicFramePr/>
                  <a:graphic xmlns:a="http://schemas.openxmlformats.org/drawingml/2006/main">
                    <a:graphicData uri="http://schemas.openxmlformats.org/drawingml/2006/picture">
                      <pic:pic xmlns:pic="http://schemas.openxmlformats.org/drawingml/2006/picture">
                        <pic:nvPicPr>
                          <pic:cNvPr id="87" name="Host_Control__30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86" name="Host_Control__29_SpCnt_3"/>
                  <wp:cNvGraphicFramePr/>
                  <a:graphic xmlns:a="http://schemas.openxmlformats.org/drawingml/2006/main">
                    <a:graphicData uri="http://schemas.openxmlformats.org/drawingml/2006/picture">
                      <pic:pic xmlns:pic="http://schemas.openxmlformats.org/drawingml/2006/picture">
                        <pic:nvPicPr>
                          <pic:cNvPr id="86" name="Host_Control__29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85" name="Host_Control__28_SpCnt_3"/>
                  <wp:cNvGraphicFramePr/>
                  <a:graphic xmlns:a="http://schemas.openxmlformats.org/drawingml/2006/main">
                    <a:graphicData uri="http://schemas.openxmlformats.org/drawingml/2006/picture">
                      <pic:pic xmlns:pic="http://schemas.openxmlformats.org/drawingml/2006/picture">
                        <pic:nvPicPr>
                          <pic:cNvPr id="85" name="Host_Control__28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84" name="Host_Control__27_SpCnt_3"/>
                  <wp:cNvGraphicFramePr/>
                  <a:graphic xmlns:a="http://schemas.openxmlformats.org/drawingml/2006/main">
                    <a:graphicData uri="http://schemas.openxmlformats.org/drawingml/2006/picture">
                      <pic:pic xmlns:pic="http://schemas.openxmlformats.org/drawingml/2006/picture">
                        <pic:nvPicPr>
                          <pic:cNvPr id="84" name="Host_Control__27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83" name="Host_Control__26_SpCnt_3"/>
                  <wp:cNvGraphicFramePr/>
                  <a:graphic xmlns:a="http://schemas.openxmlformats.org/drawingml/2006/main">
                    <a:graphicData uri="http://schemas.openxmlformats.org/drawingml/2006/picture">
                      <pic:pic xmlns:pic="http://schemas.openxmlformats.org/drawingml/2006/picture">
                        <pic:nvPicPr>
                          <pic:cNvPr id="83" name="Host_Control__26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82" name="Host_Control__25_SpCnt_3"/>
                  <wp:cNvGraphicFramePr/>
                  <a:graphic xmlns:a="http://schemas.openxmlformats.org/drawingml/2006/main">
                    <a:graphicData uri="http://schemas.openxmlformats.org/drawingml/2006/picture">
                      <pic:pic xmlns:pic="http://schemas.openxmlformats.org/drawingml/2006/picture">
                        <pic:nvPicPr>
                          <pic:cNvPr id="82" name="Host_Control__25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81" name="Host_Control__24_SpCnt_3"/>
                  <wp:cNvGraphicFramePr/>
                  <a:graphic xmlns:a="http://schemas.openxmlformats.org/drawingml/2006/main">
                    <a:graphicData uri="http://schemas.openxmlformats.org/drawingml/2006/picture">
                      <pic:pic xmlns:pic="http://schemas.openxmlformats.org/drawingml/2006/picture">
                        <pic:nvPicPr>
                          <pic:cNvPr id="81" name="Host_Control__24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80" name="Host_Control__23_SpCnt_3"/>
                  <wp:cNvGraphicFramePr/>
                  <a:graphic xmlns:a="http://schemas.openxmlformats.org/drawingml/2006/main">
                    <a:graphicData uri="http://schemas.openxmlformats.org/drawingml/2006/picture">
                      <pic:pic xmlns:pic="http://schemas.openxmlformats.org/drawingml/2006/picture">
                        <pic:nvPicPr>
                          <pic:cNvPr id="80" name="Host_Control__23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79" name="Host_Control__20_SpCnt_3"/>
                  <wp:cNvGraphicFramePr/>
                  <a:graphic xmlns:a="http://schemas.openxmlformats.org/drawingml/2006/main">
                    <a:graphicData uri="http://schemas.openxmlformats.org/drawingml/2006/picture">
                      <pic:pic xmlns:pic="http://schemas.openxmlformats.org/drawingml/2006/picture">
                        <pic:nvPicPr>
                          <pic:cNvPr id="79" name="Host_Control__20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78" name="Host_Control__22_SpCnt_3"/>
                  <wp:cNvGraphicFramePr/>
                  <a:graphic xmlns:a="http://schemas.openxmlformats.org/drawingml/2006/main">
                    <a:graphicData uri="http://schemas.openxmlformats.org/drawingml/2006/picture">
                      <pic:pic xmlns:pic="http://schemas.openxmlformats.org/drawingml/2006/picture">
                        <pic:nvPicPr>
                          <pic:cNvPr id="78" name="Host_Control__22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77" name="Host_Control__19_SpCnt_3"/>
                  <wp:cNvGraphicFramePr/>
                  <a:graphic xmlns:a="http://schemas.openxmlformats.org/drawingml/2006/main">
                    <a:graphicData uri="http://schemas.openxmlformats.org/drawingml/2006/picture">
                      <pic:pic xmlns:pic="http://schemas.openxmlformats.org/drawingml/2006/picture">
                        <pic:nvPicPr>
                          <pic:cNvPr id="77" name="Host_Control__19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76" name="Host_Control__18_SpCnt_3"/>
                  <wp:cNvGraphicFramePr/>
                  <a:graphic xmlns:a="http://schemas.openxmlformats.org/drawingml/2006/main">
                    <a:graphicData uri="http://schemas.openxmlformats.org/drawingml/2006/picture">
                      <pic:pic xmlns:pic="http://schemas.openxmlformats.org/drawingml/2006/picture">
                        <pic:nvPicPr>
                          <pic:cNvPr id="76" name="Host_Control__18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75" name="Host_Control__17_SpCnt_3"/>
                  <wp:cNvGraphicFramePr/>
                  <a:graphic xmlns:a="http://schemas.openxmlformats.org/drawingml/2006/main">
                    <a:graphicData uri="http://schemas.openxmlformats.org/drawingml/2006/picture">
                      <pic:pic xmlns:pic="http://schemas.openxmlformats.org/drawingml/2006/picture">
                        <pic:nvPicPr>
                          <pic:cNvPr id="75" name="Host_Control__17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74" name="Host_Control__16_SpCnt_3"/>
                  <wp:cNvGraphicFramePr/>
                  <a:graphic xmlns:a="http://schemas.openxmlformats.org/drawingml/2006/main">
                    <a:graphicData uri="http://schemas.openxmlformats.org/drawingml/2006/picture">
                      <pic:pic xmlns:pic="http://schemas.openxmlformats.org/drawingml/2006/picture">
                        <pic:nvPicPr>
                          <pic:cNvPr id="74" name="Host_Control__16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73" name="Host_Control__15_SpCnt_3"/>
                  <wp:cNvGraphicFramePr/>
                  <a:graphic xmlns:a="http://schemas.openxmlformats.org/drawingml/2006/main">
                    <a:graphicData uri="http://schemas.openxmlformats.org/drawingml/2006/picture">
                      <pic:pic xmlns:pic="http://schemas.openxmlformats.org/drawingml/2006/picture">
                        <pic:nvPicPr>
                          <pic:cNvPr id="73" name="Host_Control__15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72" name="Host_Control__12_SpCnt_3"/>
                  <wp:cNvGraphicFramePr/>
                  <a:graphic xmlns:a="http://schemas.openxmlformats.org/drawingml/2006/main">
                    <a:graphicData uri="http://schemas.openxmlformats.org/drawingml/2006/picture">
                      <pic:pic xmlns:pic="http://schemas.openxmlformats.org/drawingml/2006/picture">
                        <pic:nvPicPr>
                          <pic:cNvPr id="72" name="Host_Control__12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71" name="Host_Control__14_SpCnt_3"/>
                  <wp:cNvGraphicFramePr/>
                  <a:graphic xmlns:a="http://schemas.openxmlformats.org/drawingml/2006/main">
                    <a:graphicData uri="http://schemas.openxmlformats.org/drawingml/2006/picture">
                      <pic:pic xmlns:pic="http://schemas.openxmlformats.org/drawingml/2006/picture">
                        <pic:nvPicPr>
                          <pic:cNvPr id="71" name="Host_Control__14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70" name="Host_Control__11_SpCnt_3"/>
                  <wp:cNvGraphicFramePr/>
                  <a:graphic xmlns:a="http://schemas.openxmlformats.org/drawingml/2006/main">
                    <a:graphicData uri="http://schemas.openxmlformats.org/drawingml/2006/picture">
                      <pic:pic xmlns:pic="http://schemas.openxmlformats.org/drawingml/2006/picture">
                        <pic:nvPicPr>
                          <pic:cNvPr id="70" name="Host_Control__11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69" name="Host_Control__8_SpCnt_3"/>
                  <wp:cNvGraphicFramePr/>
                  <a:graphic xmlns:a="http://schemas.openxmlformats.org/drawingml/2006/main">
                    <a:graphicData uri="http://schemas.openxmlformats.org/drawingml/2006/picture">
                      <pic:pic xmlns:pic="http://schemas.openxmlformats.org/drawingml/2006/picture">
                        <pic:nvPicPr>
                          <pic:cNvPr id="69" name="Host_Control__8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68" name="Host_Control__10_SpCnt_3"/>
                  <wp:cNvGraphicFramePr/>
                  <a:graphic xmlns:a="http://schemas.openxmlformats.org/drawingml/2006/main">
                    <a:graphicData uri="http://schemas.openxmlformats.org/drawingml/2006/picture">
                      <pic:pic xmlns:pic="http://schemas.openxmlformats.org/drawingml/2006/picture">
                        <pic:nvPicPr>
                          <pic:cNvPr id="68" name="Host_Control__10_SpCnt_3"/>
                          <pic:cNvPicPr/>
                        </pic:nvPicPr>
                        <pic:blipFill>
                          <a:blip r:embed="rId15"/>
                          <a:stretch>
                            <a:fillRect/>
                          </a:stretch>
                        </pic:blipFill>
                        <pic:spPr>
                          <a:xfrm>
                            <a:off x="0" y="0"/>
                            <a:ext cx="923925" cy="161925"/>
                          </a:xfrm>
                          <a:prstGeom prst="rect">
                            <a:avLst/>
                          </a:prstGeom>
                          <a:noFill/>
                          <a:ln>
                            <a:noFill/>
                          </a:ln>
                        </pic:spPr>
                      </pic:pic>
                    </a:graphicData>
                  </a:graphic>
                </wp:anchor>
              </w:drawing>
            </w:r>
            <w:r>
              <w:rPr>
                <w:rFonts w:hint="default" w:ascii="Arial" w:hAnsi="Arial" w:eastAsia="宋体" w:cs="Arial"/>
                <w:b/>
                <w:i w:val="0"/>
                <w:color w:val="000000"/>
                <w:kern w:val="0"/>
                <w:sz w:val="18"/>
                <w:szCs w:val="18"/>
                <w:u w:val="none"/>
                <w:lang w:val="en-US" w:eastAsia="zh-CN" w:bidi="ar"/>
              </w:rPr>
              <w:t>付款方</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资金用途</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金额</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收款行</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张顺</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唐凯颖</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颜宏卫</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客户转款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邓定萍</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158,827.00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邓定萍</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999,584.00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811,539.00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周腾宇</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1,560,000.00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光大预售1088</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鲁雪</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1,590,000.00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光大预售1088</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马曦萌</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1,190,000.00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光大预售1088</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879,940.00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颜宏卫</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颜宏卫</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吴浩</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1,270,000.00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光大预售1088</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娄勇</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欧阳沛</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邓元勋</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沈振中</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平兰英</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993,000.00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笪尚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光大预售1088</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于娟</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光大预售1088</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王小兰</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853,658.00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个贷陈瑾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贷款发放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贷款发放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贷款发放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277,000.00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程海云</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郑星</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1,436.00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何翔</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杨战强</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139,940.00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郑星</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彭壮</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王文辉</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石慧子</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胡网勤</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邓定萍</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许聪</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刘艳涛</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邹向阳</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2020-11-8</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梅萍</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2020-11-8</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钱镜宇</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2020-11-8</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奚茜</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2020-11-8</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杨秀梅</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2020-11-8</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周骁</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2020-11-8</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汪丽君</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奚茜</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145,918.00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石慧子</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龚海平</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199,980.00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952,547.00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966,474.00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王剑</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李兴</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1,170,000.00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光大预售1088</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石慧子</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顾津</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顾津</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欧阳沛</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392,063.00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1,449,960.00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余琴</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620,000.00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黎凯</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王剑</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余琴</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贷款发放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光大预售1088</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2020-11-11</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刘永生</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590,000.00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2020-11-11</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249,960.00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2020-11-11</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石慧子</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2020-11-12</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石慧子</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2020-11-12</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石慧子</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2020-11-12</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朱夏至</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2020-11-12</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石慧子</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2020-11-12</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369,980.00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2020-11-12</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李艳君</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2020-11-13</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郭衡</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2020-11-13</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李雁云</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2020-11-13</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杨婷婷</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2020-11-13</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杨婷婷</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2020-11-13</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杨婷婷</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2020-11-13</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王文辉</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2020-11-13</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唐飞</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2020-11-13</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任飞</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王敏</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杨照彬</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赵蔚蔚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徐彬</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杨婷婷</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51,288.00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杨婷婷</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倪东健</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董涛</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董涛</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丁国胜</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韩红艳</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刘燕</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陈森华</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刘燕</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叶峰</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宋德翔</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苏和</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高威</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高林</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刘伟</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陶想林</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吴冰冰</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赵昌翠</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朱婉莹</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曾铁珍</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周慧</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周慧</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黎凯</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郭衡</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525,903.00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周慧</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周慧</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149,980.00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3,858,272.00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胡丹</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周敏</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黄海</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高林</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戴立行</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曾铁珍</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145,918.00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张梦珍</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516,026.00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王杰雷</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陶想林</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陈先玉</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陈先玉</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吴冰冰</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徐海娇</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刘薇</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田斌</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49,980.00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丁国胜</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倪东健</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唐飞</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145,770.00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刘薇</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韩红艳</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2,182,623.00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高林</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周敏</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王敏</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18,800.00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2020-11-18</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丁世东</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2020-11-18</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陈先玉</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2020-11-18</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5,056,869.00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2020-11-18</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宋德翔</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2020-11-18</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高威</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2020-11-18</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刘伟</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2020-11-18</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田斌</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2020-11-18</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胡网勤</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3,560.00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2020-11-18</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赵昌翠</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2020-11-18</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贺雨珊</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890,000.00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2020-11-18</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郑星</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1,290,000.00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2020-11-18</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1,320,000.00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柳冬</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石伟</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石慧子</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8,323.00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1,199,960.00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石慧子</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柳明</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135,826.00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李凌</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刘永生</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620,372.00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顾津</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陈丹</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1,140,000.00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韩强</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李真</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1,270,000.00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苏和</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明芳望</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407,028.00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张梦珍</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朱婉莹</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戴立行</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杨照彬</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王敏</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王敏</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248,827.00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吴冰冰</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171,434.00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陶想林</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171,436.00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吴冰冰</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陶想林</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2020-11-21</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李凌</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2020-11-21</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朱婉莹</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2020-11-21</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赵蔚蔚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2020-11-21</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赵蔚蔚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2020-11-22</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陈晓敏</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2020-11-22</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陈晓敏</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2020-11-22</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李志刚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2020-11-22</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李杰</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2020-11-22</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刘燕</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406,137.00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2020-11-22</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赵蔚蔚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2020-11-22</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周瑶</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115,377.00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2020-11-22</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李凌</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2020-11-23</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黄珊</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377,000.00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2020-11-23</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王杰雷</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2020-11-23</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刘燕</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2020-11-23</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李志刚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2020-11-23</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857,275.00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2020-11-23</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2,052,584.00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2020-11-23</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李凌</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刘燕</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3,279.00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刘燕</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409,980.00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梅伟</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光大预售1088</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王杰雷</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208,912.00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郭蕾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199,999.00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万红浩</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宋涛</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张明阳</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郭蕾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毛靖瑶</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金智坤</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陈睿宇</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颜克俭</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程林</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720,000.00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周涛</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1,003,000.00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杨慧</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毛靖瑶</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695.00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周慧</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366,066.00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525,898.00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胡丹</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毛靖瑶</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198,900.00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郭蕾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蒋菊兰（贷款放款）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1,120,000.00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光大预售1088</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朱婉莹</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龚亚鑫</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柯晓倩</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544,139.00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朱夏至</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朱夏至</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胡川</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427,317.00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49,980.00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熊雪芹</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440,000.00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客户按揭放款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530,000.00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客户按揭放款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467,000.00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蔡丽</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1,410,000.00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2020-11-28</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丁世东</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2020-11-28</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陈先玉</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2020-11-28</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龚亚鑫</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12,350.00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2020-11-28</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王铃</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杨慧</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王梦</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156,009.00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叶萍</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2020-11-29</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丁世东</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176,388.00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刘兴炜</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朱夏至</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30,400.00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朱夏至</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朱夏至</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曾铁珍</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李英</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叶萍</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李英</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丁国胜</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565,918.00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周慧</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750,992.00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1,446,561.00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2,024,683.00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POS机收款</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3,363,895.21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王子娟</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1,260,000.00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光大预售9112</w:t>
            </w:r>
          </w:p>
        </w:tc>
      </w:tr>
      <w:tr>
        <w:tblPrEx>
          <w:shd w:val="clear" w:color="auto" w:fill="auto"/>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王丹丹+汤成涛</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光大预售2665</w:t>
            </w:r>
          </w:p>
        </w:tc>
      </w:tr>
      <w:tr>
        <w:tblPrEx>
          <w:tblCellMar>
            <w:top w:w="0" w:type="dxa"/>
            <w:left w:w="0" w:type="dxa"/>
            <w:bottom w:w="0" w:type="dxa"/>
            <w:right w:w="0" w:type="dxa"/>
          </w:tblCellMar>
        </w:tblPrEx>
        <w:trPr>
          <w:trHeight w:val="27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殷婷</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销售款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2,306.00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工商银行1883</w:t>
            </w:r>
          </w:p>
        </w:tc>
      </w:tr>
      <w:tr>
        <w:tblPrEx>
          <w:tblCellMar>
            <w:top w:w="0" w:type="dxa"/>
            <w:left w:w="0" w:type="dxa"/>
            <w:bottom w:w="0" w:type="dxa"/>
            <w:right w:w="0" w:type="dxa"/>
          </w:tblCellMar>
        </w:tblPrEx>
        <w:trPr>
          <w:trHeight w:val="270" w:hRule="atLeast"/>
          <w:jc w:val="center"/>
        </w:trPr>
        <w:tc>
          <w:tcPr>
            <w:tcW w:w="606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合计</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100,468,043.21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r>
    </w:tbl>
    <w:p>
      <w:pPr>
        <w:widowControl/>
        <w:jc w:val="center"/>
        <w:textAlignment w:val="center"/>
        <w:rPr>
          <w:rFonts w:hint="default" w:ascii="Arial" w:hAnsi="Arial" w:cs="Arial"/>
          <w:b/>
          <w:color w:val="000000"/>
          <w:sz w:val="24"/>
        </w:rPr>
      </w:pPr>
    </w:p>
    <w:p>
      <w:pPr>
        <w:widowControl/>
        <w:jc w:val="center"/>
        <w:textAlignment w:val="center"/>
        <w:rPr>
          <w:rFonts w:hint="default" w:ascii="Arial" w:hAnsi="Arial" w:cs="Arial"/>
          <w:b/>
          <w:color w:val="000000"/>
          <w:sz w:val="24"/>
        </w:rPr>
      </w:pPr>
    </w:p>
    <w:p>
      <w:pPr>
        <w:pStyle w:val="4"/>
        <w:rPr>
          <w:rFonts w:hint="default" w:ascii="Arial" w:hAnsi="Arial" w:eastAsia="宋体" w:cs="Arial"/>
          <w:sz w:val="24"/>
          <w:szCs w:val="24"/>
        </w:rPr>
      </w:pPr>
      <w:bookmarkStart w:id="102" w:name="_Toc3649"/>
      <w:bookmarkStart w:id="103" w:name="_Toc18429"/>
      <w:bookmarkStart w:id="104" w:name="_Toc27531"/>
      <w:bookmarkStart w:id="105" w:name="_Toc50218141"/>
      <w:r>
        <w:rPr>
          <w:rFonts w:hint="default" w:ascii="Arial" w:hAnsi="Arial" w:eastAsia="宋体" w:cs="Arial"/>
          <w:sz w:val="24"/>
          <w:szCs w:val="24"/>
        </w:rPr>
        <w:t>8.3.3销售回款明细</w:t>
      </w:r>
      <w:bookmarkEnd w:id="102"/>
      <w:bookmarkEnd w:id="103"/>
      <w:bookmarkEnd w:id="104"/>
    </w:p>
    <w:tbl>
      <w:tblPr>
        <w:tblStyle w:val="22"/>
        <w:tblW w:w="7755" w:type="dxa"/>
        <w:jc w:val="center"/>
        <w:shd w:val="clear" w:color="auto" w:fill="auto"/>
        <w:tblLayout w:type="autofit"/>
        <w:tblCellMar>
          <w:top w:w="0" w:type="dxa"/>
          <w:left w:w="0" w:type="dxa"/>
          <w:bottom w:w="0" w:type="dxa"/>
          <w:right w:w="0" w:type="dxa"/>
        </w:tblCellMar>
      </w:tblPr>
      <w:tblGrid>
        <w:gridCol w:w="1215"/>
        <w:gridCol w:w="1680"/>
        <w:gridCol w:w="1605"/>
        <w:gridCol w:w="1575"/>
        <w:gridCol w:w="1680"/>
      </w:tblGrid>
      <w:tr>
        <w:tblPrEx>
          <w:shd w:val="clear" w:color="auto" w:fill="auto"/>
          <w:tblCellMar>
            <w:top w:w="0" w:type="dxa"/>
            <w:left w:w="0" w:type="dxa"/>
            <w:bottom w:w="0" w:type="dxa"/>
            <w:right w:w="0" w:type="dxa"/>
          </w:tblCellMar>
        </w:tblPrEx>
        <w:trPr>
          <w:trHeight w:val="272" w:hRule="atLeast"/>
          <w:tblHeader/>
          <w:jc w:val="center"/>
        </w:trPr>
        <w:tc>
          <w:tcPr>
            <w:tcW w:w="12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日期</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住宅定金（元）</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住宅首付（元）</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按揭放款（元）</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合计（元）</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90,000.00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1,228,827.00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5,668,827.00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1,640,000.00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1,103,738.00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3,403,738.00 </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4,050,000.00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1,897,890.00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3,147,890.00 </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1,962,567.00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2,012,567.00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470,000.00 </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3,630,000.00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887,981.00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2,307,981.00 </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2,350,000.00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3,240,000.00 </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58,323.00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2,208,323.00 </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4,358,392.00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4,998,392.00 </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Arial" w:hAnsi="Arial" w:eastAsia="宋体" w:cs="Arial"/>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901,288.00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Arial" w:hAnsi="Arial" w:eastAsia="宋体" w:cs="Arial"/>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901,288.00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1,471,969.00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4,011,969.00 </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Arial" w:hAnsi="Arial" w:eastAsia="宋体" w:cs="Arial"/>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2,728,581.00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Arial" w:hAnsi="Arial" w:eastAsia="宋体" w:cs="Arial"/>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2,728,581.00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1,335,770.00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5,210,469.00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10,046,239.00 </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1,563,226.00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3,420,000.00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5,363,226.00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Arial" w:hAnsi="Arial" w:eastAsia="宋体" w:cs="Arial"/>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4,044,250.00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Arial" w:hAnsi="Arial" w:eastAsia="宋体" w:cs="Arial"/>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4,044,250.00 </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Arial" w:hAnsi="Arial" w:eastAsia="宋体" w:cs="Arial"/>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161,000.00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Arial" w:hAnsi="Arial" w:eastAsia="宋体" w:cs="Arial"/>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161,000.00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1,597,829.00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Arial" w:hAnsi="Arial" w:eastAsia="宋体" w:cs="Arial"/>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1,697,829.00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Arial" w:hAnsi="Arial" w:eastAsia="宋体" w:cs="Arial"/>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2,050,000.00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Arial" w:hAnsi="Arial" w:eastAsia="宋体" w:cs="Arial"/>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880,279.00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Arial" w:hAnsi="Arial" w:eastAsia="宋体" w:cs="Arial"/>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880,279.00 </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-2,615,770.00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3,870,600.00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5,523,000.00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6,777,830.00 </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1,165,662.00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1,955,662.00 </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1,125,137.00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427,317.00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2,847,000.00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4,399,454.00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Arial" w:hAnsi="Arial" w:eastAsia="宋体" w:cs="Arial"/>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3,271,291.00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Arial" w:hAnsi="Arial" w:eastAsia="宋体" w:cs="Arial"/>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3,271,291.00 </w:t>
            </w:r>
          </w:p>
        </w:tc>
      </w:tr>
      <w:tr>
        <w:tblPrEx>
          <w:shd w:val="clear" w:color="auto" w:fill="auto"/>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1,446,619.00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2,499,796.00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Arial" w:hAnsi="Arial" w:eastAsia="宋体" w:cs="Arial"/>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3,946,415.00 </w:t>
            </w:r>
          </w:p>
        </w:tc>
      </w:tr>
      <w:tr>
        <w:tblPrEx>
          <w:shd w:val="clear" w:color="auto" w:fill="auto"/>
          <w:tblCellMar>
            <w:top w:w="0" w:type="dxa"/>
            <w:left w:w="0" w:type="dxa"/>
            <w:bottom w:w="0" w:type="dxa"/>
            <w:right w:w="0"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2020-11-30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-2,271,297.00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5,223,607.00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3,710,000.00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6,662,310.00 </w:t>
            </w:r>
          </w:p>
        </w:tc>
      </w:tr>
      <w:tr>
        <w:tblPrEx>
          <w:tblCellMar>
            <w:top w:w="0" w:type="dxa"/>
            <w:left w:w="0" w:type="dxa"/>
            <w:bottom w:w="0" w:type="dxa"/>
            <w:right w:w="0" w:type="dxa"/>
          </w:tblCellMar>
        </w:tblPrEx>
        <w:trPr>
          <w:trHeight w:val="270"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98,115,341.00 </w:t>
            </w:r>
          </w:p>
        </w:tc>
      </w:tr>
      <w:bookmarkEnd w:id="105"/>
    </w:tbl>
    <w:p>
      <w:pPr>
        <w:ind w:right="525" w:rightChars="250" w:firstLine="1050" w:firstLineChars="700"/>
        <w:rPr>
          <w:rFonts w:hint="default" w:ascii="Arial" w:hAnsi="Arial" w:cs="Arial"/>
          <w:sz w:val="15"/>
          <w:szCs w:val="15"/>
        </w:rPr>
      </w:pPr>
      <w:bookmarkStart w:id="106" w:name="_Toc50218143"/>
      <w:r>
        <w:rPr>
          <w:rFonts w:hint="default" w:ascii="Arial" w:hAnsi="Arial" w:cs="Arial"/>
          <w:sz w:val="15"/>
          <w:szCs w:val="15"/>
        </w:rPr>
        <w:t>注：银联系统存在支付时间差异，销售回款中POS刷卡收入将于次一工作日进入项目公司相应账户。</w:t>
      </w:r>
    </w:p>
    <w:p>
      <w:pPr>
        <w:pStyle w:val="3"/>
        <w:keepNext w:val="0"/>
        <w:keepLines w:val="0"/>
        <w:spacing w:before="300" w:after="300" w:line="360" w:lineRule="exact"/>
        <w:jc w:val="left"/>
        <w:rPr>
          <w:rFonts w:hint="default" w:ascii="Arial" w:hAnsi="Arial" w:eastAsia="宋体" w:cs="Arial"/>
          <w:sz w:val="24"/>
          <w:szCs w:val="24"/>
        </w:rPr>
      </w:pPr>
      <w:bookmarkStart w:id="107" w:name="_Toc22110"/>
      <w:bookmarkStart w:id="108" w:name="_Toc1813"/>
      <w:bookmarkStart w:id="109" w:name="_Toc7617"/>
      <w:r>
        <w:rPr>
          <w:rFonts w:hint="default" w:ascii="Arial" w:hAnsi="Arial" w:eastAsia="宋体" w:cs="Arial"/>
          <w:sz w:val="24"/>
          <w:szCs w:val="24"/>
        </w:rPr>
        <w:t>8.4</w:t>
      </w:r>
      <w:r>
        <w:rPr>
          <w:rFonts w:hint="default" w:ascii="Arial" w:hAnsi="Arial" w:eastAsia="宋体" w:cs="Arial"/>
          <w:sz w:val="21"/>
          <w:szCs w:val="21"/>
        </w:rPr>
        <w:t xml:space="preserve"> </w:t>
      </w:r>
      <w:r>
        <w:rPr>
          <w:rFonts w:hint="default" w:ascii="Arial" w:hAnsi="Arial" w:eastAsia="宋体" w:cs="Arial"/>
          <w:sz w:val="24"/>
          <w:szCs w:val="24"/>
        </w:rPr>
        <w:t>各银行账户余额</w:t>
      </w:r>
      <w:bookmarkEnd w:id="106"/>
      <w:bookmarkEnd w:id="107"/>
      <w:bookmarkEnd w:id="108"/>
      <w:bookmarkEnd w:id="109"/>
    </w:p>
    <w:p>
      <w:pPr>
        <w:widowControl/>
        <w:spacing w:line="480" w:lineRule="auto"/>
        <w:ind w:firstLine="420" w:firstLineChars="200"/>
        <w:rPr>
          <w:rFonts w:hint="default" w:ascii="Arial" w:hAnsi="Arial" w:cs="Arial"/>
          <w:kern w:val="44"/>
          <w:szCs w:val="21"/>
        </w:rPr>
      </w:pPr>
      <w:r>
        <w:rPr>
          <w:rFonts w:hint="default" w:ascii="Arial" w:hAnsi="Arial" w:cs="Arial"/>
          <w:kern w:val="44"/>
          <w:szCs w:val="21"/>
        </w:rPr>
        <w:t>根据项目公司的银行对账单，截至2020年</w:t>
      </w:r>
      <w:r>
        <w:rPr>
          <w:rFonts w:hint="default" w:ascii="Arial" w:hAnsi="Arial" w:cs="Arial"/>
          <w:kern w:val="44"/>
          <w:szCs w:val="21"/>
          <w:lang w:val="en-US" w:eastAsia="zh-CN"/>
        </w:rPr>
        <w:t>1</w:t>
      </w:r>
      <w:r>
        <w:rPr>
          <w:rFonts w:hint="eastAsia" w:ascii="Arial" w:hAnsi="Arial" w:cs="Arial"/>
          <w:kern w:val="44"/>
          <w:szCs w:val="21"/>
          <w:lang w:val="en-US" w:eastAsia="zh-CN"/>
        </w:rPr>
        <w:t>1</w:t>
      </w:r>
      <w:r>
        <w:rPr>
          <w:rFonts w:hint="default" w:ascii="Arial" w:hAnsi="Arial" w:cs="Arial"/>
          <w:kern w:val="44"/>
          <w:szCs w:val="21"/>
        </w:rPr>
        <w:t>月3</w:t>
      </w:r>
      <w:r>
        <w:rPr>
          <w:rFonts w:hint="eastAsia" w:ascii="Arial" w:hAnsi="Arial" w:cs="Arial"/>
          <w:kern w:val="44"/>
          <w:szCs w:val="21"/>
          <w:lang w:val="en-US" w:eastAsia="zh-CN"/>
        </w:rPr>
        <w:t>0</w:t>
      </w:r>
      <w:r>
        <w:rPr>
          <w:rFonts w:hint="default" w:ascii="Arial" w:hAnsi="Arial" w:cs="Arial"/>
          <w:kern w:val="44"/>
          <w:szCs w:val="21"/>
        </w:rPr>
        <w:t>日，项目公司各资金账户余额总计</w:t>
      </w:r>
      <w:r>
        <w:rPr>
          <w:rFonts w:hint="default" w:ascii="Arial" w:hAnsi="Arial" w:eastAsia="宋体" w:cs="Arial"/>
          <w:i w:val="0"/>
          <w:color w:val="000000"/>
          <w:kern w:val="0"/>
          <w:sz w:val="21"/>
          <w:szCs w:val="21"/>
          <w:u w:val="none"/>
          <w:lang w:val="en-US" w:eastAsia="zh-CN" w:bidi="ar"/>
        </w:rPr>
        <w:t>279,869,888.49</w:t>
      </w:r>
      <w:r>
        <w:rPr>
          <w:rFonts w:hint="default" w:ascii="Arial" w:hAnsi="Arial" w:cs="Arial"/>
          <w:kern w:val="44"/>
          <w:szCs w:val="21"/>
        </w:rPr>
        <w:drawing>
          <wp:anchor distT="0" distB="0" distL="114300" distR="114300" simplePos="0" relativeHeight="251655168" behindDoc="0" locked="0" layoutInCell="1" hidden="1" allowOverlap="1">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16"/>
                    <a:stretch>
                      <a:fillRect/>
                    </a:stretch>
                  </pic:blipFill>
                  <pic:spPr>
                    <a:xfrm>
                      <a:off x="0" y="0"/>
                      <a:ext cx="914400" cy="228600"/>
                    </a:xfrm>
                    <a:prstGeom prst="rect">
                      <a:avLst/>
                    </a:prstGeom>
                  </pic:spPr>
                </pic:pic>
              </a:graphicData>
            </a:graphic>
          </wp:anchor>
        </w:drawing>
      </w:r>
      <w:r>
        <w:rPr>
          <w:rFonts w:hint="default" w:ascii="Arial" w:hAnsi="Arial" w:cs="Arial"/>
          <w:kern w:val="44"/>
          <w:szCs w:val="21"/>
        </w:rPr>
        <w:t>元，各账户余额见下表。</w:t>
      </w:r>
    </w:p>
    <w:p>
      <w:pPr>
        <w:spacing w:before="120" w:beforeLines="50" w:after="120" w:afterLines="50"/>
        <w:jc w:val="center"/>
        <w:rPr>
          <w:rFonts w:hint="default" w:ascii="Arial" w:hAnsi="Arial" w:cs="Arial"/>
          <w:b/>
          <w:color w:val="000000"/>
          <w:sz w:val="24"/>
        </w:rPr>
      </w:pPr>
      <w:r>
        <w:rPr>
          <w:rFonts w:hint="default" w:ascii="Arial" w:hAnsi="Arial" w:cs="Arial"/>
          <w:b/>
          <w:color w:val="000000"/>
          <w:sz w:val="24"/>
        </w:rPr>
        <w:t>截止2020年</w:t>
      </w:r>
      <w:r>
        <w:rPr>
          <w:rFonts w:hint="default" w:ascii="Arial" w:hAnsi="Arial" w:cs="Arial"/>
          <w:b/>
          <w:color w:val="000000"/>
          <w:sz w:val="24"/>
          <w:lang w:val="en-US" w:eastAsia="zh-CN"/>
        </w:rPr>
        <w:t>1</w:t>
      </w:r>
      <w:r>
        <w:rPr>
          <w:rFonts w:hint="eastAsia" w:ascii="Arial" w:hAnsi="Arial" w:cs="Arial"/>
          <w:b/>
          <w:color w:val="000000"/>
          <w:sz w:val="24"/>
          <w:lang w:val="en-US" w:eastAsia="zh-CN"/>
        </w:rPr>
        <w:t>1</w:t>
      </w:r>
      <w:r>
        <w:rPr>
          <w:rFonts w:hint="default" w:ascii="Arial" w:hAnsi="Arial" w:cs="Arial"/>
          <w:b/>
          <w:color w:val="000000"/>
          <w:sz w:val="24"/>
        </w:rPr>
        <w:t>月3</w:t>
      </w:r>
      <w:r>
        <w:rPr>
          <w:rFonts w:hint="eastAsia" w:ascii="Arial" w:hAnsi="Arial" w:cs="Arial"/>
          <w:b/>
          <w:color w:val="000000"/>
          <w:sz w:val="24"/>
          <w:lang w:val="en-US" w:eastAsia="zh-CN"/>
        </w:rPr>
        <w:t>0</w:t>
      </w:r>
      <w:r>
        <w:rPr>
          <w:rFonts w:hint="default" w:ascii="Arial" w:hAnsi="Arial" w:cs="Arial"/>
          <w:b/>
          <w:color w:val="000000"/>
          <w:sz w:val="24"/>
        </w:rPr>
        <w:t>日各银行账户余额汇总</w:t>
      </w:r>
    </w:p>
    <w:tbl>
      <w:tblPr>
        <w:tblStyle w:val="22"/>
        <w:tblW w:w="10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810"/>
        <w:gridCol w:w="2475"/>
        <w:gridCol w:w="2475"/>
        <w:gridCol w:w="2475"/>
        <w:gridCol w:w="2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blHeader/>
          <w:jc w:val="center"/>
        </w:trPr>
        <w:tc>
          <w:tcPr>
            <w:tcW w:w="8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公司</w:t>
            </w:r>
          </w:p>
        </w:tc>
        <w:tc>
          <w:tcPr>
            <w:tcW w:w="247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开户银行名称</w:t>
            </w:r>
          </w:p>
        </w:tc>
        <w:tc>
          <w:tcPr>
            <w:tcW w:w="247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账号</w:t>
            </w:r>
          </w:p>
        </w:tc>
        <w:tc>
          <w:tcPr>
            <w:tcW w:w="247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账户性质</w:t>
            </w:r>
          </w:p>
        </w:tc>
        <w:tc>
          <w:tcPr>
            <w:tcW w:w="247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账户余额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810"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i w:val="0"/>
                <w:color w:val="000000"/>
                <w:sz w:val="18"/>
                <w:szCs w:val="18"/>
                <w:u w:val="none"/>
              </w:rPr>
            </w:pPr>
            <w:r>
              <w:rPr>
                <w:rFonts w:hint="default" w:ascii="Arial" w:hAnsi="Arial" w:eastAsia="宋体" w:cs="Arial"/>
                <w:i w:val="0"/>
                <w:color w:val="000000"/>
                <w:kern w:val="0"/>
                <w:sz w:val="18"/>
                <w:szCs w:val="18"/>
                <w:highlight w:val="none"/>
                <w:u w:val="none"/>
                <w:lang w:val="en-US" w:eastAsia="zh-CN" w:bidi="ar"/>
              </w:rPr>
              <w:t>正楚</w:t>
            </w:r>
          </w:p>
        </w:tc>
        <w:tc>
          <w:tcPr>
            <w:tcW w:w="247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中国光大银行武汉金融港支行</w:t>
            </w:r>
          </w:p>
        </w:tc>
        <w:tc>
          <w:tcPr>
            <w:tcW w:w="247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775 5018 8000 2136 40</w:t>
            </w:r>
          </w:p>
        </w:tc>
        <w:tc>
          <w:tcPr>
            <w:tcW w:w="247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基本户</w:t>
            </w:r>
          </w:p>
        </w:tc>
        <w:tc>
          <w:tcPr>
            <w:tcW w:w="2475" w:type="dxa"/>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25,522,269.15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810" w:type="dxa"/>
            <w:vMerge w:val="continue"/>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247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中国建设银行武汉汉阳支行</w:t>
            </w:r>
          </w:p>
        </w:tc>
        <w:tc>
          <w:tcPr>
            <w:tcW w:w="247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4205 0121 8008 0000 0764</w:t>
            </w:r>
          </w:p>
        </w:tc>
        <w:tc>
          <w:tcPr>
            <w:tcW w:w="247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一般户</w:t>
            </w:r>
          </w:p>
        </w:tc>
        <w:tc>
          <w:tcPr>
            <w:tcW w:w="2475" w:type="dxa"/>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64,705.07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810" w:type="dxa"/>
            <w:vMerge w:val="continue"/>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247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中国工商银行股份有限公司武汉汉阳支行</w:t>
            </w:r>
          </w:p>
        </w:tc>
        <w:tc>
          <w:tcPr>
            <w:tcW w:w="247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3202 0048 1920 1031 883</w:t>
            </w:r>
          </w:p>
        </w:tc>
        <w:tc>
          <w:tcPr>
            <w:tcW w:w="247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一般户</w:t>
            </w:r>
          </w:p>
        </w:tc>
        <w:tc>
          <w:tcPr>
            <w:tcW w:w="2475" w:type="dxa"/>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63,120.11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810" w:type="dxa"/>
            <w:vMerge w:val="continue"/>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247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中国光大银行武汉分行</w:t>
            </w:r>
          </w:p>
        </w:tc>
        <w:tc>
          <w:tcPr>
            <w:tcW w:w="247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3831 0188 0075 2310</w:t>
            </w:r>
          </w:p>
        </w:tc>
        <w:tc>
          <w:tcPr>
            <w:tcW w:w="247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放款户</w:t>
            </w:r>
          </w:p>
        </w:tc>
        <w:tc>
          <w:tcPr>
            <w:tcW w:w="2475" w:type="dxa"/>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28,297.09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810" w:type="dxa"/>
            <w:vMerge w:val="continue"/>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247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中国光大银行武汉分行</w:t>
            </w:r>
          </w:p>
        </w:tc>
        <w:tc>
          <w:tcPr>
            <w:tcW w:w="247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3831 0188 0007 52228</w:t>
            </w:r>
          </w:p>
        </w:tc>
        <w:tc>
          <w:tcPr>
            <w:tcW w:w="247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收入户</w:t>
            </w:r>
          </w:p>
        </w:tc>
        <w:tc>
          <w:tcPr>
            <w:tcW w:w="2475" w:type="dxa"/>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810" w:type="dxa"/>
            <w:vMerge w:val="continue"/>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247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中国光大银行武汉分行</w:t>
            </w:r>
          </w:p>
        </w:tc>
        <w:tc>
          <w:tcPr>
            <w:tcW w:w="247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3831 0180 8072 8251 1</w:t>
            </w:r>
          </w:p>
        </w:tc>
        <w:tc>
          <w:tcPr>
            <w:tcW w:w="247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贷款户</w:t>
            </w:r>
          </w:p>
        </w:tc>
        <w:tc>
          <w:tcPr>
            <w:tcW w:w="2475" w:type="dxa"/>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810" w:type="dxa"/>
            <w:vMerge w:val="continue"/>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247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中国光大银行武汉分行</w:t>
            </w:r>
          </w:p>
        </w:tc>
        <w:tc>
          <w:tcPr>
            <w:tcW w:w="247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3831 0180 8078 0911 2</w:t>
            </w:r>
          </w:p>
        </w:tc>
        <w:tc>
          <w:tcPr>
            <w:tcW w:w="247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预售监管账户</w:t>
            </w:r>
          </w:p>
        </w:tc>
        <w:tc>
          <w:tcPr>
            <w:tcW w:w="2475" w:type="dxa"/>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120,396,141.41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810" w:type="dxa"/>
            <w:vMerge w:val="continue"/>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247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中国光大银行武汉分行</w:t>
            </w:r>
          </w:p>
        </w:tc>
        <w:tc>
          <w:tcPr>
            <w:tcW w:w="247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3831 0180 8001 2108 8</w:t>
            </w:r>
          </w:p>
        </w:tc>
        <w:tc>
          <w:tcPr>
            <w:tcW w:w="247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预售监管账户</w:t>
            </w:r>
          </w:p>
        </w:tc>
        <w:tc>
          <w:tcPr>
            <w:tcW w:w="2475" w:type="dxa"/>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59,616,419.00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810" w:type="dxa"/>
            <w:vMerge w:val="continue"/>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247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中国光大银行武汉分行</w:t>
            </w:r>
          </w:p>
        </w:tc>
        <w:tc>
          <w:tcPr>
            <w:tcW w:w="247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3831 0180 8062 1266 5</w:t>
            </w:r>
          </w:p>
        </w:tc>
        <w:tc>
          <w:tcPr>
            <w:tcW w:w="247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预售监管账户</w:t>
            </w:r>
          </w:p>
        </w:tc>
        <w:tc>
          <w:tcPr>
            <w:tcW w:w="2475" w:type="dxa"/>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64,813,430.00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810" w:type="dxa"/>
            <w:vMerge w:val="continue"/>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u w:val="none"/>
              </w:rPr>
            </w:pPr>
          </w:p>
        </w:tc>
        <w:tc>
          <w:tcPr>
            <w:tcW w:w="247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中国光大银行武汉分行</w:t>
            </w:r>
          </w:p>
        </w:tc>
        <w:tc>
          <w:tcPr>
            <w:tcW w:w="247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3831 0188 0007 5950 0</w:t>
            </w:r>
          </w:p>
        </w:tc>
        <w:tc>
          <w:tcPr>
            <w:tcW w:w="247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预售监管账户</w:t>
            </w:r>
          </w:p>
        </w:tc>
        <w:tc>
          <w:tcPr>
            <w:tcW w:w="2475" w:type="dxa"/>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9,353,132.00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810"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正襄</w:t>
            </w:r>
          </w:p>
        </w:tc>
        <w:tc>
          <w:tcPr>
            <w:tcW w:w="247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中信银行梨园支行</w:t>
            </w:r>
          </w:p>
        </w:tc>
        <w:tc>
          <w:tcPr>
            <w:tcW w:w="247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8111 5010 1200 0622 861</w:t>
            </w:r>
          </w:p>
        </w:tc>
        <w:tc>
          <w:tcPr>
            <w:tcW w:w="2475"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基本户</w:t>
            </w:r>
          </w:p>
        </w:tc>
        <w:tc>
          <w:tcPr>
            <w:tcW w:w="2475" w:type="dxa"/>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8,319.66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jc w:val="center"/>
        </w:trPr>
        <w:tc>
          <w:tcPr>
            <w:tcW w:w="0" w:type="auto"/>
            <w:gridSpan w:val="4"/>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合计</w:t>
            </w:r>
          </w:p>
        </w:tc>
        <w:tc>
          <w:tcPr>
            <w:tcW w:w="0" w:type="auto"/>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279,869,888.49</w:t>
            </w:r>
          </w:p>
        </w:tc>
      </w:tr>
    </w:tbl>
    <w:p>
      <w:pPr>
        <w:spacing w:before="120" w:beforeLines="50" w:after="120" w:afterLines="50"/>
        <w:jc w:val="center"/>
        <w:rPr>
          <w:rFonts w:hint="default" w:ascii="Arial" w:hAnsi="Arial" w:cs="Arial"/>
          <w:b/>
          <w:color w:val="000000"/>
          <w:sz w:val="24"/>
        </w:rPr>
      </w:pPr>
    </w:p>
    <w:p>
      <w:pPr>
        <w:rPr>
          <w:rFonts w:hint="default" w:ascii="Arial" w:hAnsi="Arial" w:cs="Arial"/>
          <w:color w:val="000000"/>
          <w:sz w:val="24"/>
        </w:rPr>
      </w:pPr>
      <w:bookmarkStart w:id="110" w:name="_Toc7236"/>
      <w:bookmarkStart w:id="111" w:name="_Toc50218144"/>
      <w:r>
        <w:rPr>
          <w:rFonts w:hint="default" w:ascii="Arial" w:hAnsi="Arial" w:cs="Arial"/>
          <w:color w:val="000000"/>
          <w:sz w:val="24"/>
        </w:rPr>
        <w:br w:type="page"/>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color w:val="000000"/>
          <w:sz w:val="24"/>
          <w:szCs w:val="24"/>
        </w:rPr>
      </w:pPr>
      <w:bookmarkStart w:id="112" w:name="_Toc27622"/>
      <w:bookmarkStart w:id="113" w:name="_Toc28047"/>
      <w:r>
        <w:rPr>
          <w:rFonts w:hint="default" w:ascii="Arial" w:hAnsi="Arial" w:eastAsia="宋体" w:cs="Arial"/>
          <w:color w:val="000000"/>
          <w:sz w:val="24"/>
          <w:szCs w:val="24"/>
        </w:rPr>
        <w:t>附件</w:t>
      </w:r>
      <w:bookmarkEnd w:id="110"/>
      <w:bookmarkEnd w:id="111"/>
      <w:bookmarkEnd w:id="112"/>
      <w:bookmarkEnd w:id="113"/>
      <w:bookmarkStart w:id="114" w:name="_Toc514075669"/>
      <w:bookmarkStart w:id="115" w:name="_Toc535570762"/>
      <w:bookmarkStart w:id="116" w:name="_Toc535508648"/>
      <w:bookmarkStart w:id="117" w:name="_Toc535580035"/>
      <w:bookmarkStart w:id="118" w:name="_Toc535580103"/>
    </w:p>
    <w:p>
      <w:pPr>
        <w:pStyle w:val="3"/>
        <w:spacing w:before="300" w:after="300" w:line="360" w:lineRule="exact"/>
        <w:jc w:val="left"/>
        <w:rPr>
          <w:rFonts w:hint="default" w:ascii="Arial" w:hAnsi="Arial" w:cs="Arial"/>
        </w:rPr>
      </w:pPr>
      <w:bookmarkStart w:id="119" w:name="_Toc50218145"/>
      <w:bookmarkStart w:id="120" w:name="_Toc4353"/>
      <w:bookmarkStart w:id="121" w:name="_Toc32353"/>
      <w:bookmarkStart w:id="122" w:name="_Toc20809"/>
      <w:r>
        <w:rPr>
          <w:rFonts w:hint="default" w:ascii="Arial" w:hAnsi="Arial" w:eastAsia="宋体" w:cs="Arial"/>
          <w:color w:val="000000"/>
          <w:sz w:val="24"/>
          <w:szCs w:val="24"/>
        </w:rPr>
        <w:t>附件</w:t>
      </w:r>
      <w:bookmarkEnd w:id="114"/>
      <w:bookmarkEnd w:id="115"/>
      <w:bookmarkEnd w:id="116"/>
      <w:bookmarkEnd w:id="117"/>
      <w:bookmarkEnd w:id="118"/>
      <w:r>
        <w:rPr>
          <w:rFonts w:hint="default" w:ascii="Arial" w:hAnsi="Arial" w:eastAsia="宋体" w:cs="Arial"/>
          <w:color w:val="000000"/>
          <w:sz w:val="24"/>
          <w:szCs w:val="24"/>
        </w:rPr>
        <w:t xml:space="preserve">一  </w:t>
      </w:r>
      <w:bookmarkEnd w:id="119"/>
      <w:r>
        <w:rPr>
          <w:rFonts w:hint="default" w:ascii="Arial" w:hAnsi="Arial" w:eastAsia="宋体" w:cs="Arial"/>
          <w:color w:val="000000"/>
          <w:sz w:val="24"/>
          <w:szCs w:val="24"/>
        </w:rPr>
        <w:t>项目平面图</w:t>
      </w:r>
      <w:bookmarkEnd w:id="120"/>
      <w:bookmarkEnd w:id="121"/>
      <w:bookmarkEnd w:id="122"/>
    </w:p>
    <w:p>
      <w:pPr>
        <w:jc w:val="center"/>
        <w:rPr>
          <w:rFonts w:hint="default" w:ascii="Arial" w:hAnsi="Arial" w:cs="Arial"/>
          <w:b/>
          <w:bCs/>
        </w:rPr>
      </w:pPr>
      <w:r>
        <w:rPr>
          <w:rFonts w:hint="default" w:ascii="Arial" w:hAnsi="Arial" w:cs="Arial"/>
          <w:b/>
          <w:bCs/>
        </w:rPr>
        <w:drawing>
          <wp:inline distT="0" distB="0" distL="114300" distR="114300">
            <wp:extent cx="5903595" cy="3469005"/>
            <wp:effectExtent l="0" t="0" r="1905" b="17145"/>
            <wp:docPr id="3" name="图片 3" descr="1602318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2318481(1)"/>
                    <pic:cNvPicPr>
                      <a:picLocks noChangeAspect="1"/>
                    </pic:cNvPicPr>
                  </pic:nvPicPr>
                  <pic:blipFill>
                    <a:blip r:embed="rId17"/>
                    <a:stretch>
                      <a:fillRect/>
                    </a:stretch>
                  </pic:blipFill>
                  <pic:spPr>
                    <a:xfrm>
                      <a:off x="0" y="0"/>
                      <a:ext cx="5903595" cy="3469005"/>
                    </a:xfrm>
                    <a:prstGeom prst="rect">
                      <a:avLst/>
                    </a:prstGeom>
                  </pic:spPr>
                </pic:pic>
              </a:graphicData>
            </a:graphic>
          </wp:inline>
        </w:drawing>
      </w:r>
    </w:p>
    <w:p>
      <w:pPr>
        <w:rPr>
          <w:rFonts w:hint="default" w:ascii="Arial" w:hAnsi="Arial" w:cs="Arial"/>
          <w:b/>
          <w:bCs/>
        </w:rPr>
      </w:pPr>
    </w:p>
    <w:p>
      <w:pPr>
        <w:rPr>
          <w:rFonts w:hint="default" w:ascii="Arial" w:hAnsi="Arial" w:cs="Arial"/>
          <w:b/>
          <w:bCs/>
        </w:rPr>
      </w:pPr>
      <w:r>
        <w:rPr>
          <w:rFonts w:hint="default" w:ascii="Arial" w:hAnsi="Arial" w:cs="Arial"/>
          <w:b/>
          <w:bCs/>
        </w:rPr>
        <w:drawing>
          <wp:inline distT="0" distB="0" distL="114300" distR="114300">
            <wp:extent cx="5698490" cy="4274185"/>
            <wp:effectExtent l="0" t="0" r="16510" b="12065"/>
            <wp:docPr id="157" name="图片 157" descr="b328deb9ea41d0be35fa1765bdf8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b328deb9ea41d0be35fa1765bdf889a"/>
                    <pic:cNvPicPr>
                      <a:picLocks noChangeAspect="1"/>
                    </pic:cNvPicPr>
                  </pic:nvPicPr>
                  <pic:blipFill>
                    <a:blip r:embed="rId18"/>
                    <a:stretch>
                      <a:fillRect/>
                    </a:stretch>
                  </pic:blipFill>
                  <pic:spPr>
                    <a:xfrm>
                      <a:off x="0" y="0"/>
                      <a:ext cx="5698490" cy="4274185"/>
                    </a:xfrm>
                    <a:prstGeom prst="rect">
                      <a:avLst/>
                    </a:prstGeom>
                  </pic:spPr>
                </pic:pic>
              </a:graphicData>
            </a:graphic>
          </wp:inline>
        </w:drawing>
      </w:r>
    </w:p>
    <w:p>
      <w:pPr>
        <w:pStyle w:val="3"/>
        <w:spacing w:before="300" w:after="300" w:line="360" w:lineRule="exact"/>
        <w:jc w:val="left"/>
        <w:rPr>
          <w:rFonts w:hint="eastAsia" w:eastAsia="宋体" w:cs="Arial"/>
          <w:color w:val="000000"/>
          <w:sz w:val="24"/>
          <w:szCs w:val="24"/>
          <w:lang w:eastAsia="zh-CN"/>
        </w:rPr>
      </w:pPr>
      <w:bookmarkStart w:id="123" w:name="_Toc14252"/>
      <w:bookmarkStart w:id="124" w:name="_Toc21211"/>
      <w:bookmarkStart w:id="125" w:name="_Toc22880"/>
      <w:bookmarkStart w:id="126" w:name="_Toc50218146"/>
      <w:r>
        <w:rPr>
          <w:rFonts w:hint="default" w:ascii="Arial" w:hAnsi="Arial" w:eastAsia="宋体" w:cs="Arial"/>
          <w:color w:val="000000"/>
          <w:sz w:val="24"/>
          <w:szCs w:val="24"/>
        </w:rPr>
        <w:t xml:space="preserve">附件二 </w:t>
      </w:r>
      <w:bookmarkEnd w:id="123"/>
      <w:bookmarkEnd w:id="124"/>
      <w:r>
        <w:rPr>
          <w:rFonts w:hint="eastAsia" w:eastAsia="宋体" w:cs="Arial"/>
          <w:color w:val="000000"/>
          <w:sz w:val="24"/>
          <w:szCs w:val="24"/>
          <w:lang w:eastAsia="zh-CN"/>
        </w:rPr>
        <w:t>印鉴卡</w:t>
      </w:r>
      <w:bookmarkEnd w:id="125"/>
    </w:p>
    <w:p>
      <w:pPr>
        <w:jc w:val="center"/>
        <w:rPr>
          <w:rFonts w:hint="default"/>
          <w:sz w:val="36"/>
          <w:szCs w:val="36"/>
          <w:lang w:eastAsia="zh-CN"/>
        </w:rPr>
      </w:pPr>
      <w:r>
        <w:rPr>
          <w:rFonts w:hint="eastAsia" w:cs="Arial"/>
          <w:color w:val="000000"/>
          <w:sz w:val="36"/>
          <w:szCs w:val="36"/>
          <w:lang w:eastAsia="zh-CN"/>
        </w:rPr>
        <w:t>中国建设印鉴卡</w:t>
      </w:r>
    </w:p>
    <w:p>
      <w:pPr>
        <w:jc w:val="center"/>
        <w:rPr>
          <w:rFonts w:hint="default" w:ascii="Arial" w:hAnsi="Arial" w:cs="Arial"/>
        </w:rPr>
      </w:pPr>
      <w:r>
        <w:drawing>
          <wp:inline distT="0" distB="0" distL="114300" distR="114300">
            <wp:extent cx="5902960" cy="3125470"/>
            <wp:effectExtent l="0" t="0" r="2540" b="17780"/>
            <wp:docPr id="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
                    <pic:cNvPicPr>
                      <a:picLocks noChangeAspect="1"/>
                    </pic:cNvPicPr>
                  </pic:nvPicPr>
                  <pic:blipFill>
                    <a:blip r:embed="rId19"/>
                    <a:stretch>
                      <a:fillRect/>
                    </a:stretch>
                  </pic:blipFill>
                  <pic:spPr>
                    <a:xfrm>
                      <a:off x="0" y="0"/>
                      <a:ext cx="5902960" cy="3125470"/>
                    </a:xfrm>
                    <a:prstGeom prst="rect">
                      <a:avLst/>
                    </a:prstGeom>
                    <a:noFill/>
                    <a:ln>
                      <a:noFill/>
                    </a:ln>
                  </pic:spPr>
                </pic:pic>
              </a:graphicData>
            </a:graphic>
          </wp:inline>
        </w:drawing>
      </w:r>
    </w:p>
    <w:p>
      <w:pPr>
        <w:jc w:val="left"/>
        <w:rPr>
          <w:rFonts w:hint="default" w:ascii="Arial" w:hAnsi="Arial" w:cs="Arial"/>
          <w:b/>
          <w:bCs/>
          <w:sz w:val="24"/>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eastAsia" w:ascii="Arial" w:hAnsi="Arial" w:eastAsia="宋体" w:cs="Arial"/>
          <w:lang w:eastAsia="zh-CN"/>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bookmarkEnd w:id="126"/>
    <w:p>
      <w:pPr>
        <w:jc w:val="left"/>
        <w:rPr>
          <w:rFonts w:hint="default" w:ascii="Arial" w:hAnsi="Arial" w:cs="Arial"/>
        </w:rPr>
      </w:pPr>
    </w:p>
    <w:sectPr>
      <w:headerReference r:id="rId4" w:type="default"/>
      <w:footerReference r:id="rId5" w:type="default"/>
      <w:pgSz w:w="11906" w:h="16838"/>
      <w:pgMar w:top="1134" w:right="1134" w:bottom="1134" w:left="1134" w:header="851" w:footer="992" w:gutter="34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atang">
    <w:altName w:val="Malgun Gothic"/>
    <w:panose1 w:val="02030600000101010101"/>
    <w:charset w:val="81"/>
    <w:family w:val="roman"/>
    <w:pitch w:val="default"/>
    <w:sig w:usb0="00000000" w:usb1="00000000" w:usb2="00000030" w:usb3="00000000" w:csb0="4008009F" w:csb1="DFD70000"/>
  </w:font>
  <w:font w:name="仿宋_GB2312">
    <w:altName w:val="仿宋"/>
    <w:panose1 w:val="00000000000000000000"/>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360" w:lineRule="auto"/>
      <w:jc w:val="center"/>
    </w:pPr>
    <w:r>
      <mc:AlternateContent>
        <mc:Choice Requires="wps">
          <w:drawing>
            <wp:anchor distT="0" distB="0" distL="114300" distR="114300" simplePos="0" relativeHeight="251658240" behindDoc="0" locked="0" layoutInCell="1" allowOverlap="1">
              <wp:simplePos x="0" y="0"/>
              <wp:positionH relativeFrom="margin">
                <wp:posOffset>2797810</wp:posOffset>
              </wp:positionH>
              <wp:positionV relativeFrom="paragraph">
                <wp:posOffset>-3175</wp:posOffset>
              </wp:positionV>
              <wp:extent cx="365760" cy="134620"/>
              <wp:effectExtent l="0" t="0" r="15240" b="1778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365760" cy="134620"/>
                      </a:xfrm>
                      <a:prstGeom prst="rect">
                        <a:avLst/>
                      </a:prstGeom>
                      <a:noFill/>
                      <a:ln>
                        <a:noFill/>
                      </a:ln>
                    </wps:spPr>
                    <wps:txbx>
                      <w:txbxContent>
                        <w:p>
                          <w:pPr>
                            <w:pStyle w:val="12"/>
                            <w:spacing w:line="360" w:lineRule="auto"/>
                            <w:jc w:val="center"/>
                          </w:pPr>
                          <w:r>
                            <w:fldChar w:fldCharType="begin"/>
                          </w:r>
                          <w:r>
                            <w:instrText xml:space="preserve">PAGE   \* MERGEFORMAT</w:instrText>
                          </w:r>
                          <w:r>
                            <w:fldChar w:fldCharType="separate"/>
                          </w:r>
                          <w:r>
                            <w:rPr>
                              <w:lang w:val="zh-CN"/>
                            </w:rPr>
                            <w:t>1</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20.3pt;margin-top:-0.25pt;height:10.6pt;width:28.8pt;mso-position-horizontal-relative:margin;z-index:251658240;mso-width-relative:page;mso-height-relative:page;" filled="f" stroked="f" coordsize="21600,21600" o:gfxdata="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3r+2PYAAAACAEAAA8AAAAAAAAAAQAgAAAA&#10;IgAAAGRycy9kb3ducmV2LnhtbFBLAQIUABQAAAAIAIdO4kD9U9lwCwIAAAQEAAAOAAAAAAAAAAEA&#10;IAAAACcBAABkcnMvZTJvRG9jLnhtbFBLBQYAAAAABgAGAFkBAACkBQAAAAA=&#10;">
              <v:fill on="f" focussize="0,0"/>
              <v:stroke on="f"/>
              <v:imagedata o:title=""/>
              <o:lock v:ext="edit" aspectratio="f"/>
              <v:textbox inset="0mm,0mm,0mm,0mm">
                <w:txbxContent>
                  <w:p>
                    <w:pPr>
                      <w:pStyle w:val="12"/>
                      <w:spacing w:line="360" w:lineRule="auto"/>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r>
      <w:drawing>
        <wp:inline distT="0" distB="0" distL="0" distR="0">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360" w:lineRule="auto"/>
      <w:rPr>
        <w:rFonts w:ascii="Arial" w:hAnsi="Arial" w:cs="Arial"/>
      </w:rPr>
    </w:pPr>
    <w:r>
      <w:rPr>
        <w:rFonts w:hint="default" w:ascii="Arial" w:hAnsi="Arial" w:cs="Arial"/>
      </w:rPr>
      <w:t>20</w:t>
    </w:r>
    <w:r>
      <w:rPr>
        <w:rFonts w:ascii="Arial" w:hAnsi="Arial" w:cs="Arial"/>
      </w:rPr>
      <w:t>20</w:t>
    </w:r>
    <w:r>
      <w:rPr>
        <w:rFonts w:hint="default" w:ascii="Arial" w:hAnsi="Arial" w:cs="Arial"/>
      </w:rPr>
      <w:t>年</w:t>
    </w:r>
    <w:r>
      <w:rPr>
        <w:rFonts w:hint="default" w:ascii="Arial" w:hAnsi="Arial" w:cs="Arial"/>
        <w:lang w:val="en-US" w:eastAsia="zh-CN"/>
      </w:rPr>
      <w:t>11</w:t>
    </w:r>
    <w:r>
      <w:rPr>
        <w:rFonts w:hint="default" w:ascii="Arial" w:hAnsi="Arial" w:cs="Arial"/>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B0211E"/>
    <w:multiLevelType w:val="singleLevel"/>
    <w:tmpl w:val="AAB0211E"/>
    <w:lvl w:ilvl="0" w:tentative="0">
      <w:start w:val="1"/>
      <w:numFmt w:val="decimal"/>
      <w:lvlText w:val="(%1)"/>
      <w:lvlJc w:val="left"/>
      <w:pPr>
        <w:ind w:left="425" w:hanging="425"/>
      </w:pPr>
      <w:rPr>
        <w:rFonts w:hint="default"/>
      </w:rPr>
    </w:lvl>
  </w:abstractNum>
  <w:abstractNum w:abstractNumId="1">
    <w:nsid w:val="12F28EAE"/>
    <w:multiLevelType w:val="singleLevel"/>
    <w:tmpl w:val="12F28EAE"/>
    <w:lvl w:ilvl="0" w:tentative="0">
      <w:start w:val="1"/>
      <w:numFmt w:val="decimal"/>
      <w:lvlText w:val="(%1)"/>
      <w:lvlJc w:val="left"/>
      <w:pPr>
        <w:ind w:left="425" w:hanging="425"/>
      </w:pPr>
      <w:rPr>
        <w:rFonts w:hint="default"/>
      </w:rPr>
    </w:lvl>
  </w:abstractNum>
  <w:abstractNum w:abstractNumId="2">
    <w:nsid w:val="15B5DC68"/>
    <w:multiLevelType w:val="singleLevel"/>
    <w:tmpl w:val="15B5DC68"/>
    <w:lvl w:ilvl="0" w:tentative="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21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12E8"/>
    <w:rsid w:val="00011944"/>
    <w:rsid w:val="00012E24"/>
    <w:rsid w:val="0001320A"/>
    <w:rsid w:val="000138BC"/>
    <w:rsid w:val="00013BD5"/>
    <w:rsid w:val="000143CE"/>
    <w:rsid w:val="000151B3"/>
    <w:rsid w:val="000156B8"/>
    <w:rsid w:val="00015F2E"/>
    <w:rsid w:val="000201D4"/>
    <w:rsid w:val="00020CB4"/>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3270"/>
    <w:rsid w:val="000432B9"/>
    <w:rsid w:val="0004330E"/>
    <w:rsid w:val="0004333F"/>
    <w:rsid w:val="000435AE"/>
    <w:rsid w:val="000436A6"/>
    <w:rsid w:val="0004498B"/>
    <w:rsid w:val="00044D7B"/>
    <w:rsid w:val="000452A7"/>
    <w:rsid w:val="00045744"/>
    <w:rsid w:val="00045CBE"/>
    <w:rsid w:val="0004604E"/>
    <w:rsid w:val="00047365"/>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D1A"/>
    <w:rsid w:val="000E015B"/>
    <w:rsid w:val="000E1C82"/>
    <w:rsid w:val="000E23BB"/>
    <w:rsid w:val="000E2525"/>
    <w:rsid w:val="000E31A7"/>
    <w:rsid w:val="000E4374"/>
    <w:rsid w:val="000E43C8"/>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177"/>
    <w:rsid w:val="0010439F"/>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F72"/>
    <w:rsid w:val="00114922"/>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62D"/>
    <w:rsid w:val="00180EE8"/>
    <w:rsid w:val="001820AC"/>
    <w:rsid w:val="001820C1"/>
    <w:rsid w:val="0018288D"/>
    <w:rsid w:val="00182E07"/>
    <w:rsid w:val="00183357"/>
    <w:rsid w:val="00183CF2"/>
    <w:rsid w:val="00183F0E"/>
    <w:rsid w:val="001840B7"/>
    <w:rsid w:val="0018424A"/>
    <w:rsid w:val="001846BD"/>
    <w:rsid w:val="00184711"/>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E15"/>
    <w:rsid w:val="001E7929"/>
    <w:rsid w:val="001E7979"/>
    <w:rsid w:val="001E7A71"/>
    <w:rsid w:val="001F05D2"/>
    <w:rsid w:val="001F10E7"/>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213C"/>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3EC5"/>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352C"/>
    <w:rsid w:val="003239D5"/>
    <w:rsid w:val="00323EEF"/>
    <w:rsid w:val="003244EA"/>
    <w:rsid w:val="0032478E"/>
    <w:rsid w:val="00324867"/>
    <w:rsid w:val="003248CE"/>
    <w:rsid w:val="00324E2E"/>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16E"/>
    <w:rsid w:val="00355239"/>
    <w:rsid w:val="00355D6B"/>
    <w:rsid w:val="00356EE9"/>
    <w:rsid w:val="003578AB"/>
    <w:rsid w:val="0036117C"/>
    <w:rsid w:val="00361B3E"/>
    <w:rsid w:val="00361D4E"/>
    <w:rsid w:val="00361ED8"/>
    <w:rsid w:val="0036211E"/>
    <w:rsid w:val="00362C0D"/>
    <w:rsid w:val="003634EF"/>
    <w:rsid w:val="003636E8"/>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838"/>
    <w:rsid w:val="003C2050"/>
    <w:rsid w:val="003C21E9"/>
    <w:rsid w:val="003C26AD"/>
    <w:rsid w:val="003C2BAA"/>
    <w:rsid w:val="003C34B6"/>
    <w:rsid w:val="003C3A30"/>
    <w:rsid w:val="003C4939"/>
    <w:rsid w:val="003C587A"/>
    <w:rsid w:val="003C59AA"/>
    <w:rsid w:val="003C6229"/>
    <w:rsid w:val="003C654C"/>
    <w:rsid w:val="003D0880"/>
    <w:rsid w:val="003D094E"/>
    <w:rsid w:val="003D09A1"/>
    <w:rsid w:val="003D0D65"/>
    <w:rsid w:val="003D0FEE"/>
    <w:rsid w:val="003D12F0"/>
    <w:rsid w:val="003D1612"/>
    <w:rsid w:val="003D1B33"/>
    <w:rsid w:val="003D260D"/>
    <w:rsid w:val="003D274E"/>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770"/>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3D1"/>
    <w:rsid w:val="004B4550"/>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ED"/>
    <w:rsid w:val="00567DA6"/>
    <w:rsid w:val="00570341"/>
    <w:rsid w:val="00570863"/>
    <w:rsid w:val="005710D4"/>
    <w:rsid w:val="005721A4"/>
    <w:rsid w:val="00572908"/>
    <w:rsid w:val="00573694"/>
    <w:rsid w:val="0057403D"/>
    <w:rsid w:val="00574269"/>
    <w:rsid w:val="00574537"/>
    <w:rsid w:val="005753F4"/>
    <w:rsid w:val="00575ABF"/>
    <w:rsid w:val="00575F36"/>
    <w:rsid w:val="00576FDB"/>
    <w:rsid w:val="0057725D"/>
    <w:rsid w:val="005806B7"/>
    <w:rsid w:val="005812EC"/>
    <w:rsid w:val="00582829"/>
    <w:rsid w:val="00582D35"/>
    <w:rsid w:val="00583A3A"/>
    <w:rsid w:val="00584A2B"/>
    <w:rsid w:val="00584E04"/>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AA8"/>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1029"/>
    <w:rsid w:val="00661559"/>
    <w:rsid w:val="00661694"/>
    <w:rsid w:val="00661892"/>
    <w:rsid w:val="00661898"/>
    <w:rsid w:val="00661B31"/>
    <w:rsid w:val="00662B69"/>
    <w:rsid w:val="00663509"/>
    <w:rsid w:val="00663A69"/>
    <w:rsid w:val="00663E14"/>
    <w:rsid w:val="00664C15"/>
    <w:rsid w:val="00664D1D"/>
    <w:rsid w:val="00664DF9"/>
    <w:rsid w:val="0066502B"/>
    <w:rsid w:val="00665742"/>
    <w:rsid w:val="00665B84"/>
    <w:rsid w:val="00666596"/>
    <w:rsid w:val="0066685E"/>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C5C"/>
    <w:rsid w:val="00763959"/>
    <w:rsid w:val="00763FCB"/>
    <w:rsid w:val="0076491F"/>
    <w:rsid w:val="00764E8A"/>
    <w:rsid w:val="00765398"/>
    <w:rsid w:val="00765715"/>
    <w:rsid w:val="00765A62"/>
    <w:rsid w:val="0076689D"/>
    <w:rsid w:val="00766EF2"/>
    <w:rsid w:val="0077015B"/>
    <w:rsid w:val="007702A3"/>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D67"/>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5734"/>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139"/>
    <w:rsid w:val="00A354C6"/>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4E5D"/>
    <w:rsid w:val="00A657E1"/>
    <w:rsid w:val="00A65E51"/>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AC4"/>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F13D5"/>
    <w:rsid w:val="00AF16C8"/>
    <w:rsid w:val="00AF1A9F"/>
    <w:rsid w:val="00AF32B8"/>
    <w:rsid w:val="00AF3CCF"/>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56D9"/>
    <w:rsid w:val="00B05AA7"/>
    <w:rsid w:val="00B05BE8"/>
    <w:rsid w:val="00B07017"/>
    <w:rsid w:val="00B0743A"/>
    <w:rsid w:val="00B077DC"/>
    <w:rsid w:val="00B078B8"/>
    <w:rsid w:val="00B07EDE"/>
    <w:rsid w:val="00B07F80"/>
    <w:rsid w:val="00B10194"/>
    <w:rsid w:val="00B10AFD"/>
    <w:rsid w:val="00B1274B"/>
    <w:rsid w:val="00B12939"/>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2780"/>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27D"/>
    <w:rsid w:val="00B905D6"/>
    <w:rsid w:val="00B90746"/>
    <w:rsid w:val="00B90824"/>
    <w:rsid w:val="00B90B40"/>
    <w:rsid w:val="00B91B47"/>
    <w:rsid w:val="00B921C9"/>
    <w:rsid w:val="00B922A6"/>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4771"/>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530C"/>
    <w:rsid w:val="00C553CA"/>
    <w:rsid w:val="00C555AC"/>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98F"/>
    <w:rsid w:val="00C65A62"/>
    <w:rsid w:val="00C66595"/>
    <w:rsid w:val="00C677ED"/>
    <w:rsid w:val="00C70125"/>
    <w:rsid w:val="00C70868"/>
    <w:rsid w:val="00C70CA6"/>
    <w:rsid w:val="00C71376"/>
    <w:rsid w:val="00C7214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4F8C"/>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13DF"/>
    <w:rsid w:val="00DC1FE2"/>
    <w:rsid w:val="00DC26E9"/>
    <w:rsid w:val="00DC2B0D"/>
    <w:rsid w:val="00DC2C0D"/>
    <w:rsid w:val="00DC36C1"/>
    <w:rsid w:val="00DC4235"/>
    <w:rsid w:val="00DC4490"/>
    <w:rsid w:val="00DC5DB5"/>
    <w:rsid w:val="00DC6594"/>
    <w:rsid w:val="00DC7425"/>
    <w:rsid w:val="00DC7A16"/>
    <w:rsid w:val="00DC7D9A"/>
    <w:rsid w:val="00DC7F02"/>
    <w:rsid w:val="00DD0C2B"/>
    <w:rsid w:val="00DD130B"/>
    <w:rsid w:val="00DD135A"/>
    <w:rsid w:val="00DD13FA"/>
    <w:rsid w:val="00DD2175"/>
    <w:rsid w:val="00DD25C6"/>
    <w:rsid w:val="00DD2CDA"/>
    <w:rsid w:val="00DD449B"/>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2085"/>
    <w:rsid w:val="00E32E7E"/>
    <w:rsid w:val="00E32FDA"/>
    <w:rsid w:val="00E343CF"/>
    <w:rsid w:val="00E34CC2"/>
    <w:rsid w:val="00E34F2C"/>
    <w:rsid w:val="00E351C8"/>
    <w:rsid w:val="00E35B68"/>
    <w:rsid w:val="00E37E6A"/>
    <w:rsid w:val="00E403B7"/>
    <w:rsid w:val="00E40EE3"/>
    <w:rsid w:val="00E40EED"/>
    <w:rsid w:val="00E417FD"/>
    <w:rsid w:val="00E4194A"/>
    <w:rsid w:val="00E41C1F"/>
    <w:rsid w:val="00E428C1"/>
    <w:rsid w:val="00E42D9D"/>
    <w:rsid w:val="00E42FA1"/>
    <w:rsid w:val="00E439FC"/>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4066"/>
    <w:rsid w:val="00E64D1E"/>
    <w:rsid w:val="00E6584E"/>
    <w:rsid w:val="00E663FA"/>
    <w:rsid w:val="00E66647"/>
    <w:rsid w:val="00E669FD"/>
    <w:rsid w:val="00E66B4B"/>
    <w:rsid w:val="00E70715"/>
    <w:rsid w:val="00E713B3"/>
    <w:rsid w:val="00E713B9"/>
    <w:rsid w:val="00E715E3"/>
    <w:rsid w:val="00E722C6"/>
    <w:rsid w:val="00E72BD3"/>
    <w:rsid w:val="00E73B84"/>
    <w:rsid w:val="00E740F8"/>
    <w:rsid w:val="00E7540F"/>
    <w:rsid w:val="00E75624"/>
    <w:rsid w:val="00E756B4"/>
    <w:rsid w:val="00E75964"/>
    <w:rsid w:val="00E75C52"/>
    <w:rsid w:val="00E76AB9"/>
    <w:rsid w:val="00E7786D"/>
    <w:rsid w:val="00E811FB"/>
    <w:rsid w:val="00E81DB7"/>
    <w:rsid w:val="00E826D2"/>
    <w:rsid w:val="00E828A9"/>
    <w:rsid w:val="00E83572"/>
    <w:rsid w:val="00E83577"/>
    <w:rsid w:val="00E837D2"/>
    <w:rsid w:val="00E83A58"/>
    <w:rsid w:val="00E845EC"/>
    <w:rsid w:val="00E84665"/>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928"/>
    <w:rsid w:val="00EB47ED"/>
    <w:rsid w:val="00EB4A6E"/>
    <w:rsid w:val="00EB5007"/>
    <w:rsid w:val="00EB540A"/>
    <w:rsid w:val="00EB6C92"/>
    <w:rsid w:val="00EB6F76"/>
    <w:rsid w:val="00EB71C9"/>
    <w:rsid w:val="00EB780D"/>
    <w:rsid w:val="00EB7CA3"/>
    <w:rsid w:val="00EC031E"/>
    <w:rsid w:val="00EC087D"/>
    <w:rsid w:val="00EC0C40"/>
    <w:rsid w:val="00EC1334"/>
    <w:rsid w:val="00EC23DC"/>
    <w:rsid w:val="00EC3060"/>
    <w:rsid w:val="00EC36DC"/>
    <w:rsid w:val="00EC3EDD"/>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6280"/>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81510"/>
    <w:rsid w:val="00F820A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6EA9"/>
    <w:rsid w:val="00FB02C4"/>
    <w:rsid w:val="00FB08CC"/>
    <w:rsid w:val="00FB0C66"/>
    <w:rsid w:val="00FB1312"/>
    <w:rsid w:val="00FB13B5"/>
    <w:rsid w:val="00FB1652"/>
    <w:rsid w:val="00FB2D3A"/>
    <w:rsid w:val="00FB35A6"/>
    <w:rsid w:val="00FB4A1C"/>
    <w:rsid w:val="00FB5F7A"/>
    <w:rsid w:val="00FB65BD"/>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072183"/>
    <w:rsid w:val="01416B4E"/>
    <w:rsid w:val="01B22C38"/>
    <w:rsid w:val="01C7682B"/>
    <w:rsid w:val="01D6686F"/>
    <w:rsid w:val="024C080F"/>
    <w:rsid w:val="027B7B68"/>
    <w:rsid w:val="0287698F"/>
    <w:rsid w:val="02991399"/>
    <w:rsid w:val="029F218A"/>
    <w:rsid w:val="036016C9"/>
    <w:rsid w:val="03AA5734"/>
    <w:rsid w:val="04454EE4"/>
    <w:rsid w:val="04D5358E"/>
    <w:rsid w:val="058B20AB"/>
    <w:rsid w:val="05A655CF"/>
    <w:rsid w:val="05CE1342"/>
    <w:rsid w:val="05FE1AC1"/>
    <w:rsid w:val="06145EA5"/>
    <w:rsid w:val="06A30AF5"/>
    <w:rsid w:val="06A844B1"/>
    <w:rsid w:val="073A143F"/>
    <w:rsid w:val="07605C90"/>
    <w:rsid w:val="08016A1E"/>
    <w:rsid w:val="083421B7"/>
    <w:rsid w:val="089374F7"/>
    <w:rsid w:val="08FE0F5A"/>
    <w:rsid w:val="090A6A03"/>
    <w:rsid w:val="0966028C"/>
    <w:rsid w:val="09746F62"/>
    <w:rsid w:val="09995EE7"/>
    <w:rsid w:val="09AC7942"/>
    <w:rsid w:val="09BF46FF"/>
    <w:rsid w:val="0A5346C4"/>
    <w:rsid w:val="0B234042"/>
    <w:rsid w:val="0B384735"/>
    <w:rsid w:val="0B3908EA"/>
    <w:rsid w:val="0B5A72F2"/>
    <w:rsid w:val="0B6D7432"/>
    <w:rsid w:val="0B7424F0"/>
    <w:rsid w:val="0B8E42AA"/>
    <w:rsid w:val="0BA12BCB"/>
    <w:rsid w:val="0BFF6CB1"/>
    <w:rsid w:val="0C084040"/>
    <w:rsid w:val="0C1F5D8D"/>
    <w:rsid w:val="0C352D20"/>
    <w:rsid w:val="0CD278BE"/>
    <w:rsid w:val="0CDC3036"/>
    <w:rsid w:val="0CE622A7"/>
    <w:rsid w:val="0CFB32FE"/>
    <w:rsid w:val="0DC63C14"/>
    <w:rsid w:val="0DC97627"/>
    <w:rsid w:val="0EA84BA0"/>
    <w:rsid w:val="0F185873"/>
    <w:rsid w:val="0F25044B"/>
    <w:rsid w:val="0F5A1EAC"/>
    <w:rsid w:val="0F720029"/>
    <w:rsid w:val="10274AF8"/>
    <w:rsid w:val="107110B8"/>
    <w:rsid w:val="10B2324F"/>
    <w:rsid w:val="11D15418"/>
    <w:rsid w:val="129737AA"/>
    <w:rsid w:val="12CD4F60"/>
    <w:rsid w:val="13CF0210"/>
    <w:rsid w:val="14176954"/>
    <w:rsid w:val="14545F6A"/>
    <w:rsid w:val="14643F1E"/>
    <w:rsid w:val="15FE176B"/>
    <w:rsid w:val="15FE3ACA"/>
    <w:rsid w:val="164C5AA4"/>
    <w:rsid w:val="16A65EC9"/>
    <w:rsid w:val="16ED7B96"/>
    <w:rsid w:val="178E5723"/>
    <w:rsid w:val="17EB5AB4"/>
    <w:rsid w:val="18370E16"/>
    <w:rsid w:val="18661677"/>
    <w:rsid w:val="19046E10"/>
    <w:rsid w:val="1905656F"/>
    <w:rsid w:val="195607A8"/>
    <w:rsid w:val="19B42A06"/>
    <w:rsid w:val="1A7360A0"/>
    <w:rsid w:val="1AF36D63"/>
    <w:rsid w:val="1BC072B6"/>
    <w:rsid w:val="1BE53E44"/>
    <w:rsid w:val="1C53481D"/>
    <w:rsid w:val="1C980A78"/>
    <w:rsid w:val="1CAE21A8"/>
    <w:rsid w:val="1D154784"/>
    <w:rsid w:val="1DF36C13"/>
    <w:rsid w:val="1E19117D"/>
    <w:rsid w:val="1E75607D"/>
    <w:rsid w:val="1E800AA8"/>
    <w:rsid w:val="1F0E03BD"/>
    <w:rsid w:val="1F344930"/>
    <w:rsid w:val="1F7C640E"/>
    <w:rsid w:val="1FA85D73"/>
    <w:rsid w:val="1FD53430"/>
    <w:rsid w:val="1FE07798"/>
    <w:rsid w:val="20236A3E"/>
    <w:rsid w:val="2040017E"/>
    <w:rsid w:val="206D3B6C"/>
    <w:rsid w:val="20B76339"/>
    <w:rsid w:val="20CC4FEE"/>
    <w:rsid w:val="20DD5749"/>
    <w:rsid w:val="21297269"/>
    <w:rsid w:val="21654CFD"/>
    <w:rsid w:val="21E60796"/>
    <w:rsid w:val="225D766B"/>
    <w:rsid w:val="22944AC9"/>
    <w:rsid w:val="233174B1"/>
    <w:rsid w:val="23592FB4"/>
    <w:rsid w:val="235A4D46"/>
    <w:rsid w:val="23711F83"/>
    <w:rsid w:val="23847D1A"/>
    <w:rsid w:val="23AF2050"/>
    <w:rsid w:val="24503850"/>
    <w:rsid w:val="24ED6D7A"/>
    <w:rsid w:val="252C1252"/>
    <w:rsid w:val="253335D3"/>
    <w:rsid w:val="25B60937"/>
    <w:rsid w:val="26023B9A"/>
    <w:rsid w:val="260A307A"/>
    <w:rsid w:val="264E4D1A"/>
    <w:rsid w:val="26501CEE"/>
    <w:rsid w:val="26E458C4"/>
    <w:rsid w:val="275B47DC"/>
    <w:rsid w:val="28280DFB"/>
    <w:rsid w:val="286E32B4"/>
    <w:rsid w:val="288C3033"/>
    <w:rsid w:val="2A341FD2"/>
    <w:rsid w:val="2A5F13A7"/>
    <w:rsid w:val="2B7C0B1C"/>
    <w:rsid w:val="2B9272AF"/>
    <w:rsid w:val="2BA037BB"/>
    <w:rsid w:val="2C73562D"/>
    <w:rsid w:val="2CB852B6"/>
    <w:rsid w:val="2CF91C06"/>
    <w:rsid w:val="2D955AA8"/>
    <w:rsid w:val="2E325C0E"/>
    <w:rsid w:val="2E3C0F39"/>
    <w:rsid w:val="2E3C1926"/>
    <w:rsid w:val="2EB36317"/>
    <w:rsid w:val="2EBE13B9"/>
    <w:rsid w:val="2EF04512"/>
    <w:rsid w:val="2FB8217C"/>
    <w:rsid w:val="302B4C7B"/>
    <w:rsid w:val="304630DD"/>
    <w:rsid w:val="30476383"/>
    <w:rsid w:val="30916070"/>
    <w:rsid w:val="30F03DFA"/>
    <w:rsid w:val="314B4163"/>
    <w:rsid w:val="31891D82"/>
    <w:rsid w:val="31C83161"/>
    <w:rsid w:val="323B7FFE"/>
    <w:rsid w:val="32403126"/>
    <w:rsid w:val="32AE0BA7"/>
    <w:rsid w:val="32BA57BF"/>
    <w:rsid w:val="334E4B51"/>
    <w:rsid w:val="335A61B8"/>
    <w:rsid w:val="336C796C"/>
    <w:rsid w:val="33880FB1"/>
    <w:rsid w:val="33A717F8"/>
    <w:rsid w:val="33C06C6F"/>
    <w:rsid w:val="342C3486"/>
    <w:rsid w:val="347A6A3C"/>
    <w:rsid w:val="34CF45BC"/>
    <w:rsid w:val="34E33CC8"/>
    <w:rsid w:val="35207F9E"/>
    <w:rsid w:val="35344D2F"/>
    <w:rsid w:val="35CF1819"/>
    <w:rsid w:val="362C281C"/>
    <w:rsid w:val="36D5088F"/>
    <w:rsid w:val="36F001C7"/>
    <w:rsid w:val="37871954"/>
    <w:rsid w:val="37CD6A15"/>
    <w:rsid w:val="37F80A98"/>
    <w:rsid w:val="38102C5D"/>
    <w:rsid w:val="388A5DE8"/>
    <w:rsid w:val="399B7E73"/>
    <w:rsid w:val="39A66DD8"/>
    <w:rsid w:val="3A285E52"/>
    <w:rsid w:val="3A882C53"/>
    <w:rsid w:val="3B273ADD"/>
    <w:rsid w:val="3B6D7D30"/>
    <w:rsid w:val="3BB979CF"/>
    <w:rsid w:val="3BFF1EBC"/>
    <w:rsid w:val="3CDA63FD"/>
    <w:rsid w:val="3CF130BD"/>
    <w:rsid w:val="3CFD2B6F"/>
    <w:rsid w:val="3DD205E2"/>
    <w:rsid w:val="3DD20D5F"/>
    <w:rsid w:val="3E051FFD"/>
    <w:rsid w:val="3E1772C2"/>
    <w:rsid w:val="3E2323F2"/>
    <w:rsid w:val="3E445687"/>
    <w:rsid w:val="3E4C6734"/>
    <w:rsid w:val="3EAA4BCE"/>
    <w:rsid w:val="3F2E1124"/>
    <w:rsid w:val="3F5A6BB9"/>
    <w:rsid w:val="3F7E0700"/>
    <w:rsid w:val="3FD358C1"/>
    <w:rsid w:val="40596294"/>
    <w:rsid w:val="40BF3306"/>
    <w:rsid w:val="411335F8"/>
    <w:rsid w:val="413B6DB3"/>
    <w:rsid w:val="41953547"/>
    <w:rsid w:val="42222B86"/>
    <w:rsid w:val="424E0E1D"/>
    <w:rsid w:val="439749D1"/>
    <w:rsid w:val="43F04D33"/>
    <w:rsid w:val="447B7EB4"/>
    <w:rsid w:val="44A4755D"/>
    <w:rsid w:val="452D33EF"/>
    <w:rsid w:val="45805436"/>
    <w:rsid w:val="45C708C7"/>
    <w:rsid w:val="469B0AB7"/>
    <w:rsid w:val="46B14037"/>
    <w:rsid w:val="46F13A07"/>
    <w:rsid w:val="46FF5AFC"/>
    <w:rsid w:val="475556EB"/>
    <w:rsid w:val="47E034BA"/>
    <w:rsid w:val="4879604A"/>
    <w:rsid w:val="48CA0BAD"/>
    <w:rsid w:val="48FE7302"/>
    <w:rsid w:val="49764BB8"/>
    <w:rsid w:val="49A75D4B"/>
    <w:rsid w:val="4ADE2E72"/>
    <w:rsid w:val="4BF76AED"/>
    <w:rsid w:val="4DC310C6"/>
    <w:rsid w:val="4E10041E"/>
    <w:rsid w:val="4E443E3C"/>
    <w:rsid w:val="4EB561BF"/>
    <w:rsid w:val="4EE30A09"/>
    <w:rsid w:val="4F0936D1"/>
    <w:rsid w:val="4F3832E8"/>
    <w:rsid w:val="4FF95568"/>
    <w:rsid w:val="50B8512D"/>
    <w:rsid w:val="50FD5220"/>
    <w:rsid w:val="517A54EF"/>
    <w:rsid w:val="51963BEA"/>
    <w:rsid w:val="51F62B1B"/>
    <w:rsid w:val="52193772"/>
    <w:rsid w:val="522D1CF6"/>
    <w:rsid w:val="52344B4D"/>
    <w:rsid w:val="52354A7B"/>
    <w:rsid w:val="526505CC"/>
    <w:rsid w:val="528667E8"/>
    <w:rsid w:val="5309770D"/>
    <w:rsid w:val="53143C76"/>
    <w:rsid w:val="536C385D"/>
    <w:rsid w:val="53F01B6F"/>
    <w:rsid w:val="54453030"/>
    <w:rsid w:val="54CF428F"/>
    <w:rsid w:val="54D20D91"/>
    <w:rsid w:val="54D866BF"/>
    <w:rsid w:val="551A6B8C"/>
    <w:rsid w:val="551B359B"/>
    <w:rsid w:val="554C2E4C"/>
    <w:rsid w:val="55C95A39"/>
    <w:rsid w:val="56020A78"/>
    <w:rsid w:val="563812AD"/>
    <w:rsid w:val="5676155E"/>
    <w:rsid w:val="567A168B"/>
    <w:rsid w:val="56F9126E"/>
    <w:rsid w:val="572523C4"/>
    <w:rsid w:val="572665D4"/>
    <w:rsid w:val="57367114"/>
    <w:rsid w:val="574B3F4B"/>
    <w:rsid w:val="583046A8"/>
    <w:rsid w:val="59B61FA6"/>
    <w:rsid w:val="59EC75E0"/>
    <w:rsid w:val="59FF267B"/>
    <w:rsid w:val="5A575839"/>
    <w:rsid w:val="5A750D60"/>
    <w:rsid w:val="5A7B38CF"/>
    <w:rsid w:val="5A835309"/>
    <w:rsid w:val="5B711CFB"/>
    <w:rsid w:val="5B7219C1"/>
    <w:rsid w:val="5CCF2FFE"/>
    <w:rsid w:val="5CD769EC"/>
    <w:rsid w:val="5D692489"/>
    <w:rsid w:val="5D7C3793"/>
    <w:rsid w:val="5D7F37AE"/>
    <w:rsid w:val="5DF175AC"/>
    <w:rsid w:val="5E404D9C"/>
    <w:rsid w:val="5E48254A"/>
    <w:rsid w:val="5E94732A"/>
    <w:rsid w:val="5F446F98"/>
    <w:rsid w:val="5F955873"/>
    <w:rsid w:val="60AA353D"/>
    <w:rsid w:val="61954453"/>
    <w:rsid w:val="61C30742"/>
    <w:rsid w:val="620B15E7"/>
    <w:rsid w:val="63667BE1"/>
    <w:rsid w:val="63C57042"/>
    <w:rsid w:val="63EB59F8"/>
    <w:rsid w:val="64907EFF"/>
    <w:rsid w:val="64985FA5"/>
    <w:rsid w:val="655B7408"/>
    <w:rsid w:val="655C26AF"/>
    <w:rsid w:val="662A32DC"/>
    <w:rsid w:val="66C33BCC"/>
    <w:rsid w:val="66D80480"/>
    <w:rsid w:val="66FB00FF"/>
    <w:rsid w:val="67D7447E"/>
    <w:rsid w:val="68760CCD"/>
    <w:rsid w:val="68EB6128"/>
    <w:rsid w:val="68EE50E9"/>
    <w:rsid w:val="691B5623"/>
    <w:rsid w:val="693D7675"/>
    <w:rsid w:val="6A1E61DB"/>
    <w:rsid w:val="6AB71A2A"/>
    <w:rsid w:val="6B903DF9"/>
    <w:rsid w:val="6CA91EB1"/>
    <w:rsid w:val="6CD63113"/>
    <w:rsid w:val="6D420E32"/>
    <w:rsid w:val="6D6161B8"/>
    <w:rsid w:val="6DC072BA"/>
    <w:rsid w:val="6DCC4FFD"/>
    <w:rsid w:val="6DF53370"/>
    <w:rsid w:val="6E8F05BC"/>
    <w:rsid w:val="6ECE25BF"/>
    <w:rsid w:val="6F0028F8"/>
    <w:rsid w:val="6F017FD9"/>
    <w:rsid w:val="6F3B201E"/>
    <w:rsid w:val="6F420503"/>
    <w:rsid w:val="6FE57474"/>
    <w:rsid w:val="6FFF61D3"/>
    <w:rsid w:val="70335415"/>
    <w:rsid w:val="70677029"/>
    <w:rsid w:val="708C7096"/>
    <w:rsid w:val="71AC2F36"/>
    <w:rsid w:val="72216CCE"/>
    <w:rsid w:val="72B45A01"/>
    <w:rsid w:val="73297F00"/>
    <w:rsid w:val="7332473A"/>
    <w:rsid w:val="735C0845"/>
    <w:rsid w:val="73AA67F9"/>
    <w:rsid w:val="74B24384"/>
    <w:rsid w:val="74C207EB"/>
    <w:rsid w:val="75942E43"/>
    <w:rsid w:val="76C7415C"/>
    <w:rsid w:val="772043EF"/>
    <w:rsid w:val="772B43E7"/>
    <w:rsid w:val="77F24450"/>
    <w:rsid w:val="78037227"/>
    <w:rsid w:val="78927053"/>
    <w:rsid w:val="7967383E"/>
    <w:rsid w:val="79D84F64"/>
    <w:rsid w:val="79EC7990"/>
    <w:rsid w:val="7A016A18"/>
    <w:rsid w:val="7A5567C1"/>
    <w:rsid w:val="7AAD1751"/>
    <w:rsid w:val="7AB31193"/>
    <w:rsid w:val="7AFA1C30"/>
    <w:rsid w:val="7B1C21BD"/>
    <w:rsid w:val="7B322293"/>
    <w:rsid w:val="7B373DA3"/>
    <w:rsid w:val="7B60700B"/>
    <w:rsid w:val="7BDC389F"/>
    <w:rsid w:val="7BDE070A"/>
    <w:rsid w:val="7CE63D88"/>
    <w:rsid w:val="7CE80C77"/>
    <w:rsid w:val="7DDD4B37"/>
    <w:rsid w:val="7E187CAF"/>
    <w:rsid w:val="7E232986"/>
    <w:rsid w:val="7E342A39"/>
    <w:rsid w:val="7E720F52"/>
    <w:rsid w:val="7E752C6E"/>
    <w:rsid w:val="7EC85753"/>
    <w:rsid w:val="7F1000C5"/>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rPr>
      <w:rFonts w:ascii="Calibri" w:hAnsi="Calibri"/>
      <w:szCs w:val="22"/>
    </w:rPr>
  </w:style>
  <w:style w:type="paragraph" w:styleId="6">
    <w:name w:val="annotation text"/>
    <w:basedOn w:val="1"/>
    <w:link w:val="37"/>
    <w:qFormat/>
    <w:uiPriority w:val="0"/>
    <w:pPr>
      <w:jc w:val="left"/>
    </w:pPr>
  </w:style>
  <w:style w:type="paragraph" w:styleId="7">
    <w:name w:val="toc 5"/>
    <w:basedOn w:val="1"/>
    <w:next w:val="1"/>
    <w:unhideWhenUsed/>
    <w:qFormat/>
    <w:uiPriority w:val="39"/>
    <w:pPr>
      <w:ind w:left="1680" w:leftChars="800"/>
    </w:pPr>
    <w:rPr>
      <w:rFonts w:ascii="Calibri" w:hAnsi="Calibri"/>
      <w:szCs w:val="22"/>
    </w:rPr>
  </w:style>
  <w:style w:type="paragraph" w:styleId="8">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9">
    <w:name w:val="toc 8"/>
    <w:basedOn w:val="1"/>
    <w:next w:val="1"/>
    <w:unhideWhenUsed/>
    <w:qFormat/>
    <w:uiPriority w:val="39"/>
    <w:pPr>
      <w:ind w:left="2940" w:leftChars="1400"/>
    </w:pPr>
    <w:rPr>
      <w:rFonts w:ascii="Calibri" w:hAnsi="Calibri"/>
      <w:szCs w:val="22"/>
    </w:rPr>
  </w:style>
  <w:style w:type="paragraph" w:styleId="10">
    <w:name w:val="Date"/>
    <w:basedOn w:val="1"/>
    <w:next w:val="1"/>
    <w:link w:val="38"/>
    <w:qFormat/>
    <w:uiPriority w:val="0"/>
    <w:pPr>
      <w:ind w:left="100" w:leftChars="2500"/>
    </w:pPr>
  </w:style>
  <w:style w:type="paragraph" w:styleId="11">
    <w:name w:val="Balloon Text"/>
    <w:basedOn w:val="1"/>
    <w:link w:val="33"/>
    <w:qFormat/>
    <w:uiPriority w:val="0"/>
    <w:rPr>
      <w:sz w:val="18"/>
      <w:szCs w:val="18"/>
    </w:rPr>
  </w:style>
  <w:style w:type="paragraph" w:styleId="12">
    <w:name w:val="footer"/>
    <w:basedOn w:val="1"/>
    <w:link w:val="31"/>
    <w:qFormat/>
    <w:uiPriority w:val="99"/>
    <w:pPr>
      <w:tabs>
        <w:tab w:val="center" w:pos="4153"/>
        <w:tab w:val="right" w:pos="8306"/>
      </w:tabs>
      <w:snapToGrid w:val="0"/>
      <w:jc w:val="left"/>
    </w:pPr>
    <w:rPr>
      <w:sz w:val="18"/>
      <w:szCs w:val="18"/>
    </w:rPr>
  </w:style>
  <w:style w:type="paragraph" w:styleId="13">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5">
    <w:name w:val="toc 4"/>
    <w:basedOn w:val="1"/>
    <w:next w:val="1"/>
    <w:unhideWhenUsed/>
    <w:qFormat/>
    <w:uiPriority w:val="39"/>
    <w:pPr>
      <w:ind w:left="1260" w:leftChars="600"/>
    </w:pPr>
    <w:rPr>
      <w:rFonts w:ascii="Calibri" w:hAnsi="Calibri"/>
      <w:szCs w:val="22"/>
    </w:rPr>
  </w:style>
  <w:style w:type="paragraph" w:styleId="16">
    <w:name w:val="toc 6"/>
    <w:basedOn w:val="1"/>
    <w:next w:val="1"/>
    <w:unhideWhenUsed/>
    <w:qFormat/>
    <w:uiPriority w:val="39"/>
    <w:pPr>
      <w:ind w:left="2100" w:leftChars="1000"/>
    </w:pPr>
    <w:rPr>
      <w:rFonts w:ascii="Calibri" w:hAnsi="Calibri"/>
      <w:szCs w:val="22"/>
    </w:rPr>
  </w:style>
  <w:style w:type="paragraph" w:styleId="17">
    <w:name w:val="Body Text Indent 3"/>
    <w:basedOn w:val="1"/>
    <w:link w:val="34"/>
    <w:qFormat/>
    <w:uiPriority w:val="0"/>
    <w:pPr>
      <w:spacing w:line="180" w:lineRule="atLeast"/>
      <w:ind w:firstLine="560" w:firstLineChars="200"/>
    </w:pPr>
    <w:rPr>
      <w:kern w:val="11"/>
      <w:sz w:val="28"/>
    </w:rPr>
  </w:style>
  <w:style w:type="paragraph" w:styleId="18">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9">
    <w:name w:val="toc 9"/>
    <w:basedOn w:val="1"/>
    <w:next w:val="1"/>
    <w:unhideWhenUsed/>
    <w:qFormat/>
    <w:uiPriority w:val="39"/>
    <w:pPr>
      <w:ind w:left="3360" w:leftChars="1600"/>
    </w:pPr>
    <w:rPr>
      <w:rFonts w:ascii="Calibri" w:hAnsi="Calibri"/>
      <w:szCs w:val="22"/>
    </w:rPr>
  </w:style>
  <w:style w:type="paragraph" w:styleId="20">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21">
    <w:name w:val="annotation subject"/>
    <w:basedOn w:val="6"/>
    <w:next w:val="6"/>
    <w:link w:val="36"/>
    <w:qFormat/>
    <w:uiPriority w:val="0"/>
    <w:rPr>
      <w:b/>
      <w:bCs/>
    </w:rPr>
  </w:style>
  <w:style w:type="table" w:styleId="23">
    <w:name w:val="Table Grid"/>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FollowedHyperlink"/>
    <w:unhideWhenUsed/>
    <w:qFormat/>
    <w:uiPriority w:val="99"/>
    <w:rPr>
      <w:color w:val="800080"/>
      <w:u w:val="single"/>
    </w:rPr>
  </w:style>
  <w:style w:type="character" w:styleId="27">
    <w:name w:val="Hyperlink"/>
    <w:qFormat/>
    <w:uiPriority w:val="99"/>
    <w:rPr>
      <w:color w:val="0000FF"/>
      <w:u w:val="single"/>
    </w:rPr>
  </w:style>
  <w:style w:type="character" w:styleId="28">
    <w:name w:val="annotation reference"/>
    <w:qFormat/>
    <w:uiPriority w:val="0"/>
    <w:rPr>
      <w:sz w:val="21"/>
      <w:szCs w:val="21"/>
    </w:rPr>
  </w:style>
  <w:style w:type="character" w:customStyle="1" w:styleId="29">
    <w:name w:val="标题 1 字符"/>
    <w:link w:val="2"/>
    <w:qFormat/>
    <w:uiPriority w:val="0"/>
    <w:rPr>
      <w:b/>
      <w:bCs/>
      <w:kern w:val="44"/>
      <w:sz w:val="44"/>
      <w:szCs w:val="44"/>
    </w:rPr>
  </w:style>
  <w:style w:type="character" w:customStyle="1" w:styleId="30">
    <w:name w:val="标题 2 字符"/>
    <w:link w:val="3"/>
    <w:qFormat/>
    <w:uiPriority w:val="0"/>
    <w:rPr>
      <w:rFonts w:ascii="Arial" w:hAnsi="Arial" w:eastAsia="黑体"/>
      <w:b/>
      <w:bCs/>
      <w:kern w:val="2"/>
      <w:sz w:val="32"/>
      <w:szCs w:val="32"/>
    </w:rPr>
  </w:style>
  <w:style w:type="character" w:customStyle="1" w:styleId="31">
    <w:name w:val="页脚 字符"/>
    <w:link w:val="12"/>
    <w:qFormat/>
    <w:uiPriority w:val="99"/>
    <w:rPr>
      <w:kern w:val="2"/>
      <w:sz w:val="18"/>
      <w:szCs w:val="18"/>
    </w:rPr>
  </w:style>
  <w:style w:type="character" w:customStyle="1" w:styleId="32">
    <w:name w:val="font11"/>
    <w:qFormat/>
    <w:uiPriority w:val="0"/>
    <w:rPr>
      <w:rFonts w:hint="eastAsia" w:ascii="宋体" w:hAnsi="宋体" w:eastAsia="宋体" w:cs="宋体"/>
      <w:color w:val="000000"/>
      <w:sz w:val="20"/>
      <w:szCs w:val="20"/>
      <w:u w:val="none"/>
    </w:rPr>
  </w:style>
  <w:style w:type="character" w:customStyle="1" w:styleId="33">
    <w:name w:val="批注框文本 字符"/>
    <w:link w:val="11"/>
    <w:qFormat/>
    <w:uiPriority w:val="0"/>
    <w:rPr>
      <w:kern w:val="2"/>
      <w:sz w:val="18"/>
      <w:szCs w:val="18"/>
    </w:rPr>
  </w:style>
  <w:style w:type="character" w:customStyle="1" w:styleId="34">
    <w:name w:val="正文文本缩进 3 字符"/>
    <w:link w:val="17"/>
    <w:qFormat/>
    <w:uiPriority w:val="0"/>
    <w:rPr>
      <w:kern w:val="11"/>
      <w:sz w:val="28"/>
      <w:szCs w:val="24"/>
    </w:rPr>
  </w:style>
  <w:style w:type="character" w:customStyle="1" w:styleId="35">
    <w:name w:val="页眉 字符"/>
    <w:link w:val="13"/>
    <w:qFormat/>
    <w:uiPriority w:val="0"/>
    <w:rPr>
      <w:kern w:val="2"/>
      <w:sz w:val="18"/>
      <w:szCs w:val="18"/>
    </w:rPr>
  </w:style>
  <w:style w:type="character" w:customStyle="1" w:styleId="36">
    <w:name w:val="批注主题 字符"/>
    <w:link w:val="21"/>
    <w:qFormat/>
    <w:uiPriority w:val="0"/>
    <w:rPr>
      <w:b/>
      <w:bCs/>
      <w:kern w:val="2"/>
      <w:sz w:val="21"/>
      <w:szCs w:val="24"/>
    </w:rPr>
  </w:style>
  <w:style w:type="character" w:customStyle="1" w:styleId="37">
    <w:name w:val="批注文字 字符"/>
    <w:link w:val="6"/>
    <w:qFormat/>
    <w:uiPriority w:val="0"/>
    <w:rPr>
      <w:kern w:val="2"/>
      <w:sz w:val="21"/>
      <w:szCs w:val="24"/>
    </w:rPr>
  </w:style>
  <w:style w:type="character" w:customStyle="1" w:styleId="38">
    <w:name w:val="日期 字符"/>
    <w:link w:val="10"/>
    <w:qFormat/>
    <w:uiPriority w:val="0"/>
    <w:rPr>
      <w:kern w:val="2"/>
      <w:sz w:val="21"/>
      <w:szCs w:val="24"/>
    </w:rPr>
  </w:style>
  <w:style w:type="paragraph" w:styleId="39">
    <w:name w:val="List Paragraph"/>
    <w:basedOn w:val="1"/>
    <w:qFormat/>
    <w:uiPriority w:val="34"/>
    <w:pPr>
      <w:ind w:firstLine="420" w:firstLineChars="200"/>
    </w:pPr>
    <w:rPr>
      <w:rFonts w:ascii="Calibri" w:hAnsi="Calibri"/>
      <w:szCs w:val="22"/>
    </w:rPr>
  </w:style>
  <w:style w:type="paragraph" w:customStyle="1" w:styleId="40">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1">
    <w:name w:val="列表段落1"/>
    <w:basedOn w:val="1"/>
    <w:qFormat/>
    <w:uiPriority w:val="0"/>
    <w:pPr>
      <w:ind w:firstLine="420" w:firstLineChars="200"/>
    </w:pPr>
    <w:rPr>
      <w:rFonts w:ascii="Calibri" w:hAnsi="Calibri"/>
      <w:szCs w:val="22"/>
    </w:rPr>
  </w:style>
  <w:style w:type="paragraph" w:customStyle="1" w:styleId="42">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43">
    <w:name w:val="z-窗体顶端1"/>
    <w:basedOn w:val="1"/>
    <w:next w:val="1"/>
    <w:link w:val="44"/>
    <w:semiHidden/>
    <w:unhideWhenUsed/>
    <w:qFormat/>
    <w:uiPriority w:val="99"/>
    <w:pPr>
      <w:widowControl/>
      <w:pBdr>
        <w:bottom w:val="single" w:color="auto" w:sz="6" w:space="1"/>
      </w:pBdr>
      <w:jc w:val="center"/>
    </w:pPr>
    <w:rPr>
      <w:rFonts w:ascii="Arial" w:hAnsi="Arial" w:cs="Arial"/>
      <w:vanish/>
      <w:kern w:val="0"/>
      <w:sz w:val="16"/>
      <w:szCs w:val="16"/>
    </w:rPr>
  </w:style>
  <w:style w:type="character" w:customStyle="1" w:styleId="44">
    <w:name w:val="z-窗体顶端 字符"/>
    <w:link w:val="43"/>
    <w:semiHidden/>
    <w:qFormat/>
    <w:uiPriority w:val="99"/>
    <w:rPr>
      <w:rFonts w:ascii="Arial" w:hAnsi="Arial" w:cs="Arial"/>
      <w:vanish/>
      <w:sz w:val="16"/>
      <w:szCs w:val="16"/>
    </w:rPr>
  </w:style>
  <w:style w:type="paragraph" w:customStyle="1" w:styleId="45">
    <w:name w:val="z-窗体底端1"/>
    <w:basedOn w:val="1"/>
    <w:next w:val="1"/>
    <w:link w:val="46"/>
    <w:unhideWhenUsed/>
    <w:qFormat/>
    <w:uiPriority w:val="99"/>
    <w:pPr>
      <w:widowControl/>
      <w:pBdr>
        <w:top w:val="single" w:color="auto" w:sz="6" w:space="1"/>
      </w:pBdr>
      <w:jc w:val="center"/>
    </w:pPr>
    <w:rPr>
      <w:rFonts w:ascii="Arial" w:hAnsi="Arial" w:cs="Arial"/>
      <w:vanish/>
      <w:kern w:val="0"/>
      <w:sz w:val="16"/>
      <w:szCs w:val="16"/>
    </w:rPr>
  </w:style>
  <w:style w:type="character" w:customStyle="1" w:styleId="46">
    <w:name w:val="z-窗体底端 字符"/>
    <w:link w:val="45"/>
    <w:qFormat/>
    <w:uiPriority w:val="99"/>
    <w:rPr>
      <w:rFonts w:ascii="Arial" w:hAnsi="Arial" w:cs="Arial"/>
      <w:vanish/>
      <w:sz w:val="16"/>
      <w:szCs w:val="16"/>
    </w:rPr>
  </w:style>
  <w:style w:type="table" w:customStyle="1" w:styleId="47">
    <w:name w:val="网格型1"/>
    <w:basedOn w:val="2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8">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49">
    <w:name w:val="font41"/>
    <w:basedOn w:val="24"/>
    <w:qFormat/>
    <w:uiPriority w:val="0"/>
    <w:rPr>
      <w:rFonts w:ascii="Arial" w:hAnsi="Arial" w:cs="Arial"/>
      <w:color w:val="000000"/>
      <w:sz w:val="20"/>
      <w:szCs w:val="20"/>
      <w:u w:val="none"/>
    </w:rPr>
  </w:style>
  <w:style w:type="character" w:customStyle="1" w:styleId="50">
    <w:name w:val="font21"/>
    <w:basedOn w:val="24"/>
    <w:qFormat/>
    <w:uiPriority w:val="0"/>
    <w:rPr>
      <w:rFonts w:hint="eastAsia" w:ascii="宋体" w:hAnsi="宋体" w:eastAsia="宋体" w:cs="宋体"/>
      <w:color w:val="000000"/>
      <w:sz w:val="20"/>
      <w:szCs w:val="20"/>
      <w:u w:val="none"/>
    </w:rPr>
  </w:style>
  <w:style w:type="character" w:customStyle="1" w:styleId="51">
    <w:name w:val="font31"/>
    <w:basedOn w:val="24"/>
    <w:qFormat/>
    <w:uiPriority w:val="0"/>
    <w:rPr>
      <w:rFonts w:hint="default" w:ascii="Arial" w:hAnsi="Arial" w:cs="Arial"/>
      <w:color w:val="000000"/>
      <w:sz w:val="20"/>
      <w:szCs w:val="20"/>
      <w:u w:val="none"/>
    </w:rPr>
  </w:style>
  <w:style w:type="character" w:customStyle="1" w:styleId="52">
    <w:name w:val="font01"/>
    <w:basedOn w:val="24"/>
    <w:qFormat/>
    <w:uiPriority w:val="0"/>
    <w:rPr>
      <w:rFonts w:hint="default" w:ascii="Arial" w:hAnsi="Arial" w:cs="Arial"/>
      <w:color w:val="000000"/>
      <w:sz w:val="20"/>
      <w:szCs w:val="20"/>
      <w:u w:val="none"/>
    </w:rPr>
  </w:style>
  <w:style w:type="character" w:customStyle="1" w:styleId="53">
    <w:name w:val="font51"/>
    <w:basedOn w:val="24"/>
    <w:qFormat/>
    <w:uiPriority w:val="0"/>
    <w:rPr>
      <w:rFonts w:hint="eastAsia" w:ascii="Batang" w:hAnsi="Batang" w:eastAsia="Batang" w:cs="Batang"/>
      <w:b/>
      <w:color w:val="000000"/>
      <w:sz w:val="20"/>
      <w:szCs w:val="20"/>
      <w:u w:val="none"/>
    </w:rPr>
  </w:style>
  <w:style w:type="character" w:customStyle="1" w:styleId="54">
    <w:name w:val="font61"/>
    <w:basedOn w:val="24"/>
    <w:qFormat/>
    <w:uiPriority w:val="0"/>
    <w:rPr>
      <w:rFonts w:hint="eastAsia" w:ascii="宋体" w:hAnsi="宋体" w:eastAsia="宋体" w:cs="宋体"/>
      <w:b/>
      <w:color w:val="000000"/>
      <w:sz w:val="20"/>
      <w:szCs w:val="20"/>
      <w:u w:val="none"/>
    </w:rPr>
  </w:style>
  <w:style w:type="character" w:customStyle="1" w:styleId="55">
    <w:name w:val="font71"/>
    <w:basedOn w:val="24"/>
    <w:qFormat/>
    <w:uiPriority w:val="0"/>
    <w:rPr>
      <w:rFonts w:hint="default" w:ascii="Arial" w:hAnsi="Arial" w:cs="Arial"/>
      <w:color w:val="000000"/>
      <w:sz w:val="20"/>
      <w:szCs w:val="20"/>
      <w:u w:val="none"/>
    </w:rPr>
  </w:style>
  <w:style w:type="character" w:customStyle="1" w:styleId="56">
    <w:name w:val="font101"/>
    <w:basedOn w:val="24"/>
    <w:qFormat/>
    <w:uiPriority w:val="0"/>
    <w:rPr>
      <w:rFonts w:hint="eastAsia" w:ascii="宋体" w:hAnsi="宋体" w:eastAsia="宋体" w:cs="宋体"/>
      <w:color w:val="000000"/>
      <w:sz w:val="20"/>
      <w:szCs w:val="20"/>
      <w:u w:val="none"/>
    </w:rPr>
  </w:style>
  <w:style w:type="character" w:customStyle="1" w:styleId="57">
    <w:name w:val="font91"/>
    <w:basedOn w:val="24"/>
    <w:qFormat/>
    <w:uiPriority w:val="0"/>
    <w:rPr>
      <w:rFonts w:hint="default" w:ascii="Arial" w:hAnsi="Arial" w:cs="Arial"/>
      <w:color w:val="000000"/>
      <w:sz w:val="20"/>
      <w:szCs w:val="20"/>
      <w:u w:val="none"/>
    </w:rPr>
  </w:style>
  <w:style w:type="character" w:customStyle="1" w:styleId="58">
    <w:name w:val="font81"/>
    <w:basedOn w:val="24"/>
    <w:qFormat/>
    <w:uiPriority w:val="0"/>
    <w:rPr>
      <w:rFonts w:hint="eastAsia" w:ascii="宋体" w:hAnsi="宋体" w:eastAsia="宋体" w:cs="宋体"/>
      <w:b/>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191EC2-A1D1-4D29-9025-7D93AB558E1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38</Pages>
  <Words>5216</Words>
  <Characters>29732</Characters>
  <Lines>247</Lines>
  <Paragraphs>69</Paragraphs>
  <TotalTime>1</TotalTime>
  <ScaleCrop>false</ScaleCrop>
  <LinksUpToDate>false</LinksUpToDate>
  <CharactersWithSpaces>34879</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2020-09-05T09:06:00Z</dcterms:created>
  <dc:creator>walkinnet</dc:creator>
  <cp:lastModifiedBy>卟说嗳</cp:lastModifiedBy>
  <cp:lastPrinted>2020-03-12T03:51:00Z</cp:lastPrinted>
  <dcterms:modified xsi:type="dcterms:W3CDTF">2020-12-15T08:04:20Z</dcterms:modified>
  <dc:title>信托计划监管报告</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