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30"/>
          <w:szCs w:val="30"/>
        </w:rPr>
      </w:pPr>
      <w:r>
        <w:rPr>
          <w:rFonts w:hint="eastAsia"/>
          <w:b/>
          <w:sz w:val="30"/>
          <w:szCs w:val="30"/>
        </w:rPr>
        <w:t>中国民生信托-至信9</w:t>
      </w:r>
      <w:r>
        <w:rPr>
          <w:b/>
          <w:sz w:val="30"/>
          <w:szCs w:val="30"/>
        </w:rPr>
        <w:t>31</w:t>
      </w:r>
      <w:r>
        <w:rPr>
          <w:rFonts w:hint="eastAsia"/>
          <w:b/>
          <w:sz w:val="30"/>
          <w:szCs w:val="30"/>
        </w:rPr>
        <w:t>号海伦堡特定资产</w:t>
      </w:r>
    </w:p>
    <w:p>
      <w:pPr>
        <w:spacing w:line="360" w:lineRule="auto"/>
        <w:jc w:val="center"/>
        <w:rPr>
          <w:rFonts w:hint="eastAsia"/>
          <w:b/>
          <w:sz w:val="30"/>
          <w:szCs w:val="30"/>
        </w:rPr>
      </w:pPr>
      <w:r>
        <w:rPr>
          <w:rFonts w:hint="eastAsia"/>
          <w:b/>
          <w:sz w:val="30"/>
          <w:szCs w:val="30"/>
        </w:rPr>
        <w:t>收益权集合资金信托计划</w:t>
      </w:r>
    </w:p>
    <w:p>
      <w:pPr>
        <w:spacing w:line="360" w:lineRule="auto"/>
        <w:jc w:val="center"/>
        <w:rPr>
          <w:b/>
          <w:sz w:val="30"/>
          <w:szCs w:val="30"/>
        </w:rPr>
      </w:pPr>
      <w:r>
        <w:rPr>
          <w:b/>
          <w:sz w:val="30"/>
          <w:szCs w:val="30"/>
        </w:rPr>
        <w:t>监管服务</w:t>
      </w:r>
      <w:r>
        <w:rPr>
          <w:rFonts w:hint="eastAsia"/>
          <w:b/>
          <w:sz w:val="30"/>
          <w:szCs w:val="30"/>
        </w:rPr>
        <w:t>项目收费申请书（第</w:t>
      </w:r>
      <w:r>
        <w:rPr>
          <w:rFonts w:hint="eastAsia"/>
          <w:b/>
          <w:sz w:val="30"/>
          <w:szCs w:val="30"/>
          <w:lang w:eastAsia="zh-CN"/>
        </w:rPr>
        <w:t>二</w:t>
      </w:r>
      <w:r>
        <w:rPr>
          <w:rFonts w:hint="eastAsia"/>
          <w:b/>
          <w:sz w:val="30"/>
          <w:szCs w:val="30"/>
        </w:rPr>
        <w:t>期）</w:t>
      </w:r>
    </w:p>
    <w:p/>
    <w:p>
      <w:pPr>
        <w:spacing w:line="400" w:lineRule="exact"/>
        <w:rPr>
          <w:rFonts w:asciiTheme="minorEastAsia" w:hAnsiTheme="minorEastAsia"/>
          <w:b/>
          <w:sz w:val="24"/>
          <w:szCs w:val="24"/>
        </w:rPr>
      </w:pPr>
      <w:r>
        <w:rPr>
          <w:rFonts w:hint="eastAsia" w:asciiTheme="minorEastAsia" w:hAnsiTheme="minorEastAsia"/>
          <w:b/>
          <w:sz w:val="24"/>
          <w:szCs w:val="24"/>
          <w:lang w:eastAsia="zh-CN"/>
        </w:rPr>
        <w:t>中国民生信托有限</w:t>
      </w:r>
      <w:r>
        <w:rPr>
          <w:rFonts w:hint="eastAsia" w:asciiTheme="minorEastAsia" w:hAnsiTheme="minorEastAsia"/>
          <w:b/>
          <w:sz w:val="24"/>
          <w:szCs w:val="24"/>
        </w:rPr>
        <w:t>公司：</w:t>
      </w:r>
    </w:p>
    <w:p>
      <w:pPr>
        <w:spacing w:line="400" w:lineRule="exact"/>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lang w:val="en-US" w:eastAsia="zh-CN"/>
        </w:rPr>
        <w:t>4</w:t>
      </w:r>
      <w:r>
        <w:rPr>
          <w:rFonts w:hint="eastAsia" w:cs="Arial" w:asciiTheme="minorEastAsia" w:hAnsiTheme="minorEastAsia"/>
          <w:sz w:val="24"/>
          <w:szCs w:val="24"/>
        </w:rPr>
        <w:t>月与贵公司签订了合同编号为</w:t>
      </w:r>
      <w:r>
        <w:rPr>
          <w:rFonts w:hint="eastAsia" w:cs="Arial" w:asciiTheme="minorEastAsia" w:hAnsiTheme="minorEastAsia"/>
          <w:sz w:val="24"/>
          <w:szCs w:val="24"/>
          <w:lang w:val="en-US" w:eastAsia="zh-CN"/>
        </w:rPr>
        <w:t>2020-MSJH-22-9</w:t>
      </w:r>
      <w:r>
        <w:rPr>
          <w:rFonts w:hint="eastAsia" w:cs="Arial" w:asciiTheme="minorEastAsia" w:hAnsiTheme="minorEastAsia"/>
          <w:sz w:val="24"/>
          <w:szCs w:val="24"/>
        </w:rPr>
        <w:t>的《中国民生信托-至信931号海伦堡特定资产收益权集合资金信托计划》。根据贵公司需求,我公司于20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4</w:t>
      </w:r>
      <w:r>
        <w:rPr>
          <w:rFonts w:hint="eastAsia" w:cs="Arial" w:asciiTheme="minorEastAsia" w:hAnsiTheme="minorEastAsia"/>
          <w:sz w:val="24"/>
          <w:szCs w:val="24"/>
        </w:rPr>
        <w:t>月2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日开始对“中国民生信托-至信931号海伦堡特定资产收益权集合资金信托计划”项目提供1名驻派人员进驻项目现场开展工作。根据我公司与贵公司监管合同中监管服务协议约定阶段监管服务费计算如下：</w:t>
      </w:r>
    </w:p>
    <w:p>
      <w:pPr>
        <w:spacing w:line="400" w:lineRule="exact"/>
        <w:ind w:firstLine="480" w:firstLineChars="200"/>
        <w:rPr>
          <w:rFonts w:cs="Arial" w:asciiTheme="minorEastAsia" w:hAnsiTheme="minorEastAsia"/>
          <w:sz w:val="24"/>
          <w:szCs w:val="24"/>
        </w:rPr>
      </w:pPr>
      <w:r>
        <w:rPr>
          <w:rFonts w:hint="eastAsia" w:cs="Arial" w:asciiTheme="minorEastAsia" w:hAnsiTheme="minorEastAsia"/>
          <w:sz w:val="24"/>
          <w:szCs w:val="24"/>
        </w:rPr>
        <w:t>合同约定一名驻场人员: 4</w:t>
      </w:r>
      <w:r>
        <w:rPr>
          <w:rFonts w:hint="eastAsia" w:cs="Arial" w:asciiTheme="minorEastAsia" w:hAnsiTheme="minorEastAsia"/>
          <w:sz w:val="24"/>
          <w:szCs w:val="24"/>
          <w:lang w:val="en-US" w:eastAsia="zh-CN"/>
        </w:rPr>
        <w:t>8</w:t>
      </w:r>
      <w:r>
        <w:rPr>
          <w:rFonts w:hint="eastAsia" w:cs="Arial" w:asciiTheme="minorEastAsia" w:hAnsiTheme="minorEastAsia"/>
          <w:sz w:val="24"/>
          <w:szCs w:val="24"/>
        </w:rPr>
        <w:t>万</w:t>
      </w:r>
      <w:r>
        <w:rPr>
          <w:rFonts w:hint="eastAsia" w:cs="Arial" w:asciiTheme="minorEastAsia" w:hAnsiTheme="minorEastAsia"/>
          <w:sz w:val="24"/>
          <w:szCs w:val="24"/>
          <w:lang w:eastAsia="zh-CN"/>
        </w:rPr>
        <w:t>元</w:t>
      </w:r>
      <w:r>
        <w:rPr>
          <w:rFonts w:hint="eastAsia" w:cs="Arial" w:asciiTheme="minorEastAsia" w:hAnsiTheme="minorEastAsia"/>
          <w:sz w:val="24"/>
          <w:szCs w:val="24"/>
        </w:rPr>
        <w:t>/年 ；</w:t>
      </w:r>
      <w:r>
        <w:rPr>
          <w:rFonts w:hint="eastAsia" w:cs="Arial" w:asciiTheme="minorEastAsia" w:hAnsiTheme="minorEastAsia"/>
          <w:sz w:val="24"/>
          <w:szCs w:val="24"/>
          <w:lang w:val="en-US" w:eastAsia="zh-CN"/>
        </w:rPr>
        <w:t>12</w:t>
      </w:r>
      <w:r>
        <w:rPr>
          <w:rFonts w:hint="eastAsia" w:cs="Arial" w:asciiTheme="minorEastAsia" w:hAnsiTheme="minorEastAsia"/>
          <w:sz w:val="24"/>
          <w:szCs w:val="24"/>
          <w:lang w:eastAsia="zh-CN"/>
        </w:rPr>
        <w:t>万元</w:t>
      </w:r>
      <w:r>
        <w:rPr>
          <w:rFonts w:hint="eastAsia" w:cs="Arial" w:asciiTheme="minorEastAsia" w:hAnsiTheme="minorEastAsia"/>
          <w:sz w:val="24"/>
          <w:szCs w:val="24"/>
        </w:rPr>
        <w:t>/</w:t>
      </w:r>
      <w:r>
        <w:rPr>
          <w:rFonts w:hint="eastAsia" w:cs="Arial" w:asciiTheme="minorEastAsia" w:hAnsiTheme="minorEastAsia"/>
          <w:sz w:val="24"/>
          <w:szCs w:val="24"/>
          <w:lang w:eastAsia="zh-CN"/>
        </w:rPr>
        <w:t>季度</w:t>
      </w:r>
      <w:r>
        <w:rPr>
          <w:rFonts w:hint="eastAsia" w:cs="Arial" w:asciiTheme="minorEastAsia" w:hAnsiTheme="minorEastAsia"/>
          <w:sz w:val="24"/>
          <w:szCs w:val="24"/>
        </w:rPr>
        <w:t>；</w:t>
      </w:r>
      <w:bookmarkStart w:id="0" w:name="_GoBack"/>
      <w:bookmarkEnd w:id="0"/>
      <w:r>
        <w:rPr>
          <w:rFonts w:hint="eastAsia" w:cs="Arial" w:asciiTheme="minorEastAsia" w:hAnsiTheme="minorEastAsia"/>
          <w:sz w:val="24"/>
          <w:szCs w:val="24"/>
        </w:rPr>
        <w:t>监管服务费按自然季度每季度末支付，每自然季度末指每年3月31日、6月30日、9月30日、12月31日。如遇非工作日，则延期至其后第一个工作日进行支付。截至支付日不满一个季度的，当季监管服务费=每日应付监管服务费×该结算期间的实际监管天数。自2020年</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日至2020年</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 xml:space="preserve">日，一名驻场人员应结算的服务费用为: </w:t>
      </w:r>
    </w:p>
    <w:p>
      <w:pPr>
        <w:spacing w:line="400" w:lineRule="exact"/>
        <w:ind w:firstLine="1860" w:firstLineChars="775"/>
        <w:rPr>
          <w:rFonts w:cs="Arial" w:asciiTheme="minorEastAsia" w:hAnsiTheme="minorEastAsia"/>
          <w:sz w:val="24"/>
          <w:szCs w:val="24"/>
        </w:rPr>
      </w:pPr>
      <w:r>
        <w:rPr>
          <w:rFonts w:hint="eastAsia" w:cs="Arial" w:asciiTheme="minorEastAsia" w:hAnsiTheme="minorEastAsia"/>
          <w:sz w:val="24"/>
          <w:szCs w:val="24"/>
          <w:lang w:val="en-US" w:eastAsia="zh-CN"/>
        </w:rPr>
        <w:t>40</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w:t>
      </w:r>
      <w:r>
        <w:rPr>
          <w:rFonts w:hint="eastAsia" w:cs="Arial" w:asciiTheme="minorEastAsia" w:hAnsiTheme="minorEastAsia"/>
          <w:sz w:val="24"/>
          <w:szCs w:val="24"/>
        </w:rPr>
        <w:t>00.00元/月*</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个</w:t>
      </w:r>
      <w:r>
        <w:rPr>
          <w:rFonts w:hint="eastAsia" w:cs="Arial" w:asciiTheme="minorEastAsia" w:hAnsiTheme="minorEastAsia"/>
          <w:sz w:val="24"/>
          <w:szCs w:val="24"/>
          <w:lang w:eastAsia="zh-CN"/>
        </w:rPr>
        <w:t>月</w:t>
      </w:r>
      <w:r>
        <w:rPr>
          <w:rFonts w:hint="eastAsia" w:cs="Arial" w:asciiTheme="minorEastAsia" w:hAnsiTheme="minorEastAsia"/>
          <w:sz w:val="24"/>
          <w:szCs w:val="24"/>
        </w:rPr>
        <w:t xml:space="preserve">= </w:t>
      </w:r>
      <w:r>
        <w:rPr>
          <w:rFonts w:hint="eastAsia" w:cs="Arial" w:asciiTheme="minorEastAsia" w:hAnsiTheme="minorEastAsia"/>
          <w:sz w:val="24"/>
          <w:szCs w:val="24"/>
          <w:lang w:val="en-US" w:eastAsia="zh-CN"/>
        </w:rPr>
        <w:t>120</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w:t>
      </w:r>
      <w:r>
        <w:rPr>
          <w:rFonts w:hint="eastAsia" w:cs="Arial" w:asciiTheme="minorEastAsia" w:hAnsiTheme="minorEastAsia"/>
          <w:sz w:val="24"/>
          <w:szCs w:val="24"/>
        </w:rPr>
        <w:t>00.00元</w:t>
      </w:r>
    </w:p>
    <w:p>
      <w:pPr>
        <w:spacing w:line="400" w:lineRule="exact"/>
        <w:ind w:firstLine="420"/>
        <w:rPr>
          <w:rFonts w:cs="Arial" w:asciiTheme="minorEastAsia" w:hAnsiTheme="minorEastAsia"/>
          <w:sz w:val="24"/>
          <w:szCs w:val="24"/>
        </w:rPr>
      </w:pPr>
      <w:r>
        <w:rPr>
          <w:rFonts w:hint="eastAsia" w:cs="Arial" w:asciiTheme="minorEastAsia" w:hAnsiTheme="minorEastAsia"/>
          <w:sz w:val="24"/>
          <w:szCs w:val="24"/>
        </w:rPr>
        <w:t>贵公司应支付监管服务费用为:人民币</w:t>
      </w:r>
      <w:r>
        <w:rPr>
          <w:rFonts w:hint="eastAsia" w:cs="Arial" w:asciiTheme="minorEastAsia" w:hAnsiTheme="minorEastAsia"/>
          <w:sz w:val="24"/>
          <w:szCs w:val="24"/>
          <w:lang w:val="en-US" w:eastAsia="zh-CN"/>
        </w:rPr>
        <w:t>120</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w:t>
      </w:r>
      <w:r>
        <w:rPr>
          <w:rFonts w:hint="eastAsia" w:cs="Arial" w:asciiTheme="minorEastAsia" w:hAnsiTheme="minorEastAsia"/>
          <w:sz w:val="24"/>
          <w:szCs w:val="24"/>
        </w:rPr>
        <w:t>00.00元。</w:t>
      </w:r>
    </w:p>
    <w:p>
      <w:pPr>
        <w:spacing w:line="400" w:lineRule="exact"/>
        <w:rPr>
          <w:rFonts w:cs="Arial" w:asciiTheme="minorEastAsia" w:hAnsiTheme="minorEastAsia"/>
          <w:sz w:val="24"/>
          <w:szCs w:val="24"/>
        </w:rPr>
      </w:pPr>
      <w:r>
        <w:rPr>
          <w:rFonts w:hint="eastAsia" w:cs="Arial" w:asciiTheme="minorEastAsia" w:hAnsiTheme="minorEastAsia"/>
          <w:sz w:val="24"/>
          <w:szCs w:val="24"/>
        </w:rPr>
        <w:t>特此申请。</w:t>
      </w:r>
    </w:p>
    <w:p>
      <w:pPr>
        <w:spacing w:line="400" w:lineRule="exact"/>
        <w:ind w:firstLine="420"/>
        <w:rPr>
          <w:rFonts w:hint="eastAsia" w:cs="Arial" w:asciiTheme="minorEastAsia" w:hAnsiTheme="minorEastAsia"/>
          <w:sz w:val="24"/>
          <w:szCs w:val="24"/>
        </w:rPr>
      </w:pPr>
      <w:r>
        <w:rPr>
          <w:rFonts w:hint="eastAsia" w:cs="Arial" w:asciiTheme="minorEastAsia" w:hAnsiTheme="minorEastAsia"/>
          <w:sz w:val="24"/>
          <w:szCs w:val="24"/>
        </w:rPr>
        <w:t xml:space="preserve">                                  </w:t>
      </w:r>
    </w:p>
    <w:p>
      <w:pPr>
        <w:spacing w:line="400" w:lineRule="exact"/>
        <w:ind w:firstLine="420"/>
        <w:rPr>
          <w:rFonts w:cs="Arial" w:asciiTheme="minorEastAsia" w:hAnsiTheme="minorEastAsia"/>
          <w:sz w:val="24"/>
          <w:szCs w:val="24"/>
        </w:rPr>
      </w:pPr>
    </w:p>
    <w:p>
      <w:pPr>
        <w:spacing w:line="400" w:lineRule="exact"/>
        <w:ind w:firstLine="4800" w:firstLineChars="2000"/>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00" w:lineRule="exact"/>
        <w:rPr>
          <w:rFonts w:cs="Arial" w:asciiTheme="minorEastAsia" w:hAnsiTheme="minorEastAsia"/>
          <w:sz w:val="24"/>
          <w:szCs w:val="24"/>
        </w:rPr>
      </w:pPr>
      <w:r>
        <w:rPr>
          <w:rFonts w:hint="eastAsia" w:cs="Arial" w:asciiTheme="minorEastAsia" w:hAnsiTheme="minorEastAsia"/>
          <w:sz w:val="24"/>
          <w:szCs w:val="24"/>
        </w:rPr>
        <w:t xml:space="preserve">                                                   2020年</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月</w:t>
      </w:r>
    </w:p>
    <w:p>
      <w:pPr>
        <w:spacing w:line="400" w:lineRule="exact"/>
        <w:rPr>
          <w:rFonts w:hint="eastAsia" w:ascii="Arial" w:hAnsi="Arial" w:cs="Arial"/>
          <w:sz w:val="24"/>
          <w:szCs w:val="24"/>
        </w:rPr>
      </w:pPr>
    </w:p>
    <w:p>
      <w:pPr>
        <w:spacing w:line="400" w:lineRule="exact"/>
        <w:rPr>
          <w:rFonts w:hint="eastAsia" w:ascii="Arial" w:hAnsi="Arial" w:cs="Arial"/>
          <w:sz w:val="24"/>
          <w:szCs w:val="24"/>
        </w:rPr>
      </w:pPr>
    </w:p>
    <w:p>
      <w:pPr>
        <w:spacing w:line="400" w:lineRule="exact"/>
        <w:rPr>
          <w:rFonts w:hint="eastAsia" w:ascii="Arial" w:hAnsi="Arial" w:cs="Arial"/>
          <w:sz w:val="24"/>
          <w:szCs w:val="24"/>
        </w:rPr>
      </w:pPr>
    </w:p>
    <w:p>
      <w:pPr>
        <w:spacing w:line="400" w:lineRule="exact"/>
        <w:rPr>
          <w:rFonts w:ascii="Arial" w:hAnsi="Arial" w:cs="Arial"/>
          <w:sz w:val="24"/>
          <w:szCs w:val="24"/>
        </w:rPr>
      </w:pPr>
      <w:r>
        <w:rPr>
          <w:rFonts w:hint="eastAsia" w:ascii="Arial" w:hAnsi="Arial" w:cs="Arial"/>
          <w:sz w:val="24"/>
          <w:szCs w:val="24"/>
        </w:rPr>
        <w:t>附件1：  支付信息</w:t>
      </w:r>
    </w:p>
    <w:p>
      <w:pPr>
        <w:widowControl/>
        <w:spacing w:line="400" w:lineRule="exact"/>
        <w:jc w:val="left"/>
        <w:rPr>
          <w:rFonts w:ascii="Arial" w:hAnsi="Arial" w:cs="Arial"/>
          <w:sz w:val="24"/>
          <w:szCs w:val="24"/>
        </w:rPr>
      </w:pPr>
      <w:r>
        <w:rPr>
          <w:rFonts w:ascii="Arial" w:hAnsi="Arial" w:cs="Arial"/>
          <w:sz w:val="24"/>
          <w:szCs w:val="24"/>
        </w:rPr>
        <w:t>户名：北京康信君安资产管理有限公司</w:t>
      </w:r>
    </w:p>
    <w:p>
      <w:pPr>
        <w:widowControl/>
        <w:spacing w:line="400" w:lineRule="exact"/>
        <w:jc w:val="left"/>
        <w:rPr>
          <w:rFonts w:ascii="Arial" w:hAnsi="Arial" w:cs="Arial"/>
          <w:sz w:val="24"/>
          <w:szCs w:val="24"/>
        </w:rPr>
      </w:pPr>
      <w:r>
        <w:rPr>
          <w:rFonts w:ascii="Arial" w:hAnsi="Arial" w:cs="Arial"/>
          <w:sz w:val="24"/>
          <w:szCs w:val="24"/>
        </w:rPr>
        <w:t>纳税人识别号：91110108318246596L</w:t>
      </w:r>
    </w:p>
    <w:p>
      <w:pPr>
        <w:widowControl/>
        <w:spacing w:line="400" w:lineRule="exact"/>
        <w:jc w:val="left"/>
        <w:rPr>
          <w:rFonts w:ascii="Arial" w:hAnsi="Arial" w:cs="Arial"/>
          <w:sz w:val="24"/>
          <w:szCs w:val="24"/>
        </w:rPr>
      </w:pPr>
      <w:r>
        <w:rPr>
          <w:rFonts w:ascii="Arial" w:hAnsi="Arial" w:cs="Arial"/>
          <w:sz w:val="24"/>
          <w:szCs w:val="24"/>
        </w:rPr>
        <w:t>开户行：中国工商银行股份有限公司北京地安门支行</w:t>
      </w:r>
    </w:p>
    <w:p>
      <w:pPr>
        <w:widowControl/>
        <w:spacing w:line="400" w:lineRule="exact"/>
        <w:jc w:val="left"/>
        <w:rPr>
          <w:rFonts w:ascii="Arial" w:hAnsi="Arial" w:cs="Arial"/>
          <w:sz w:val="24"/>
          <w:szCs w:val="24"/>
        </w:rPr>
      </w:pPr>
      <w:r>
        <w:rPr>
          <w:rFonts w:ascii="Arial" w:hAnsi="Arial" w:cs="Arial"/>
          <w:sz w:val="24"/>
          <w:szCs w:val="24"/>
        </w:rPr>
        <w:t>开户账号：0200337619100015708</w:t>
      </w:r>
    </w:p>
    <w:p>
      <w:pPr>
        <w:widowControl/>
        <w:spacing w:line="400" w:lineRule="exact"/>
        <w:jc w:val="left"/>
        <w:rPr>
          <w:rFonts w:ascii="Arial" w:hAnsi="Arial" w:cs="Arial"/>
          <w:sz w:val="24"/>
          <w:szCs w:val="24"/>
        </w:rPr>
      </w:pPr>
      <w:r>
        <w:rPr>
          <w:rFonts w:ascii="Arial" w:hAnsi="Arial" w:cs="Arial"/>
          <w:sz w:val="24"/>
          <w:szCs w:val="24"/>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drawing>
        <wp:inline distT="0" distB="0" distL="0" distR="0">
          <wp:extent cx="5274310" cy="3721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721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1F34C5"/>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40EE"/>
    <w:rsid w:val="007E57B5"/>
    <w:rsid w:val="007E620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30B3"/>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4FAB"/>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1E8C"/>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87EA1"/>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0849"/>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37F658E4"/>
    <w:rsid w:val="58EC1A98"/>
    <w:rsid w:val="5E1278D1"/>
    <w:rsid w:val="7940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Date"/>
    <w:basedOn w:val="1"/>
    <w:next w:val="1"/>
    <w:link w:val="10"/>
    <w:semiHidden/>
    <w:unhideWhenUsed/>
    <w:qFormat/>
    <w:uiPriority w:val="99"/>
    <w:pPr>
      <w:ind w:left="100" w:leftChars="2500"/>
    </w:pPr>
  </w:style>
  <w:style w:type="paragraph" w:styleId="4">
    <w:name w:val="Balloon Text"/>
    <w:basedOn w:val="1"/>
    <w:link w:val="11"/>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qFormat/>
    <w:uiPriority w:val="0"/>
    <w:rPr>
      <w:sz w:val="21"/>
      <w:szCs w:val="21"/>
    </w:rPr>
  </w:style>
  <w:style w:type="character" w:customStyle="1" w:styleId="10">
    <w:name w:val="日期 Char"/>
    <w:basedOn w:val="8"/>
    <w:link w:val="3"/>
    <w:semiHidden/>
    <w:qFormat/>
    <w:uiPriority w:val="99"/>
  </w:style>
  <w:style w:type="character" w:customStyle="1" w:styleId="11">
    <w:name w:val="批注框文本 Char"/>
    <w:basedOn w:val="8"/>
    <w:link w:val="4"/>
    <w:semiHidden/>
    <w:uiPriority w:val="99"/>
    <w:rPr>
      <w:sz w:val="18"/>
      <w:szCs w:val="18"/>
    </w:rPr>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95</Words>
  <Characters>548</Characters>
  <Lines>4</Lines>
  <Paragraphs>1</Paragraphs>
  <TotalTime>3</TotalTime>
  <ScaleCrop>false</ScaleCrop>
  <LinksUpToDate>false</LinksUpToDate>
  <CharactersWithSpaces>642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2019-10-25T08:15:00Z</dcterms:created>
  <dc:creator>微软用户</dc:creator>
  <cp:lastModifiedBy>冀越</cp:lastModifiedBy>
  <dcterms:modified xsi:type="dcterms:W3CDTF">2020-09-17T02:31:08Z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