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fill="FFFFFF" w:themeFill="background1"/>
        <w:jc w:val="center"/>
        <w:rPr>
          <w:rFonts w:hint="eastAsia"/>
          <w:b/>
          <w:bCs/>
          <w:sz w:val="28"/>
          <w:szCs w:val="28"/>
          <w:lang w:val="en-US" w:eastAsia="zh-CN"/>
        </w:rPr>
      </w:pPr>
      <w:r>
        <w:rPr>
          <w:rFonts w:hint="eastAsia"/>
          <w:b/>
          <w:bCs/>
          <w:sz w:val="28"/>
          <w:szCs w:val="28"/>
          <w:lang w:val="en-US" w:eastAsia="zh-CN"/>
        </w:rPr>
        <w:t>情况说明</w:t>
      </w:r>
    </w:p>
    <w:p>
      <w:pPr>
        <w:rPr>
          <w:sz w:val="28"/>
          <w:szCs w:val="28"/>
        </w:rPr>
      </w:pPr>
      <w:r>
        <w:rPr>
          <w:sz w:val="28"/>
          <w:szCs w:val="28"/>
        </w:rPr>
        <w:t>1、项目基本情况</w:t>
      </w:r>
    </w:p>
    <w:p>
      <w:pPr>
        <w:pStyle w:val="5"/>
        <w:spacing w:after="0" w:line="480" w:lineRule="auto"/>
        <w:ind w:firstLineChars="200"/>
        <w:rPr>
          <w:rFonts w:hint="eastAsia" w:ascii="宋体" w:hAnsi="宋体" w:eastAsia="宋体" w:cs="宋体"/>
          <w:i w:val="0"/>
          <w:iCs w:val="0"/>
          <w:caps w:val="0"/>
          <w:color w:val="404040"/>
          <w:spacing w:val="0"/>
          <w:sz w:val="24"/>
          <w:szCs w:val="24"/>
          <w:bdr w:val="none" w:color="auto" w:sz="0" w:space="0"/>
        </w:rPr>
      </w:pPr>
      <w:r>
        <w:rPr>
          <w:rFonts w:hint="eastAsia" w:ascii="宋体" w:hAnsi="宋体" w:eastAsia="宋体" w:cs="宋体"/>
          <w:i w:val="0"/>
          <w:iCs w:val="0"/>
          <w:caps w:val="0"/>
          <w:color w:val="404040"/>
          <w:spacing w:val="0"/>
          <w:sz w:val="24"/>
          <w:szCs w:val="24"/>
        </w:rPr>
        <w:t>南沙恒大文化旅游城项目</w:t>
      </w:r>
      <w:r>
        <w:rPr>
          <w:rFonts w:hint="eastAsia" w:ascii="宋体" w:hAnsi="宋体" w:eastAsia="宋体" w:cs="宋体"/>
          <w:i w:val="0"/>
          <w:iCs w:val="0"/>
          <w:caps w:val="0"/>
          <w:color w:val="404040"/>
          <w:spacing w:val="0"/>
          <w:sz w:val="24"/>
          <w:szCs w:val="24"/>
          <w:lang w:eastAsia="zh-CN"/>
        </w:rPr>
        <w:t>（</w:t>
      </w:r>
      <w:r>
        <w:rPr>
          <w:rFonts w:hint="eastAsia" w:ascii="宋体" w:hAnsi="宋体" w:eastAsia="宋体" w:cs="宋体"/>
          <w:color w:val="000000"/>
          <w:sz w:val="24"/>
          <w:szCs w:val="24"/>
        </w:rPr>
        <w:t>2020NJY-11号地块</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2020NJY-12号地</w:t>
      </w:r>
      <w:r>
        <w:rPr>
          <w:rFonts w:hint="eastAsia" w:ascii="宋体" w:hAnsi="宋体" w:eastAsia="宋体" w:cs="宋体"/>
          <w:i w:val="0"/>
          <w:iCs w:val="0"/>
          <w:caps w:val="0"/>
          <w:color w:val="404040"/>
          <w:spacing w:val="0"/>
          <w:sz w:val="24"/>
          <w:szCs w:val="24"/>
          <w:lang w:eastAsia="zh-CN"/>
        </w:rPr>
        <w:t>）</w:t>
      </w:r>
      <w:r>
        <w:rPr>
          <w:rFonts w:hint="eastAsia" w:ascii="宋体" w:hAnsi="宋体" w:eastAsia="宋体" w:cs="宋体"/>
          <w:i w:val="0"/>
          <w:iCs w:val="0"/>
          <w:caps w:val="0"/>
          <w:color w:val="404040"/>
          <w:spacing w:val="0"/>
          <w:sz w:val="24"/>
          <w:szCs w:val="24"/>
        </w:rPr>
        <w:t>位于广州市南沙区万顷沙南部地区，处于十六涌至十七涌之间。项目总体投资200亿，总规划可建设用地面积967亩，其中公寓184亩、乐园783亩，项目首期规划建筑面积37万㎡（公寓33万㎡、酒店3万㎡、商业1万㎡）将填补南沙主题乐园的空缺。</w:t>
      </w:r>
      <w:r>
        <w:rPr>
          <w:rFonts w:hint="eastAsia" w:ascii="宋体" w:hAnsi="宋体" w:eastAsia="宋体" w:cs="宋体"/>
          <w:i w:val="0"/>
          <w:iCs w:val="0"/>
          <w:caps w:val="0"/>
          <w:color w:val="404040"/>
          <w:spacing w:val="0"/>
          <w:sz w:val="24"/>
          <w:szCs w:val="24"/>
          <w:bdr w:val="none" w:color="auto" w:sz="0" w:space="0"/>
        </w:rPr>
        <w:t>乐园建设年限为2020年至2023年，总投资为49个亿元。项目将建设室内水上乐园、文化娱乐城等，建设成全室内、全天候、全季节的世界顶级童话神话主题乐园。一期主要开展神秘古国区游乐设施及主题园林区建设。建设以童话神话为主题的由35座风格特异的商业建筑群构成的文创园区，以及酒店及酒店式公寓、商业街、美食街等业态构成的大型文化旅游综合体。</w:t>
      </w:r>
    </w:p>
    <w:p>
      <w:pPr>
        <w:spacing w:line="48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2020NJY-11号地块对应开发单位为广州南沙区恒睿文化旅游发展有限公司</w:t>
      </w:r>
      <w:r>
        <w:rPr>
          <w:rFonts w:hint="eastAsia" w:ascii="宋体" w:hAnsi="宋体" w:eastAsia="宋体" w:cs="宋体"/>
          <w:color w:val="000000"/>
          <w:sz w:val="24"/>
          <w:szCs w:val="24"/>
          <w:lang w:eastAsia="zh-CN"/>
        </w:rPr>
        <w:t>。</w:t>
      </w:r>
    </w:p>
    <w:p>
      <w:pPr>
        <w:pStyle w:val="5"/>
        <w:spacing w:after="0" w:line="480" w:lineRule="auto"/>
        <w:ind w:left="0" w:leftChars="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标的项目一坐落地块占地面积【73,459.00】㎡，总建筑面积为：</w:t>
      </w:r>
      <w:r>
        <w:rPr>
          <w:rFonts w:hint="eastAsia" w:ascii="宋体" w:hAnsi="宋体" w:eastAsia="宋体" w:cs="宋体"/>
          <w:kern w:val="0"/>
          <w:sz w:val="24"/>
          <w:szCs w:val="24"/>
        </w:rPr>
        <w:t>【367,295</w:t>
      </w:r>
      <w:r>
        <w:rPr>
          <w:rFonts w:hint="eastAsia" w:ascii="宋体" w:hAnsi="宋体" w:eastAsia="宋体" w:cs="宋体"/>
          <w:color w:val="000000"/>
          <w:kern w:val="0"/>
          <w:sz w:val="24"/>
          <w:szCs w:val="24"/>
        </w:rPr>
        <w:t>.00</w:t>
      </w:r>
      <w:r>
        <w:rPr>
          <w:rFonts w:hint="eastAsia" w:ascii="宋体" w:hAnsi="宋体" w:eastAsia="宋体" w:cs="宋体"/>
          <w:kern w:val="0"/>
          <w:sz w:val="24"/>
          <w:szCs w:val="24"/>
        </w:rPr>
        <w:t>】</w:t>
      </w:r>
      <w:r>
        <w:rPr>
          <w:rFonts w:hint="eastAsia" w:ascii="宋体" w:hAnsi="宋体" w:eastAsia="宋体" w:cs="宋体"/>
          <w:color w:val="000000"/>
          <w:kern w:val="0"/>
          <w:sz w:val="24"/>
          <w:szCs w:val="24"/>
        </w:rPr>
        <w:t>㎡，计容面积为：【367,295.00】㎡，其中：商业面积为10,170.00㎡、酒店面积28,300.00㎡、公寓面积328,825.00㎡。容积率5.0，建筑密度27.70%。</w:t>
      </w:r>
    </w:p>
    <w:p>
      <w:pPr>
        <w:pStyle w:val="5"/>
        <w:spacing w:after="0" w:line="480" w:lineRule="auto"/>
        <w:ind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公寓中：平层类住宅16,777.97㎡、平层公寓141,965.05㎡、LOFT公寓168,731.15㎡、机房等附属面积1,350.83㎡，合计328,825.00㎡。</w:t>
      </w:r>
    </w:p>
    <w:p>
      <w:pPr>
        <w:spacing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2020NJY-12号地块对应开发单位为广州南沙区恒昌文化旅游发展有限公司。</w:t>
      </w:r>
    </w:p>
    <w:p>
      <w:pPr>
        <w:pStyle w:val="5"/>
        <w:spacing w:after="0" w:line="480" w:lineRule="auto"/>
        <w:ind w:firstLineChars="200"/>
        <w:rPr>
          <w:rFonts w:hint="eastAsia" w:ascii="宋体" w:hAnsi="宋体" w:eastAsia="宋体" w:cs="宋体"/>
          <w:sz w:val="24"/>
          <w:szCs w:val="24"/>
        </w:rPr>
      </w:pPr>
      <w:r>
        <w:rPr>
          <w:rFonts w:hint="eastAsia" w:ascii="宋体" w:hAnsi="宋体" w:eastAsia="宋体" w:cs="宋体"/>
          <w:sz w:val="24"/>
          <w:szCs w:val="24"/>
        </w:rPr>
        <w:t>标的项目二坐落地块占地面积【218,051</w:t>
      </w:r>
      <w:r>
        <w:rPr>
          <w:rFonts w:hint="eastAsia" w:ascii="宋体" w:hAnsi="宋体" w:eastAsia="宋体" w:cs="宋体"/>
          <w:color w:val="000000"/>
          <w:kern w:val="0"/>
          <w:sz w:val="24"/>
          <w:szCs w:val="24"/>
        </w:rPr>
        <w:t>.00</w:t>
      </w:r>
      <w:r>
        <w:rPr>
          <w:rFonts w:hint="eastAsia" w:ascii="宋体" w:hAnsi="宋体" w:eastAsia="宋体" w:cs="宋体"/>
          <w:sz w:val="24"/>
          <w:szCs w:val="24"/>
        </w:rPr>
        <w:t>】</w:t>
      </w:r>
      <w:r>
        <w:rPr>
          <w:rFonts w:hint="eastAsia" w:ascii="宋体" w:hAnsi="宋体" w:eastAsia="宋体" w:cs="宋体"/>
          <w:color w:val="000000"/>
          <w:kern w:val="0"/>
          <w:sz w:val="24"/>
          <w:szCs w:val="24"/>
        </w:rPr>
        <w:t>㎡</w:t>
      </w:r>
      <w:r>
        <w:rPr>
          <w:rFonts w:hint="eastAsia" w:ascii="宋体" w:hAnsi="宋体" w:eastAsia="宋体" w:cs="宋体"/>
          <w:sz w:val="24"/>
          <w:szCs w:val="24"/>
        </w:rPr>
        <w:t>，总建筑面积为：【327,077</w:t>
      </w:r>
      <w:r>
        <w:rPr>
          <w:rFonts w:hint="eastAsia" w:ascii="宋体" w:hAnsi="宋体" w:eastAsia="宋体" w:cs="宋体"/>
          <w:color w:val="000000"/>
          <w:kern w:val="0"/>
          <w:sz w:val="24"/>
          <w:szCs w:val="24"/>
        </w:rPr>
        <w:t>.00</w:t>
      </w:r>
      <w:r>
        <w:rPr>
          <w:rFonts w:hint="eastAsia" w:ascii="宋体" w:hAnsi="宋体" w:eastAsia="宋体" w:cs="宋体"/>
          <w:sz w:val="24"/>
          <w:szCs w:val="24"/>
        </w:rPr>
        <w:t>】</w:t>
      </w:r>
      <w:r>
        <w:rPr>
          <w:rFonts w:hint="eastAsia" w:ascii="宋体" w:hAnsi="宋体" w:eastAsia="宋体" w:cs="宋体"/>
          <w:color w:val="000000"/>
          <w:kern w:val="0"/>
          <w:sz w:val="24"/>
          <w:szCs w:val="24"/>
        </w:rPr>
        <w:t>㎡</w:t>
      </w:r>
      <w:r>
        <w:rPr>
          <w:rFonts w:hint="eastAsia" w:ascii="宋体" w:hAnsi="宋体" w:eastAsia="宋体" w:cs="宋体"/>
          <w:sz w:val="24"/>
          <w:szCs w:val="24"/>
        </w:rPr>
        <w:t>，计容面积为：【327,077</w:t>
      </w:r>
      <w:r>
        <w:rPr>
          <w:rFonts w:hint="eastAsia" w:ascii="宋体" w:hAnsi="宋体" w:eastAsia="宋体" w:cs="宋体"/>
          <w:color w:val="000000"/>
          <w:kern w:val="0"/>
          <w:sz w:val="24"/>
          <w:szCs w:val="24"/>
        </w:rPr>
        <w:t>.00</w:t>
      </w:r>
      <w:r>
        <w:rPr>
          <w:rFonts w:hint="eastAsia" w:ascii="宋体" w:hAnsi="宋体" w:eastAsia="宋体" w:cs="宋体"/>
          <w:sz w:val="24"/>
          <w:szCs w:val="24"/>
        </w:rPr>
        <w:t>】</w:t>
      </w:r>
      <w:r>
        <w:rPr>
          <w:rFonts w:hint="eastAsia" w:ascii="宋体" w:hAnsi="宋体" w:eastAsia="宋体" w:cs="宋体"/>
          <w:color w:val="000000"/>
          <w:kern w:val="0"/>
          <w:sz w:val="24"/>
          <w:szCs w:val="24"/>
        </w:rPr>
        <w:t>㎡，其中乐园建筑面积71,162.34㎡、商业建筑面积7,287.13㎡、公寓总建筑面积248,627.03㎡</w:t>
      </w:r>
      <w:r>
        <w:rPr>
          <w:rFonts w:hint="eastAsia" w:ascii="宋体" w:hAnsi="宋体" w:eastAsia="宋体" w:cs="宋体"/>
          <w:sz w:val="24"/>
          <w:szCs w:val="24"/>
        </w:rPr>
        <w:t>。容积率1.5，建筑密度为33.15%。</w:t>
      </w:r>
    </w:p>
    <w:p>
      <w:pPr>
        <w:pStyle w:val="5"/>
        <w:spacing w:after="0" w:line="480" w:lineRule="auto"/>
        <w:ind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公寓中：平层类住宅19,918.84㎡、LOFT公寓227,702.9㎡、机房等附属面积1,005.28㎡，合计248,627.03㎡。</w:t>
      </w:r>
    </w:p>
    <w:p>
      <w:pPr>
        <w:numPr>
          <w:numId w:val="0"/>
        </w:numPr>
        <w:spacing w:line="480" w:lineRule="auto"/>
        <w:ind w:firstLine="432" w:firstLineChars="200"/>
        <w:jc w:val="left"/>
        <w:rPr>
          <w:rFonts w:hint="default" w:ascii="Arial" w:hAnsi="Arial" w:cs="Arial"/>
          <w:i w:val="0"/>
          <w:iCs w:val="0"/>
          <w:caps w:val="0"/>
          <w:color w:val="404040"/>
          <w:spacing w:val="0"/>
          <w:sz w:val="21"/>
          <w:szCs w:val="21"/>
        </w:rPr>
      </w:pPr>
    </w:p>
    <w:p>
      <w:pPr>
        <w:numPr>
          <w:ilvl w:val="0"/>
          <w:numId w:val="1"/>
        </w:numPr>
        <w:rPr>
          <w:sz w:val="30"/>
          <w:szCs w:val="30"/>
        </w:rPr>
      </w:pPr>
      <w:r>
        <w:rPr>
          <w:sz w:val="30"/>
          <w:szCs w:val="30"/>
        </w:rPr>
        <w:t>股权或法人变更</w:t>
      </w:r>
    </w:p>
    <w:p>
      <w:pPr>
        <w:pStyle w:val="2"/>
        <w:numPr>
          <w:numId w:val="0"/>
        </w:numPr>
        <w:rPr>
          <w:rFonts w:hint="default"/>
          <w:lang w:val="en-US" w:eastAsia="zh-CN"/>
        </w:rPr>
      </w:pPr>
    </w:p>
    <w:p>
      <w:pPr>
        <w:spacing w:line="48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2020年12月五矿信托启动五矿信托-恒信共筑18号-景润西部更新集合资金信托计划</w:t>
      </w:r>
      <w:r>
        <w:rPr>
          <w:rFonts w:hint="eastAsia" w:ascii="宋体" w:hAnsi="宋体" w:eastAsia="宋体" w:cs="宋体"/>
          <w:bCs/>
          <w:color w:val="auto"/>
          <w:sz w:val="24"/>
          <w:szCs w:val="24"/>
        </w:rPr>
        <w:t>向恒睿公司发放信托资金合计不超过105250万元，其中490万元用于受让广州文旅持有恒睿公司的49%股权，104760万元用于向恒睿公司发放股东借款，具体用于南沙恒大文化旅游城项目地块一开发建设；向恒昌公司发放信托资金合计不超过98850万元，其中490万元用于受让广州文旅持有恒昌公司的49%股权，98360万元用于向恒昌公司发放股东借款，具体用于南沙恒大文化旅游城项目地块二开发建设。</w:t>
      </w:r>
    </w:p>
    <w:p>
      <w:pPr>
        <w:pStyle w:val="2"/>
        <w:numPr>
          <w:ilvl w:val="0"/>
          <w:numId w:val="0"/>
        </w:numPr>
        <w:spacing w:line="48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后因恒大集团主体债务危机，经五矿信托及恒大集团友好协商，</w:t>
      </w:r>
      <w:r>
        <w:rPr>
          <w:rFonts w:hint="eastAsia" w:ascii="宋体" w:hAnsi="宋体" w:eastAsia="宋体" w:cs="宋体"/>
          <w:bCs/>
          <w:color w:val="auto"/>
          <w:sz w:val="24"/>
          <w:szCs w:val="24"/>
          <w:lang w:val="en-US" w:eastAsia="zh-CN"/>
        </w:rPr>
        <w:t>五矿信托于2021年12月21日启动</w:t>
      </w:r>
      <w:r>
        <w:rPr>
          <w:rFonts w:hint="eastAsia" w:ascii="宋体" w:hAnsi="宋体" w:eastAsia="宋体" w:cs="宋体"/>
          <w:bCs/>
          <w:color w:val="auto"/>
          <w:sz w:val="24"/>
          <w:szCs w:val="24"/>
        </w:rPr>
        <w:t>更改交易结构为五矿信托整体受让恒睿公司、恒昌公司全部股权</w:t>
      </w:r>
      <w:r>
        <w:rPr>
          <w:rFonts w:hint="eastAsia" w:ascii="宋体" w:hAnsi="宋体" w:eastAsia="宋体" w:cs="宋体"/>
          <w:color w:val="000000" w:themeColor="text1"/>
          <w:kern w:val="2"/>
          <w:sz w:val="24"/>
          <w:szCs w:val="24"/>
          <w:lang w:val="en-US" w:eastAsia="zh-CN" w:bidi="ar-SA"/>
          <w14:textFill>
            <w14:solidFill>
              <w14:schemeClr w14:val="tx1"/>
            </w14:solidFill>
          </w14:textFill>
        </w:rPr>
        <w:t>，法定代表人由赵玉腾变更为刘青。</w:t>
      </w:r>
      <w:r>
        <w:rPr>
          <w:rFonts w:hint="eastAsia" w:ascii="宋体" w:hAnsi="宋体" w:eastAsia="宋体" w:cs="宋体"/>
          <w:bCs/>
          <w:color w:val="auto"/>
          <w:sz w:val="24"/>
          <w:szCs w:val="24"/>
          <w:lang w:val="en-US" w:eastAsia="zh-CN"/>
        </w:rPr>
        <w:t>并</w:t>
      </w:r>
      <w:r>
        <w:rPr>
          <w:rFonts w:hint="eastAsia" w:ascii="宋体" w:hAnsi="宋体" w:eastAsia="宋体" w:cs="宋体"/>
          <w:bCs/>
          <w:color w:val="auto"/>
          <w:sz w:val="24"/>
          <w:szCs w:val="24"/>
        </w:rPr>
        <w:t>已于2022年1月26日完成工商变更；五矿信托支付相应交易对价给恒大集团（具体交易对价金额暂未披露）</w:t>
      </w:r>
      <w:r>
        <w:rPr>
          <w:rFonts w:hint="eastAsia" w:ascii="宋体" w:hAnsi="宋体" w:eastAsia="宋体" w:cs="宋体"/>
          <w:bCs/>
          <w:color w:val="auto"/>
          <w:sz w:val="24"/>
          <w:szCs w:val="24"/>
          <w:lang w:eastAsia="zh-CN"/>
        </w:rPr>
        <w:t>。</w:t>
      </w:r>
    </w:p>
    <w:p>
      <w:pPr>
        <w:pStyle w:val="2"/>
        <w:numPr>
          <w:ilvl w:val="0"/>
          <w:numId w:val="0"/>
        </w:numPr>
        <w:spacing w:line="480" w:lineRule="auto"/>
        <w:ind w:firstLine="480" w:firstLineChars="200"/>
        <w:rPr>
          <w:rFonts w:hint="eastAsia" w:ascii="宋体" w:hAnsi="宋体" w:eastAsia="宋体" w:cs="宋体"/>
          <w:bCs/>
          <w:color w:val="auto"/>
          <w:sz w:val="24"/>
          <w:szCs w:val="24"/>
          <w:lang w:eastAsia="zh-CN"/>
        </w:rPr>
      </w:pPr>
    </w:p>
    <w:p>
      <w:pPr>
        <w:pStyle w:val="2"/>
        <w:numPr>
          <w:ilvl w:val="0"/>
          <w:numId w:val="0"/>
        </w:numPr>
        <w:spacing w:line="480" w:lineRule="auto"/>
        <w:ind w:firstLine="480" w:firstLineChars="200"/>
        <w:rPr>
          <w:rFonts w:hint="eastAsia" w:ascii="宋体" w:hAnsi="宋体" w:eastAsia="宋体" w:cs="宋体"/>
          <w:bCs/>
          <w:color w:val="auto"/>
          <w:sz w:val="24"/>
          <w:szCs w:val="24"/>
          <w:lang w:eastAsia="zh-CN"/>
        </w:rPr>
      </w:pPr>
    </w:p>
    <w:p>
      <w:pPr>
        <w:pStyle w:val="2"/>
        <w:numPr>
          <w:ilvl w:val="0"/>
          <w:numId w:val="0"/>
        </w:numPr>
        <w:spacing w:line="480" w:lineRule="auto"/>
        <w:ind w:firstLine="480" w:firstLineChars="200"/>
        <w:rPr>
          <w:rFonts w:hint="eastAsia" w:ascii="宋体" w:hAnsi="宋体" w:eastAsia="宋体" w:cs="宋体"/>
          <w:bCs/>
          <w:color w:val="auto"/>
          <w:sz w:val="24"/>
          <w:szCs w:val="24"/>
          <w:lang w:eastAsia="zh-CN"/>
        </w:rPr>
      </w:pPr>
    </w:p>
    <w:p>
      <w:pPr>
        <w:numPr>
          <w:numId w:val="0"/>
        </w:numPr>
        <w:ind w:leftChars="0"/>
        <w:rPr>
          <w:sz w:val="30"/>
          <w:szCs w:val="30"/>
        </w:rPr>
        <w:sectPr>
          <w:pgSz w:w="11906" w:h="16838"/>
          <w:pgMar w:top="1440" w:right="1800" w:bottom="1440" w:left="1800" w:header="851" w:footer="992" w:gutter="0"/>
          <w:cols w:space="425" w:num="1"/>
          <w:docGrid w:type="lines" w:linePitch="312" w:charSpace="0"/>
        </w:sectPr>
      </w:pPr>
    </w:p>
    <w:p>
      <w:pPr>
        <w:numPr>
          <w:numId w:val="0"/>
        </w:numPr>
        <w:spacing w:line="360" w:lineRule="auto"/>
        <w:jc w:val="both"/>
        <w:rPr>
          <w:rFonts w:hint="eastAsia" w:ascii="宋体" w:hAnsi="宋体" w:eastAsia="宋体" w:cs="宋体"/>
          <w:bCs/>
          <w:color w:val="auto"/>
          <w:sz w:val="24"/>
          <w:szCs w:val="24"/>
          <w:lang w:val="en-US" w:eastAsia="zh-CN"/>
        </w:rPr>
      </w:pPr>
    </w:p>
    <w:p>
      <w:pPr>
        <w:numPr>
          <w:ilvl w:val="0"/>
          <w:numId w:val="1"/>
        </w:numPr>
        <w:ind w:left="0" w:leftChars="0" w:firstLine="0" w:firstLineChars="0"/>
        <w:rPr>
          <w:sz w:val="30"/>
          <w:szCs w:val="30"/>
        </w:rPr>
      </w:pPr>
      <w:r>
        <w:rPr>
          <w:sz w:val="30"/>
          <w:szCs w:val="30"/>
        </w:rPr>
        <w:t>进度描述</w:t>
      </w:r>
    </w:p>
    <w:p>
      <w:pPr>
        <w:numPr>
          <w:numId w:val="0"/>
        </w:numPr>
        <w:spacing w:line="360" w:lineRule="auto"/>
        <w:ind w:firstLine="480" w:firstLineChars="200"/>
        <w:jc w:val="both"/>
        <w:rPr>
          <w:rFonts w:hint="eastAsia" w:ascii="宋体" w:hAnsi="宋体" w:eastAsia="宋体" w:cs="宋体"/>
          <w:b/>
          <w:bCs w:val="0"/>
          <w:color w:val="auto"/>
          <w:sz w:val="24"/>
          <w:lang w:val="en-US" w:eastAsia="zh-CN"/>
        </w:rPr>
      </w:pPr>
      <w:r>
        <w:rPr>
          <w:rFonts w:hint="eastAsia" w:ascii="宋体" w:hAnsi="宋体" w:eastAsia="宋体" w:cs="宋体"/>
          <w:bCs/>
          <w:color w:val="auto"/>
          <w:sz w:val="24"/>
          <w:szCs w:val="24"/>
          <w:lang w:val="en-US" w:eastAsia="zh-CN"/>
        </w:rPr>
        <w:t xml:space="preserve">目前，项目现场因恒大方暴雷，资金紧张，严重拖欠施工方工程款，于2021年10月份停工，截止目前尚未复工。目前项目地各楼栋开发进度详见下表：                        </w:t>
      </w:r>
      <w:r>
        <w:rPr>
          <w:rFonts w:hint="eastAsia" w:ascii="宋体" w:hAnsi="宋体" w:eastAsia="宋体" w:cs="宋体"/>
          <w:b/>
          <w:bCs w:val="0"/>
          <w:color w:val="auto"/>
          <w:sz w:val="24"/>
        </w:rPr>
        <w:t>项目</w:t>
      </w:r>
      <w:r>
        <w:rPr>
          <w:rFonts w:hint="eastAsia" w:ascii="宋体" w:hAnsi="宋体" w:eastAsia="宋体" w:cs="宋体"/>
          <w:b/>
          <w:bCs w:val="0"/>
          <w:color w:val="auto"/>
          <w:sz w:val="24"/>
          <w:lang w:val="en-US" w:eastAsia="zh-CN"/>
        </w:rPr>
        <w:t>现场</w:t>
      </w:r>
      <w:r>
        <w:rPr>
          <w:rFonts w:hint="eastAsia" w:ascii="宋体" w:hAnsi="宋体" w:eastAsia="宋体" w:cs="宋体"/>
          <w:b/>
          <w:bCs w:val="0"/>
          <w:color w:val="auto"/>
          <w:sz w:val="24"/>
        </w:rPr>
        <w:t>开发进度</w:t>
      </w:r>
      <w:r>
        <w:rPr>
          <w:rFonts w:hint="eastAsia" w:ascii="宋体" w:hAnsi="宋体" w:eastAsia="宋体" w:cs="宋体"/>
          <w:b/>
          <w:bCs w:val="0"/>
          <w:color w:val="auto"/>
          <w:sz w:val="24"/>
          <w:lang w:val="en-US" w:eastAsia="zh-CN"/>
        </w:rPr>
        <w:t>表</w:t>
      </w:r>
    </w:p>
    <w:p>
      <w:pPr>
        <w:pStyle w:val="2"/>
        <w:rPr>
          <w:rFonts w:hint="eastAsia" w:ascii="宋体" w:hAnsi="宋体" w:eastAsia="宋体" w:cs="宋体"/>
          <w:b/>
          <w:bCs w:val="0"/>
          <w:color w:val="auto"/>
        </w:rPr>
      </w:pPr>
    </w:p>
    <w:tbl>
      <w:tblPr>
        <w:tblStyle w:val="6"/>
        <w:tblW w:w="5000" w:type="pct"/>
        <w:tblInd w:w="0" w:type="dxa"/>
        <w:tblLayout w:type="autofit"/>
        <w:tblCellMar>
          <w:top w:w="0" w:type="dxa"/>
          <w:left w:w="108" w:type="dxa"/>
          <w:bottom w:w="0" w:type="dxa"/>
          <w:right w:w="108" w:type="dxa"/>
        </w:tblCellMar>
      </w:tblPr>
      <w:tblGrid>
        <w:gridCol w:w="760"/>
        <w:gridCol w:w="2303"/>
        <w:gridCol w:w="4433"/>
        <w:gridCol w:w="2226"/>
        <w:gridCol w:w="2348"/>
        <w:gridCol w:w="760"/>
        <w:gridCol w:w="1344"/>
      </w:tblGrid>
      <w:tr>
        <w:tblPrEx>
          <w:tblCellMar>
            <w:top w:w="0" w:type="dxa"/>
            <w:left w:w="108" w:type="dxa"/>
            <w:bottom w:w="0" w:type="dxa"/>
            <w:right w:w="108" w:type="dxa"/>
          </w:tblCellMar>
        </w:tblPrEx>
        <w:trPr>
          <w:trHeight w:val="1871" w:hRule="atLeast"/>
        </w:trPr>
        <w:tc>
          <w:tcPr>
            <w:tcW w:w="268" w:type="pct"/>
            <w:tcBorders>
              <w:top w:val="thinThickSmallGap" w:color="auto" w:sz="12" w:space="0"/>
              <w:left w:val="nil"/>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812" w:type="pct"/>
            <w:tcBorders>
              <w:top w:val="thinThickSmallGap" w:color="auto" w:sz="12" w:space="0"/>
              <w:left w:val="dotted" w:color="auto" w:sz="4" w:space="0"/>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单位工程/属期/楼栋</w:t>
            </w:r>
          </w:p>
        </w:tc>
        <w:tc>
          <w:tcPr>
            <w:tcW w:w="1563" w:type="pct"/>
            <w:tcBorders>
              <w:top w:val="thinThickSmallGap" w:color="auto" w:sz="12" w:space="0"/>
              <w:left w:val="dotted" w:color="auto" w:sz="4" w:space="0"/>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上期施工计划</w:t>
            </w:r>
          </w:p>
        </w:tc>
        <w:tc>
          <w:tcPr>
            <w:tcW w:w="785" w:type="pct"/>
            <w:tcBorders>
              <w:top w:val="thinThickSmallGap" w:color="auto" w:sz="12" w:space="0"/>
              <w:left w:val="dotted" w:color="auto" w:sz="4" w:space="0"/>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本期施工进度</w:t>
            </w:r>
          </w:p>
        </w:tc>
        <w:tc>
          <w:tcPr>
            <w:tcW w:w="828" w:type="pct"/>
            <w:tcBorders>
              <w:top w:val="thinThickSmallGap" w:color="auto" w:sz="12" w:space="0"/>
              <w:left w:val="dotted" w:color="auto" w:sz="4" w:space="0"/>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下期施工计划</w:t>
            </w:r>
          </w:p>
        </w:tc>
        <w:tc>
          <w:tcPr>
            <w:tcW w:w="268" w:type="pct"/>
            <w:tcBorders>
              <w:top w:val="thinThickSmallGap" w:color="auto" w:sz="12" w:space="0"/>
              <w:left w:val="dotted" w:color="auto" w:sz="4" w:space="0"/>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评价当前施工进度</w:t>
            </w:r>
          </w:p>
        </w:tc>
        <w:tc>
          <w:tcPr>
            <w:tcW w:w="474" w:type="pct"/>
            <w:tcBorders>
              <w:top w:val="thinThickSmallGap" w:color="auto" w:sz="12" w:space="0"/>
              <w:left w:val="dotted" w:color="auto" w:sz="4" w:space="0"/>
              <w:bottom w:val="dotted" w:color="auto" w:sz="4" w:space="0"/>
              <w:right w:val="nil"/>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备注（进度迟缓原因）</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正负零结构完成，一层墙柱绑筋</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首层顶板钢筋完成</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（工程进度描述为正常，是以最迟对赌时间节点为考核）</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01地块2#楼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785"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暂未施工</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3</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01地块3#楼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一层梁板支模完成70%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二层顶板钢筋完成80%</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4</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01地块5#楼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基础垫层、防水完成60%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地下室墙柱钢筋完成80%</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5</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01地块6#楼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筏板钢筋80%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地下室内架模板完成70%，墙柱钢筋完成80%</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6</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01地块7#楼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785"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暂未施工</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7</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01地块8#楼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Style w:val="8"/>
                <w:rFonts w:hint="eastAsia" w:ascii="宋体" w:hAnsi="宋体" w:eastAsia="宋体" w:cs="宋体"/>
                <w:color w:val="auto"/>
                <w:sz w:val="18"/>
                <w:szCs w:val="18"/>
                <w:lang w:bidi="ar"/>
              </w:rPr>
              <w:t>夹层底板模板50%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±0结构砼浇筑</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8</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01地块9#楼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Style w:val="8"/>
                <w:rFonts w:hint="eastAsia" w:ascii="宋体" w:hAnsi="宋体" w:eastAsia="宋体" w:cs="宋体"/>
                <w:color w:val="auto"/>
                <w:sz w:val="18"/>
                <w:szCs w:val="18"/>
                <w:lang w:bidi="ar"/>
              </w:rPr>
              <w:t>正负零钢筋80%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首层顶板模板完成90%</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9</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01地块10#楼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785"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暂未施工</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10</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01地块11#楼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坑中坑砖胎膜完成</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筏板钢筋绑扎完成70%</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11</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01地块12#楼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785"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暂未施工</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12</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01地块13#楼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Style w:val="8"/>
                <w:rFonts w:hint="eastAsia" w:ascii="宋体" w:hAnsi="宋体" w:eastAsia="宋体" w:cs="宋体"/>
                <w:color w:val="auto"/>
                <w:sz w:val="18"/>
                <w:szCs w:val="18"/>
                <w:lang w:bidi="ar"/>
              </w:rPr>
              <w:t>五层墙柱钢筋50%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7层浇筑完成</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13</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01地块14#楼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坑中坑及降板钢筋完成</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筏板结构完成</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14</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01地块15#楼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Style w:val="8"/>
                <w:rFonts w:hint="eastAsia" w:ascii="宋体" w:hAnsi="宋体" w:eastAsia="宋体" w:cs="宋体"/>
                <w:color w:val="auto"/>
                <w:sz w:val="18"/>
                <w:szCs w:val="18"/>
                <w:lang w:bidi="ar"/>
              </w:rPr>
              <w:t>桩头破除40%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坑中坑开40%</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筏板完成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15</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01地块16#楼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桩头凿除70%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坑中坑完成50%</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筏板完成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16</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01地块17#楼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正负零梁板支模完成</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首层墙柱钢筋开始绑扎</w:t>
            </w: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二层结构完成</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17</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01地块18#楼</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82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暂未施工</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18</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P1地下室</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前期桩基单位人员不足</w:t>
            </w: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19</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销售中心</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外装：固定玻璃安装完成，开启扇安装完成90%；外立面A面钣金完成，C、D面钣金完成85%；GRC安装完成约70%，外立面面漆完成70%。内装：15米天花彩绘完成，首层吊顶完成，天花墙面油漆完成，墙面木饰面基层安装完成，剩余上色收尾，石膏线完成，地面石材完成；后勤区湿作业完成；</w:t>
            </w:r>
          </w:p>
        </w:tc>
        <w:tc>
          <w:tcPr>
            <w:tcW w:w="785"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20</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商业示范区</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外装：屋面钢结构完成，外墙漆完成90%，GRC安装完成60%。内装：一层3家商铺吊顶完成，湿作业完成，木饰面安装完成80%，美冒天花转换层完成，3家未施工；办公区天花完成、湿作业完成，安装基本完成，剩余面板插座；二层食堂及包房吊顶完成，湿作业完成，木饰面基层完成50%；梦幻城彩绘完成70%，雕塑完成10%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1、营销外装完成；               2、淘气堡设备安装、调试完成；                      3、4家商铺（五谷鱼粉、茶亭序、喜市多、银记）、美冒、百乐软硬装完成，肯德基未施工</w:t>
            </w:r>
          </w:p>
        </w:tc>
        <w:tc>
          <w:tcPr>
            <w:tcW w:w="828"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商铺软硬装完成，对外开业</w:t>
            </w: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21</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样板房</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内装：4-5#室内吊顶油漆完成60%，墙地砖完成，木饰面基层完成；门厅吊顶封板完成，腻子完成90%，墙面干挂石材龙骨完成；6#工法馆吊顶油漆完成。外装：1-6#外墙铝板完成，幕墙玻璃完成95%。</w:t>
            </w:r>
          </w:p>
        </w:tc>
        <w:tc>
          <w:tcPr>
            <w:tcW w:w="785"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22</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销售中心前广场</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销售中心两侧水景铺贴完成，树阵广场两侧水景铺贴完成，树阵广场树池铺贴完成，主入口logo水景及对称水景铺贴基本完成</w:t>
            </w:r>
          </w:p>
        </w:tc>
        <w:tc>
          <w:tcPr>
            <w:tcW w:w="785"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23</w:t>
            </w: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儿童活动区</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游乐设备安装完成70%，排水沟施工完成90%</w:t>
            </w:r>
          </w:p>
        </w:tc>
        <w:tc>
          <w:tcPr>
            <w:tcW w:w="785"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474"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dotted" w:color="auto" w:sz="4" w:space="0"/>
              <w:right w:val="dotted" w:color="auto" w:sz="4" w:space="0"/>
            </w:tcBorders>
            <w:noWrap w:val="0"/>
            <w:vAlign w:val="top"/>
          </w:tcPr>
          <w:p>
            <w:pPr>
              <w:jc w:val="center"/>
              <w:rPr>
                <w:rFonts w:hint="eastAsia" w:ascii="宋体" w:hAnsi="宋体" w:eastAsia="宋体" w:cs="宋体"/>
                <w:color w:val="auto"/>
                <w:sz w:val="18"/>
                <w:szCs w:val="22"/>
              </w:rPr>
            </w:pPr>
          </w:p>
          <w:p>
            <w:pPr>
              <w:jc w:val="center"/>
              <w:rPr>
                <w:rFonts w:hint="eastAsia" w:ascii="宋体" w:hAnsi="宋体" w:eastAsia="宋体" w:cs="宋体"/>
                <w:color w:val="auto"/>
                <w:sz w:val="18"/>
                <w:szCs w:val="22"/>
              </w:rPr>
            </w:pPr>
          </w:p>
          <w:p>
            <w:pPr>
              <w:jc w:val="center"/>
              <w:rPr>
                <w:rFonts w:hint="eastAsia" w:ascii="宋体" w:hAnsi="宋体" w:eastAsia="宋体" w:cs="宋体"/>
                <w:color w:val="auto"/>
                <w:sz w:val="18"/>
                <w:szCs w:val="22"/>
              </w:rPr>
            </w:pPr>
          </w:p>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24</w:t>
            </w:r>
          </w:p>
          <w:p>
            <w:pPr>
              <w:jc w:val="center"/>
              <w:rPr>
                <w:rFonts w:hint="eastAsia" w:ascii="宋体" w:hAnsi="宋体" w:eastAsia="宋体" w:cs="宋体"/>
                <w:color w:val="auto"/>
                <w:sz w:val="18"/>
                <w:szCs w:val="22"/>
              </w:rPr>
            </w:pPr>
          </w:p>
          <w:p>
            <w:pPr>
              <w:jc w:val="center"/>
              <w:rPr>
                <w:rFonts w:hint="eastAsia" w:ascii="宋体" w:hAnsi="宋体" w:eastAsia="宋体" w:cs="宋体"/>
                <w:color w:val="auto"/>
                <w:sz w:val="18"/>
                <w:szCs w:val="22"/>
              </w:rPr>
            </w:pPr>
          </w:p>
          <w:p>
            <w:pPr>
              <w:jc w:val="center"/>
              <w:rPr>
                <w:rFonts w:hint="eastAsia" w:ascii="宋体" w:hAnsi="宋体" w:eastAsia="宋体" w:cs="宋体"/>
                <w:color w:val="auto"/>
                <w:sz w:val="18"/>
                <w:szCs w:val="22"/>
              </w:rPr>
            </w:pPr>
          </w:p>
        </w:tc>
        <w:tc>
          <w:tcPr>
            <w:tcW w:w="81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展示区道路</w:t>
            </w:r>
          </w:p>
        </w:tc>
        <w:tc>
          <w:tcPr>
            <w:tcW w:w="1563"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w:t>
            </w:r>
          </w:p>
        </w:tc>
        <w:tc>
          <w:tcPr>
            <w:tcW w:w="785"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828"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474" w:type="pct"/>
            <w:tcBorders>
              <w:top w:val="dotted" w:color="auto" w:sz="4" w:space="0"/>
              <w:left w:val="dotted" w:color="auto" w:sz="4" w:space="0"/>
              <w:bottom w:val="dotted" w:color="auto" w:sz="4" w:space="0"/>
              <w:right w:val="nil"/>
            </w:tcBorders>
            <w:noWrap w:val="0"/>
            <w:vAlign w:val="top"/>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268" w:type="pct"/>
            <w:tcBorders>
              <w:top w:val="dotted" w:color="auto" w:sz="4" w:space="0"/>
              <w:left w:val="nil"/>
              <w:bottom w:val="thinThickSmallGap" w:color="auto" w:sz="12" w:space="0"/>
              <w:right w:val="dotted" w:color="auto" w:sz="4" w:space="0"/>
            </w:tcBorders>
            <w:noWrap w:val="0"/>
            <w:vAlign w:val="top"/>
          </w:tcPr>
          <w:p>
            <w:pPr>
              <w:jc w:val="center"/>
              <w:rPr>
                <w:rFonts w:hint="eastAsia" w:ascii="宋体" w:hAnsi="宋体" w:eastAsia="宋体" w:cs="宋体"/>
                <w:color w:val="auto"/>
              </w:rPr>
            </w:pPr>
          </w:p>
          <w:p>
            <w:pPr>
              <w:pStyle w:val="5"/>
              <w:ind w:firstLine="180"/>
              <w:rPr>
                <w:rFonts w:hint="eastAsia" w:ascii="宋体" w:hAnsi="宋体" w:eastAsia="宋体" w:cs="宋体"/>
                <w:color w:val="auto"/>
                <w:sz w:val="18"/>
                <w:szCs w:val="22"/>
              </w:rPr>
            </w:pPr>
          </w:p>
          <w:p>
            <w:pPr>
              <w:pStyle w:val="5"/>
              <w:ind w:firstLine="0" w:firstLineChars="0"/>
              <w:rPr>
                <w:rFonts w:hint="eastAsia" w:ascii="宋体" w:hAnsi="宋体" w:eastAsia="宋体" w:cs="宋体"/>
                <w:color w:val="auto"/>
                <w:sz w:val="18"/>
                <w:szCs w:val="22"/>
              </w:rPr>
            </w:pPr>
            <w:r>
              <w:rPr>
                <w:rFonts w:hint="eastAsia" w:ascii="宋体" w:hAnsi="宋体" w:eastAsia="宋体" w:cs="宋体"/>
                <w:color w:val="auto"/>
                <w:sz w:val="18"/>
                <w:szCs w:val="22"/>
              </w:rPr>
              <w:t>25</w:t>
            </w:r>
          </w:p>
        </w:tc>
        <w:tc>
          <w:tcPr>
            <w:tcW w:w="812" w:type="pct"/>
            <w:tcBorders>
              <w:top w:val="dotted" w:color="auto" w:sz="4" w:space="0"/>
              <w:left w:val="dotted" w:color="auto" w:sz="4" w:space="0"/>
              <w:bottom w:val="thinThickSmallGap" w:color="auto" w:sz="12"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沿河景观带</w:t>
            </w:r>
          </w:p>
        </w:tc>
        <w:tc>
          <w:tcPr>
            <w:tcW w:w="1563" w:type="pct"/>
            <w:tcBorders>
              <w:top w:val="dotted" w:color="auto" w:sz="4" w:space="0"/>
              <w:left w:val="dotted" w:color="auto" w:sz="4" w:space="0"/>
              <w:bottom w:val="thinThickSmallGap" w:color="auto" w:sz="12"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w:t>
            </w:r>
          </w:p>
        </w:tc>
        <w:tc>
          <w:tcPr>
            <w:tcW w:w="785" w:type="pct"/>
            <w:tcBorders>
              <w:top w:val="dotted" w:color="auto" w:sz="4" w:space="0"/>
              <w:left w:val="dotted" w:color="auto" w:sz="4" w:space="0"/>
              <w:bottom w:val="thinThickSmallGap" w:color="auto" w:sz="12"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828" w:type="pct"/>
            <w:tcBorders>
              <w:top w:val="dotted" w:color="auto" w:sz="4" w:space="0"/>
              <w:left w:val="dotted" w:color="auto" w:sz="4" w:space="0"/>
              <w:bottom w:val="thinThickSmallGap" w:color="auto" w:sz="12" w:space="0"/>
              <w:right w:val="dotted" w:color="auto" w:sz="4" w:space="0"/>
            </w:tcBorders>
            <w:noWrap w:val="0"/>
            <w:vAlign w:val="center"/>
          </w:tcPr>
          <w:p>
            <w:pPr>
              <w:rPr>
                <w:rFonts w:hint="eastAsia" w:ascii="宋体" w:hAnsi="宋体" w:eastAsia="宋体" w:cs="宋体"/>
                <w:color w:val="auto"/>
                <w:sz w:val="18"/>
                <w:szCs w:val="18"/>
              </w:rPr>
            </w:pPr>
          </w:p>
        </w:tc>
        <w:tc>
          <w:tcPr>
            <w:tcW w:w="268" w:type="pct"/>
            <w:tcBorders>
              <w:top w:val="dotted" w:color="auto" w:sz="4" w:space="0"/>
              <w:left w:val="dotted" w:color="auto" w:sz="4" w:space="0"/>
              <w:bottom w:val="thinThickSmallGap" w:color="auto" w:sz="12"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474" w:type="pct"/>
            <w:tcBorders>
              <w:top w:val="dotted" w:color="auto" w:sz="4" w:space="0"/>
              <w:left w:val="dotted" w:color="auto" w:sz="4" w:space="0"/>
              <w:bottom w:val="thinThickSmallGap" w:color="auto" w:sz="12" w:space="0"/>
              <w:right w:val="nil"/>
            </w:tcBorders>
            <w:noWrap w:val="0"/>
            <w:vAlign w:val="top"/>
          </w:tcPr>
          <w:p>
            <w:pPr>
              <w:jc w:val="center"/>
              <w:rPr>
                <w:rFonts w:hint="eastAsia" w:ascii="宋体" w:hAnsi="宋体" w:eastAsia="宋体" w:cs="宋体"/>
                <w:color w:val="auto"/>
                <w:sz w:val="18"/>
                <w:szCs w:val="18"/>
              </w:rPr>
            </w:pPr>
          </w:p>
        </w:tc>
      </w:tr>
    </w:tbl>
    <w:p>
      <w:pPr>
        <w:jc w:val="left"/>
        <w:rPr>
          <w:rFonts w:hint="default" w:ascii="宋体" w:hAnsi="宋体" w:eastAsia="宋体" w:cs="宋体"/>
          <w:bCs/>
          <w:color w:val="auto"/>
          <w:sz w:val="18"/>
          <w:szCs w:val="18"/>
          <w:lang w:val="en-US" w:eastAsia="zh-CN"/>
        </w:rPr>
      </w:pPr>
    </w:p>
    <w:p>
      <w:pPr>
        <w:numPr>
          <w:ilvl w:val="0"/>
          <w:numId w:val="1"/>
        </w:numPr>
        <w:ind w:left="0" w:leftChars="0" w:firstLine="0" w:firstLineChars="0"/>
        <w:rPr>
          <w:sz w:val="30"/>
          <w:szCs w:val="30"/>
        </w:rPr>
      </w:pPr>
      <w:r>
        <w:rPr>
          <w:sz w:val="30"/>
          <w:szCs w:val="30"/>
        </w:rPr>
        <w:t>资金状况</w:t>
      </w:r>
    </w:p>
    <w:p>
      <w:pPr>
        <w:spacing w:line="48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截至2022年</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日, 广州南沙区恒睿文化旅游发展有限公司账户余额合计：3,113,729.12‬元，</w:t>
      </w:r>
      <w:r>
        <w:rPr>
          <w:rFonts w:hint="eastAsia" w:ascii="宋体" w:hAnsi="宋体" w:eastAsia="宋体" w:cs="宋体"/>
          <w:color w:val="000000"/>
          <w:sz w:val="24"/>
          <w:szCs w:val="24"/>
          <w:highlight w:val="none"/>
          <w:lang w:val="en-US" w:eastAsia="zh-CN"/>
        </w:rPr>
        <w:t>其中浦发银行因涉及诉讼冻结金额72,154,472.95元，广州银行涉及诉讼冻结72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427</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565.44元，渤海银行账户冻结金额4,710,000元，已汇报信托；</w:t>
      </w:r>
      <w:r>
        <w:rPr>
          <w:rFonts w:hint="eastAsia" w:ascii="宋体" w:hAnsi="宋体" w:eastAsia="宋体" w:cs="宋体"/>
          <w:color w:val="000000"/>
          <w:sz w:val="24"/>
          <w:szCs w:val="24"/>
          <w:highlight w:val="none"/>
        </w:rPr>
        <w:t>可</w:t>
      </w:r>
      <w:r>
        <w:rPr>
          <w:rFonts w:hint="eastAsia" w:ascii="宋体" w:hAnsi="宋体" w:eastAsia="宋体" w:cs="宋体"/>
          <w:sz w:val="24"/>
          <w:szCs w:val="24"/>
          <w:highlight w:val="none"/>
        </w:rPr>
        <w:t>用余额</w:t>
      </w:r>
      <w:r>
        <w:rPr>
          <w:rFonts w:hint="eastAsia" w:ascii="宋体" w:hAnsi="宋体" w:eastAsia="宋体" w:cs="宋体"/>
          <w:color w:val="000000"/>
          <w:sz w:val="24"/>
          <w:szCs w:val="24"/>
          <w:highlight w:val="none"/>
        </w:rPr>
        <w:t>17,818.06‬</w:t>
      </w:r>
      <w:r>
        <w:rPr>
          <w:rFonts w:hint="eastAsia" w:ascii="宋体" w:hAnsi="宋体" w:eastAsia="宋体" w:cs="宋体"/>
          <w:sz w:val="24"/>
          <w:szCs w:val="24"/>
          <w:highlight w:val="none"/>
        </w:rPr>
        <w:t>元。</w:t>
      </w:r>
    </w:p>
    <w:p>
      <w:pPr>
        <w:pStyle w:val="2"/>
        <w:spacing w:line="48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截至2022年6月20日, 广州南沙区恒昌文化旅游发展有限公司账户余额合计：7,762,178.73元；浦发银行涉及诉讼冻结金额29,261,833.64元，已汇报信托。</w:t>
      </w:r>
    </w:p>
    <w:p>
      <w:pPr>
        <w:numPr>
          <w:ilvl w:val="0"/>
          <w:numId w:val="1"/>
        </w:numPr>
        <w:ind w:left="0" w:leftChars="0" w:firstLine="0" w:firstLineChars="0"/>
        <w:rPr>
          <w:sz w:val="30"/>
          <w:szCs w:val="30"/>
        </w:rPr>
      </w:pPr>
      <w:r>
        <w:rPr>
          <w:sz w:val="30"/>
          <w:szCs w:val="30"/>
        </w:rPr>
        <w:t>销售状况</w:t>
      </w:r>
    </w:p>
    <w:p>
      <w:pPr>
        <w:pStyle w:val="2"/>
        <w:numPr>
          <w:ilvl w:val="0"/>
          <w:numId w:val="0"/>
        </w:numPr>
        <w:spacing w:line="48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该项目未取得预售证，未进入销售阶段。</w:t>
      </w:r>
    </w:p>
    <w:p>
      <w:pPr>
        <w:numPr>
          <w:ilvl w:val="0"/>
          <w:numId w:val="1"/>
        </w:numPr>
        <w:ind w:left="0" w:leftChars="0" w:firstLine="0" w:firstLineChars="0"/>
        <w:rPr>
          <w:sz w:val="30"/>
          <w:szCs w:val="30"/>
        </w:rPr>
      </w:pPr>
      <w:r>
        <w:rPr>
          <w:sz w:val="30"/>
          <w:szCs w:val="30"/>
        </w:rPr>
        <w:t>贷款和抵押情况</w:t>
      </w:r>
    </w:p>
    <w:p>
      <w:pPr>
        <w:pStyle w:val="2"/>
        <w:numPr>
          <w:ilvl w:val="0"/>
          <w:numId w:val="0"/>
        </w:num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该项目目前由五矿100%控股，未有其他贷款，且尚未取得土地证未进行抵押。</w:t>
      </w:r>
    </w:p>
    <w:p>
      <w:pPr>
        <w:numPr>
          <w:ilvl w:val="0"/>
          <w:numId w:val="1"/>
        </w:numPr>
        <w:ind w:left="0" w:leftChars="0" w:firstLine="0" w:firstLineChars="0"/>
        <w:rPr>
          <w:sz w:val="30"/>
          <w:szCs w:val="30"/>
        </w:rPr>
      </w:pPr>
      <w:r>
        <w:rPr>
          <w:sz w:val="30"/>
          <w:szCs w:val="30"/>
        </w:rPr>
        <w:t>风险描述</w:t>
      </w:r>
    </w:p>
    <w:p>
      <w:pPr>
        <w:numPr>
          <w:ilvl w:val="0"/>
          <w:numId w:val="0"/>
        </w:numPr>
        <w:spacing w:line="48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项目工程建设进度滞后，致使取证与销售工作难以开展，进而影响资金回款。</w:t>
      </w:r>
    </w:p>
    <w:p>
      <w:pPr>
        <w:numPr>
          <w:numId w:val="0"/>
        </w:numPr>
        <w:spacing w:line="48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（2）目前项目周边竞品项目去化情况不理想；</w:t>
      </w:r>
    </w:p>
    <w:p>
      <w:pPr>
        <w:spacing w:line="48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）现结合项目各楼栋形象进度以及考虑申请预售证的商品房项目需满足的工程形象进度，不能满足协议约定进度。</w:t>
      </w:r>
    </w:p>
    <w:p>
      <w:pPr>
        <w:numPr>
          <w:ilvl w:val="0"/>
          <w:numId w:val="1"/>
        </w:numPr>
        <w:ind w:left="0" w:leftChars="0" w:firstLine="0" w:firstLineChars="0"/>
        <w:rPr>
          <w:rFonts w:hint="eastAsia"/>
          <w:sz w:val="30"/>
          <w:szCs w:val="30"/>
          <w:lang w:val="en-US" w:eastAsia="zh-CN"/>
        </w:rPr>
      </w:pPr>
      <w:r>
        <w:rPr>
          <w:rFonts w:hint="eastAsia"/>
          <w:sz w:val="30"/>
          <w:szCs w:val="30"/>
          <w:lang w:val="en-US" w:eastAsia="zh-CN"/>
        </w:rPr>
        <w:t>用印申请</w:t>
      </w:r>
    </w:p>
    <w:p>
      <w:pPr>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（1）信托经理史震远口径：因目前</w:t>
      </w:r>
      <w:bookmarkStart w:id="0" w:name="_GoBack"/>
      <w:bookmarkEnd w:id="0"/>
      <w:r>
        <w:rPr>
          <w:rFonts w:hint="eastAsia" w:ascii="宋体" w:hAnsi="宋体" w:eastAsia="宋体" w:cs="宋体"/>
          <w:bCs/>
          <w:sz w:val="24"/>
          <w:szCs w:val="24"/>
          <w:lang w:val="en-US" w:eastAsia="zh-CN"/>
        </w:rPr>
        <w:t>五矿</w:t>
      </w:r>
      <w:r>
        <w:rPr>
          <w:rFonts w:hint="eastAsia" w:ascii="宋体" w:hAnsi="宋体" w:eastAsia="宋体" w:cs="宋体"/>
          <w:bCs/>
          <w:sz w:val="24"/>
          <w:szCs w:val="24"/>
        </w:rPr>
        <w:t>南沙项目月报</w:t>
      </w:r>
      <w:r>
        <w:rPr>
          <w:rFonts w:hint="eastAsia" w:ascii="宋体" w:hAnsi="宋体" w:eastAsia="宋体" w:cs="宋体"/>
          <w:bCs/>
          <w:sz w:val="24"/>
          <w:szCs w:val="24"/>
          <w:lang w:val="en-US" w:eastAsia="zh-CN"/>
        </w:rPr>
        <w:t>需向</w:t>
      </w:r>
      <w:r>
        <w:rPr>
          <w:rFonts w:hint="eastAsia" w:ascii="宋体" w:hAnsi="宋体" w:eastAsia="宋体" w:cs="宋体"/>
          <w:bCs/>
          <w:sz w:val="24"/>
          <w:szCs w:val="24"/>
        </w:rPr>
        <w:t>信托领导以及对外</w:t>
      </w:r>
      <w:r>
        <w:rPr>
          <w:rFonts w:hint="eastAsia" w:ascii="宋体" w:hAnsi="宋体" w:eastAsia="宋体" w:cs="宋体"/>
          <w:bCs/>
          <w:sz w:val="24"/>
          <w:szCs w:val="24"/>
          <w:lang w:val="en-US" w:eastAsia="zh-CN"/>
        </w:rPr>
        <w:t>机构</w:t>
      </w:r>
      <w:r>
        <w:rPr>
          <w:rFonts w:hint="eastAsia" w:ascii="宋体" w:hAnsi="宋体" w:eastAsia="宋体" w:cs="宋体"/>
          <w:bCs/>
          <w:sz w:val="24"/>
          <w:szCs w:val="24"/>
        </w:rPr>
        <w:t>提供，信托业务组</w:t>
      </w:r>
      <w:r>
        <w:rPr>
          <w:rFonts w:hint="eastAsia" w:ascii="宋体" w:hAnsi="宋体" w:eastAsia="宋体" w:cs="宋体"/>
          <w:bCs/>
          <w:sz w:val="24"/>
          <w:szCs w:val="24"/>
          <w:lang w:val="en-US" w:eastAsia="zh-CN"/>
        </w:rPr>
        <w:t>根据运营领导要求以及项目目前情况，</w:t>
      </w:r>
      <w:r>
        <w:rPr>
          <w:rFonts w:hint="eastAsia" w:ascii="宋体" w:hAnsi="宋体" w:eastAsia="宋体" w:cs="宋体"/>
          <w:bCs/>
          <w:sz w:val="24"/>
          <w:szCs w:val="24"/>
        </w:rPr>
        <w:t>对于月报做了部分调整</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并</w:t>
      </w:r>
      <w:r>
        <w:rPr>
          <w:rFonts w:hint="eastAsia" w:ascii="宋体" w:hAnsi="宋体" w:eastAsia="宋体" w:cs="宋体"/>
          <w:bCs/>
          <w:sz w:val="24"/>
          <w:szCs w:val="24"/>
        </w:rPr>
        <w:t>需要对</w:t>
      </w:r>
      <w:r>
        <w:rPr>
          <w:rFonts w:hint="eastAsia" w:ascii="宋体" w:hAnsi="宋体" w:eastAsia="宋体" w:cs="宋体"/>
          <w:bCs/>
          <w:sz w:val="24"/>
          <w:szCs w:val="24"/>
          <w:lang w:val="en-US" w:eastAsia="zh-CN"/>
        </w:rPr>
        <w:t>五矿</w:t>
      </w:r>
      <w:r>
        <w:rPr>
          <w:rFonts w:hint="eastAsia" w:ascii="宋体" w:hAnsi="宋体" w:eastAsia="宋体" w:cs="宋体"/>
          <w:bCs/>
          <w:sz w:val="24"/>
          <w:szCs w:val="24"/>
        </w:rPr>
        <w:t>南沙项目</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2021年1月-2022年5月</w:t>
      </w:r>
      <w:r>
        <w:rPr>
          <w:rFonts w:hint="eastAsia" w:ascii="宋体" w:hAnsi="宋体" w:eastAsia="宋体" w:cs="宋体"/>
          <w:bCs/>
          <w:sz w:val="24"/>
          <w:szCs w:val="24"/>
          <w:lang w:eastAsia="zh-CN"/>
        </w:rPr>
        <w:t>）</w:t>
      </w:r>
      <w:r>
        <w:rPr>
          <w:rFonts w:hint="eastAsia" w:ascii="宋体" w:hAnsi="宋体" w:eastAsia="宋体" w:cs="宋体"/>
          <w:bCs/>
          <w:sz w:val="24"/>
          <w:szCs w:val="24"/>
        </w:rPr>
        <w:t>月报重新用印。</w:t>
      </w:r>
    </w:p>
    <w:p>
      <w:pPr>
        <w:spacing w:line="48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（2）本次信托要求月报</w:t>
      </w:r>
      <w:r>
        <w:rPr>
          <w:rFonts w:hint="eastAsia" w:ascii="宋体" w:hAnsi="宋体" w:eastAsia="宋体" w:cs="宋体"/>
          <w:bCs/>
          <w:sz w:val="24"/>
          <w:szCs w:val="24"/>
        </w:rPr>
        <w:t>主要修改内容：</w:t>
      </w:r>
    </w:p>
    <w:p>
      <w:pPr>
        <w:spacing w:line="480" w:lineRule="auto"/>
        <w:jc w:val="left"/>
        <w:rPr>
          <w:rFonts w:hint="eastAsia" w:ascii="宋体" w:hAnsi="宋体" w:eastAsia="宋体" w:cs="宋体"/>
          <w:bCs/>
          <w:sz w:val="24"/>
          <w:szCs w:val="24"/>
        </w:rPr>
      </w:pPr>
      <w:r>
        <w:rPr>
          <w:rFonts w:hint="eastAsia" w:ascii="宋体" w:hAnsi="宋体" w:eastAsia="宋体" w:cs="宋体"/>
          <w:bCs/>
          <w:sz w:val="24"/>
          <w:szCs w:val="24"/>
        </w:rPr>
        <w:t>①信托计划名称，因当时可研报告以及对外查询有多个名字，现信托要求以信托修改的名称为准。</w:t>
      </w:r>
    </w:p>
    <w:p>
      <w:pPr>
        <w:spacing w:line="480" w:lineRule="auto"/>
        <w:jc w:val="left"/>
        <w:rPr>
          <w:rFonts w:hint="eastAsia" w:ascii="宋体" w:hAnsi="宋体" w:eastAsia="宋体" w:cs="宋体"/>
          <w:bCs/>
          <w:sz w:val="24"/>
          <w:szCs w:val="24"/>
        </w:rPr>
      </w:pPr>
      <w:r>
        <w:rPr>
          <w:rFonts w:hint="eastAsia" w:ascii="宋体" w:hAnsi="宋体" w:eastAsia="宋体" w:cs="宋体"/>
          <w:bCs/>
          <w:sz w:val="24"/>
          <w:szCs w:val="24"/>
        </w:rPr>
        <w:t>②删除风险提示中广州政策不可将商业公寓出售给个人，信托经理口径：私下与政府沟通，该公寓是可以出售给个人，不存在风险，故要求删掉。</w:t>
      </w:r>
    </w:p>
    <w:p>
      <w:pPr>
        <w:spacing w:line="480" w:lineRule="auto"/>
        <w:jc w:val="left"/>
        <w:rPr>
          <w:rFonts w:hint="eastAsia" w:ascii="宋体" w:hAnsi="宋体" w:eastAsia="宋体" w:cs="宋体"/>
          <w:bCs/>
          <w:sz w:val="24"/>
          <w:szCs w:val="24"/>
        </w:rPr>
      </w:pPr>
      <w:r>
        <w:rPr>
          <w:rFonts w:hint="eastAsia" w:ascii="宋体" w:hAnsi="宋体" w:eastAsia="宋体" w:cs="宋体"/>
          <w:bCs/>
          <w:sz w:val="24"/>
          <w:szCs w:val="24"/>
        </w:rPr>
        <w:t>③删除一些对赌成本描述</w:t>
      </w:r>
      <w:r>
        <w:rPr>
          <w:rFonts w:hint="eastAsia" w:ascii="宋体" w:hAnsi="宋体" w:eastAsia="宋体" w:cs="宋体"/>
          <w:bCs/>
          <w:sz w:val="24"/>
          <w:szCs w:val="24"/>
          <w:lang w:val="en-US" w:eastAsia="zh-CN"/>
        </w:rPr>
        <w:t>和五矿钉钉审批单号叙述</w:t>
      </w:r>
      <w:r>
        <w:rPr>
          <w:rFonts w:hint="eastAsia" w:ascii="宋体" w:hAnsi="宋体" w:eastAsia="宋体" w:cs="宋体"/>
          <w:bCs/>
          <w:sz w:val="24"/>
          <w:szCs w:val="24"/>
        </w:rPr>
        <w:t>，信托</w:t>
      </w:r>
      <w:r>
        <w:rPr>
          <w:rFonts w:hint="eastAsia" w:ascii="宋体" w:hAnsi="宋体" w:eastAsia="宋体" w:cs="宋体"/>
          <w:bCs/>
          <w:sz w:val="24"/>
          <w:szCs w:val="24"/>
          <w:lang w:val="en-US" w:eastAsia="zh-CN"/>
        </w:rPr>
        <w:t>口径处于保密考虑，</w:t>
      </w:r>
      <w:r>
        <w:rPr>
          <w:rFonts w:hint="eastAsia" w:ascii="宋体" w:hAnsi="宋体" w:eastAsia="宋体" w:cs="宋体"/>
          <w:bCs/>
          <w:sz w:val="24"/>
          <w:szCs w:val="24"/>
        </w:rPr>
        <w:t>月报不要求披露该部分。</w:t>
      </w:r>
    </w:p>
    <w:p>
      <w:pPr>
        <w:pStyle w:val="2"/>
        <w:spacing w:line="48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w:t>
      </w:r>
      <w:r>
        <w:rPr>
          <w:rFonts w:hint="eastAsia" w:ascii="宋体" w:hAnsi="宋体" w:eastAsia="宋体" w:cs="宋体"/>
          <w:sz w:val="24"/>
          <w:szCs w:val="24"/>
        </w:rPr>
        <w:t>故本次申请</w:t>
      </w:r>
      <w:r>
        <w:rPr>
          <w:rFonts w:hint="eastAsia" w:ascii="宋体" w:hAnsi="宋体" w:eastAsia="宋体" w:cs="宋体"/>
          <w:sz w:val="24"/>
          <w:szCs w:val="24"/>
          <w:lang w:val="en-US" w:eastAsia="zh-CN"/>
        </w:rPr>
        <w:t>对五矿南沙恒大文旅城项目2021年1月-2022年5月月报使用</w:t>
      </w:r>
      <w:r>
        <w:rPr>
          <w:rFonts w:hint="eastAsia" w:ascii="宋体" w:hAnsi="宋体" w:eastAsia="宋体" w:cs="宋体"/>
          <w:sz w:val="24"/>
          <w:szCs w:val="24"/>
        </w:rPr>
        <w:t>北京康正宏基房地产评估有限公司监管专用章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一式一份，共17份。</w:t>
      </w:r>
    </w:p>
    <w:p>
      <w:pPr>
        <w:pStyle w:val="2"/>
        <w:rPr>
          <w:rFonts w:hint="eastAsia" w:eastAsiaTheme="minorEastAsia"/>
          <w:lang w:eastAsia="zh-CN"/>
        </w:rPr>
      </w:pPr>
    </w:p>
    <w:p>
      <w:pPr>
        <w:pStyle w:val="2"/>
        <w:rPr>
          <w:rFonts w:hint="eastAsia"/>
        </w:rPr>
      </w:pPr>
    </w:p>
    <w:p>
      <w:pPr>
        <w:spacing w:line="480" w:lineRule="auto"/>
        <w:ind w:firstLine="420" w:firstLineChars="200"/>
        <w:jc w:val="left"/>
        <w:rPr>
          <w:rFonts w:ascii="宋体" w:hAnsi="宋体" w:cs="宋体"/>
          <w:bCs/>
          <w:sz w:val="21"/>
          <w:szCs w:val="21"/>
        </w:rPr>
      </w:pPr>
    </w:p>
    <w:p>
      <w:pPr>
        <w:pStyle w:val="2"/>
        <w:numPr>
          <w:ilvl w:val="0"/>
          <w:numId w:val="0"/>
        </w:numPr>
        <w:spacing w:line="360" w:lineRule="auto"/>
        <w:ind w:leftChars="0" w:firstLine="9030" w:firstLineChars="4300"/>
        <w:jc w:val="left"/>
        <w:rPr>
          <w:rFonts w:hint="default"/>
          <w:sz w:val="24"/>
          <w:szCs w:val="24"/>
          <w:lang w:val="en-US" w:eastAsia="zh-CN"/>
        </w:rPr>
      </w:pPr>
      <w:r>
        <w:rPr>
          <w:rFonts w:hint="eastAsia"/>
          <w:lang w:val="en-US" w:eastAsia="zh-CN"/>
        </w:rPr>
        <w:t xml:space="preserve"> 说 明 方： </w:t>
      </w:r>
      <w:r>
        <w:rPr>
          <w:rFonts w:hint="eastAsia"/>
          <w:sz w:val="24"/>
          <w:szCs w:val="24"/>
          <w:lang w:val="en-US" w:eastAsia="zh-CN"/>
        </w:rPr>
        <w:t>北京康信君安资产管理有限公司</w:t>
      </w:r>
    </w:p>
    <w:p>
      <w:pPr>
        <w:pStyle w:val="2"/>
        <w:numPr>
          <w:ilvl w:val="0"/>
          <w:numId w:val="0"/>
        </w:numPr>
        <w:spacing w:line="360" w:lineRule="auto"/>
        <w:ind w:leftChars="0"/>
        <w:jc w:val="left"/>
        <w:rPr>
          <w:rFonts w:hint="default"/>
          <w:lang w:val="en-US" w:eastAsia="zh-CN"/>
        </w:rPr>
      </w:pPr>
      <w:r>
        <w:rPr>
          <w:rFonts w:hint="eastAsia"/>
          <w:lang w:val="en-US" w:eastAsia="zh-CN"/>
        </w:rPr>
        <w:t xml:space="preserve">                                                                                                                2022-6-17 </w:t>
      </w: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D169E"/>
    <w:multiLevelType w:val="singleLevel"/>
    <w:tmpl w:val="2F2D169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31E31783"/>
    <w:rsid w:val="09246423"/>
    <w:rsid w:val="0BC026F8"/>
    <w:rsid w:val="31E31783"/>
    <w:rsid w:val="62DC54EE"/>
    <w:rsid w:val="65BE22A1"/>
    <w:rsid w:val="78BE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Body Text"/>
    <w:basedOn w:val="1"/>
    <w:unhideWhenUsed/>
    <w:qFormat/>
    <w:uiPriority w:val="99"/>
    <w:pPr>
      <w:spacing w:after="12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3"/>
    <w:qFormat/>
    <w:uiPriority w:val="0"/>
    <w:pPr>
      <w:ind w:firstLine="420" w:firstLineChars="100"/>
    </w:pPr>
  </w:style>
  <w:style w:type="character" w:customStyle="1" w:styleId="8">
    <w:name w:val="font6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2022-06-17T05:21:00Z</dcterms:created>
  <dc:creator>冯同学</dc:creator>
  <cp:lastModifiedBy>冯同学</cp:lastModifiedBy>
  <dcterms:modified xsi:type="dcterms:W3CDTF">2022-06-22T02:02:13Z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F05F617EAA4D46559826BD92E30A96F7</vt:lpwstr>
  </property>
</Properties>
</file>