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bCs/>
          <w:sz w:val="36"/>
          <w:szCs w:val="36"/>
        </w:rPr>
      </w:pPr>
      <w:r>
        <w:rPr>
          <w:rFonts w:hint="eastAsia" w:ascii="宋体" w:hAnsi="宋体" w:cs="宋体"/>
          <w:b/>
          <w:bCs/>
          <w:sz w:val="36"/>
          <w:szCs w:val="36"/>
        </w:rPr>
        <w:t>关于海盐恒大都汇华庭项目</w:t>
      </w:r>
      <w:r>
        <w:rPr>
          <w:rFonts w:ascii="Arial" w:hAnsi="Arial" w:cs="Arial"/>
          <w:b/>
          <w:bCs/>
          <w:sz w:val="36"/>
          <w:szCs w:val="36"/>
        </w:rPr>
        <w:t>2020</w:t>
      </w:r>
      <w:r>
        <w:rPr>
          <w:rFonts w:hint="eastAsia" w:ascii="宋体" w:hAnsi="宋体" w:cs="宋体"/>
          <w:b/>
          <w:bCs/>
          <w:sz w:val="36"/>
          <w:szCs w:val="36"/>
        </w:rPr>
        <w:t>年</w:t>
      </w:r>
      <w:r>
        <w:rPr>
          <w:rFonts w:hint="eastAsia" w:ascii="Arial" w:hAnsi="Arial" w:cs="Arial"/>
          <w:b/>
          <w:bCs/>
          <w:sz w:val="36"/>
          <w:szCs w:val="36"/>
        </w:rPr>
        <w:t>11</w:t>
      </w:r>
      <w:r>
        <w:rPr>
          <w:rFonts w:hint="eastAsia" w:ascii="宋体" w:hAnsi="宋体" w:cs="宋体"/>
          <w:b/>
          <w:bCs/>
          <w:sz w:val="36"/>
          <w:szCs w:val="36"/>
        </w:rPr>
        <w:t>月资金计划</w:t>
      </w:r>
    </w:p>
    <w:p>
      <w:pPr>
        <w:jc w:val="center"/>
        <w:rPr>
          <w:rFonts w:ascii="宋体" w:hAnsi="宋体" w:cs="宋体"/>
          <w:b/>
          <w:bCs/>
          <w:sz w:val="36"/>
          <w:szCs w:val="36"/>
        </w:rPr>
      </w:pPr>
      <w:r>
        <w:rPr>
          <w:rFonts w:hint="eastAsia" w:ascii="宋体" w:hAnsi="宋体" w:cs="宋体"/>
          <w:b/>
          <w:bCs/>
          <w:sz w:val="36"/>
          <w:szCs w:val="36"/>
        </w:rPr>
        <w:t>审核说明</w:t>
      </w:r>
    </w:p>
    <w:p>
      <w:pPr>
        <w:spacing w:line="360" w:lineRule="auto"/>
        <w:rPr>
          <w:rFonts w:ascii="宋体" w:hAnsi="宋体"/>
          <w:b/>
          <w:bCs/>
          <w:sz w:val="28"/>
          <w:szCs w:val="28"/>
        </w:rPr>
      </w:pPr>
      <w:r>
        <w:rPr>
          <w:rFonts w:hint="eastAsia" w:ascii="宋体" w:hAnsi="宋体"/>
          <w:b/>
          <w:bCs/>
          <w:sz w:val="28"/>
          <w:szCs w:val="28"/>
        </w:rPr>
        <w:t>中航信托股份有限公司：</w:t>
      </w:r>
    </w:p>
    <w:p>
      <w:pPr>
        <w:spacing w:line="360" w:lineRule="auto"/>
        <w:ind w:firstLine="480" w:firstLineChars="200"/>
        <w:rPr>
          <w:rFonts w:ascii="宋体" w:hAnsi="宋体"/>
          <w:sz w:val="24"/>
          <w:szCs w:val="24"/>
        </w:rPr>
      </w:pPr>
      <w:r>
        <w:rPr>
          <w:rFonts w:hint="eastAsia" w:ascii="宋体" w:hAnsi="宋体"/>
          <w:sz w:val="24"/>
          <w:szCs w:val="24"/>
        </w:rPr>
        <w:t>海盐丰涛置业有限公司（以下简称项目公司）于</w:t>
      </w:r>
      <w:r>
        <w:rPr>
          <w:rFonts w:ascii="宋体" w:hAnsi="宋体"/>
          <w:sz w:val="24"/>
          <w:szCs w:val="24"/>
        </w:rPr>
        <w:t>2020年</w:t>
      </w:r>
      <w:r>
        <w:rPr>
          <w:rFonts w:hint="eastAsia" w:ascii="宋体" w:hAnsi="宋体"/>
          <w:sz w:val="24"/>
          <w:szCs w:val="24"/>
        </w:rPr>
        <w:t>11</w:t>
      </w:r>
      <w:r>
        <w:rPr>
          <w:rFonts w:ascii="宋体" w:hAnsi="宋体"/>
          <w:sz w:val="24"/>
          <w:szCs w:val="24"/>
        </w:rPr>
        <w:t>月</w:t>
      </w:r>
      <w:r>
        <w:rPr>
          <w:rFonts w:hint="eastAsia" w:ascii="宋体" w:hAnsi="宋体"/>
          <w:sz w:val="24"/>
          <w:szCs w:val="24"/>
        </w:rPr>
        <w:t>3</w:t>
      </w:r>
      <w:r>
        <w:rPr>
          <w:rFonts w:ascii="宋体" w:hAnsi="宋体"/>
          <w:sz w:val="24"/>
          <w:szCs w:val="24"/>
        </w:rPr>
        <w:t>日</w:t>
      </w:r>
      <w:r>
        <w:rPr>
          <w:rFonts w:hint="eastAsia" w:ascii="宋体" w:hAnsi="宋体"/>
          <w:sz w:val="24"/>
          <w:szCs w:val="24"/>
        </w:rPr>
        <w:t>提交了《海盐恒大都汇华庭2020年11月支付计划》</w:t>
      </w:r>
      <w:r>
        <w:rPr>
          <w:rFonts w:hint="eastAsia" w:ascii="Arial" w:hAnsi="Arial" w:cs="Arial" w:eastAsiaTheme="minorEastAsia"/>
          <w:sz w:val="24"/>
          <w:szCs w:val="24"/>
        </w:rPr>
        <w:t>，</w:t>
      </w:r>
      <w:r>
        <w:rPr>
          <w:rFonts w:hint="eastAsia" w:ascii="宋体" w:hAnsi="宋体"/>
          <w:sz w:val="24"/>
          <w:szCs w:val="24"/>
        </w:rPr>
        <w:t>我司对项目公司申报的资金计划进行了审核，审核结果如下：</w:t>
      </w:r>
    </w:p>
    <w:p>
      <w:pPr>
        <w:numPr>
          <w:ilvl w:val="0"/>
          <w:numId w:val="1"/>
        </w:numPr>
        <w:spacing w:before="156" w:beforeLines="50" w:after="156" w:afterLines="50" w:line="360" w:lineRule="auto"/>
        <w:ind w:firstLine="120" w:firstLineChars="50"/>
        <w:rPr>
          <w:rFonts w:ascii="宋体" w:hAnsi="宋体"/>
          <w:b/>
          <w:sz w:val="24"/>
          <w:szCs w:val="24"/>
        </w:rPr>
      </w:pPr>
      <w:r>
        <w:rPr>
          <w:rFonts w:hint="eastAsia" w:ascii="宋体" w:hAnsi="宋体"/>
          <w:b/>
          <w:sz w:val="24"/>
          <w:szCs w:val="24"/>
        </w:rPr>
        <w:t>海盐恒大都汇华庭项目2020年11月资金汇总</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项目公司</w:t>
      </w:r>
      <w:r>
        <w:rPr>
          <w:rFonts w:ascii="宋体" w:hAnsi="宋体"/>
          <w:sz w:val="24"/>
          <w:szCs w:val="24"/>
        </w:rPr>
        <w:t>2020年</w:t>
      </w:r>
      <w:r>
        <w:rPr>
          <w:rFonts w:hint="eastAsia" w:ascii="宋体" w:hAnsi="宋体"/>
          <w:sz w:val="24"/>
          <w:szCs w:val="24"/>
        </w:rPr>
        <w:t>11</w:t>
      </w:r>
      <w:r>
        <w:rPr>
          <w:rFonts w:ascii="宋体" w:hAnsi="宋体"/>
          <w:sz w:val="24"/>
          <w:szCs w:val="24"/>
        </w:rPr>
        <w:t>月</w:t>
      </w:r>
      <w:r>
        <w:rPr>
          <w:rFonts w:hint="eastAsia" w:ascii="宋体" w:hAnsi="宋体"/>
          <w:sz w:val="24"/>
          <w:szCs w:val="24"/>
        </w:rPr>
        <w:t>3</w:t>
      </w:r>
      <w:r>
        <w:rPr>
          <w:rFonts w:ascii="宋体" w:hAnsi="宋体"/>
          <w:sz w:val="24"/>
          <w:szCs w:val="24"/>
        </w:rPr>
        <w:t>日</w:t>
      </w:r>
      <w:r>
        <w:rPr>
          <w:rFonts w:hint="eastAsia" w:ascii="宋体" w:hAnsi="宋体"/>
          <w:sz w:val="24"/>
          <w:szCs w:val="24"/>
        </w:rPr>
        <w:t>提交的2020年11月资金支出计划，</w:t>
      </w:r>
      <w:r>
        <w:rPr>
          <w:rFonts w:ascii="宋体" w:hAnsi="宋体"/>
          <w:sz w:val="24"/>
          <w:szCs w:val="24"/>
        </w:rPr>
        <w:t>计划</w:t>
      </w:r>
      <w:r>
        <w:rPr>
          <w:rFonts w:hint="eastAsia" w:ascii="宋体" w:hAnsi="宋体"/>
          <w:sz w:val="24"/>
          <w:szCs w:val="24"/>
        </w:rPr>
        <w:t>资金支出共计2</w:t>
      </w:r>
      <w:r>
        <w:rPr>
          <w:rFonts w:hint="eastAsia" w:ascii="宋体" w:hAnsi="宋体"/>
          <w:sz w:val="24"/>
          <w:szCs w:val="24"/>
          <w:lang w:val="en-US" w:eastAsia="zh-CN"/>
        </w:rPr>
        <w:t>8</w:t>
      </w:r>
      <w:r>
        <w:rPr>
          <w:rFonts w:hint="eastAsia" w:ascii="宋体" w:hAnsi="宋体"/>
          <w:sz w:val="24"/>
          <w:szCs w:val="24"/>
        </w:rPr>
        <w:t>笔，合计</w:t>
      </w:r>
      <w:r>
        <w:rPr>
          <w:rFonts w:hint="eastAsia" w:ascii="宋体" w:hAnsi="宋体"/>
          <w:sz w:val="24"/>
          <w:szCs w:val="24"/>
          <w:lang w:val="en-US" w:eastAsia="zh-CN"/>
        </w:rPr>
        <w:t>5</w:t>
      </w:r>
      <w:r>
        <w:rPr>
          <w:rFonts w:hint="eastAsia" w:ascii="宋体" w:hAnsi="宋体"/>
          <w:sz w:val="24"/>
          <w:szCs w:val="24"/>
        </w:rPr>
        <w:t>,085.54万元。其中：开发报建费支出约912.00万元，工程款支出3,999.66万元，管理费支出28.00万元,营销费支出45.88万元，财务费用支出20.00万元，其他支出80.00万元。</w:t>
      </w:r>
    </w:p>
    <w:tbl>
      <w:tblPr>
        <w:tblStyle w:val="11"/>
        <w:tblW w:w="965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2693"/>
        <w:gridCol w:w="2552"/>
        <w:gridCol w:w="2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9654" w:type="dxa"/>
            <w:gridSpan w:val="4"/>
            <w:shd w:val="clear" w:color="auto" w:fill="CCC0D9"/>
          </w:tcPr>
          <w:p>
            <w:pPr>
              <w:spacing w:line="360" w:lineRule="auto"/>
              <w:jc w:val="center"/>
              <w:rPr>
                <w:rFonts w:ascii="宋体" w:hAnsi="宋体"/>
                <w:b/>
                <w:bCs/>
                <w:sz w:val="24"/>
                <w:szCs w:val="24"/>
              </w:rPr>
            </w:pPr>
            <w:bookmarkStart w:id="0" w:name="_Hlk16606321"/>
            <w:r>
              <w:rPr>
                <w:rFonts w:hint="eastAsia" w:ascii="宋体" w:hAnsi="宋体"/>
                <w:b/>
                <w:bCs/>
                <w:sz w:val="24"/>
                <w:szCs w:val="24"/>
              </w:rPr>
              <w:t>中航信托·天垣3号恒大嘉兴海盐项目</w:t>
            </w:r>
          </w:p>
          <w:p>
            <w:pPr>
              <w:spacing w:line="360" w:lineRule="auto"/>
              <w:jc w:val="center"/>
              <w:rPr>
                <w:rFonts w:ascii="宋体" w:hAnsi="宋体"/>
                <w:b/>
                <w:bCs/>
                <w:sz w:val="24"/>
                <w:szCs w:val="24"/>
              </w:rPr>
            </w:pPr>
            <w:r>
              <w:rPr>
                <w:rFonts w:hint="eastAsia" w:ascii="宋体" w:hAnsi="宋体"/>
                <w:b/>
                <w:bCs/>
                <w:sz w:val="24"/>
                <w:szCs w:val="24"/>
              </w:rPr>
              <w:t>股权投资集合资金信托计划</w:t>
            </w:r>
          </w:p>
          <w:p>
            <w:pPr>
              <w:spacing w:line="360" w:lineRule="auto"/>
              <w:jc w:val="center"/>
              <w:rPr>
                <w:rFonts w:ascii="宋体" w:hAnsi="宋体"/>
                <w:b/>
                <w:bCs/>
                <w:sz w:val="24"/>
                <w:szCs w:val="24"/>
              </w:rPr>
            </w:pPr>
            <w:r>
              <w:rPr>
                <w:rFonts w:hint="eastAsia" w:ascii="宋体" w:hAnsi="宋体"/>
                <w:b/>
                <w:bCs/>
                <w:sz w:val="24"/>
                <w:szCs w:val="24"/>
              </w:rPr>
              <w:t>-海盐恒大都汇华庭项目月度资金使用计划（2020年11月份）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654" w:type="dxa"/>
            <w:gridSpan w:val="4"/>
            <w:shd w:val="clear" w:color="auto" w:fill="CCC0D9"/>
          </w:tcPr>
          <w:p>
            <w:pPr>
              <w:spacing w:line="360" w:lineRule="auto"/>
              <w:rPr>
                <w:rFonts w:ascii="宋体" w:hAnsi="宋体"/>
                <w:b/>
                <w:bCs/>
                <w:sz w:val="24"/>
                <w:szCs w:val="24"/>
              </w:rPr>
            </w:pPr>
            <w:r>
              <w:rPr>
                <w:rFonts w:hint="eastAsia" w:ascii="宋体" w:hAnsi="宋体"/>
                <w:b/>
                <w:bCs/>
                <w:sz w:val="24"/>
                <w:szCs w:val="24"/>
              </w:rPr>
              <w:t>编制：海盐丰涛置业有限公司                            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980" w:type="dxa"/>
            <w:shd w:val="clear" w:color="auto" w:fill="DCD8C2"/>
          </w:tcPr>
          <w:p>
            <w:pPr>
              <w:spacing w:line="360" w:lineRule="auto"/>
              <w:jc w:val="center"/>
              <w:rPr>
                <w:rFonts w:ascii="宋体" w:hAnsi="宋体"/>
                <w:b/>
                <w:bCs/>
                <w:sz w:val="24"/>
                <w:szCs w:val="24"/>
              </w:rPr>
            </w:pPr>
            <w:r>
              <w:rPr>
                <w:rFonts w:hint="eastAsia" w:ascii="宋体" w:hAnsi="宋体"/>
                <w:b/>
                <w:bCs/>
                <w:sz w:val="24"/>
                <w:szCs w:val="24"/>
              </w:rPr>
              <w:t>项目</w:t>
            </w:r>
          </w:p>
        </w:tc>
        <w:tc>
          <w:tcPr>
            <w:tcW w:w="2693" w:type="dxa"/>
            <w:shd w:val="clear" w:color="auto" w:fill="DCD8C2"/>
          </w:tcPr>
          <w:p>
            <w:pPr>
              <w:spacing w:line="360" w:lineRule="auto"/>
              <w:jc w:val="center"/>
              <w:rPr>
                <w:rFonts w:ascii="宋体" w:hAnsi="宋体"/>
                <w:b/>
                <w:bCs/>
                <w:sz w:val="24"/>
                <w:szCs w:val="24"/>
              </w:rPr>
            </w:pPr>
            <w:r>
              <w:rPr>
                <w:rFonts w:hint="eastAsia" w:ascii="宋体" w:hAnsi="宋体"/>
                <w:b/>
                <w:bCs/>
                <w:sz w:val="24"/>
                <w:szCs w:val="24"/>
              </w:rPr>
              <w:t>合同金额</w:t>
            </w:r>
          </w:p>
        </w:tc>
        <w:tc>
          <w:tcPr>
            <w:tcW w:w="2552" w:type="dxa"/>
            <w:shd w:val="clear" w:color="auto" w:fill="DCD8C2"/>
          </w:tcPr>
          <w:p>
            <w:pPr>
              <w:spacing w:line="360" w:lineRule="auto"/>
              <w:jc w:val="center"/>
              <w:rPr>
                <w:rFonts w:ascii="宋体" w:hAnsi="宋体"/>
                <w:b/>
                <w:bCs/>
                <w:sz w:val="24"/>
                <w:szCs w:val="24"/>
              </w:rPr>
            </w:pPr>
            <w:r>
              <w:rPr>
                <w:rFonts w:hint="eastAsia" w:ascii="宋体" w:hAnsi="宋体"/>
                <w:b/>
                <w:bCs/>
                <w:sz w:val="24"/>
                <w:szCs w:val="24"/>
              </w:rPr>
              <w:t>实际累计已付款</w:t>
            </w:r>
          </w:p>
        </w:tc>
        <w:tc>
          <w:tcPr>
            <w:tcW w:w="2429" w:type="dxa"/>
            <w:shd w:val="clear" w:color="auto" w:fill="DCD8C2"/>
          </w:tcPr>
          <w:p>
            <w:pPr>
              <w:spacing w:line="360" w:lineRule="auto"/>
              <w:jc w:val="center"/>
              <w:rPr>
                <w:rFonts w:ascii="宋体" w:hAnsi="宋体"/>
                <w:b/>
                <w:bCs/>
                <w:sz w:val="24"/>
                <w:szCs w:val="24"/>
              </w:rPr>
            </w:pPr>
            <w:r>
              <w:rPr>
                <w:rFonts w:hint="eastAsia" w:ascii="宋体" w:hAnsi="宋体"/>
                <w:b/>
                <w:bCs/>
                <w:sz w:val="24"/>
                <w:szCs w:val="24"/>
              </w:rPr>
              <w:t>本月申请金额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980" w:type="dxa"/>
          </w:tcPr>
          <w:p>
            <w:pPr>
              <w:spacing w:line="360" w:lineRule="auto"/>
              <w:jc w:val="center"/>
              <w:rPr>
                <w:rFonts w:ascii="宋体" w:hAnsi="宋体"/>
                <w:sz w:val="24"/>
                <w:szCs w:val="24"/>
              </w:rPr>
            </w:pPr>
            <w:r>
              <w:rPr>
                <w:rFonts w:hint="eastAsia" w:ascii="宋体" w:hAnsi="宋体"/>
                <w:sz w:val="24"/>
                <w:szCs w:val="24"/>
              </w:rPr>
              <w:t>开发报建费</w:t>
            </w:r>
          </w:p>
        </w:tc>
        <w:tc>
          <w:tcPr>
            <w:tcW w:w="2693" w:type="dxa"/>
          </w:tcPr>
          <w:p>
            <w:pPr>
              <w:spacing w:line="360" w:lineRule="auto"/>
              <w:jc w:val="right"/>
              <w:rPr>
                <w:rFonts w:ascii="宋体" w:hAnsi="宋体"/>
                <w:color w:val="FF0000"/>
                <w:sz w:val="24"/>
                <w:szCs w:val="24"/>
                <w:highlight w:val="yellow"/>
              </w:rPr>
            </w:pPr>
            <w:r>
              <w:rPr>
                <w:rFonts w:hint="eastAsia" w:ascii="宋体" w:hAnsi="宋体"/>
                <w:sz w:val="24"/>
                <w:szCs w:val="24"/>
              </w:rPr>
              <w:t>0.00</w:t>
            </w:r>
          </w:p>
        </w:tc>
        <w:tc>
          <w:tcPr>
            <w:tcW w:w="2552" w:type="dxa"/>
            <w:vAlign w:val="center"/>
          </w:tcPr>
          <w:p>
            <w:pPr>
              <w:widowControl/>
              <w:spacing w:line="360" w:lineRule="auto"/>
              <w:jc w:val="right"/>
              <w:rPr>
                <w:rFonts w:ascii="宋体" w:hAnsi="宋体"/>
                <w:sz w:val="24"/>
                <w:szCs w:val="24"/>
              </w:rPr>
            </w:pPr>
            <w:r>
              <w:rPr>
                <w:rFonts w:hint="eastAsia" w:ascii="宋体" w:hAnsi="宋体"/>
                <w:sz w:val="24"/>
                <w:szCs w:val="24"/>
              </w:rPr>
              <w:t>146.37</w:t>
            </w:r>
          </w:p>
        </w:tc>
        <w:tc>
          <w:tcPr>
            <w:tcW w:w="2429" w:type="dxa"/>
          </w:tcPr>
          <w:p>
            <w:pPr>
              <w:spacing w:line="360" w:lineRule="auto"/>
              <w:jc w:val="right"/>
              <w:rPr>
                <w:rFonts w:ascii="宋体" w:hAnsi="宋体"/>
                <w:sz w:val="24"/>
                <w:szCs w:val="24"/>
              </w:rPr>
            </w:pPr>
            <w:r>
              <w:rPr>
                <w:rFonts w:hint="eastAsia" w:ascii="宋体" w:hAnsi="宋体"/>
                <w:sz w:val="24"/>
                <w:szCs w:val="24"/>
              </w:rPr>
              <w:t>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980" w:type="dxa"/>
          </w:tcPr>
          <w:p>
            <w:pPr>
              <w:spacing w:line="360" w:lineRule="auto"/>
              <w:jc w:val="center"/>
              <w:rPr>
                <w:rFonts w:ascii="宋体" w:hAnsi="宋体"/>
                <w:sz w:val="24"/>
                <w:szCs w:val="24"/>
              </w:rPr>
            </w:pPr>
            <w:r>
              <w:rPr>
                <w:rFonts w:hint="eastAsia" w:ascii="宋体" w:hAnsi="宋体"/>
                <w:sz w:val="24"/>
                <w:szCs w:val="24"/>
              </w:rPr>
              <w:t>工程款</w:t>
            </w:r>
          </w:p>
        </w:tc>
        <w:tc>
          <w:tcPr>
            <w:tcW w:w="2693" w:type="dxa"/>
          </w:tcPr>
          <w:p>
            <w:pPr>
              <w:spacing w:line="360" w:lineRule="auto"/>
              <w:jc w:val="right"/>
              <w:rPr>
                <w:rFonts w:ascii="宋体" w:hAnsi="宋体"/>
                <w:color w:val="FF0000"/>
                <w:sz w:val="24"/>
                <w:szCs w:val="24"/>
                <w:highlight w:val="yellow"/>
              </w:rPr>
            </w:pPr>
            <w:r>
              <w:rPr>
                <w:rFonts w:hint="eastAsia" w:ascii="宋体" w:hAnsi="宋体"/>
                <w:sz w:val="24"/>
                <w:szCs w:val="24"/>
              </w:rPr>
              <w:t>35,805.59</w:t>
            </w:r>
          </w:p>
        </w:tc>
        <w:tc>
          <w:tcPr>
            <w:tcW w:w="2552" w:type="dxa"/>
            <w:vAlign w:val="center"/>
          </w:tcPr>
          <w:p>
            <w:pPr>
              <w:widowControl/>
              <w:spacing w:line="360" w:lineRule="auto"/>
              <w:jc w:val="right"/>
              <w:rPr>
                <w:rFonts w:ascii="宋体" w:hAnsi="宋体"/>
                <w:sz w:val="24"/>
                <w:szCs w:val="24"/>
              </w:rPr>
            </w:pPr>
            <w:r>
              <w:rPr>
                <w:rFonts w:hint="eastAsia" w:ascii="宋体" w:hAnsi="宋体"/>
                <w:sz w:val="24"/>
                <w:szCs w:val="24"/>
              </w:rPr>
              <w:t>4,405.35</w:t>
            </w:r>
          </w:p>
        </w:tc>
        <w:tc>
          <w:tcPr>
            <w:tcW w:w="2429" w:type="dxa"/>
          </w:tcPr>
          <w:p>
            <w:pPr>
              <w:spacing w:line="360" w:lineRule="auto"/>
              <w:jc w:val="right"/>
              <w:rPr>
                <w:rFonts w:ascii="宋体" w:hAnsi="宋体"/>
                <w:sz w:val="24"/>
                <w:szCs w:val="24"/>
              </w:rPr>
            </w:pPr>
            <w:r>
              <w:rPr>
                <w:rFonts w:hint="eastAsia" w:ascii="宋体" w:hAnsi="宋体"/>
                <w:sz w:val="24"/>
                <w:szCs w:val="24"/>
              </w:rPr>
              <w:t>3,999.66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980" w:type="dxa"/>
          </w:tcPr>
          <w:p>
            <w:pPr>
              <w:spacing w:line="360" w:lineRule="auto"/>
              <w:jc w:val="center"/>
              <w:rPr>
                <w:rFonts w:ascii="宋体" w:hAnsi="宋体"/>
                <w:sz w:val="24"/>
                <w:szCs w:val="24"/>
              </w:rPr>
            </w:pPr>
            <w:r>
              <w:rPr>
                <w:rFonts w:hint="eastAsia" w:ascii="宋体" w:hAnsi="宋体"/>
                <w:sz w:val="24"/>
                <w:szCs w:val="24"/>
              </w:rPr>
              <w:t>管理费用</w:t>
            </w:r>
          </w:p>
        </w:tc>
        <w:tc>
          <w:tcPr>
            <w:tcW w:w="2693" w:type="dxa"/>
          </w:tcPr>
          <w:p>
            <w:pPr>
              <w:spacing w:line="360" w:lineRule="auto"/>
              <w:jc w:val="right"/>
              <w:rPr>
                <w:rFonts w:ascii="宋体" w:hAnsi="宋体"/>
                <w:sz w:val="24"/>
                <w:szCs w:val="24"/>
                <w:highlight w:val="yellow"/>
              </w:rPr>
            </w:pPr>
            <w:r>
              <w:rPr>
                <w:rFonts w:hint="eastAsia" w:ascii="宋体" w:hAnsi="宋体"/>
                <w:sz w:val="24"/>
                <w:szCs w:val="24"/>
              </w:rPr>
              <w:t>0.00</w:t>
            </w:r>
          </w:p>
        </w:tc>
        <w:tc>
          <w:tcPr>
            <w:tcW w:w="2552" w:type="dxa"/>
            <w:vAlign w:val="center"/>
          </w:tcPr>
          <w:p>
            <w:pPr>
              <w:widowControl/>
              <w:spacing w:line="360" w:lineRule="auto"/>
              <w:jc w:val="right"/>
              <w:rPr>
                <w:rFonts w:ascii="宋体" w:hAnsi="宋体"/>
                <w:sz w:val="24"/>
                <w:szCs w:val="24"/>
              </w:rPr>
            </w:pPr>
            <w:r>
              <w:rPr>
                <w:rFonts w:hint="eastAsia" w:ascii="宋体" w:hAnsi="宋体"/>
                <w:sz w:val="24"/>
                <w:szCs w:val="24"/>
              </w:rPr>
              <w:t>13.84</w:t>
            </w:r>
          </w:p>
        </w:tc>
        <w:tc>
          <w:tcPr>
            <w:tcW w:w="2429" w:type="dxa"/>
          </w:tcPr>
          <w:p>
            <w:pPr>
              <w:spacing w:line="360" w:lineRule="auto"/>
              <w:jc w:val="right"/>
              <w:rPr>
                <w:rFonts w:ascii="宋体" w:hAnsi="宋体"/>
                <w:sz w:val="24"/>
                <w:szCs w:val="24"/>
              </w:rPr>
            </w:pPr>
            <w:r>
              <w:rPr>
                <w:rFonts w:hint="eastAsia" w:ascii="宋体" w:hAnsi="宋体"/>
                <w:sz w:val="24"/>
                <w:szCs w:val="24"/>
              </w:rPr>
              <w:t>28.00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980" w:type="dxa"/>
          </w:tcPr>
          <w:p>
            <w:pPr>
              <w:spacing w:line="360" w:lineRule="auto"/>
              <w:jc w:val="center"/>
              <w:rPr>
                <w:rFonts w:ascii="宋体" w:hAnsi="宋体"/>
                <w:sz w:val="24"/>
                <w:szCs w:val="24"/>
              </w:rPr>
            </w:pPr>
            <w:r>
              <w:rPr>
                <w:rFonts w:hint="eastAsia" w:ascii="宋体" w:hAnsi="宋体"/>
                <w:sz w:val="24"/>
                <w:szCs w:val="24"/>
              </w:rPr>
              <w:t>营销费用</w:t>
            </w:r>
          </w:p>
        </w:tc>
        <w:tc>
          <w:tcPr>
            <w:tcW w:w="2693" w:type="dxa"/>
          </w:tcPr>
          <w:p>
            <w:pPr>
              <w:spacing w:line="360" w:lineRule="auto"/>
              <w:jc w:val="right"/>
              <w:rPr>
                <w:rFonts w:ascii="宋体" w:hAnsi="宋体"/>
                <w:sz w:val="24"/>
                <w:szCs w:val="24"/>
                <w:highlight w:val="yellow"/>
              </w:rPr>
            </w:pPr>
            <w:r>
              <w:rPr>
                <w:rFonts w:hint="eastAsia" w:ascii="宋体" w:hAnsi="宋体"/>
                <w:sz w:val="24"/>
                <w:szCs w:val="24"/>
                <w:lang w:bidi="zh-CN"/>
              </w:rPr>
              <w:t>103.50</w:t>
            </w:r>
          </w:p>
        </w:tc>
        <w:tc>
          <w:tcPr>
            <w:tcW w:w="2552" w:type="dxa"/>
            <w:vAlign w:val="center"/>
          </w:tcPr>
          <w:p>
            <w:pPr>
              <w:widowControl/>
              <w:spacing w:line="360" w:lineRule="auto"/>
              <w:jc w:val="right"/>
              <w:rPr>
                <w:rFonts w:ascii="宋体" w:hAnsi="宋体"/>
                <w:sz w:val="24"/>
                <w:szCs w:val="24"/>
              </w:rPr>
            </w:pPr>
            <w:r>
              <w:rPr>
                <w:rFonts w:hint="eastAsia" w:ascii="宋体" w:hAnsi="宋体"/>
                <w:sz w:val="24"/>
                <w:szCs w:val="24"/>
              </w:rPr>
              <w:t>144.27</w:t>
            </w:r>
          </w:p>
        </w:tc>
        <w:tc>
          <w:tcPr>
            <w:tcW w:w="2429" w:type="dxa"/>
          </w:tcPr>
          <w:p>
            <w:pPr>
              <w:spacing w:line="360" w:lineRule="auto"/>
              <w:jc w:val="right"/>
              <w:rPr>
                <w:rFonts w:ascii="宋体" w:hAnsi="宋体"/>
                <w:sz w:val="24"/>
                <w:szCs w:val="24"/>
              </w:rPr>
            </w:pPr>
            <w:r>
              <w:rPr>
                <w:rFonts w:hint="eastAsia" w:ascii="宋体" w:hAnsi="宋体"/>
                <w:sz w:val="24"/>
                <w:szCs w:val="24"/>
              </w:rPr>
              <w:t>45.88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980" w:type="dxa"/>
          </w:tcPr>
          <w:p>
            <w:pPr>
              <w:spacing w:line="360" w:lineRule="auto"/>
              <w:jc w:val="center"/>
              <w:rPr>
                <w:rFonts w:ascii="宋体" w:hAnsi="宋体"/>
                <w:sz w:val="24"/>
                <w:szCs w:val="24"/>
              </w:rPr>
            </w:pPr>
            <w:r>
              <w:rPr>
                <w:rFonts w:hint="eastAsia" w:ascii="宋体" w:hAnsi="宋体"/>
                <w:sz w:val="24"/>
                <w:szCs w:val="24"/>
              </w:rPr>
              <w:t>财务费用</w:t>
            </w:r>
          </w:p>
        </w:tc>
        <w:tc>
          <w:tcPr>
            <w:tcW w:w="2693" w:type="dxa"/>
          </w:tcPr>
          <w:p>
            <w:pPr>
              <w:spacing w:line="360" w:lineRule="auto"/>
              <w:jc w:val="right"/>
              <w:rPr>
                <w:rFonts w:ascii="宋体" w:hAnsi="宋体"/>
                <w:sz w:val="24"/>
                <w:szCs w:val="24"/>
              </w:rPr>
            </w:pPr>
            <w:r>
              <w:rPr>
                <w:rFonts w:hint="eastAsia" w:ascii="宋体" w:hAnsi="宋体"/>
                <w:sz w:val="24"/>
                <w:szCs w:val="24"/>
              </w:rPr>
              <w:t>0.00</w:t>
            </w:r>
          </w:p>
        </w:tc>
        <w:tc>
          <w:tcPr>
            <w:tcW w:w="2552" w:type="dxa"/>
          </w:tcPr>
          <w:p>
            <w:pPr>
              <w:widowControl/>
              <w:spacing w:line="360" w:lineRule="auto"/>
              <w:jc w:val="right"/>
              <w:rPr>
                <w:rFonts w:ascii="宋体" w:hAnsi="宋体"/>
                <w:sz w:val="24"/>
                <w:szCs w:val="24"/>
              </w:rPr>
            </w:pPr>
            <w:r>
              <w:rPr>
                <w:rFonts w:hint="eastAsia" w:ascii="宋体" w:hAnsi="宋体"/>
                <w:sz w:val="24"/>
                <w:szCs w:val="24"/>
              </w:rPr>
              <w:t>1.13</w:t>
            </w:r>
          </w:p>
        </w:tc>
        <w:tc>
          <w:tcPr>
            <w:tcW w:w="2429" w:type="dxa"/>
          </w:tcPr>
          <w:p>
            <w:pPr>
              <w:spacing w:line="360" w:lineRule="auto"/>
              <w:jc w:val="right"/>
              <w:rPr>
                <w:rFonts w:ascii="宋体" w:hAnsi="宋体"/>
                <w:sz w:val="24"/>
                <w:szCs w:val="24"/>
              </w:rPr>
            </w:pPr>
            <w:r>
              <w:rPr>
                <w:rFonts w:hint="eastAsia" w:ascii="宋体" w:hAnsi="宋体"/>
                <w:sz w:val="24"/>
                <w:szCs w:val="24"/>
                <w:lang w:bidi="zh-CN"/>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980" w:type="dxa"/>
          </w:tcPr>
          <w:p>
            <w:pPr>
              <w:spacing w:line="360" w:lineRule="auto"/>
              <w:jc w:val="center"/>
              <w:rPr>
                <w:rFonts w:ascii="宋体" w:hAnsi="宋体"/>
                <w:sz w:val="24"/>
                <w:szCs w:val="24"/>
              </w:rPr>
            </w:pPr>
            <w:r>
              <w:rPr>
                <w:rFonts w:hint="eastAsia" w:ascii="宋体" w:hAnsi="宋体"/>
                <w:sz w:val="24"/>
                <w:szCs w:val="24"/>
              </w:rPr>
              <w:t>其他</w:t>
            </w:r>
          </w:p>
        </w:tc>
        <w:tc>
          <w:tcPr>
            <w:tcW w:w="2693" w:type="dxa"/>
          </w:tcPr>
          <w:p>
            <w:pPr>
              <w:spacing w:line="360" w:lineRule="auto"/>
              <w:jc w:val="right"/>
              <w:rPr>
                <w:rFonts w:ascii="宋体" w:hAnsi="宋体"/>
                <w:sz w:val="24"/>
                <w:szCs w:val="24"/>
              </w:rPr>
            </w:pPr>
            <w:r>
              <w:rPr>
                <w:rFonts w:hint="eastAsia" w:ascii="宋体" w:hAnsi="宋体"/>
                <w:sz w:val="24"/>
                <w:szCs w:val="24"/>
              </w:rPr>
              <w:t>0.00</w:t>
            </w:r>
          </w:p>
        </w:tc>
        <w:tc>
          <w:tcPr>
            <w:tcW w:w="2552" w:type="dxa"/>
          </w:tcPr>
          <w:p>
            <w:pPr>
              <w:spacing w:line="360" w:lineRule="auto"/>
              <w:jc w:val="right"/>
              <w:rPr>
                <w:rFonts w:ascii="宋体" w:hAnsi="宋体"/>
                <w:sz w:val="24"/>
                <w:szCs w:val="24"/>
              </w:rPr>
            </w:pPr>
            <w:r>
              <w:rPr>
                <w:rFonts w:hint="eastAsia" w:ascii="宋体" w:hAnsi="宋体"/>
                <w:sz w:val="24"/>
                <w:szCs w:val="24"/>
              </w:rPr>
              <w:t>0.00</w:t>
            </w:r>
          </w:p>
        </w:tc>
        <w:tc>
          <w:tcPr>
            <w:tcW w:w="2429" w:type="dxa"/>
          </w:tcPr>
          <w:p>
            <w:pPr>
              <w:spacing w:line="360" w:lineRule="auto"/>
              <w:jc w:val="right"/>
              <w:rPr>
                <w:rFonts w:ascii="宋体" w:hAnsi="宋体"/>
                <w:sz w:val="24"/>
                <w:szCs w:val="24"/>
              </w:rPr>
            </w:pPr>
            <w:r>
              <w:rPr>
                <w:rFonts w:hint="eastAsia" w:ascii="宋体" w:hAnsi="宋体"/>
                <w:sz w:val="24"/>
                <w:szCs w:val="24"/>
              </w:rPr>
              <w:t>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4673" w:type="dxa"/>
            <w:gridSpan w:val="2"/>
          </w:tcPr>
          <w:p>
            <w:pPr>
              <w:spacing w:line="360" w:lineRule="auto"/>
              <w:jc w:val="center"/>
              <w:rPr>
                <w:rFonts w:ascii="宋体" w:hAnsi="宋体"/>
                <w:sz w:val="24"/>
                <w:szCs w:val="24"/>
              </w:rPr>
            </w:pPr>
            <w:r>
              <w:rPr>
                <w:rFonts w:hint="eastAsia" w:ascii="宋体" w:hAnsi="宋体"/>
                <w:sz w:val="24"/>
                <w:szCs w:val="24"/>
              </w:rPr>
              <w:t>总计</w:t>
            </w:r>
          </w:p>
        </w:tc>
        <w:tc>
          <w:tcPr>
            <w:tcW w:w="2552" w:type="dxa"/>
            <w:vAlign w:val="center"/>
          </w:tcPr>
          <w:p>
            <w:pPr>
              <w:widowControl/>
              <w:jc w:val="right"/>
              <w:textAlignment w:val="center"/>
              <w:rPr>
                <w:rFonts w:ascii="宋体" w:hAnsi="宋体" w:cs="宋体"/>
                <w:color w:val="000000"/>
                <w:sz w:val="24"/>
                <w:szCs w:val="24"/>
              </w:rPr>
            </w:pPr>
            <w:r>
              <w:rPr>
                <w:rFonts w:hint="eastAsia" w:ascii="宋体" w:hAnsi="宋体" w:cs="宋体"/>
                <w:color w:val="000000"/>
                <w:kern w:val="0"/>
                <w:sz w:val="24"/>
                <w:szCs w:val="24"/>
                <w:lang w:bidi="ar"/>
              </w:rPr>
              <w:t xml:space="preserve">4,710.96  </w:t>
            </w:r>
          </w:p>
        </w:tc>
        <w:tc>
          <w:tcPr>
            <w:tcW w:w="2429" w:type="dxa"/>
          </w:tcPr>
          <w:p>
            <w:pPr>
              <w:spacing w:line="360" w:lineRule="auto"/>
              <w:jc w:val="right"/>
              <w:rPr>
                <w:rFonts w:ascii="宋体" w:hAnsi="宋体"/>
                <w:sz w:val="24"/>
                <w:szCs w:val="24"/>
              </w:rPr>
            </w:pPr>
            <w:r>
              <w:rPr>
                <w:rFonts w:hint="eastAsia" w:ascii="宋体" w:hAnsi="宋体"/>
                <w:sz w:val="24"/>
                <w:szCs w:val="24"/>
                <w:lang w:val="en-US" w:eastAsia="zh-CN"/>
              </w:rPr>
              <w:t>5</w:t>
            </w:r>
            <w:r>
              <w:rPr>
                <w:rFonts w:hint="eastAsia" w:ascii="宋体" w:hAnsi="宋体"/>
                <w:sz w:val="24"/>
                <w:szCs w:val="24"/>
              </w:rPr>
              <w:t>,085.54</w:t>
            </w:r>
          </w:p>
        </w:tc>
      </w:tr>
      <w:bookmarkEnd w:id="0"/>
    </w:tbl>
    <w:p>
      <w:pPr>
        <w:pStyle w:val="10"/>
        <w:spacing w:before="156" w:beforeLines="50" w:after="156" w:afterLines="50" w:line="360" w:lineRule="auto"/>
        <w:ind w:firstLine="0" w:firstLineChars="0"/>
        <w:rPr>
          <w:rFonts w:hint="eastAsia" w:ascii="Arial" w:hAnsi="Arial" w:cs="Arial"/>
          <w:bCs/>
          <w:sz w:val="15"/>
          <w:szCs w:val="13"/>
        </w:rPr>
      </w:pPr>
      <w:r>
        <w:rPr>
          <w:rFonts w:hint="eastAsia" w:ascii="Arial" w:hAnsi="Arial" w:cs="Arial"/>
          <w:bCs/>
          <w:sz w:val="15"/>
          <w:szCs w:val="13"/>
        </w:rPr>
        <w:t>注：上表采用电算化连续计算得出，由于计算数据均按四舍五入保留两位小数或取整，故可能出现个别加总不完全相等的情况。</w:t>
      </w:r>
    </w:p>
    <w:p>
      <w:pPr>
        <w:pStyle w:val="10"/>
        <w:spacing w:before="156" w:beforeLines="50" w:after="156" w:afterLines="50" w:line="360" w:lineRule="auto"/>
        <w:ind w:firstLine="480" w:firstLineChars="200"/>
        <w:rPr>
          <w:rFonts w:hint="default" w:ascii="Arial" w:hAnsi="Arial" w:cs="Arial"/>
          <w:bCs/>
          <w:sz w:val="15"/>
          <w:szCs w:val="13"/>
          <w:lang w:val="en-US"/>
        </w:rPr>
      </w:pPr>
      <w:r>
        <w:rPr>
          <w:rFonts w:hint="eastAsia" w:ascii="宋体" w:hAnsi="宋体"/>
          <w:sz w:val="24"/>
          <w:szCs w:val="24"/>
          <w:lang w:bidi="zh-CN"/>
        </w:rPr>
        <w:t>项目公司在2020年11月计划向上海颖骏投资管理有限公司归还借款2,000.00万元，</w:t>
      </w:r>
      <w:r>
        <w:rPr>
          <w:rFonts w:hint="eastAsia" w:ascii="宋体" w:hAnsi="宋体"/>
          <w:sz w:val="24"/>
          <w:szCs w:val="24"/>
          <w:lang w:val="en-US" w:bidi="zh-CN"/>
        </w:rPr>
        <w:t>具体还款金额以实际借款金额为准。</w:t>
      </w:r>
    </w:p>
    <w:p>
      <w:pPr>
        <w:spacing w:before="156" w:beforeLines="50" w:after="156" w:afterLines="50" w:line="360" w:lineRule="auto"/>
        <w:ind w:firstLine="241" w:firstLineChars="100"/>
        <w:rPr>
          <w:rFonts w:ascii="宋体" w:hAnsi="宋体" w:cs="宋体"/>
          <w:b/>
          <w:sz w:val="24"/>
          <w:szCs w:val="24"/>
        </w:rPr>
      </w:pPr>
      <w:r>
        <w:rPr>
          <w:rFonts w:hint="eastAsia" w:ascii="宋体" w:hAnsi="宋体"/>
          <w:b/>
          <w:color w:val="000000"/>
          <w:sz w:val="24"/>
          <w:szCs w:val="24"/>
          <w:lang w:bidi="zh-CN"/>
        </w:rPr>
        <w:t>二、</w:t>
      </w:r>
      <w:r>
        <w:rPr>
          <w:rFonts w:hint="eastAsia" w:ascii="宋体" w:hAnsi="宋体" w:cs="宋体"/>
          <w:b/>
          <w:sz w:val="24"/>
          <w:szCs w:val="24"/>
        </w:rPr>
        <w:t>10月份资</w:t>
      </w:r>
      <w:r>
        <w:rPr>
          <w:rFonts w:ascii="宋体" w:hAnsi="宋体" w:cs="宋体"/>
          <w:b/>
          <w:sz w:val="24"/>
          <w:szCs w:val="24"/>
        </w:rPr>
        <w:t>金计划使用情况</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项目公司</w:t>
      </w:r>
      <w:r>
        <w:rPr>
          <w:rFonts w:ascii="宋体" w:hAnsi="宋体"/>
          <w:sz w:val="24"/>
          <w:szCs w:val="24"/>
        </w:rPr>
        <w:t>2020</w:t>
      </w:r>
      <w:r>
        <w:rPr>
          <w:rFonts w:hint="eastAsia" w:ascii="宋体" w:hAnsi="宋体"/>
          <w:sz w:val="24"/>
          <w:szCs w:val="24"/>
        </w:rPr>
        <w:t>年10</w:t>
      </w:r>
      <w:r>
        <w:rPr>
          <w:rFonts w:ascii="宋体" w:hAnsi="宋体"/>
          <w:sz w:val="24"/>
          <w:szCs w:val="24"/>
        </w:rPr>
        <w:t>月资金支出计划</w:t>
      </w:r>
      <w:r>
        <w:rPr>
          <w:rFonts w:hint="eastAsia" w:ascii="宋体" w:hAnsi="宋体"/>
          <w:sz w:val="24"/>
          <w:szCs w:val="24"/>
        </w:rPr>
        <w:t>6,353.73</w:t>
      </w:r>
      <w:r>
        <w:rPr>
          <w:rFonts w:hint="eastAsia" w:ascii="宋体" w:hAnsi="宋体"/>
          <w:bCs/>
          <w:sz w:val="24"/>
          <w:szCs w:val="24"/>
        </w:rPr>
        <w:t>万元，</w:t>
      </w:r>
      <w:r>
        <w:rPr>
          <w:rFonts w:hint="eastAsia" w:ascii="宋体" w:hAnsi="宋体"/>
          <w:sz w:val="24"/>
          <w:szCs w:val="24"/>
        </w:rPr>
        <w:t>实际资金支付2,246.86万元，其中：前期费用支出4.56万元；工程费用支出2,098.38万元；管理费用支出7.11万元；财务费用支出0.08万元；营销费用56.73万元，不可预见费用80.00万元。</w:t>
      </w:r>
      <w:r>
        <w:rPr>
          <w:rFonts w:hint="eastAsia" w:ascii="宋体" w:hAnsi="宋体"/>
          <w:bCs/>
          <w:sz w:val="24"/>
          <w:szCs w:val="24"/>
        </w:rPr>
        <w:t>10月资金支付中使用现金支付68.</w:t>
      </w:r>
      <w:r>
        <w:rPr>
          <w:rFonts w:hint="eastAsia" w:ascii="宋体" w:hAnsi="宋体"/>
          <w:bCs/>
          <w:sz w:val="24"/>
          <w:szCs w:val="24"/>
          <w:lang w:val="en-US" w:eastAsia="zh-CN"/>
        </w:rPr>
        <w:t>48</w:t>
      </w:r>
      <w:r>
        <w:rPr>
          <w:rFonts w:hint="eastAsia" w:ascii="宋体" w:hAnsi="宋体"/>
          <w:bCs/>
          <w:sz w:val="24"/>
          <w:szCs w:val="24"/>
        </w:rPr>
        <w:t>万元，使用1年期商业承兑汇票支付1,160.38万元，9个月期商业承兑汇票支付1,018.00万元。</w:t>
      </w:r>
      <w:r>
        <w:rPr>
          <w:rFonts w:hint="eastAsia" w:ascii="宋体" w:hAnsi="宋体"/>
          <w:sz w:val="24"/>
          <w:szCs w:val="24"/>
        </w:rPr>
        <w:t>10</w:t>
      </w:r>
      <w:r>
        <w:rPr>
          <w:rFonts w:ascii="宋体" w:hAnsi="宋体" w:cs="宋体"/>
          <w:sz w:val="24"/>
          <w:lang w:bidi="zh-CN"/>
        </w:rPr>
        <w:t>月</w:t>
      </w:r>
      <w:r>
        <w:rPr>
          <w:rFonts w:hint="eastAsia" w:ascii="宋体" w:hAnsi="宋体" w:cs="宋体"/>
          <w:sz w:val="24"/>
          <w:lang w:bidi="zh-CN"/>
        </w:rPr>
        <w:t>份资金计划金额与执行情况对比如下表所示：</w:t>
      </w:r>
    </w:p>
    <w:p>
      <w:pPr>
        <w:pStyle w:val="10"/>
        <w:spacing w:after="0" w:line="480" w:lineRule="auto"/>
        <w:ind w:firstLine="0" w:firstLineChars="0"/>
        <w:jc w:val="center"/>
        <w:rPr>
          <w:rFonts w:ascii="宋体" w:hAnsi="宋体" w:cs="宋体"/>
          <w:sz w:val="24"/>
          <w:lang w:bidi="ar"/>
        </w:rPr>
      </w:pPr>
      <w:r>
        <w:rPr>
          <w:rFonts w:hint="eastAsia" w:ascii="宋体" w:hAnsi="宋体" w:cs="宋体"/>
          <w:sz w:val="24"/>
          <w:lang w:bidi="ar"/>
        </w:rPr>
        <w:t>10</w:t>
      </w:r>
      <w:r>
        <w:rPr>
          <w:rFonts w:ascii="宋体" w:hAnsi="宋体" w:cs="宋体"/>
          <w:sz w:val="24"/>
          <w:lang w:bidi="ar"/>
        </w:rPr>
        <w:t>月份资金计划</w:t>
      </w:r>
      <w:r>
        <w:rPr>
          <w:rFonts w:hint="eastAsia" w:ascii="宋体" w:hAnsi="宋体" w:cs="宋体"/>
          <w:sz w:val="24"/>
          <w:lang w:bidi="ar"/>
        </w:rPr>
        <w:t>金额与执行情况对比表</w:t>
      </w:r>
    </w:p>
    <w:tbl>
      <w:tblPr>
        <w:tblStyle w:val="11"/>
        <w:tblW w:w="10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457"/>
        <w:gridCol w:w="1732"/>
        <w:gridCol w:w="1527"/>
        <w:gridCol w:w="4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blHeader/>
          <w:jc w:val="center"/>
        </w:trPr>
        <w:tc>
          <w:tcPr>
            <w:tcW w:w="1241" w:type="dxa"/>
            <w:shd w:val="clear" w:color="auto" w:fill="B2A1C7"/>
            <w:vAlign w:val="center"/>
          </w:tcPr>
          <w:p>
            <w:pPr>
              <w:widowControl/>
              <w:jc w:val="center"/>
              <w:textAlignment w:val="top"/>
              <w:rPr>
                <w:rFonts w:ascii="宋体" w:hAnsi="宋体" w:cs="宋体"/>
                <w:b/>
                <w:bCs/>
                <w:color w:val="000000"/>
                <w:kern w:val="0"/>
                <w:sz w:val="22"/>
                <w:lang w:bidi="ar"/>
              </w:rPr>
            </w:pPr>
            <w:r>
              <w:rPr>
                <w:rFonts w:hint="eastAsia" w:ascii="宋体" w:hAnsi="宋体" w:cs="宋体"/>
                <w:b/>
                <w:bCs/>
                <w:color w:val="000000"/>
                <w:kern w:val="0"/>
                <w:sz w:val="22"/>
                <w:lang w:bidi="ar"/>
              </w:rPr>
              <w:t>资金</w:t>
            </w:r>
          </w:p>
          <w:p>
            <w:pPr>
              <w:widowControl/>
              <w:jc w:val="center"/>
              <w:textAlignment w:val="top"/>
              <w:rPr>
                <w:rFonts w:ascii="宋体" w:hAnsi="宋体" w:cs="宋体"/>
                <w:b/>
                <w:bCs/>
                <w:color w:val="000000"/>
                <w:kern w:val="0"/>
                <w:sz w:val="22"/>
                <w:lang w:bidi="ar"/>
              </w:rPr>
            </w:pPr>
            <w:r>
              <w:rPr>
                <w:rFonts w:hint="eastAsia" w:ascii="宋体" w:hAnsi="宋体" w:cs="宋体"/>
                <w:b/>
                <w:bCs/>
                <w:color w:val="000000"/>
                <w:kern w:val="0"/>
                <w:sz w:val="22"/>
                <w:lang w:bidi="ar"/>
              </w:rPr>
              <w:t>类别</w:t>
            </w:r>
          </w:p>
        </w:tc>
        <w:tc>
          <w:tcPr>
            <w:tcW w:w="1457" w:type="dxa"/>
            <w:shd w:val="clear" w:color="auto" w:fill="B2A1C7"/>
            <w:vAlign w:val="center"/>
          </w:tcPr>
          <w:p>
            <w:pPr>
              <w:widowControl/>
              <w:jc w:val="center"/>
              <w:textAlignment w:val="top"/>
              <w:rPr>
                <w:rFonts w:ascii="宋体" w:hAnsi="宋体" w:cs="宋体"/>
                <w:b/>
                <w:bCs/>
                <w:color w:val="000000"/>
                <w:kern w:val="0"/>
                <w:sz w:val="22"/>
                <w:lang w:bidi="ar"/>
              </w:rPr>
            </w:pPr>
            <w:r>
              <w:rPr>
                <w:rFonts w:hint="eastAsia" w:ascii="宋体" w:hAnsi="宋体" w:cs="宋体"/>
                <w:b/>
                <w:bCs/>
                <w:color w:val="000000"/>
                <w:kern w:val="0"/>
                <w:sz w:val="22"/>
                <w:lang w:bidi="ar"/>
              </w:rPr>
              <w:t>10</w:t>
            </w:r>
            <w:r>
              <w:rPr>
                <w:rFonts w:ascii="宋体" w:hAnsi="宋体" w:cs="宋体"/>
                <w:b/>
                <w:bCs/>
                <w:color w:val="000000"/>
                <w:kern w:val="0"/>
                <w:sz w:val="22"/>
                <w:lang w:bidi="ar"/>
              </w:rPr>
              <w:t>月份资金计划</w:t>
            </w:r>
            <w:r>
              <w:rPr>
                <w:rFonts w:hint="eastAsia" w:ascii="宋体" w:hAnsi="宋体" w:cs="宋体"/>
                <w:b/>
                <w:bCs/>
                <w:color w:val="000000"/>
                <w:kern w:val="0"/>
                <w:sz w:val="22"/>
                <w:lang w:bidi="ar"/>
              </w:rPr>
              <w:t>申请金额（万元）</w:t>
            </w:r>
          </w:p>
        </w:tc>
        <w:tc>
          <w:tcPr>
            <w:tcW w:w="1732" w:type="dxa"/>
            <w:shd w:val="clear" w:color="auto" w:fill="B2A1C7"/>
            <w:vAlign w:val="center"/>
          </w:tcPr>
          <w:p>
            <w:pPr>
              <w:widowControl/>
              <w:jc w:val="center"/>
              <w:textAlignment w:val="top"/>
              <w:rPr>
                <w:rFonts w:ascii="宋体" w:hAnsi="宋体" w:cs="宋体"/>
                <w:b/>
                <w:bCs/>
                <w:color w:val="000000"/>
                <w:kern w:val="0"/>
                <w:sz w:val="22"/>
                <w:lang w:bidi="ar"/>
              </w:rPr>
            </w:pPr>
            <w:r>
              <w:rPr>
                <w:rFonts w:hint="eastAsia" w:ascii="宋体" w:hAnsi="宋体" w:cs="宋体"/>
                <w:b/>
                <w:bCs/>
                <w:color w:val="000000"/>
                <w:kern w:val="0"/>
                <w:sz w:val="22"/>
                <w:lang w:bidi="ar"/>
              </w:rPr>
              <w:t>10</w:t>
            </w:r>
            <w:r>
              <w:rPr>
                <w:rFonts w:ascii="宋体" w:hAnsi="宋体" w:cs="宋体"/>
                <w:b/>
                <w:bCs/>
                <w:color w:val="000000"/>
                <w:kern w:val="0"/>
                <w:sz w:val="22"/>
                <w:lang w:bidi="ar"/>
              </w:rPr>
              <w:t>月份资金计划</w:t>
            </w:r>
            <w:r>
              <w:rPr>
                <w:rFonts w:hint="eastAsia" w:ascii="宋体" w:hAnsi="宋体" w:cs="宋体"/>
                <w:b/>
                <w:bCs/>
                <w:color w:val="000000"/>
                <w:kern w:val="0"/>
                <w:sz w:val="22"/>
                <w:lang w:bidi="ar"/>
              </w:rPr>
              <w:t>执行金额</w:t>
            </w:r>
          </w:p>
          <w:p>
            <w:pPr>
              <w:widowControl/>
              <w:jc w:val="center"/>
              <w:textAlignment w:val="top"/>
              <w:rPr>
                <w:rFonts w:ascii="宋体" w:hAnsi="宋体" w:cs="宋体"/>
                <w:b/>
                <w:bCs/>
                <w:color w:val="000000"/>
                <w:kern w:val="0"/>
                <w:sz w:val="22"/>
                <w:lang w:bidi="ar"/>
              </w:rPr>
            </w:pPr>
            <w:r>
              <w:rPr>
                <w:rFonts w:hint="eastAsia" w:ascii="宋体" w:hAnsi="宋体" w:cs="宋体"/>
                <w:b/>
                <w:bCs/>
                <w:color w:val="000000"/>
                <w:kern w:val="0"/>
                <w:sz w:val="22"/>
                <w:lang w:bidi="ar"/>
              </w:rPr>
              <w:t>（万元）</w:t>
            </w:r>
          </w:p>
        </w:tc>
        <w:tc>
          <w:tcPr>
            <w:tcW w:w="1527" w:type="dxa"/>
            <w:shd w:val="clear" w:color="auto" w:fill="B2A1C7"/>
            <w:vAlign w:val="center"/>
          </w:tcPr>
          <w:p>
            <w:pPr>
              <w:widowControl/>
              <w:jc w:val="center"/>
              <w:textAlignment w:val="top"/>
              <w:rPr>
                <w:rFonts w:ascii="宋体" w:hAnsi="宋体" w:cs="宋体"/>
                <w:b/>
                <w:bCs/>
                <w:color w:val="000000"/>
                <w:kern w:val="0"/>
                <w:sz w:val="22"/>
                <w:lang w:bidi="ar"/>
              </w:rPr>
            </w:pPr>
            <w:r>
              <w:rPr>
                <w:rFonts w:hint="eastAsia" w:ascii="宋体" w:hAnsi="宋体" w:cs="宋体"/>
                <w:b/>
                <w:bCs/>
                <w:color w:val="000000"/>
                <w:kern w:val="0"/>
                <w:sz w:val="22"/>
                <w:lang w:bidi="ar"/>
              </w:rPr>
              <w:t>月度计划资金使用率</w:t>
            </w:r>
          </w:p>
        </w:tc>
        <w:tc>
          <w:tcPr>
            <w:tcW w:w="4332" w:type="dxa"/>
            <w:shd w:val="clear" w:color="auto" w:fill="B2A1C7"/>
            <w:vAlign w:val="center"/>
          </w:tcPr>
          <w:p>
            <w:pPr>
              <w:widowControl/>
              <w:jc w:val="center"/>
              <w:textAlignment w:val="top"/>
              <w:rPr>
                <w:rFonts w:ascii="宋体" w:hAnsi="宋体" w:cs="宋体"/>
                <w:b/>
                <w:bCs/>
                <w:color w:val="000000"/>
                <w:kern w:val="0"/>
                <w:sz w:val="22"/>
                <w:lang w:bidi="ar"/>
              </w:rPr>
            </w:pPr>
            <w:r>
              <w:rPr>
                <w:rFonts w:hint="eastAsia" w:ascii="宋体" w:hAnsi="宋体" w:cs="宋体"/>
                <w:b/>
                <w:bCs/>
                <w:color w:val="000000"/>
                <w:kern w:val="0"/>
                <w:sz w:val="22"/>
                <w:lang w:bidi="ar"/>
              </w:rPr>
              <w:t>支出说明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5" w:hRule="exact"/>
          <w:jc w:val="center"/>
        </w:trPr>
        <w:tc>
          <w:tcPr>
            <w:tcW w:w="1241" w:type="dxa"/>
            <w:vAlign w:val="center"/>
          </w:tcPr>
          <w:p>
            <w:pPr>
              <w:widowControl/>
              <w:jc w:val="center"/>
              <w:textAlignment w:val="top"/>
              <w:rPr>
                <w:rFonts w:ascii="宋体" w:hAnsi="宋体" w:cs="宋体"/>
                <w:kern w:val="0"/>
                <w:sz w:val="22"/>
                <w:lang w:bidi="ar"/>
              </w:rPr>
            </w:pPr>
            <w:r>
              <w:rPr>
                <w:rFonts w:hint="eastAsia" w:ascii="宋体" w:hAnsi="宋体" w:cs="宋体"/>
                <w:kern w:val="0"/>
                <w:sz w:val="22"/>
                <w:lang w:bidi="ar"/>
              </w:rPr>
              <w:t>前期费用</w:t>
            </w:r>
          </w:p>
        </w:tc>
        <w:tc>
          <w:tcPr>
            <w:tcW w:w="1457" w:type="dxa"/>
            <w:vAlign w:val="center"/>
          </w:tcPr>
          <w:p>
            <w:pPr>
              <w:widowControl/>
              <w:jc w:val="center"/>
              <w:textAlignment w:val="top"/>
              <w:rPr>
                <w:rFonts w:ascii="宋体" w:hAnsi="宋体" w:cs="宋体"/>
                <w:kern w:val="0"/>
                <w:sz w:val="22"/>
                <w:lang w:bidi="ar"/>
              </w:rPr>
            </w:pPr>
            <w:r>
              <w:rPr>
                <w:rFonts w:hint="eastAsia" w:ascii="宋体" w:hAnsi="宋体"/>
                <w:sz w:val="22"/>
              </w:rPr>
              <w:t>16.01</w:t>
            </w:r>
          </w:p>
        </w:tc>
        <w:tc>
          <w:tcPr>
            <w:tcW w:w="1732" w:type="dxa"/>
            <w:vAlign w:val="center"/>
          </w:tcPr>
          <w:p>
            <w:pPr>
              <w:widowControl/>
              <w:ind w:firstLine="440" w:firstLineChars="200"/>
              <w:textAlignment w:val="top"/>
              <w:rPr>
                <w:rFonts w:ascii="宋体" w:hAnsi="宋体"/>
                <w:sz w:val="22"/>
              </w:rPr>
            </w:pPr>
            <w:r>
              <w:rPr>
                <w:rFonts w:hint="eastAsia" w:ascii="宋体" w:hAnsi="宋体"/>
                <w:sz w:val="22"/>
              </w:rPr>
              <w:t>4.56</w:t>
            </w:r>
          </w:p>
        </w:tc>
        <w:tc>
          <w:tcPr>
            <w:tcW w:w="1527" w:type="dxa"/>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28%</w:t>
            </w:r>
          </w:p>
        </w:tc>
        <w:tc>
          <w:tcPr>
            <w:tcW w:w="4332" w:type="dxa"/>
            <w:vAlign w:val="center"/>
          </w:tcPr>
          <w:p>
            <w:pPr>
              <w:pStyle w:val="10"/>
              <w:ind w:firstLine="0" w:firstLineChars="0"/>
              <w:rPr>
                <w:rFonts w:ascii="宋体" w:hAnsi="宋体" w:cs="宋体"/>
                <w:kern w:val="0"/>
                <w:sz w:val="22"/>
                <w:szCs w:val="22"/>
                <w:lang w:bidi="ar"/>
              </w:rPr>
            </w:pPr>
            <w:r>
              <w:rPr>
                <w:rFonts w:hint="eastAsia" w:ascii="宋体" w:hAnsi="宋体" w:cs="宋体"/>
                <w:kern w:val="0"/>
                <w:sz w:val="22"/>
                <w:szCs w:val="22"/>
                <w:lang w:bidi="ar"/>
              </w:rPr>
              <w:t>原计划支付3笔费用，其中</w:t>
            </w:r>
            <w:r>
              <w:rPr>
                <w:rFonts w:hint="eastAsia" w:ascii="宋体" w:hAnsi="宋体"/>
                <w:sz w:val="22"/>
                <w:szCs w:val="22"/>
              </w:rPr>
              <w:t>提前预测绘费4.56万元已支付；海盐县滨海规划测绘有限公司规划预测绘6.00万元未支付，浙江恒欣建筑设计股份有限公司桐乡恒欣分公司建筑日照分析费5.45万元未支付。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5" w:hRule="exact"/>
          <w:jc w:val="center"/>
        </w:trPr>
        <w:tc>
          <w:tcPr>
            <w:tcW w:w="1241" w:type="dxa"/>
            <w:vAlign w:val="center"/>
          </w:tcPr>
          <w:p>
            <w:pPr>
              <w:widowControl/>
              <w:jc w:val="center"/>
              <w:textAlignment w:val="top"/>
              <w:rPr>
                <w:rFonts w:ascii="宋体" w:hAnsi="宋体" w:cs="宋体"/>
                <w:kern w:val="0"/>
                <w:sz w:val="22"/>
                <w:lang w:bidi="ar"/>
              </w:rPr>
            </w:pPr>
            <w:r>
              <w:rPr>
                <w:rFonts w:hint="eastAsia" w:ascii="宋体" w:hAnsi="宋体"/>
                <w:sz w:val="22"/>
              </w:rPr>
              <w:t>工程费用</w:t>
            </w:r>
          </w:p>
        </w:tc>
        <w:tc>
          <w:tcPr>
            <w:tcW w:w="1457" w:type="dxa"/>
            <w:vAlign w:val="center"/>
          </w:tcPr>
          <w:p>
            <w:pPr>
              <w:widowControl/>
              <w:jc w:val="center"/>
              <w:textAlignment w:val="center"/>
              <w:rPr>
                <w:rFonts w:ascii="宋体" w:hAnsi="宋体" w:cs="宋体"/>
                <w:kern w:val="0"/>
                <w:sz w:val="22"/>
                <w:lang w:bidi="ar"/>
              </w:rPr>
            </w:pPr>
            <w:r>
              <w:rPr>
                <w:rFonts w:hint="eastAsia" w:ascii="宋体" w:hAnsi="宋体"/>
                <w:sz w:val="22"/>
                <w:lang w:val="en-US" w:eastAsia="zh-CN"/>
              </w:rPr>
              <w:t>6</w:t>
            </w:r>
            <w:r>
              <w:rPr>
                <w:rFonts w:hint="eastAsia" w:ascii="宋体" w:hAnsi="宋体"/>
                <w:sz w:val="22"/>
              </w:rPr>
              <w:t>,121.54</w:t>
            </w:r>
          </w:p>
        </w:tc>
        <w:tc>
          <w:tcPr>
            <w:tcW w:w="1732" w:type="dxa"/>
            <w:vAlign w:val="center"/>
          </w:tcPr>
          <w:p>
            <w:pPr>
              <w:widowControl/>
              <w:jc w:val="center"/>
              <w:textAlignment w:val="center"/>
              <w:rPr>
                <w:rFonts w:ascii="宋体" w:hAnsi="宋体" w:cs="宋体"/>
                <w:sz w:val="22"/>
              </w:rPr>
            </w:pPr>
            <w:r>
              <w:rPr>
                <w:rFonts w:hint="eastAsia" w:ascii="宋体" w:hAnsi="宋体"/>
                <w:sz w:val="22"/>
              </w:rPr>
              <w:t>2,098.38</w:t>
            </w:r>
          </w:p>
        </w:tc>
        <w:tc>
          <w:tcPr>
            <w:tcW w:w="1527" w:type="dxa"/>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val="en-US" w:eastAsia="zh-CN" w:bidi="ar"/>
              </w:rPr>
              <w:t>34</w:t>
            </w:r>
            <w:r>
              <w:rPr>
                <w:rFonts w:hint="eastAsia" w:ascii="宋体" w:hAnsi="宋体" w:cs="宋体"/>
                <w:kern w:val="0"/>
                <w:sz w:val="22"/>
                <w:lang w:bidi="ar"/>
              </w:rPr>
              <w:t>%</w:t>
            </w:r>
          </w:p>
        </w:tc>
        <w:tc>
          <w:tcPr>
            <w:tcW w:w="4332" w:type="dxa"/>
            <w:vAlign w:val="center"/>
          </w:tcPr>
          <w:p>
            <w:pPr>
              <w:widowControl/>
              <w:textAlignment w:val="top"/>
              <w:rPr>
                <w:rFonts w:ascii="宋体" w:hAnsi="宋体" w:cs="宋体"/>
                <w:kern w:val="0"/>
                <w:sz w:val="22"/>
                <w:lang w:bidi="ar"/>
              </w:rPr>
            </w:pPr>
            <w:r>
              <w:rPr>
                <w:rFonts w:hint="eastAsia" w:ascii="宋体" w:hAnsi="宋体" w:cs="宋体"/>
                <w:kern w:val="0"/>
                <w:sz w:val="22"/>
                <w:lang w:bidi="ar"/>
              </w:rPr>
              <w:t>原计划支付1</w:t>
            </w:r>
            <w:r>
              <w:rPr>
                <w:rFonts w:hint="eastAsia" w:ascii="宋体" w:hAnsi="宋体" w:cs="宋体"/>
                <w:kern w:val="0"/>
                <w:sz w:val="22"/>
                <w:lang w:val="en-US" w:eastAsia="zh-CN" w:bidi="ar"/>
              </w:rPr>
              <w:t>8</w:t>
            </w:r>
            <w:r>
              <w:rPr>
                <w:rFonts w:hint="eastAsia" w:ascii="宋体" w:hAnsi="宋体" w:cs="宋体"/>
                <w:kern w:val="0"/>
                <w:sz w:val="22"/>
                <w:lang w:bidi="ar"/>
              </w:rPr>
              <w:t>笔工程款，10月仅支付桩基工程款2,062.00万元；基坑支护设计工程款26.8万元；项目施工图设计费9.58万元。其他项目未支付。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8" w:hRule="exact"/>
          <w:jc w:val="center"/>
        </w:trPr>
        <w:tc>
          <w:tcPr>
            <w:tcW w:w="1241" w:type="dxa"/>
            <w:vAlign w:val="center"/>
          </w:tcPr>
          <w:p>
            <w:pPr>
              <w:widowControl/>
              <w:jc w:val="center"/>
              <w:textAlignment w:val="top"/>
              <w:rPr>
                <w:rFonts w:ascii="宋体" w:hAnsi="宋体" w:cs="宋体"/>
                <w:kern w:val="0"/>
                <w:sz w:val="22"/>
                <w:lang w:bidi="ar"/>
              </w:rPr>
            </w:pPr>
            <w:r>
              <w:rPr>
                <w:rFonts w:hint="eastAsia" w:ascii="宋体" w:hAnsi="宋体"/>
                <w:sz w:val="22"/>
              </w:rPr>
              <w:t>营销费用</w:t>
            </w:r>
          </w:p>
        </w:tc>
        <w:tc>
          <w:tcPr>
            <w:tcW w:w="1457" w:type="dxa"/>
            <w:vAlign w:val="center"/>
          </w:tcPr>
          <w:p>
            <w:pPr>
              <w:widowControl/>
              <w:jc w:val="center"/>
              <w:textAlignment w:val="center"/>
              <w:rPr>
                <w:rFonts w:ascii="宋体" w:hAnsi="宋体" w:cs="宋体"/>
                <w:kern w:val="0"/>
                <w:sz w:val="22"/>
                <w:lang w:bidi="ar"/>
              </w:rPr>
            </w:pPr>
            <w:r>
              <w:rPr>
                <w:rFonts w:hint="eastAsia" w:ascii="宋体" w:hAnsi="宋体"/>
                <w:sz w:val="22"/>
              </w:rPr>
              <w:t>65.18</w:t>
            </w:r>
          </w:p>
        </w:tc>
        <w:tc>
          <w:tcPr>
            <w:tcW w:w="1732" w:type="dxa"/>
            <w:vAlign w:val="center"/>
          </w:tcPr>
          <w:p>
            <w:pPr>
              <w:widowControl/>
              <w:jc w:val="center"/>
              <w:textAlignment w:val="center"/>
              <w:rPr>
                <w:rFonts w:ascii="宋体" w:hAnsi="宋体"/>
                <w:sz w:val="22"/>
              </w:rPr>
            </w:pPr>
            <w:r>
              <w:rPr>
                <w:rFonts w:hint="eastAsia" w:ascii="宋体" w:hAnsi="宋体"/>
                <w:sz w:val="22"/>
              </w:rPr>
              <w:t>56.73</w:t>
            </w:r>
          </w:p>
        </w:tc>
        <w:tc>
          <w:tcPr>
            <w:tcW w:w="1527" w:type="dxa"/>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87%</w:t>
            </w:r>
          </w:p>
        </w:tc>
        <w:tc>
          <w:tcPr>
            <w:tcW w:w="4332" w:type="dxa"/>
            <w:vAlign w:val="center"/>
          </w:tcPr>
          <w:p>
            <w:pPr>
              <w:pStyle w:val="10"/>
              <w:ind w:firstLine="0" w:firstLineChars="0"/>
              <w:rPr>
                <w:rFonts w:ascii="宋体" w:hAnsi="宋体" w:cs="宋体"/>
                <w:kern w:val="0"/>
                <w:sz w:val="22"/>
                <w:szCs w:val="22"/>
                <w:lang w:bidi="ar"/>
              </w:rPr>
            </w:pPr>
            <w:r>
              <w:rPr>
                <w:rFonts w:hint="eastAsia" w:ascii="宋体" w:hAnsi="宋体" w:cs="宋体"/>
                <w:kern w:val="0"/>
                <w:sz w:val="22"/>
                <w:szCs w:val="22"/>
                <w:lang w:bidi="ar"/>
              </w:rPr>
              <w:t>原计划支付4笔费用，10月仅支付智慧社区展示区物料包装工程款23.65万元；销售中心软装工程款33.08万元，其他项目未支付。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5" w:hRule="exact"/>
          <w:jc w:val="center"/>
        </w:trPr>
        <w:tc>
          <w:tcPr>
            <w:tcW w:w="1241" w:type="dxa"/>
            <w:vAlign w:val="center"/>
          </w:tcPr>
          <w:p>
            <w:pPr>
              <w:widowControl/>
              <w:jc w:val="center"/>
              <w:textAlignment w:val="top"/>
              <w:rPr>
                <w:rFonts w:ascii="宋体" w:hAnsi="宋体" w:cs="宋体"/>
                <w:kern w:val="0"/>
                <w:sz w:val="22"/>
                <w:lang w:bidi="ar"/>
              </w:rPr>
            </w:pPr>
            <w:r>
              <w:rPr>
                <w:rFonts w:hint="eastAsia" w:ascii="宋体" w:hAnsi="宋体"/>
                <w:sz w:val="22"/>
              </w:rPr>
              <w:t>管理费用</w:t>
            </w:r>
          </w:p>
        </w:tc>
        <w:tc>
          <w:tcPr>
            <w:tcW w:w="1457" w:type="dxa"/>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51.00</w:t>
            </w:r>
          </w:p>
        </w:tc>
        <w:tc>
          <w:tcPr>
            <w:tcW w:w="1732" w:type="dxa"/>
            <w:vAlign w:val="center"/>
          </w:tcPr>
          <w:p>
            <w:pPr>
              <w:widowControl/>
              <w:jc w:val="center"/>
              <w:textAlignment w:val="center"/>
              <w:rPr>
                <w:rFonts w:ascii="宋体" w:hAnsi="宋体"/>
                <w:sz w:val="22"/>
              </w:rPr>
            </w:pPr>
            <w:r>
              <w:rPr>
                <w:rFonts w:hint="eastAsia" w:ascii="宋体" w:hAnsi="宋体"/>
                <w:sz w:val="22"/>
              </w:rPr>
              <w:t>7.11</w:t>
            </w:r>
          </w:p>
        </w:tc>
        <w:tc>
          <w:tcPr>
            <w:tcW w:w="1527" w:type="dxa"/>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14%</w:t>
            </w:r>
          </w:p>
        </w:tc>
        <w:tc>
          <w:tcPr>
            <w:tcW w:w="4332" w:type="dxa"/>
            <w:vAlign w:val="center"/>
          </w:tcPr>
          <w:p>
            <w:pPr>
              <w:pStyle w:val="10"/>
              <w:keepNext w:val="0"/>
              <w:keepLines w:val="0"/>
              <w:pageBreakBefore w:val="0"/>
              <w:widowControl w:val="0"/>
              <w:kinsoku/>
              <w:wordWrap/>
              <w:overflowPunct/>
              <w:topLinePunct w:val="0"/>
              <w:autoSpaceDE/>
              <w:autoSpaceDN/>
              <w:bidi w:val="0"/>
              <w:adjustRightInd/>
              <w:snapToGrid/>
              <w:spacing w:after="0"/>
              <w:ind w:firstLine="0" w:firstLineChars="0"/>
              <w:textAlignment w:val="auto"/>
              <w:rPr>
                <w:rFonts w:ascii="宋体" w:hAnsi="宋体" w:cs="宋体"/>
                <w:kern w:val="0"/>
                <w:sz w:val="22"/>
                <w:szCs w:val="22"/>
                <w:lang w:bidi="ar"/>
              </w:rPr>
            </w:pPr>
            <w:r>
              <w:rPr>
                <w:rFonts w:hint="eastAsia" w:ascii="宋体" w:hAnsi="宋体" w:cs="宋体"/>
                <w:kern w:val="0"/>
                <w:sz w:val="22"/>
                <w:szCs w:val="22"/>
                <w:lang w:bidi="ar"/>
              </w:rPr>
              <w:t>发放员工工资、社保、公积金等支出共计1.36万元；</w:t>
            </w:r>
          </w:p>
          <w:p>
            <w:pPr>
              <w:pStyle w:val="10"/>
              <w:keepNext w:val="0"/>
              <w:keepLines w:val="0"/>
              <w:pageBreakBefore w:val="0"/>
              <w:widowControl w:val="0"/>
              <w:kinsoku/>
              <w:wordWrap/>
              <w:overflowPunct/>
              <w:topLinePunct w:val="0"/>
              <w:autoSpaceDE/>
              <w:autoSpaceDN/>
              <w:bidi w:val="0"/>
              <w:adjustRightInd/>
              <w:snapToGrid/>
              <w:spacing w:after="0"/>
              <w:ind w:firstLine="0" w:firstLineChars="0"/>
              <w:textAlignment w:val="auto"/>
              <w:rPr>
                <w:rFonts w:ascii="宋体" w:hAnsi="宋体" w:cs="宋体"/>
                <w:kern w:val="0"/>
                <w:sz w:val="22"/>
                <w:szCs w:val="22"/>
                <w:lang w:bidi="ar"/>
              </w:rPr>
            </w:pPr>
            <w:r>
              <w:rPr>
                <w:rFonts w:hint="eastAsia" w:ascii="宋体" w:hAnsi="宋体" w:cs="宋体"/>
                <w:kern w:val="0"/>
                <w:sz w:val="22"/>
                <w:szCs w:val="22"/>
                <w:lang w:bidi="ar"/>
              </w:rPr>
              <w:t>水电费、网络费支出共计5.40万元；</w:t>
            </w:r>
          </w:p>
          <w:p>
            <w:pPr>
              <w:pStyle w:val="10"/>
              <w:keepNext w:val="0"/>
              <w:keepLines w:val="0"/>
              <w:pageBreakBefore w:val="0"/>
              <w:widowControl w:val="0"/>
              <w:kinsoku/>
              <w:wordWrap/>
              <w:overflowPunct/>
              <w:topLinePunct w:val="0"/>
              <w:autoSpaceDE/>
              <w:autoSpaceDN/>
              <w:bidi w:val="0"/>
              <w:adjustRightInd/>
              <w:snapToGrid/>
              <w:spacing w:after="0"/>
              <w:ind w:firstLine="0" w:firstLineChars="0"/>
              <w:textAlignment w:val="auto"/>
              <w:rPr>
                <w:rFonts w:ascii="宋体" w:hAnsi="宋体" w:cs="宋体"/>
                <w:kern w:val="0"/>
                <w:sz w:val="22"/>
                <w:szCs w:val="22"/>
                <w:lang w:bidi="ar"/>
              </w:rPr>
            </w:pPr>
            <w:r>
              <w:rPr>
                <w:rFonts w:hint="eastAsia" w:ascii="宋体" w:hAnsi="宋体" w:cs="宋体"/>
                <w:kern w:val="0"/>
                <w:sz w:val="22"/>
                <w:szCs w:val="22"/>
                <w:lang w:bidi="ar"/>
              </w:rPr>
              <w:t>办公用品0.35万元</w:t>
            </w:r>
          </w:p>
          <w:p>
            <w:pPr>
              <w:pStyle w:val="10"/>
              <w:keepNext w:val="0"/>
              <w:keepLines w:val="0"/>
              <w:pageBreakBefore w:val="0"/>
              <w:widowControl w:val="0"/>
              <w:kinsoku/>
              <w:wordWrap/>
              <w:overflowPunct/>
              <w:topLinePunct w:val="0"/>
              <w:autoSpaceDE/>
              <w:autoSpaceDN/>
              <w:bidi w:val="0"/>
              <w:adjustRightInd/>
              <w:snapToGrid/>
              <w:spacing w:after="0"/>
              <w:ind w:firstLine="0" w:firstLineChars="0"/>
              <w:textAlignment w:val="auto"/>
              <w:rPr>
                <w:rFonts w:ascii="宋体" w:hAnsi="宋体" w:cs="宋体"/>
                <w:kern w:val="0"/>
                <w:sz w:val="22"/>
                <w:szCs w:val="22"/>
                <w:lang w:bidi="ar"/>
              </w:rPr>
            </w:pPr>
            <w:r>
              <w:rPr>
                <w:rFonts w:hint="eastAsia" w:ascii="宋体" w:hAnsi="宋体" w:cs="宋体"/>
                <w:kern w:val="0"/>
                <w:sz w:val="22"/>
                <w:szCs w:val="22"/>
                <w:lang w:bidi="ar"/>
              </w:rPr>
              <w:t>由于项目尚未开盘，10月实际支付的员工工资、社保、公积金低于资金计划。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exact"/>
          <w:jc w:val="center"/>
        </w:trPr>
        <w:tc>
          <w:tcPr>
            <w:tcW w:w="1241" w:type="dxa"/>
            <w:vAlign w:val="center"/>
          </w:tcPr>
          <w:p>
            <w:pPr>
              <w:widowControl/>
              <w:jc w:val="center"/>
              <w:textAlignment w:val="top"/>
              <w:rPr>
                <w:rFonts w:ascii="宋体" w:hAnsi="宋体" w:cs="宋体"/>
                <w:color w:val="000000"/>
                <w:kern w:val="0"/>
                <w:sz w:val="22"/>
                <w:lang w:bidi="ar"/>
              </w:rPr>
            </w:pPr>
            <w:r>
              <w:rPr>
                <w:rFonts w:hint="eastAsia" w:ascii="宋体" w:hAnsi="宋体" w:cs="宋体"/>
                <w:color w:val="000000"/>
                <w:kern w:val="0"/>
                <w:sz w:val="22"/>
                <w:lang w:bidi="ar"/>
              </w:rPr>
              <w:t>财务费用</w:t>
            </w:r>
          </w:p>
        </w:tc>
        <w:tc>
          <w:tcPr>
            <w:tcW w:w="1457" w:type="dxa"/>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20.00</w:t>
            </w:r>
          </w:p>
        </w:tc>
        <w:tc>
          <w:tcPr>
            <w:tcW w:w="1732" w:type="dxa"/>
            <w:vAlign w:val="center"/>
          </w:tcPr>
          <w:p>
            <w:pPr>
              <w:widowControl/>
              <w:jc w:val="center"/>
              <w:textAlignment w:val="center"/>
              <w:rPr>
                <w:rFonts w:ascii="宋体" w:hAnsi="宋体"/>
                <w:sz w:val="22"/>
              </w:rPr>
            </w:pPr>
            <w:r>
              <w:rPr>
                <w:rFonts w:hint="eastAsia" w:ascii="宋体" w:hAnsi="宋体"/>
                <w:sz w:val="22"/>
              </w:rPr>
              <w:t>0.08</w:t>
            </w:r>
          </w:p>
        </w:tc>
        <w:tc>
          <w:tcPr>
            <w:tcW w:w="1527" w:type="dxa"/>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0.4%</w:t>
            </w:r>
          </w:p>
        </w:tc>
        <w:tc>
          <w:tcPr>
            <w:tcW w:w="4332" w:type="dxa"/>
            <w:vAlign w:val="center"/>
          </w:tcPr>
          <w:p>
            <w:pPr>
              <w:pStyle w:val="10"/>
              <w:keepNext w:val="0"/>
              <w:keepLines w:val="0"/>
              <w:pageBreakBefore w:val="0"/>
              <w:widowControl w:val="0"/>
              <w:kinsoku/>
              <w:wordWrap/>
              <w:overflowPunct/>
              <w:topLinePunct w:val="0"/>
              <w:autoSpaceDE/>
              <w:autoSpaceDN/>
              <w:bidi w:val="0"/>
              <w:adjustRightInd/>
              <w:snapToGrid/>
              <w:spacing w:after="0"/>
              <w:ind w:firstLine="0" w:firstLineChars="0"/>
              <w:textAlignment w:val="auto"/>
              <w:rPr>
                <w:rFonts w:ascii="宋体" w:hAnsi="宋体" w:cs="宋体"/>
                <w:color w:val="000000"/>
                <w:kern w:val="0"/>
                <w:sz w:val="22"/>
                <w:szCs w:val="22"/>
                <w:lang w:bidi="ar"/>
              </w:rPr>
            </w:pPr>
            <w:r>
              <w:rPr>
                <w:rFonts w:hint="eastAsia" w:ascii="宋体" w:hAnsi="宋体" w:cs="宋体"/>
                <w:color w:val="000000"/>
                <w:kern w:val="0"/>
                <w:sz w:val="22"/>
                <w:szCs w:val="22"/>
                <w:lang w:bidi="ar"/>
              </w:rPr>
              <w:t>均为手续费和税费；</w:t>
            </w:r>
          </w:p>
          <w:p>
            <w:pPr>
              <w:pStyle w:val="10"/>
              <w:keepNext w:val="0"/>
              <w:keepLines w:val="0"/>
              <w:pageBreakBefore w:val="0"/>
              <w:widowControl w:val="0"/>
              <w:kinsoku/>
              <w:wordWrap/>
              <w:overflowPunct/>
              <w:topLinePunct w:val="0"/>
              <w:autoSpaceDE/>
              <w:autoSpaceDN/>
              <w:bidi w:val="0"/>
              <w:adjustRightInd/>
              <w:snapToGrid/>
              <w:spacing w:after="0"/>
              <w:ind w:firstLine="0" w:firstLineChars="0"/>
              <w:textAlignment w:val="auto"/>
              <w:rPr>
                <w:rFonts w:ascii="宋体" w:hAnsi="宋体" w:cs="宋体"/>
                <w:color w:val="000000"/>
                <w:kern w:val="0"/>
                <w:sz w:val="22"/>
                <w:szCs w:val="22"/>
                <w:lang w:bidi="ar"/>
              </w:rPr>
            </w:pPr>
            <w:r>
              <w:rPr>
                <w:rFonts w:ascii="宋体" w:hAnsi="宋体"/>
                <w:sz w:val="22"/>
                <w:szCs w:val="22"/>
              </w:rPr>
              <w:t>税费支出</w:t>
            </w:r>
            <w:r>
              <w:rPr>
                <w:rFonts w:hint="eastAsia" w:ascii="宋体" w:hAnsi="宋体"/>
                <w:sz w:val="22"/>
                <w:szCs w:val="22"/>
              </w:rPr>
              <w:t>以项目公司申报自动划扣，</w:t>
            </w:r>
            <w:r>
              <w:rPr>
                <w:rFonts w:ascii="宋体" w:hAnsi="宋体"/>
                <w:sz w:val="22"/>
                <w:szCs w:val="22"/>
              </w:rPr>
              <w:t>符合国家相关标准</w:t>
            </w:r>
            <w:r>
              <w:rPr>
                <w:rFonts w:hint="eastAsia" w:ascii="宋体" w:hAnsi="宋体" w:cs="宋体"/>
                <w:color w:val="000000"/>
                <w:kern w:val="0"/>
                <w:sz w:val="22"/>
                <w:szCs w:val="22"/>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exact"/>
          <w:jc w:val="center"/>
        </w:trPr>
        <w:tc>
          <w:tcPr>
            <w:tcW w:w="1241" w:type="dxa"/>
            <w:vAlign w:val="center"/>
          </w:tcPr>
          <w:p>
            <w:pPr>
              <w:widowControl/>
              <w:jc w:val="center"/>
              <w:textAlignment w:val="top"/>
              <w:rPr>
                <w:rFonts w:ascii="宋体" w:hAnsi="宋体"/>
                <w:sz w:val="22"/>
              </w:rPr>
            </w:pPr>
            <w:r>
              <w:rPr>
                <w:rFonts w:hint="eastAsia" w:ascii="宋体" w:hAnsi="宋体"/>
                <w:sz w:val="22"/>
              </w:rPr>
              <w:t>其他不可预见费</w:t>
            </w:r>
          </w:p>
        </w:tc>
        <w:tc>
          <w:tcPr>
            <w:tcW w:w="1457" w:type="dxa"/>
            <w:vAlign w:val="center"/>
          </w:tcPr>
          <w:p>
            <w:pPr>
              <w:widowControl/>
              <w:jc w:val="center"/>
              <w:textAlignment w:val="center"/>
              <w:rPr>
                <w:rFonts w:ascii="宋体" w:hAnsi="宋体"/>
                <w:sz w:val="22"/>
              </w:rPr>
            </w:pPr>
            <w:r>
              <w:rPr>
                <w:rFonts w:hint="eastAsia" w:ascii="宋体" w:hAnsi="宋体"/>
                <w:sz w:val="22"/>
              </w:rPr>
              <w:t>80.00</w:t>
            </w:r>
          </w:p>
        </w:tc>
        <w:tc>
          <w:tcPr>
            <w:tcW w:w="1732" w:type="dxa"/>
            <w:vAlign w:val="center"/>
          </w:tcPr>
          <w:p>
            <w:pPr>
              <w:widowControl/>
              <w:textAlignment w:val="center"/>
              <w:rPr>
                <w:rFonts w:ascii="宋体" w:hAnsi="宋体"/>
                <w:sz w:val="22"/>
              </w:rPr>
            </w:pPr>
            <w:r>
              <w:rPr>
                <w:rFonts w:hint="eastAsia" w:ascii="宋体" w:hAnsi="宋体"/>
                <w:sz w:val="22"/>
              </w:rPr>
              <w:t xml:space="preserve">    80.00</w:t>
            </w:r>
          </w:p>
        </w:tc>
        <w:tc>
          <w:tcPr>
            <w:tcW w:w="1527" w:type="dxa"/>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100%</w:t>
            </w:r>
          </w:p>
        </w:tc>
        <w:tc>
          <w:tcPr>
            <w:tcW w:w="4332" w:type="dxa"/>
            <w:vAlign w:val="center"/>
          </w:tcPr>
          <w:p>
            <w:pPr>
              <w:pStyle w:val="10"/>
              <w:ind w:firstLine="0" w:firstLineChars="0"/>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支付未在10月资金计划中列示的工程费用项目施工图设计费80.00万元。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exact"/>
          <w:jc w:val="center"/>
        </w:trPr>
        <w:tc>
          <w:tcPr>
            <w:tcW w:w="1241" w:type="dxa"/>
            <w:vAlign w:val="center"/>
          </w:tcPr>
          <w:p>
            <w:pPr>
              <w:widowControl/>
              <w:jc w:val="center"/>
              <w:textAlignment w:val="top"/>
              <w:rPr>
                <w:rFonts w:ascii="宋体" w:hAnsi="宋体" w:cs="宋体"/>
                <w:b/>
                <w:color w:val="000000"/>
                <w:kern w:val="0"/>
                <w:sz w:val="22"/>
                <w:lang w:bidi="ar"/>
              </w:rPr>
            </w:pPr>
            <w:r>
              <w:rPr>
                <w:rFonts w:hint="eastAsia" w:ascii="宋体" w:hAnsi="宋体" w:cs="宋体"/>
                <w:b/>
                <w:color w:val="000000"/>
                <w:kern w:val="0"/>
                <w:sz w:val="22"/>
                <w:lang w:bidi="ar"/>
              </w:rPr>
              <w:t>合计</w:t>
            </w:r>
          </w:p>
        </w:tc>
        <w:tc>
          <w:tcPr>
            <w:tcW w:w="1457" w:type="dxa"/>
            <w:vAlign w:val="center"/>
          </w:tcPr>
          <w:p>
            <w:pPr>
              <w:widowControl/>
              <w:jc w:val="center"/>
              <w:textAlignment w:val="center"/>
              <w:rPr>
                <w:rFonts w:ascii="宋体" w:hAnsi="宋体" w:cs="宋体"/>
                <w:b/>
                <w:bCs/>
                <w:color w:val="000000"/>
                <w:kern w:val="0"/>
                <w:sz w:val="22"/>
                <w:lang w:bidi="ar"/>
              </w:rPr>
            </w:pPr>
            <w:r>
              <w:rPr>
                <w:rFonts w:hint="eastAsia" w:ascii="宋体" w:hAnsi="宋体"/>
                <w:b/>
                <w:bCs/>
                <w:sz w:val="22"/>
              </w:rPr>
              <w:t>6,353.73</w:t>
            </w:r>
          </w:p>
        </w:tc>
        <w:tc>
          <w:tcPr>
            <w:tcW w:w="1732" w:type="dxa"/>
            <w:vAlign w:val="center"/>
          </w:tcPr>
          <w:p>
            <w:pPr>
              <w:widowControl/>
              <w:jc w:val="center"/>
              <w:textAlignment w:val="center"/>
              <w:rPr>
                <w:rFonts w:ascii="宋体" w:hAnsi="宋体"/>
                <w:b/>
                <w:bCs/>
                <w:sz w:val="22"/>
              </w:rPr>
            </w:pPr>
            <w:r>
              <w:rPr>
                <w:rFonts w:hint="eastAsia" w:ascii="宋体" w:hAnsi="宋体"/>
                <w:b/>
                <w:bCs/>
                <w:sz w:val="22"/>
              </w:rPr>
              <w:t xml:space="preserve">2,246.86 </w:t>
            </w:r>
          </w:p>
        </w:tc>
        <w:tc>
          <w:tcPr>
            <w:tcW w:w="1527" w:type="dxa"/>
            <w:vAlign w:val="center"/>
          </w:tcPr>
          <w:p>
            <w:pPr>
              <w:widowControl/>
              <w:jc w:val="center"/>
              <w:textAlignment w:val="center"/>
              <w:rPr>
                <w:rFonts w:ascii="宋体" w:hAnsi="宋体" w:cs="宋体"/>
                <w:b/>
                <w:color w:val="000000"/>
                <w:kern w:val="0"/>
                <w:sz w:val="22"/>
                <w:lang w:bidi="ar"/>
              </w:rPr>
            </w:pPr>
            <w:r>
              <w:rPr>
                <w:rFonts w:hint="eastAsia" w:ascii="宋体" w:hAnsi="宋体" w:cs="宋体"/>
                <w:b/>
                <w:color w:val="000000"/>
                <w:kern w:val="0"/>
                <w:sz w:val="22"/>
                <w:lang w:val="en-US" w:eastAsia="zh-CN" w:bidi="ar"/>
              </w:rPr>
              <w:t>3</w:t>
            </w:r>
            <w:r>
              <w:rPr>
                <w:rFonts w:hint="eastAsia" w:ascii="宋体" w:hAnsi="宋体" w:cs="宋体"/>
                <w:b/>
                <w:color w:val="000000"/>
                <w:kern w:val="0"/>
                <w:sz w:val="22"/>
                <w:lang w:bidi="ar"/>
              </w:rPr>
              <w:t>5%</w:t>
            </w:r>
          </w:p>
        </w:tc>
        <w:tc>
          <w:tcPr>
            <w:tcW w:w="4332" w:type="dxa"/>
            <w:vAlign w:val="center"/>
          </w:tcPr>
          <w:p>
            <w:pPr>
              <w:widowControl/>
              <w:jc w:val="center"/>
              <w:textAlignment w:val="top"/>
              <w:rPr>
                <w:rFonts w:ascii="宋体" w:hAnsi="宋体" w:cs="宋体"/>
                <w:b/>
                <w:color w:val="000000"/>
                <w:kern w:val="0"/>
                <w:sz w:val="22"/>
                <w:lang w:bidi="ar"/>
              </w:rPr>
            </w:pPr>
          </w:p>
        </w:tc>
      </w:tr>
    </w:tbl>
    <w:p>
      <w:pPr>
        <w:pStyle w:val="10"/>
        <w:spacing w:after="156" w:afterLines="50"/>
        <w:ind w:firstLine="0" w:firstLineChars="0"/>
        <w:rPr>
          <w:rFonts w:ascii="宋体" w:hAnsi="宋体" w:cs="宋体"/>
          <w:b/>
          <w:sz w:val="24"/>
        </w:rPr>
      </w:pPr>
      <w:r>
        <w:rPr>
          <w:rFonts w:hint="eastAsia" w:ascii="宋体" w:hAnsi="宋体" w:cs="Arial"/>
          <w:bCs/>
          <w:sz w:val="15"/>
          <w:szCs w:val="13"/>
        </w:rPr>
        <w:t>注：上表采用电算化连续计算得出，由于计算数据均按四舍五入保留两位小数或取整，故可能出现个别加总不完全相等的情况。</w:t>
      </w:r>
    </w:p>
    <w:p>
      <w:pPr>
        <w:spacing w:before="156" w:beforeLines="50" w:after="156" w:afterLines="50" w:line="360" w:lineRule="auto"/>
        <w:ind w:left="225" w:firstLine="480" w:firstLineChars="200"/>
        <w:rPr>
          <w:rFonts w:ascii="宋体" w:hAnsi="宋体" w:cs="宋体"/>
          <w:b/>
          <w:sz w:val="24"/>
        </w:rPr>
      </w:pPr>
      <w:r>
        <w:rPr>
          <w:rFonts w:hint="eastAsia" w:ascii="宋体" w:hAnsi="宋体"/>
          <w:bCs/>
          <w:color w:val="000000"/>
          <w:sz w:val="24"/>
          <w:szCs w:val="24"/>
          <w:lang w:bidi="zh-CN"/>
        </w:rPr>
        <w:t>根据《10月份资金计划金额与执行情况对比表》显示，项目公司的资金计划与实际支付差异较大，部分前期费用、工程款支付延迟。</w:t>
      </w:r>
      <w:r>
        <w:rPr>
          <w:rFonts w:hint="eastAsia" w:ascii="宋体" w:hAnsi="宋体"/>
          <w:bCs/>
          <w:color w:val="000000"/>
          <w:sz w:val="24"/>
          <w:szCs w:val="24"/>
          <w:lang w:val="en-US" w:bidi="zh-CN"/>
        </w:rPr>
        <w:t>其中10月资金计划中工程费用项目公司上报预算14,121.54万元，信托核定预算金额</w:t>
      </w:r>
      <w:r>
        <w:rPr>
          <w:rFonts w:hint="eastAsia" w:ascii="宋体" w:hAnsi="宋体"/>
          <w:bCs/>
          <w:color w:val="000000"/>
          <w:sz w:val="24"/>
          <w:szCs w:val="24"/>
          <w:lang w:val="en-US" w:eastAsia="zh-CN" w:bidi="zh-CN"/>
        </w:rPr>
        <w:t>6</w:t>
      </w:r>
      <w:r>
        <w:rPr>
          <w:rFonts w:hint="eastAsia" w:ascii="宋体" w:hAnsi="宋体"/>
          <w:bCs/>
          <w:color w:val="000000"/>
          <w:sz w:val="24"/>
          <w:szCs w:val="24"/>
          <w:lang w:bidi="zh-CN"/>
        </w:rPr>
        <w:t>,121.54</w:t>
      </w:r>
      <w:r>
        <w:rPr>
          <w:rFonts w:hint="eastAsia" w:ascii="宋体" w:hAnsi="宋体"/>
          <w:bCs/>
          <w:color w:val="000000"/>
          <w:sz w:val="24"/>
          <w:szCs w:val="24"/>
          <w:lang w:val="en-US" w:eastAsia="zh-CN" w:bidi="zh-CN"/>
        </w:rPr>
        <w:t>万元。10月项目公司归还借款14,463.00万元。</w:t>
      </w:r>
      <w:bookmarkStart w:id="1" w:name="_GoBack"/>
      <w:bookmarkEnd w:id="1"/>
    </w:p>
    <w:p>
      <w:pPr>
        <w:pStyle w:val="10"/>
        <w:spacing w:after="0" w:line="360" w:lineRule="auto"/>
        <w:ind w:firstLine="482" w:firstLineChars="200"/>
        <w:rPr>
          <w:rFonts w:ascii="宋体" w:hAnsi="宋体" w:cs="宋体"/>
          <w:b/>
          <w:sz w:val="24"/>
        </w:rPr>
      </w:pPr>
      <w:r>
        <w:rPr>
          <w:rFonts w:hint="eastAsia" w:ascii="宋体" w:hAnsi="宋体" w:cs="宋体"/>
          <w:b/>
          <w:sz w:val="24"/>
        </w:rPr>
        <w:t>三、</w:t>
      </w:r>
      <w:r>
        <w:rPr>
          <w:rFonts w:hint="eastAsia" w:ascii="宋体" w:hAnsi="宋体" w:cs="宋体"/>
          <w:b/>
          <w:sz w:val="24"/>
          <w:lang w:val="en-US" w:eastAsia="zh-CN"/>
        </w:rPr>
        <w:t>11月</w:t>
      </w:r>
      <w:r>
        <w:rPr>
          <w:rFonts w:ascii="宋体" w:hAnsi="宋体"/>
          <w:b/>
          <w:color w:val="000000"/>
          <w:sz w:val="24"/>
          <w:lang w:val="zh-CN" w:bidi="zh-CN"/>
        </w:rPr>
        <w:t>付款情况</w:t>
      </w:r>
      <w:r>
        <w:rPr>
          <w:rFonts w:hint="eastAsia" w:ascii="宋体" w:hAnsi="宋体"/>
          <w:b/>
          <w:color w:val="000000"/>
          <w:sz w:val="24"/>
          <w:lang w:bidi="zh-CN"/>
        </w:rPr>
        <w:t>审核说明</w:t>
      </w:r>
    </w:p>
    <w:p>
      <w:pPr>
        <w:numPr>
          <w:ilvl w:val="0"/>
          <w:numId w:val="2"/>
        </w:numPr>
        <w:spacing w:before="156" w:beforeLines="50" w:after="156" w:afterLines="50" w:line="360" w:lineRule="auto"/>
        <w:rPr>
          <w:rFonts w:ascii="宋体" w:hAnsi="宋体"/>
          <w:bCs/>
          <w:color w:val="000000"/>
          <w:sz w:val="24"/>
          <w:szCs w:val="24"/>
          <w:lang w:bidi="zh-CN"/>
        </w:rPr>
      </w:pPr>
      <w:r>
        <w:rPr>
          <w:rFonts w:hint="eastAsia" w:ascii="宋体" w:hAnsi="宋体"/>
          <w:b/>
          <w:color w:val="000000"/>
          <w:sz w:val="24"/>
          <w:szCs w:val="24"/>
          <w:lang w:bidi="zh-CN"/>
        </w:rPr>
        <w:t>开发报建费支出计划说明</w:t>
      </w:r>
    </w:p>
    <w:p>
      <w:pPr>
        <w:spacing w:before="156" w:beforeLines="50" w:after="156" w:afterLines="50" w:line="360" w:lineRule="auto"/>
        <w:ind w:left="225" w:firstLine="480" w:firstLineChars="200"/>
        <w:rPr>
          <w:rFonts w:ascii="宋体" w:hAnsi="宋体"/>
          <w:bCs/>
          <w:sz w:val="24"/>
          <w:szCs w:val="24"/>
          <w:lang w:bidi="zh-CN"/>
        </w:rPr>
      </w:pPr>
      <w:r>
        <w:rPr>
          <w:rFonts w:hint="eastAsia" w:ascii="宋体" w:hAnsi="宋体"/>
          <w:bCs/>
          <w:sz w:val="24"/>
          <w:szCs w:val="24"/>
          <w:lang w:bidi="zh-CN"/>
        </w:rPr>
        <w:t>项目公司在2020年11月开发报建金额共计</w:t>
      </w:r>
      <w:r>
        <w:rPr>
          <w:rFonts w:hint="eastAsia" w:ascii="宋体" w:hAnsi="宋体"/>
          <w:sz w:val="24"/>
          <w:szCs w:val="24"/>
        </w:rPr>
        <w:t>912.00</w:t>
      </w:r>
      <w:r>
        <w:rPr>
          <w:rFonts w:hint="eastAsia" w:ascii="宋体" w:hAnsi="宋体"/>
          <w:bCs/>
          <w:sz w:val="24"/>
          <w:szCs w:val="24"/>
          <w:lang w:bidi="zh-CN"/>
        </w:rPr>
        <w:t>万元，具体分析如下：</w:t>
      </w:r>
    </w:p>
    <w:p>
      <w:pPr>
        <w:numPr>
          <w:ilvl w:val="0"/>
          <w:numId w:val="3"/>
        </w:numPr>
        <w:spacing w:before="156" w:beforeLines="50" w:after="156" w:afterLines="50" w:line="360" w:lineRule="auto"/>
        <w:ind w:firstLine="240" w:firstLineChars="100"/>
        <w:rPr>
          <w:rFonts w:ascii="宋体" w:hAnsi="宋体"/>
          <w:sz w:val="24"/>
          <w:szCs w:val="24"/>
        </w:rPr>
      </w:pPr>
      <w:r>
        <w:rPr>
          <w:rFonts w:hint="eastAsia" w:ascii="宋体" w:hAnsi="宋体"/>
          <w:sz w:val="24"/>
          <w:szCs w:val="24"/>
        </w:rPr>
        <w:t>预计在11月向海盐县财政局支付无证施工（未取得施工证且未办理未批先建手续）处罚500.00万元，经核查，此金额为项目公司预估金额，实际支付时以海盐县财政局开具的罚款文件为准。</w:t>
      </w:r>
    </w:p>
    <w:p>
      <w:pPr>
        <w:numPr>
          <w:ilvl w:val="0"/>
          <w:numId w:val="3"/>
        </w:numPr>
        <w:spacing w:before="156" w:beforeLines="50" w:after="156" w:afterLines="50" w:line="360" w:lineRule="auto"/>
        <w:ind w:firstLine="240" w:firstLineChars="100"/>
        <w:rPr>
          <w:rFonts w:ascii="宋体" w:hAnsi="宋体"/>
          <w:sz w:val="24"/>
          <w:szCs w:val="24"/>
        </w:rPr>
      </w:pPr>
      <w:r>
        <w:rPr>
          <w:rFonts w:hint="eastAsia" w:ascii="宋体" w:hAnsi="宋体"/>
          <w:sz w:val="24"/>
          <w:szCs w:val="24"/>
        </w:rPr>
        <w:t>预计在11月向海盐县财政局支付基础设施配套费400.00万元，根据盐政办发〔2015〕53号文件《海盐县人民政府办公室关于印发“海盐县城市基础设施配套费收取与使用管理规定（修订）的通知”》规定，基础设施配套费以《建设工程规划许可证》明确的建筑面积征收，海盐县县城中心城区（东至武原街道和西塘桥街道行政界线、南至环城南路南控制红线范围、西与北至东西大道（以承包组为界））住宅按每平方米50元收取。项目规划总建筑面积112,260.40㎡，基础设施配套费约为561.30万元，高于预算161.30万，实际支付时以海盐县政府具体相关文件为准。</w:t>
      </w:r>
    </w:p>
    <w:p>
      <w:pPr>
        <w:spacing w:before="156" w:beforeLines="50" w:after="156" w:afterLines="50" w:line="360" w:lineRule="auto"/>
        <w:ind w:firstLine="240" w:firstLineChars="100"/>
        <w:rPr>
          <w:rFonts w:ascii="宋体" w:hAnsi="宋体"/>
          <w:sz w:val="24"/>
          <w:szCs w:val="24"/>
        </w:rPr>
      </w:pPr>
      <w:r>
        <w:rPr>
          <w:rFonts w:hint="eastAsia" w:ascii="宋体" w:hAnsi="宋体"/>
          <w:sz w:val="24"/>
          <w:szCs w:val="24"/>
        </w:rPr>
        <w:t>（3）预计在11月向海盐县滨海规划测绘有限公司支付规划预测绘6.00万元，经核查，该合同尚未签订，此金额为项目公司预估金额</w:t>
      </w:r>
      <w:r>
        <w:rPr>
          <w:rFonts w:hint="eastAsia" w:ascii="宋体" w:hAnsi="宋体"/>
          <w:bCs/>
          <w:sz w:val="24"/>
          <w:szCs w:val="24"/>
          <w:lang w:bidi="zh-CN"/>
        </w:rPr>
        <w:t>。</w:t>
      </w:r>
    </w:p>
    <w:p>
      <w:pPr>
        <w:spacing w:before="156" w:beforeLines="50" w:after="156" w:afterLines="50" w:line="360" w:lineRule="auto"/>
        <w:ind w:firstLine="240" w:firstLineChars="100"/>
        <w:rPr>
          <w:rFonts w:ascii="宋体" w:hAnsi="宋体"/>
          <w:sz w:val="24"/>
          <w:szCs w:val="24"/>
        </w:rPr>
      </w:pPr>
      <w:r>
        <w:rPr>
          <w:rFonts w:hint="eastAsia" w:ascii="宋体" w:hAnsi="宋体"/>
          <w:sz w:val="24"/>
          <w:szCs w:val="24"/>
        </w:rPr>
        <w:t>（4）预计在11月向浙江恒欣建筑设计股份有限公司桐乡恒欣分公司支付建筑日照分析费6.00万元，经核查，该合同尚未签订，此金额为项目公司预估金额</w:t>
      </w:r>
      <w:r>
        <w:rPr>
          <w:rFonts w:ascii="宋体" w:hAnsi="宋体"/>
          <w:sz w:val="24"/>
          <w:szCs w:val="24"/>
        </w:rPr>
        <w:t>。</w:t>
      </w:r>
    </w:p>
    <w:p>
      <w:pPr>
        <w:numPr>
          <w:ilvl w:val="255"/>
          <w:numId w:val="0"/>
        </w:numPr>
        <w:spacing w:before="156" w:beforeLines="50" w:after="156" w:afterLines="50" w:line="360" w:lineRule="auto"/>
        <w:ind w:firstLine="480" w:firstLineChars="200"/>
        <w:jc w:val="left"/>
        <w:rPr>
          <w:rFonts w:ascii="宋体" w:hAnsi="宋体"/>
          <w:sz w:val="24"/>
          <w:szCs w:val="24"/>
        </w:rPr>
      </w:pPr>
      <w:r>
        <w:rPr>
          <w:rFonts w:hint="eastAsia" w:ascii="宋体" w:hAnsi="宋体"/>
          <w:sz w:val="24"/>
          <w:szCs w:val="24"/>
          <w:lang w:bidi="zh-CN"/>
        </w:rPr>
        <w:t>经审核，我司认为资金计划表中的金额为预估金额，对于</w:t>
      </w:r>
      <w:r>
        <w:rPr>
          <w:rFonts w:ascii="Arial" w:hAnsi="Arial" w:cs="Arial" w:eastAsiaTheme="minorEastAsia"/>
          <w:sz w:val="24"/>
          <w:szCs w:val="24"/>
        </w:rPr>
        <w:t>未签订合同的款项，</w:t>
      </w:r>
      <w:r>
        <w:rPr>
          <w:rFonts w:hint="eastAsia" w:ascii="宋体" w:hAnsi="宋体"/>
          <w:sz w:val="24"/>
          <w:szCs w:val="24"/>
        </w:rPr>
        <w:t>需待合同签订后根据合同条款确定是否合理</w:t>
      </w:r>
      <w:r>
        <w:rPr>
          <w:rFonts w:hint="eastAsia" w:ascii="宋体" w:hAnsi="宋体"/>
          <w:sz w:val="24"/>
          <w:szCs w:val="24"/>
          <w:lang w:bidi="zh-CN"/>
        </w:rPr>
        <w:t>，后期我司会对合同签订严格把控，实际支付时，我司会对付款申请、发票、流程、工程合同、现场签证等依据进行审核、计算：</w:t>
      </w:r>
      <w:r>
        <w:rPr>
          <w:rFonts w:hint="eastAsia" w:ascii="宋体" w:hAnsi="宋体"/>
          <w:sz w:val="24"/>
          <w:szCs w:val="24"/>
        </w:rPr>
        <w:t>对于行政单位事业性收费，</w:t>
      </w:r>
      <w:r>
        <w:rPr>
          <w:rFonts w:ascii="宋体" w:hAnsi="宋体"/>
          <w:sz w:val="24"/>
          <w:szCs w:val="24"/>
          <w:lang w:bidi="zh-CN"/>
        </w:rPr>
        <w:t>我司会</w:t>
      </w:r>
      <w:r>
        <w:rPr>
          <w:rFonts w:hint="eastAsia" w:ascii="宋体" w:hAnsi="宋体"/>
          <w:sz w:val="24"/>
          <w:szCs w:val="24"/>
          <w:lang w:bidi="zh-CN"/>
        </w:rPr>
        <w:t>在后期</w:t>
      </w:r>
      <w:r>
        <w:rPr>
          <w:rFonts w:hint="eastAsia" w:ascii="宋体" w:hAnsi="宋体"/>
          <w:sz w:val="24"/>
          <w:szCs w:val="24"/>
        </w:rPr>
        <w:t>申请</w:t>
      </w:r>
      <w:r>
        <w:rPr>
          <w:rFonts w:ascii="宋体" w:hAnsi="宋体"/>
          <w:sz w:val="24"/>
          <w:szCs w:val="24"/>
        </w:rPr>
        <w:t>相关款项</w:t>
      </w:r>
      <w:r>
        <w:rPr>
          <w:rFonts w:ascii="宋体" w:hAnsi="宋体"/>
          <w:sz w:val="24"/>
          <w:szCs w:val="24"/>
          <w:lang w:bidi="zh-CN"/>
        </w:rPr>
        <w:t>支付时</w:t>
      </w:r>
      <w:r>
        <w:rPr>
          <w:rFonts w:hint="eastAsia" w:ascii="宋体" w:hAnsi="宋体"/>
          <w:sz w:val="24"/>
          <w:szCs w:val="24"/>
          <w:lang w:bidi="zh-CN"/>
        </w:rPr>
        <w:t>，</w:t>
      </w:r>
      <w:r>
        <w:rPr>
          <w:rFonts w:ascii="宋体" w:hAnsi="宋体"/>
          <w:sz w:val="24"/>
          <w:szCs w:val="24"/>
          <w:lang w:bidi="zh-CN"/>
        </w:rPr>
        <w:t>对付款申请、票</w:t>
      </w:r>
      <w:r>
        <w:rPr>
          <w:rFonts w:hint="eastAsia" w:ascii="宋体" w:hAnsi="宋体"/>
          <w:sz w:val="24"/>
          <w:szCs w:val="24"/>
          <w:lang w:bidi="zh-CN"/>
        </w:rPr>
        <w:t>据</w:t>
      </w:r>
      <w:r>
        <w:rPr>
          <w:rFonts w:ascii="宋体" w:hAnsi="宋体"/>
          <w:sz w:val="24"/>
          <w:szCs w:val="24"/>
          <w:lang w:bidi="zh-CN"/>
        </w:rPr>
        <w:t>、流程、</w:t>
      </w:r>
      <w:r>
        <w:rPr>
          <w:rFonts w:hint="eastAsia" w:ascii="宋体" w:hAnsi="宋体"/>
          <w:sz w:val="24"/>
          <w:szCs w:val="24"/>
          <w:lang w:bidi="zh-CN"/>
        </w:rPr>
        <w:t>通知</w:t>
      </w:r>
      <w:r>
        <w:rPr>
          <w:rFonts w:ascii="宋体" w:hAnsi="宋体"/>
          <w:sz w:val="24"/>
          <w:szCs w:val="24"/>
          <w:lang w:bidi="zh-CN"/>
        </w:rPr>
        <w:t>等依据进行审核，</w:t>
      </w:r>
      <w:r>
        <w:rPr>
          <w:rFonts w:ascii="宋体" w:hAnsi="宋体"/>
          <w:sz w:val="24"/>
          <w:szCs w:val="24"/>
        </w:rPr>
        <w:t>严格把控，确保资金支付合理、合规。</w:t>
      </w:r>
    </w:p>
    <w:p>
      <w:pPr>
        <w:numPr>
          <w:ilvl w:val="0"/>
          <w:numId w:val="2"/>
        </w:numPr>
        <w:spacing w:before="156" w:beforeLines="50" w:after="156" w:afterLines="50" w:line="360" w:lineRule="auto"/>
        <w:rPr>
          <w:rFonts w:ascii="宋体" w:hAnsi="宋体"/>
          <w:b/>
          <w:sz w:val="24"/>
          <w:szCs w:val="24"/>
          <w:lang w:bidi="zh-CN"/>
        </w:rPr>
      </w:pPr>
      <w:r>
        <w:rPr>
          <w:rFonts w:hint="eastAsia" w:ascii="宋体" w:hAnsi="宋体"/>
          <w:b/>
          <w:sz w:val="24"/>
          <w:szCs w:val="24"/>
          <w:lang w:bidi="zh-CN"/>
        </w:rPr>
        <w:t>工程款资金支出计划说明</w:t>
      </w:r>
    </w:p>
    <w:p>
      <w:pPr>
        <w:numPr>
          <w:ilvl w:val="255"/>
          <w:numId w:val="0"/>
        </w:numPr>
        <w:spacing w:before="156" w:beforeLines="50" w:after="156" w:afterLines="50" w:line="360" w:lineRule="auto"/>
        <w:ind w:firstLine="240" w:firstLineChars="100"/>
        <w:rPr>
          <w:rFonts w:ascii="宋体" w:hAnsi="宋体"/>
          <w:sz w:val="24"/>
          <w:szCs w:val="24"/>
        </w:rPr>
      </w:pPr>
      <w:r>
        <w:rPr>
          <w:rFonts w:hint="eastAsia" w:ascii="宋体" w:hAnsi="宋体"/>
          <w:bCs/>
          <w:sz w:val="24"/>
          <w:szCs w:val="24"/>
          <w:lang w:bidi="zh-CN"/>
        </w:rPr>
        <w:t>项目公司在2020年11月工程款支出金额共计3,999.66万元，工程支出明细详见附件，</w:t>
      </w:r>
      <w:r>
        <w:rPr>
          <w:rFonts w:ascii="宋体" w:hAnsi="宋体"/>
          <w:sz w:val="24"/>
          <w:szCs w:val="24"/>
        </w:rPr>
        <w:t>具体分析如下</w:t>
      </w:r>
      <w:r>
        <w:rPr>
          <w:rFonts w:hint="eastAsia" w:ascii="宋体" w:hAnsi="宋体"/>
          <w:sz w:val="24"/>
          <w:szCs w:val="24"/>
        </w:rPr>
        <w:t>：</w:t>
      </w:r>
    </w:p>
    <w:p>
      <w:pPr>
        <w:numPr>
          <w:ilvl w:val="0"/>
          <w:numId w:val="4"/>
        </w:numPr>
        <w:spacing w:before="156" w:beforeLines="50" w:after="156" w:afterLines="50" w:line="360" w:lineRule="auto"/>
        <w:ind w:firstLine="240" w:firstLineChars="100"/>
        <w:rPr>
          <w:rFonts w:ascii="宋体" w:hAnsi="宋体"/>
          <w:sz w:val="24"/>
          <w:szCs w:val="24"/>
        </w:rPr>
      </w:pPr>
      <w:r>
        <w:rPr>
          <w:rFonts w:hint="eastAsia" w:ascii="宋体" w:hAnsi="宋体"/>
          <w:sz w:val="24"/>
          <w:szCs w:val="24"/>
        </w:rPr>
        <w:t>依据项目公司2020年9月11日和西安高科幕墙门窗有限公司签订的《海盐恒大都汇华庭售楼处、商业外立面幕墙工程施工合同》，合同金额196.95万元，11月预计支付9月工程进度款157.57万元，按合同约定，乙方进场施工后7天内，甲方支付乙方合同暂定总价的10%作为工程备料款,本工程乙方每30天申报一层进度款，经核实后7天内甲方按乙方当期实际完成工程量金额的70%作为工程进度款，本工程已完工，9月核定产值196.95万元，本次支付完成后，累计付款比例80%，实际支付时，我</w:t>
      </w:r>
      <w:r>
        <w:rPr>
          <w:rFonts w:hint="eastAsia" w:ascii="宋体" w:hAnsi="宋体"/>
          <w:sz w:val="24"/>
          <w:szCs w:val="24"/>
          <w:lang w:bidi="zh-CN"/>
        </w:rPr>
        <w:t>司会严格审核付款资料，并按合同条款进行支付。</w:t>
      </w:r>
    </w:p>
    <w:p>
      <w:pPr>
        <w:numPr>
          <w:ilvl w:val="0"/>
          <w:numId w:val="4"/>
        </w:numPr>
        <w:spacing w:before="156" w:beforeLines="50" w:after="156" w:afterLines="50" w:line="360" w:lineRule="auto"/>
        <w:ind w:firstLine="240" w:firstLineChars="100"/>
        <w:rPr>
          <w:rFonts w:ascii="宋体" w:hAnsi="宋体"/>
          <w:sz w:val="24"/>
          <w:szCs w:val="24"/>
        </w:rPr>
      </w:pPr>
      <w:r>
        <w:rPr>
          <w:rFonts w:hint="eastAsia" w:ascii="宋体" w:hAnsi="宋体"/>
          <w:sz w:val="24"/>
          <w:szCs w:val="24"/>
        </w:rPr>
        <w:t>依据项目公司2020年7月10日和江苏骏兴建设工程有限公司签订的《海盐恒大都汇华庭项目基坑支护及降排水工程施工合同》，合同金额4,055.13万元，11月预计支付8月工程进度款736.81万元。按合同约定，进度款按每月实际完成并验收合格的工程量支付80%，8月核定产值921.01万元，本次拟支付金额为8月核定产值的80%，支付完成后，累计付款比例47%。实际支付时，</w:t>
      </w:r>
      <w:r>
        <w:rPr>
          <w:rFonts w:hint="eastAsia" w:ascii="宋体" w:hAnsi="宋体"/>
          <w:sz w:val="24"/>
          <w:szCs w:val="24"/>
          <w:lang w:bidi="zh-CN"/>
        </w:rPr>
        <w:t>我司会严格审核付款资料，并按合同条款进行支付</w:t>
      </w:r>
      <w:r>
        <w:rPr>
          <w:rFonts w:hint="eastAsia" w:ascii="宋体" w:hAnsi="宋体"/>
          <w:sz w:val="24"/>
          <w:szCs w:val="24"/>
        </w:rPr>
        <w:t>。</w:t>
      </w:r>
    </w:p>
    <w:p>
      <w:pPr>
        <w:numPr>
          <w:ilvl w:val="0"/>
          <w:numId w:val="4"/>
        </w:numPr>
        <w:spacing w:before="156" w:beforeLines="50" w:after="156" w:afterLines="50" w:line="360" w:lineRule="auto"/>
        <w:ind w:firstLine="240" w:firstLineChars="100"/>
        <w:rPr>
          <w:rFonts w:ascii="宋体" w:hAnsi="宋体"/>
          <w:sz w:val="24"/>
          <w:szCs w:val="24"/>
        </w:rPr>
      </w:pPr>
      <w:r>
        <w:rPr>
          <w:rFonts w:hint="eastAsia" w:ascii="宋体" w:hAnsi="宋体"/>
          <w:sz w:val="24"/>
          <w:szCs w:val="24"/>
        </w:rPr>
        <w:t>依据项目公司2020年7月2日和江苏骏兴建设工程有限公司签订的《海盐恒大都汇华庭项目桩基工程施工合同》，合同金额7,596.27万元，11月预计支付工程进度款2,105.57 万元。按合同约定，进度款按每月实际完成并验收合格的工程量支付80%，8月份核定产值4,589.18万元，根据合同约定应付款3,671,34万元,累计已付8月进度款3,074.87万元，本次申请支付8月剩余进度款596.47万元。9月份核定产值1,886.37万元，本次申请支付1,509.10万元，本次支付完成后，累计付款比例占合同价的68%，占已核定产值的77%。实际支付时，我</w:t>
      </w:r>
      <w:r>
        <w:rPr>
          <w:rFonts w:hint="eastAsia" w:ascii="宋体" w:hAnsi="宋体"/>
          <w:sz w:val="24"/>
          <w:szCs w:val="24"/>
          <w:lang w:bidi="zh-CN"/>
        </w:rPr>
        <w:t>司会严格审核付款资料，并按合同条款及贵司审批意见进行支付</w:t>
      </w:r>
      <w:r>
        <w:rPr>
          <w:rFonts w:hint="eastAsia" w:ascii="宋体" w:hAnsi="宋体"/>
          <w:sz w:val="24"/>
          <w:szCs w:val="24"/>
        </w:rPr>
        <w:t>。</w:t>
      </w:r>
    </w:p>
    <w:p>
      <w:pPr>
        <w:numPr>
          <w:ilvl w:val="0"/>
          <w:numId w:val="4"/>
        </w:numPr>
        <w:spacing w:before="156" w:beforeLines="50" w:after="156" w:afterLines="50" w:line="360" w:lineRule="auto"/>
        <w:ind w:firstLine="240" w:firstLineChars="100"/>
        <w:rPr>
          <w:rFonts w:ascii="宋体" w:hAnsi="宋体"/>
          <w:sz w:val="24"/>
          <w:szCs w:val="24"/>
        </w:rPr>
      </w:pPr>
      <w:r>
        <w:rPr>
          <w:rFonts w:hint="eastAsia" w:ascii="宋体" w:hAnsi="宋体"/>
          <w:sz w:val="24"/>
          <w:szCs w:val="24"/>
        </w:rPr>
        <w:t>依据项目公司2020年7月29日和上海电气承广电力工程有限公司签订的《电力安装工程设计施工承包合同(海盐恒大都汇华庭项目临时用电工程)》，合同金额56.53万元，按合同约定，合同生效之日起3天内，甲方向乙方预付设计及施工费用的100%。11月预计支付56.53万元，实际支付时，我</w:t>
      </w:r>
      <w:r>
        <w:rPr>
          <w:rFonts w:hint="eastAsia" w:ascii="宋体" w:hAnsi="宋体"/>
          <w:sz w:val="24"/>
          <w:szCs w:val="24"/>
          <w:lang w:bidi="zh-CN"/>
        </w:rPr>
        <w:t>司会严格审核付款资料，并按合同条款进行支付。</w:t>
      </w:r>
    </w:p>
    <w:p>
      <w:pPr>
        <w:numPr>
          <w:ilvl w:val="0"/>
          <w:numId w:val="4"/>
        </w:numPr>
        <w:spacing w:before="156" w:beforeLines="50" w:after="156" w:afterLines="50" w:line="360" w:lineRule="auto"/>
        <w:ind w:firstLine="240" w:firstLineChars="100"/>
        <w:rPr>
          <w:rFonts w:ascii="宋体" w:hAnsi="宋体"/>
          <w:sz w:val="24"/>
          <w:szCs w:val="24"/>
        </w:rPr>
      </w:pPr>
      <w:r>
        <w:rPr>
          <w:rFonts w:hint="eastAsia" w:ascii="宋体" w:hAnsi="宋体"/>
          <w:sz w:val="24"/>
          <w:szCs w:val="24"/>
        </w:rPr>
        <w:t>依据项目公司2020年8月11日和江苏省苏中建设集团股份有限公司签订的《海盐恒大都汇华庭项目主体及配套建设工程施工合同》，合同金额21,500.00万元，11月预计支付9月工程进度款520.00万元。按合同约定，进度款按每月实际完成并验收合格的工程量支付80%，9月份核定产值为650万元，本次拟支付金额为9月核定产值的80%，本次支付完成后，累计付款比例2.4%。实际支付时，我</w:t>
      </w:r>
      <w:r>
        <w:rPr>
          <w:rFonts w:hint="eastAsia" w:ascii="宋体" w:hAnsi="宋体"/>
          <w:sz w:val="24"/>
          <w:szCs w:val="24"/>
          <w:lang w:bidi="zh-CN"/>
        </w:rPr>
        <w:t>司会严格审核付款资料，并按合同条款进行支付</w:t>
      </w:r>
      <w:r>
        <w:rPr>
          <w:rFonts w:hint="eastAsia" w:ascii="宋体" w:hAnsi="宋体"/>
          <w:sz w:val="24"/>
          <w:szCs w:val="24"/>
        </w:rPr>
        <w:t>。</w:t>
      </w:r>
    </w:p>
    <w:p>
      <w:pPr>
        <w:numPr>
          <w:ilvl w:val="0"/>
          <w:numId w:val="4"/>
        </w:numPr>
        <w:spacing w:before="156" w:beforeLines="50" w:after="156" w:afterLines="50" w:line="360" w:lineRule="auto"/>
        <w:ind w:firstLine="240" w:firstLineChars="100"/>
        <w:rPr>
          <w:rFonts w:ascii="宋体" w:hAnsi="宋体"/>
          <w:sz w:val="24"/>
          <w:szCs w:val="24"/>
        </w:rPr>
      </w:pPr>
      <w:r>
        <w:rPr>
          <w:rFonts w:hint="eastAsia" w:ascii="宋体" w:hAnsi="宋体"/>
          <w:sz w:val="24"/>
          <w:szCs w:val="24"/>
        </w:rPr>
        <w:t>依据项目公司2020年6月28日和广州市恒合工程监理有限公司签订的《建设工程监理合同（海盐恒大都汇华庭项目监理工程（非人防））》，合同金额347.62万元，11月预计支付20%预付款69.52万元。按合同约定，合同签订后7天内支付暂定承包总价的20%，实际支付时，我</w:t>
      </w:r>
      <w:r>
        <w:rPr>
          <w:rFonts w:hint="eastAsia" w:ascii="宋体" w:hAnsi="宋体"/>
          <w:sz w:val="24"/>
          <w:szCs w:val="24"/>
          <w:lang w:bidi="zh-CN"/>
        </w:rPr>
        <w:t>司会严格审核付款资料，并按合同条款进行支付</w:t>
      </w:r>
      <w:r>
        <w:rPr>
          <w:rFonts w:hint="eastAsia" w:ascii="宋体" w:hAnsi="宋体"/>
          <w:sz w:val="24"/>
          <w:szCs w:val="24"/>
        </w:rPr>
        <w:t>。</w:t>
      </w:r>
    </w:p>
    <w:p>
      <w:pPr>
        <w:numPr>
          <w:ilvl w:val="0"/>
          <w:numId w:val="4"/>
        </w:numPr>
        <w:spacing w:before="156" w:beforeLines="50" w:after="156" w:afterLines="50" w:line="360" w:lineRule="auto"/>
        <w:ind w:firstLine="240" w:firstLineChars="100"/>
        <w:rPr>
          <w:rFonts w:ascii="宋体" w:hAnsi="宋体"/>
          <w:sz w:val="24"/>
          <w:szCs w:val="24"/>
        </w:rPr>
      </w:pPr>
      <w:r>
        <w:rPr>
          <w:rFonts w:hint="eastAsia" w:ascii="宋体" w:hAnsi="宋体"/>
          <w:sz w:val="24"/>
          <w:szCs w:val="24"/>
        </w:rPr>
        <w:t>依据项目公司2020年8月22日和杭州芝浦机电设备工程有限公司签订的《海盐恒大都汇华庭项目售楼处小型中央空调安装施工合同》，合同金额10.52万元，按合同约定，甲方在验收合格之日起60日内向乙方支付该批货物安装费的60%。空调均已到货，11月预计支付工程进度款6.31万元，实际支付时，我</w:t>
      </w:r>
      <w:r>
        <w:rPr>
          <w:rFonts w:hint="eastAsia" w:ascii="宋体" w:hAnsi="宋体"/>
          <w:sz w:val="24"/>
          <w:szCs w:val="24"/>
          <w:lang w:bidi="zh-CN"/>
        </w:rPr>
        <w:t xml:space="preserve">司会严格审核付款资料，并按合同条款进行支付。 </w:t>
      </w:r>
    </w:p>
    <w:p>
      <w:pPr>
        <w:numPr>
          <w:ilvl w:val="0"/>
          <w:numId w:val="4"/>
        </w:numPr>
        <w:spacing w:before="156" w:beforeLines="50" w:after="156" w:afterLines="50" w:line="360" w:lineRule="auto"/>
        <w:ind w:firstLine="240" w:firstLineChars="100"/>
        <w:rPr>
          <w:rFonts w:ascii="宋体" w:hAnsi="宋体"/>
          <w:sz w:val="24"/>
          <w:szCs w:val="24"/>
        </w:rPr>
      </w:pPr>
      <w:r>
        <w:rPr>
          <w:rFonts w:hint="eastAsia" w:ascii="宋体" w:hAnsi="宋体"/>
          <w:sz w:val="24"/>
          <w:szCs w:val="24"/>
        </w:rPr>
        <w:t>依据项目公司2020年9月3日和杭州芝浦机电设备工程有限公司签订的《海盐恒大都汇华庭临时样板房小型中央空调安装施工合同》，合同金额2.11万元，按合同约定，甲方在验收合格之日起60日内向乙方支付该批货物安装费的60%。空调均已到货，11月预计支付工程进度款1.27万元，实际支付时，我</w:t>
      </w:r>
      <w:r>
        <w:rPr>
          <w:rFonts w:hint="eastAsia" w:ascii="宋体" w:hAnsi="宋体"/>
          <w:sz w:val="24"/>
          <w:szCs w:val="24"/>
          <w:lang w:bidi="zh-CN"/>
        </w:rPr>
        <w:t>司会严格审核付款资料，并按合同条款进行支付。</w:t>
      </w:r>
    </w:p>
    <w:p>
      <w:pPr>
        <w:numPr>
          <w:ilvl w:val="0"/>
          <w:numId w:val="4"/>
        </w:numPr>
        <w:spacing w:before="156" w:beforeLines="50" w:after="156" w:afterLines="50" w:line="360" w:lineRule="auto"/>
        <w:ind w:firstLine="240" w:firstLineChars="100"/>
        <w:rPr>
          <w:rFonts w:ascii="宋体" w:hAnsi="宋体"/>
          <w:sz w:val="24"/>
          <w:szCs w:val="24"/>
        </w:rPr>
      </w:pPr>
      <w:r>
        <w:rPr>
          <w:rFonts w:hint="eastAsia" w:ascii="宋体" w:hAnsi="宋体"/>
          <w:sz w:val="24"/>
          <w:szCs w:val="24"/>
        </w:rPr>
        <w:t>依据项目公司2020年6月22日和上海煜铂广告有限公司签订的《海盐恒大都汇华庭项目围蔽工程施工合同》，合同金额182.50万元，11月预计支付9月工程进度款80.00万元，按合同约定，乙方每月申报一次进度款，经甲方核定后7天内甲方支付乙方当月实际完成合格工程量的80%作为工程进度款，9月核定产值为100万元，本次拟支付金额为9月核定产值的80%，本次支付完成后，累计付款比例44%，实际支付时，我</w:t>
      </w:r>
      <w:r>
        <w:rPr>
          <w:rFonts w:hint="eastAsia" w:ascii="宋体" w:hAnsi="宋体"/>
          <w:sz w:val="24"/>
          <w:szCs w:val="24"/>
          <w:lang w:bidi="zh-CN"/>
        </w:rPr>
        <w:t>司会严格审核付款资料，并按合同条款进行支付。</w:t>
      </w:r>
    </w:p>
    <w:p>
      <w:pPr>
        <w:numPr>
          <w:ilvl w:val="0"/>
          <w:numId w:val="4"/>
        </w:numPr>
        <w:spacing w:before="156" w:beforeLines="50" w:after="156" w:afterLines="50" w:line="360" w:lineRule="auto"/>
        <w:ind w:firstLine="240" w:firstLineChars="100"/>
        <w:rPr>
          <w:rFonts w:ascii="宋体" w:hAnsi="宋体"/>
          <w:sz w:val="24"/>
          <w:szCs w:val="24"/>
        </w:rPr>
      </w:pPr>
      <w:r>
        <w:rPr>
          <w:rFonts w:hint="eastAsia" w:ascii="宋体" w:hAnsi="宋体"/>
          <w:sz w:val="24"/>
          <w:szCs w:val="24"/>
        </w:rPr>
        <w:t>依据项目公司2020年8月28日和南京长岛建设工程有限公司签订的《海盐恒大都汇华庭临时样板房室内装修工程施工合同》，合同金额13.75万元，按合同约定，合同签订后乙方进场施工后7天内，支付50%的工程备料款。售楼处内部装修已完工，11月预计支付工程进度款6.87万元，本次支付完成后，累计付款比例50%。实际支付时，我</w:t>
      </w:r>
      <w:r>
        <w:rPr>
          <w:rFonts w:hint="eastAsia" w:ascii="宋体" w:hAnsi="宋体"/>
          <w:sz w:val="24"/>
          <w:szCs w:val="24"/>
          <w:lang w:bidi="zh-CN"/>
        </w:rPr>
        <w:t>司会严格审核付款资料，并按合同条款进行支付</w:t>
      </w:r>
      <w:r>
        <w:rPr>
          <w:rFonts w:hint="eastAsia" w:ascii="宋体" w:hAnsi="宋体"/>
          <w:sz w:val="24"/>
          <w:szCs w:val="24"/>
        </w:rPr>
        <w:t>。</w:t>
      </w:r>
    </w:p>
    <w:p>
      <w:pPr>
        <w:numPr>
          <w:ilvl w:val="0"/>
          <w:numId w:val="4"/>
        </w:numPr>
        <w:spacing w:before="156" w:beforeLines="50" w:after="156" w:afterLines="50" w:line="360" w:lineRule="auto"/>
        <w:ind w:firstLine="240" w:firstLineChars="100"/>
        <w:rPr>
          <w:rFonts w:ascii="宋体" w:hAnsi="宋体"/>
          <w:sz w:val="24"/>
          <w:szCs w:val="24"/>
        </w:rPr>
      </w:pPr>
      <w:r>
        <w:rPr>
          <w:rFonts w:hint="eastAsia" w:ascii="宋体" w:hAnsi="宋体"/>
          <w:sz w:val="24"/>
          <w:szCs w:val="24"/>
        </w:rPr>
        <w:t>依据项目公司2020年9月16日和安徽省安泰科技股份有限公司签订的《海盐恒大都汇华庭售楼处、临时样板房智能化工程施工合同》，合同金额23.72万元，11月预计支付暂定合同总价80%工程进度款18.97万元。按合同约定，乙方进场施工后10天内，甲方支付乙方合同暂定总价的10%作为预付款，进度款按每月实际完成并验收合格的工程量支付70%，该工程已完工，核定产值23.72万元，本次支付完成后，累计付款比例80%。实际支付时，我</w:t>
      </w:r>
      <w:r>
        <w:rPr>
          <w:rFonts w:hint="eastAsia" w:ascii="宋体" w:hAnsi="宋体"/>
          <w:sz w:val="24"/>
          <w:szCs w:val="24"/>
          <w:lang w:bidi="zh-CN"/>
        </w:rPr>
        <w:t>司会严格审核付款资料，并按合同条款进行支付</w:t>
      </w:r>
      <w:r>
        <w:rPr>
          <w:rFonts w:hint="eastAsia" w:ascii="宋体" w:hAnsi="宋体"/>
          <w:sz w:val="24"/>
          <w:szCs w:val="24"/>
        </w:rPr>
        <w:t>。</w:t>
      </w:r>
    </w:p>
    <w:p>
      <w:pPr>
        <w:numPr>
          <w:ilvl w:val="0"/>
          <w:numId w:val="4"/>
        </w:numPr>
        <w:spacing w:before="156" w:beforeLines="50" w:after="156" w:afterLines="50" w:line="360" w:lineRule="auto"/>
        <w:ind w:firstLine="240" w:firstLineChars="100"/>
        <w:rPr>
          <w:rFonts w:ascii="宋体" w:hAnsi="宋体"/>
          <w:sz w:val="24"/>
          <w:szCs w:val="24"/>
        </w:rPr>
      </w:pPr>
      <w:r>
        <w:rPr>
          <w:rFonts w:hint="eastAsia" w:ascii="宋体" w:hAnsi="宋体"/>
          <w:sz w:val="24"/>
          <w:szCs w:val="24"/>
        </w:rPr>
        <w:t>依据项目公司2020年7月23日和浙江中材工程勘测设计有限公司签订的《海盐恒大都汇华庭项目勘察工程施工合同》，合同金额60.75万元，11月预计支付工程进度款48万元。按合同约定，完成全部土方开挖工程经甲方确认后30天内，甲方支付暂定总价的50%作为进度款;完成全部土方回填工程经甲方确认后30天内，甲方支付暂定总价的30%作为进度款，本次支付完成后，累计付款比例79%，实际支付时，我</w:t>
      </w:r>
      <w:r>
        <w:rPr>
          <w:rFonts w:hint="eastAsia" w:ascii="宋体" w:hAnsi="宋体"/>
          <w:sz w:val="24"/>
          <w:szCs w:val="24"/>
          <w:lang w:bidi="zh-CN"/>
        </w:rPr>
        <w:t>司会严格审核付款资料，并按合同条款进行支付。</w:t>
      </w:r>
    </w:p>
    <w:p>
      <w:pPr>
        <w:numPr>
          <w:ilvl w:val="0"/>
          <w:numId w:val="4"/>
        </w:numPr>
        <w:spacing w:before="156" w:beforeLines="50" w:after="156" w:afterLines="50" w:line="360" w:lineRule="auto"/>
        <w:ind w:firstLine="240" w:firstLineChars="100"/>
        <w:rPr>
          <w:rFonts w:ascii="宋体" w:hAnsi="宋体"/>
          <w:sz w:val="24"/>
          <w:szCs w:val="24"/>
        </w:rPr>
      </w:pPr>
      <w:r>
        <w:rPr>
          <w:rFonts w:hint="eastAsia" w:ascii="宋体" w:hAnsi="宋体"/>
          <w:sz w:val="24"/>
          <w:szCs w:val="24"/>
        </w:rPr>
        <w:t>依据项目公司2020年9月8日和上海徐汇园林发展有限公司签订的《海盐恒大都汇华庭园建施工合同》，合同金额570.08万元，11月预计支付9月工程进度款48.00万元。按合同约定，进场7天内付10%，每期按实际完成工程量支付至双方确认金额的70%，园建单位已进场，9月核定产值60.00万元，本次支付完成后，累计付款比例8%，实际支付时，我</w:t>
      </w:r>
      <w:r>
        <w:rPr>
          <w:rFonts w:hint="eastAsia" w:ascii="宋体" w:hAnsi="宋体"/>
          <w:sz w:val="24"/>
          <w:szCs w:val="24"/>
          <w:lang w:bidi="zh-CN"/>
        </w:rPr>
        <w:t>司会严格审核付款资料，并按合同条款进行支付。</w:t>
      </w:r>
    </w:p>
    <w:p>
      <w:pPr>
        <w:numPr>
          <w:ilvl w:val="0"/>
          <w:numId w:val="4"/>
        </w:numPr>
        <w:spacing w:before="156" w:beforeLines="50" w:after="156" w:afterLines="50" w:line="360" w:lineRule="auto"/>
        <w:ind w:firstLine="240" w:firstLineChars="100"/>
        <w:rPr>
          <w:rFonts w:ascii="宋体" w:hAnsi="宋体"/>
          <w:sz w:val="24"/>
          <w:szCs w:val="24"/>
        </w:rPr>
      </w:pPr>
      <w:r>
        <w:rPr>
          <w:rFonts w:hint="eastAsia" w:ascii="宋体" w:hAnsi="宋体"/>
          <w:sz w:val="24"/>
          <w:szCs w:val="24"/>
        </w:rPr>
        <w:t>依据项目公司2020年7月2日和浙江尚都建设有限公司签订的《海盐恒大都汇华庭项目土石方工程施工合同》，合同金额1,060.70万元，11月预计支付9月工程进度款112.00万元。按合同约定，每月支付实际完成工程量金额80%的进度款，9月核定产值140万元，本次拟支付金额为9月核定产值的80%，本次支付完成后，累计付款比例11%，实际支付时，我</w:t>
      </w:r>
      <w:r>
        <w:rPr>
          <w:rFonts w:hint="eastAsia" w:ascii="宋体" w:hAnsi="宋体"/>
          <w:sz w:val="24"/>
          <w:szCs w:val="24"/>
          <w:lang w:bidi="zh-CN"/>
        </w:rPr>
        <w:t>司会严格审核付款资料，并按合同条款进行支付。</w:t>
      </w:r>
    </w:p>
    <w:p>
      <w:pPr>
        <w:numPr>
          <w:ilvl w:val="0"/>
          <w:numId w:val="4"/>
        </w:numPr>
        <w:spacing w:before="156" w:beforeLines="50" w:after="156" w:afterLines="50" w:line="360" w:lineRule="auto"/>
        <w:ind w:firstLine="240" w:firstLineChars="100"/>
        <w:rPr>
          <w:rFonts w:ascii="宋体" w:hAnsi="宋体"/>
          <w:sz w:val="24"/>
          <w:szCs w:val="24"/>
        </w:rPr>
      </w:pPr>
      <w:r>
        <w:rPr>
          <w:rFonts w:hint="eastAsia" w:ascii="宋体" w:hAnsi="宋体"/>
          <w:sz w:val="24"/>
          <w:szCs w:val="24"/>
        </w:rPr>
        <w:t>依据项目公司2020年7月2日和浙江华坤建设有限公司签订的《海盐恒大都汇华庭项目临时道路工程施工合同》，合同金额100.04万元，11月预计支付9月工程进度款12.00万元。按合同约定，每月支付实际完成工程量金额80%的进度款，9月核定产值15.00万元，本次拟支付金额为9月核定产值的80%，本次支付完成后，累计付款比例12%，实际支付时，我</w:t>
      </w:r>
      <w:r>
        <w:rPr>
          <w:rFonts w:hint="eastAsia" w:ascii="宋体" w:hAnsi="宋体"/>
          <w:sz w:val="24"/>
          <w:szCs w:val="24"/>
          <w:lang w:bidi="zh-CN"/>
        </w:rPr>
        <w:t>司会严格审核付款资料，并按合同条款进行支付。</w:t>
      </w:r>
    </w:p>
    <w:p>
      <w:pPr>
        <w:numPr>
          <w:ilvl w:val="0"/>
          <w:numId w:val="4"/>
        </w:numPr>
        <w:spacing w:before="156" w:beforeLines="50" w:after="156" w:afterLines="50" w:line="360" w:lineRule="auto"/>
        <w:ind w:firstLine="240" w:firstLineChars="100"/>
        <w:rPr>
          <w:rFonts w:ascii="宋体" w:hAnsi="宋体"/>
          <w:sz w:val="24"/>
          <w:szCs w:val="24"/>
        </w:rPr>
      </w:pPr>
      <w:r>
        <w:rPr>
          <w:rFonts w:hint="eastAsia" w:ascii="宋体" w:hAnsi="宋体"/>
          <w:sz w:val="24"/>
          <w:szCs w:val="24"/>
        </w:rPr>
        <w:t>依据项目公司2020年9月10日和上海继昱建设工程有限公司签订的《海盐恒大都汇华庭售楼处临时样板房、商业消防工程施工合同》，合同金额28.92万元，按合同约定，每期按实际完成工程量支付至双方确认金额的70%。该工程已完成，核定产值28.92万元，11月预计支付工程进度款20.24万元，本次支付完成后，累计付款比例70%。实际支付时，我</w:t>
      </w:r>
      <w:r>
        <w:rPr>
          <w:rFonts w:hint="eastAsia" w:ascii="宋体" w:hAnsi="宋体"/>
          <w:sz w:val="24"/>
          <w:szCs w:val="24"/>
          <w:lang w:bidi="zh-CN"/>
        </w:rPr>
        <w:t>司会严格审核付款资料，并按合同条款进行支付。</w:t>
      </w:r>
    </w:p>
    <w:p>
      <w:pPr>
        <w:spacing w:before="156" w:beforeLines="50" w:after="156" w:afterLines="50" w:line="360" w:lineRule="auto"/>
        <w:ind w:firstLine="480" w:firstLineChars="200"/>
        <w:rPr>
          <w:rFonts w:ascii="宋体" w:hAnsi="宋体"/>
          <w:sz w:val="24"/>
          <w:szCs w:val="24"/>
          <w:lang w:bidi="zh-CN"/>
        </w:rPr>
      </w:pPr>
      <w:r>
        <w:rPr>
          <w:rFonts w:hint="eastAsia" w:ascii="宋体" w:hAnsi="宋体"/>
          <w:sz w:val="24"/>
          <w:szCs w:val="24"/>
          <w:lang w:bidi="zh-CN"/>
        </w:rPr>
        <w:t>经审核，我司认为以上合同付款符合合同约定，实际支付时，我司会对付款申请、流程、工程合同、现场签证等依据进行审核、计算，确保资金支付合理、合规。支付的材料款为项目公司预估金额，后期我司会对合同签订严格把控，实际支付时，我司会</w:t>
      </w:r>
      <w:r>
        <w:rPr>
          <w:rFonts w:hint="eastAsia" w:ascii="宋体" w:hAnsi="宋体"/>
          <w:sz w:val="24"/>
          <w:szCs w:val="24"/>
        </w:rPr>
        <w:t>严格按照相关合同付款条款严格执行，</w:t>
      </w:r>
      <w:r>
        <w:rPr>
          <w:rFonts w:hint="eastAsia" w:ascii="宋体" w:hAnsi="宋体"/>
          <w:sz w:val="24"/>
          <w:szCs w:val="24"/>
          <w:lang w:bidi="zh-CN"/>
        </w:rPr>
        <w:t>确保资金支付合理、合规。</w:t>
      </w:r>
    </w:p>
    <w:p>
      <w:pPr>
        <w:numPr>
          <w:ilvl w:val="0"/>
          <w:numId w:val="2"/>
        </w:numPr>
        <w:spacing w:before="156" w:beforeLines="50" w:after="156" w:afterLines="50" w:line="360" w:lineRule="auto"/>
        <w:rPr>
          <w:rFonts w:ascii="宋体" w:hAnsi="宋体"/>
          <w:b/>
          <w:color w:val="000000"/>
          <w:sz w:val="24"/>
          <w:szCs w:val="24"/>
          <w:lang w:bidi="zh-CN"/>
        </w:rPr>
      </w:pPr>
      <w:r>
        <w:rPr>
          <w:rFonts w:hint="eastAsia" w:ascii="宋体" w:hAnsi="宋体"/>
          <w:b/>
          <w:color w:val="000000"/>
          <w:sz w:val="24"/>
          <w:szCs w:val="24"/>
          <w:lang w:bidi="zh-CN"/>
        </w:rPr>
        <w:t>管理费用资金支出计划说明</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项目公司在2020年11月的管理费用支出金额共计28.00万元，具体分析如下：</w:t>
      </w:r>
    </w:p>
    <w:p>
      <w:pPr>
        <w:numPr>
          <w:ilvl w:val="0"/>
          <w:numId w:val="5"/>
        </w:numPr>
        <w:spacing w:before="156" w:beforeLines="50" w:after="156" w:afterLines="50" w:line="360" w:lineRule="auto"/>
        <w:ind w:firstLine="240" w:firstLineChars="100"/>
        <w:rPr>
          <w:rFonts w:ascii="宋体" w:hAnsi="宋体"/>
          <w:sz w:val="24"/>
          <w:szCs w:val="24"/>
        </w:rPr>
      </w:pPr>
      <w:r>
        <w:rPr>
          <w:rFonts w:hint="eastAsia" w:ascii="宋体" w:hAnsi="宋体"/>
          <w:sz w:val="24"/>
          <w:szCs w:val="24"/>
        </w:rPr>
        <w:t>项目工程部水费3.00万元；电费5.00万元。</w:t>
      </w:r>
    </w:p>
    <w:p>
      <w:pPr>
        <w:numPr>
          <w:ilvl w:val="0"/>
          <w:numId w:val="5"/>
        </w:numPr>
        <w:spacing w:before="156" w:beforeLines="50" w:after="156" w:afterLines="50" w:line="360" w:lineRule="auto"/>
        <w:ind w:firstLine="240" w:firstLineChars="100"/>
        <w:rPr>
          <w:rFonts w:ascii="宋体" w:hAnsi="宋体"/>
          <w:sz w:val="24"/>
          <w:szCs w:val="24"/>
        </w:rPr>
      </w:pPr>
      <w:r>
        <w:rPr>
          <w:rFonts w:hint="eastAsia" w:ascii="宋体" w:hAnsi="宋体"/>
          <w:sz w:val="24"/>
          <w:szCs w:val="24"/>
        </w:rPr>
        <w:t>工资社保费用20.00万元。</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lang w:bidi="zh-CN"/>
        </w:rPr>
        <w:t>经审核，我司认为11月管理费用资金支出</w:t>
      </w:r>
      <w:r>
        <w:rPr>
          <w:rFonts w:ascii="宋体" w:hAnsi="宋体"/>
          <w:sz w:val="24"/>
          <w:szCs w:val="24"/>
          <w:lang w:bidi="zh-CN"/>
        </w:rPr>
        <w:t>计划编制合理</w:t>
      </w:r>
      <w:r>
        <w:rPr>
          <w:rFonts w:hint="eastAsia" w:ascii="宋体" w:hAnsi="宋体"/>
          <w:sz w:val="24"/>
          <w:szCs w:val="24"/>
          <w:lang w:bidi="zh-CN"/>
        </w:rPr>
        <w:t>，实际支付时，我司会对付款申请、发票、流程、协议等依据进行审核，确保资金支付合理、合规。</w:t>
      </w:r>
    </w:p>
    <w:p>
      <w:pPr>
        <w:numPr>
          <w:ilvl w:val="0"/>
          <w:numId w:val="2"/>
        </w:numPr>
        <w:spacing w:before="156" w:beforeLines="50" w:after="156" w:afterLines="50" w:line="360" w:lineRule="auto"/>
        <w:rPr>
          <w:rFonts w:ascii="宋体" w:hAnsi="宋体"/>
          <w:b/>
          <w:color w:val="000000"/>
          <w:sz w:val="24"/>
          <w:szCs w:val="24"/>
          <w:lang w:bidi="zh-CN"/>
        </w:rPr>
      </w:pPr>
      <w:r>
        <w:rPr>
          <w:rFonts w:hint="eastAsia" w:ascii="宋体" w:hAnsi="宋体"/>
          <w:b/>
          <w:color w:val="000000"/>
          <w:sz w:val="24"/>
          <w:szCs w:val="24"/>
          <w:lang w:bidi="zh-CN"/>
        </w:rPr>
        <w:t>营销费用资金支出计划说明</w:t>
      </w:r>
    </w:p>
    <w:p>
      <w:pPr>
        <w:spacing w:before="156" w:beforeLines="50" w:after="156" w:afterLines="50" w:line="360" w:lineRule="auto"/>
        <w:ind w:left="225" w:firstLine="240" w:firstLineChars="100"/>
        <w:rPr>
          <w:rFonts w:ascii="宋体" w:hAnsi="宋体"/>
          <w:sz w:val="24"/>
          <w:szCs w:val="24"/>
        </w:rPr>
      </w:pPr>
      <w:r>
        <w:rPr>
          <w:rFonts w:hint="eastAsia" w:ascii="宋体" w:hAnsi="宋体"/>
          <w:sz w:val="24"/>
          <w:szCs w:val="24"/>
        </w:rPr>
        <w:t>项目公司在2020年11月的营销费用支出金额共计45.88万元，具体分析如下</w:t>
      </w:r>
    </w:p>
    <w:p>
      <w:pPr>
        <w:numPr>
          <w:ilvl w:val="0"/>
          <w:numId w:val="6"/>
        </w:numPr>
        <w:spacing w:before="156" w:beforeLines="50" w:after="156" w:afterLines="50" w:line="360" w:lineRule="auto"/>
        <w:ind w:firstLine="240" w:firstLineChars="100"/>
        <w:rPr>
          <w:rFonts w:ascii="宋体" w:hAnsi="宋体"/>
          <w:sz w:val="24"/>
          <w:szCs w:val="24"/>
          <w:lang w:bidi="zh-CN"/>
        </w:rPr>
      </w:pPr>
      <w:r>
        <w:rPr>
          <w:rFonts w:hint="eastAsia" w:ascii="宋体" w:hAnsi="宋体"/>
          <w:sz w:val="24"/>
          <w:szCs w:val="24"/>
        </w:rPr>
        <w:t>依据项目公司2020年7月1日和上海鹤琢广告有限公司签订的《海盐恒大都汇华庭项目全案广告代理合同》，合同金额90.00万元，项目开盘前，每月支付广告费约8.60万元，开盘后，每月广告费约6.50万元。11月预计支付2020年6月份-9月份全案广告费32.93万元，实际支付时，</w:t>
      </w:r>
      <w:r>
        <w:rPr>
          <w:rFonts w:hint="eastAsia" w:ascii="宋体" w:hAnsi="宋体"/>
          <w:sz w:val="24"/>
          <w:szCs w:val="24"/>
          <w:lang w:bidi="zh-CN"/>
        </w:rPr>
        <w:t>我司会依据发票对实际支付金额把控，并按合同条款严格审核后执行。</w:t>
      </w:r>
    </w:p>
    <w:p>
      <w:pPr>
        <w:numPr>
          <w:ilvl w:val="0"/>
          <w:numId w:val="6"/>
        </w:numPr>
        <w:spacing w:before="156" w:beforeLines="50" w:after="156" w:afterLines="50" w:line="360" w:lineRule="auto"/>
        <w:ind w:firstLine="240" w:firstLineChars="100"/>
        <w:rPr>
          <w:rFonts w:ascii="宋体" w:hAnsi="宋体"/>
          <w:sz w:val="24"/>
          <w:szCs w:val="24"/>
          <w:lang w:bidi="zh-CN"/>
        </w:rPr>
      </w:pPr>
      <w:r>
        <w:rPr>
          <w:rFonts w:hint="eastAsia" w:ascii="宋体" w:hAnsi="宋体"/>
          <w:sz w:val="24"/>
          <w:szCs w:val="24"/>
        </w:rPr>
        <w:t>依据项目公司2020年8月20日和深圳钛铂新媒体营销股份有限公司签订的《海盐恒大都汇华庭项目3D宣传片制作合同》，合同金额13.50万元，按合同约定，合同签订后15个工作日内，甲方应向乙方支付合同暂定总价的30%作为预付款，9月25日已支付4.05万元，整体模型经甲方确认后15个工作日内支付50%，11月预计支付6.75万元。实际支付时，，</w:t>
      </w:r>
      <w:r>
        <w:rPr>
          <w:rFonts w:hint="eastAsia" w:ascii="宋体" w:hAnsi="宋体"/>
          <w:sz w:val="24"/>
          <w:szCs w:val="24"/>
          <w:lang w:bidi="zh-CN"/>
        </w:rPr>
        <w:t>我司会依据发票对实际支付金额把控，并按合同条款严格审核后执行。</w:t>
      </w:r>
    </w:p>
    <w:p>
      <w:pPr>
        <w:numPr>
          <w:ilvl w:val="0"/>
          <w:numId w:val="6"/>
        </w:numPr>
        <w:spacing w:before="156" w:beforeLines="50" w:after="156" w:afterLines="50" w:line="360" w:lineRule="auto"/>
        <w:ind w:firstLine="240" w:firstLineChars="100"/>
        <w:rPr>
          <w:rFonts w:ascii="宋体" w:hAnsi="宋体"/>
          <w:sz w:val="24"/>
          <w:szCs w:val="24"/>
          <w:lang w:bidi="zh-CN"/>
        </w:rPr>
      </w:pPr>
      <w:r>
        <w:rPr>
          <w:rFonts w:hint="eastAsia" w:ascii="宋体" w:hAnsi="宋体"/>
          <w:sz w:val="24"/>
          <w:szCs w:val="24"/>
        </w:rPr>
        <w:t>预计在11月向上海锋艺广告有限公司支付示范区开放包装物料采购货款6.20万元，经核查，该合同尚未签订，此金额为项目公司预估金额</w:t>
      </w:r>
      <w:r>
        <w:rPr>
          <w:rFonts w:hint="eastAsia" w:ascii="宋体" w:hAnsi="宋体"/>
          <w:sz w:val="24"/>
          <w:szCs w:val="24"/>
          <w:lang w:bidi="zh-CN"/>
        </w:rPr>
        <w:t>。</w:t>
      </w:r>
    </w:p>
    <w:p>
      <w:pPr>
        <w:numPr>
          <w:ilvl w:val="255"/>
          <w:numId w:val="0"/>
        </w:numPr>
        <w:spacing w:before="156" w:beforeLines="50" w:after="156" w:afterLines="50" w:line="360" w:lineRule="auto"/>
        <w:ind w:firstLine="480" w:firstLineChars="200"/>
        <w:rPr>
          <w:rFonts w:ascii="宋体" w:hAnsi="宋体"/>
          <w:sz w:val="24"/>
          <w:szCs w:val="24"/>
          <w:lang w:bidi="zh-CN"/>
        </w:rPr>
      </w:pPr>
      <w:r>
        <w:rPr>
          <w:rFonts w:hint="eastAsia" w:ascii="宋体" w:hAnsi="宋体"/>
          <w:bCs/>
          <w:color w:val="000000"/>
          <w:sz w:val="24"/>
          <w:szCs w:val="24"/>
          <w:lang w:bidi="zh-CN"/>
        </w:rPr>
        <w:t>经审核，营销部3笔付款中已签订合同部分的计划资金支付均符合合同的规定付款时间，未签订合同的需待合同签订后根据合同条款确定是否合理。</w:t>
      </w:r>
      <w:r>
        <w:rPr>
          <w:rFonts w:hint="eastAsia" w:ascii="宋体" w:hAnsi="宋体"/>
          <w:sz w:val="24"/>
          <w:szCs w:val="24"/>
          <w:lang w:bidi="zh-CN"/>
        </w:rPr>
        <w:t>后期我司会对合同签订严格把控，实际支付时，我司会对付款申请、发票、流程、合同等依据进行审核、计算，</w:t>
      </w:r>
      <w:r>
        <w:rPr>
          <w:rFonts w:ascii="宋体" w:hAnsi="宋体"/>
          <w:sz w:val="24"/>
          <w:szCs w:val="24"/>
        </w:rPr>
        <w:t>严格把控，确保资金支付合理、合规。</w:t>
      </w:r>
    </w:p>
    <w:p>
      <w:pPr>
        <w:numPr>
          <w:ilvl w:val="0"/>
          <w:numId w:val="2"/>
        </w:numPr>
        <w:spacing w:before="156" w:beforeLines="50" w:after="156" w:afterLines="50" w:line="360" w:lineRule="auto"/>
        <w:rPr>
          <w:rFonts w:ascii="宋体" w:hAnsi="宋体"/>
          <w:b/>
          <w:color w:val="000000"/>
          <w:sz w:val="24"/>
          <w:szCs w:val="24"/>
          <w:lang w:bidi="zh-CN"/>
        </w:rPr>
      </w:pPr>
      <w:r>
        <w:rPr>
          <w:rFonts w:hint="eastAsia" w:ascii="宋体" w:hAnsi="宋体"/>
          <w:b/>
          <w:color w:val="000000"/>
          <w:sz w:val="24"/>
          <w:szCs w:val="24"/>
          <w:lang w:bidi="zh-CN"/>
        </w:rPr>
        <w:t>财务费用支出计划说明</w:t>
      </w:r>
    </w:p>
    <w:p>
      <w:pPr>
        <w:spacing w:before="156" w:beforeLines="50" w:after="156" w:afterLines="50" w:line="360" w:lineRule="auto"/>
        <w:ind w:firstLine="480" w:firstLineChars="200"/>
        <w:rPr>
          <w:rFonts w:ascii="宋体" w:hAnsi="宋体"/>
          <w:sz w:val="24"/>
          <w:szCs w:val="24"/>
          <w:lang w:bidi="zh-CN"/>
        </w:rPr>
      </w:pPr>
      <w:r>
        <w:rPr>
          <w:rFonts w:hint="eastAsia" w:ascii="宋体" w:hAnsi="宋体"/>
          <w:sz w:val="24"/>
          <w:szCs w:val="24"/>
          <w:lang w:bidi="zh-CN"/>
        </w:rPr>
        <w:t>项目公司在2020年11月预估支付税金20.00万元，实际支付时，我司将严格按当月实际需缴纳的税款执行。</w:t>
      </w:r>
    </w:p>
    <w:p>
      <w:pPr>
        <w:numPr>
          <w:ilvl w:val="0"/>
          <w:numId w:val="2"/>
        </w:numPr>
        <w:spacing w:before="156" w:beforeLines="50" w:after="156" w:afterLines="50" w:line="360" w:lineRule="auto"/>
        <w:rPr>
          <w:rFonts w:ascii="宋体" w:hAnsi="宋体"/>
          <w:b/>
          <w:color w:val="000000"/>
          <w:sz w:val="24"/>
          <w:szCs w:val="24"/>
          <w:lang w:bidi="zh-CN"/>
        </w:rPr>
      </w:pPr>
      <w:r>
        <w:rPr>
          <w:rFonts w:hint="eastAsia" w:ascii="宋体" w:hAnsi="宋体"/>
          <w:b/>
          <w:color w:val="000000"/>
          <w:sz w:val="24"/>
          <w:szCs w:val="24"/>
          <w:lang w:bidi="zh-CN"/>
        </w:rPr>
        <w:t>其他费用计划说明</w:t>
      </w:r>
    </w:p>
    <w:p>
      <w:pPr>
        <w:spacing w:before="156" w:beforeLines="50" w:after="156" w:afterLines="50" w:line="360" w:lineRule="auto"/>
        <w:ind w:firstLine="480" w:firstLineChars="200"/>
        <w:rPr>
          <w:rFonts w:ascii="宋体" w:hAnsi="宋体"/>
          <w:sz w:val="24"/>
          <w:szCs w:val="24"/>
          <w:lang w:bidi="zh-CN"/>
        </w:rPr>
      </w:pPr>
      <w:r>
        <w:rPr>
          <w:rFonts w:hint="eastAsia" w:ascii="宋体" w:hAnsi="宋体"/>
          <w:sz w:val="24"/>
          <w:szCs w:val="24"/>
          <w:lang w:bidi="zh-CN"/>
        </w:rPr>
        <w:t>项目公司在2020年11月其他不可预见费用预估总计80.00万元，实际支付时，我司会对付款申请、发票、流程、相关合同、现场签证等依据进行审核，</w:t>
      </w:r>
      <w:r>
        <w:rPr>
          <w:rFonts w:ascii="宋体" w:hAnsi="宋体"/>
          <w:sz w:val="24"/>
          <w:szCs w:val="24"/>
        </w:rPr>
        <w:t>严格把控，</w:t>
      </w:r>
      <w:r>
        <w:rPr>
          <w:rFonts w:hint="eastAsia" w:ascii="宋体" w:hAnsi="宋体"/>
          <w:sz w:val="24"/>
          <w:szCs w:val="24"/>
          <w:lang w:bidi="zh-CN"/>
        </w:rPr>
        <w:t>确保资金支付合理、合规。</w:t>
      </w:r>
    </w:p>
    <w:p>
      <w:pPr>
        <w:spacing w:before="156" w:beforeLines="50" w:after="156" w:afterLines="50" w:line="360" w:lineRule="auto"/>
        <w:ind w:firstLine="241" w:firstLineChars="100"/>
        <w:rPr>
          <w:rFonts w:ascii="宋体" w:hAnsi="宋体"/>
          <w:b/>
          <w:bCs/>
          <w:color w:val="000000"/>
          <w:sz w:val="24"/>
          <w:szCs w:val="24"/>
          <w:lang w:bidi="zh-CN"/>
        </w:rPr>
      </w:pPr>
      <w:r>
        <w:rPr>
          <w:rFonts w:hint="eastAsia" w:ascii="宋体" w:hAnsi="宋体"/>
          <w:b/>
          <w:bCs/>
          <w:color w:val="000000"/>
          <w:sz w:val="24"/>
          <w:szCs w:val="24"/>
          <w:lang w:bidi="zh-CN"/>
        </w:rPr>
        <w:t>四、结论：</w:t>
      </w:r>
    </w:p>
    <w:p>
      <w:pPr>
        <w:spacing w:before="156" w:beforeLines="50" w:after="156" w:afterLines="50" w:line="360" w:lineRule="auto"/>
        <w:ind w:firstLine="480" w:firstLineChars="200"/>
        <w:rPr>
          <w:rFonts w:ascii="宋体" w:hAnsi="宋体"/>
          <w:color w:val="000000"/>
          <w:sz w:val="24"/>
          <w:szCs w:val="24"/>
          <w:lang w:bidi="zh-CN"/>
        </w:rPr>
      </w:pPr>
      <w:r>
        <w:rPr>
          <w:rFonts w:hint="eastAsia" w:ascii="宋体" w:hAnsi="宋体"/>
          <w:bCs/>
          <w:color w:val="000000"/>
          <w:sz w:val="24"/>
          <w:szCs w:val="24"/>
          <w:lang w:bidi="zh-CN"/>
        </w:rPr>
        <w:t>本次海盐丰涛置业有限公司申报的11</w:t>
      </w:r>
      <w:r>
        <w:rPr>
          <w:rFonts w:ascii="宋体" w:hAnsi="宋体"/>
          <w:bCs/>
          <w:color w:val="000000"/>
          <w:sz w:val="24"/>
          <w:szCs w:val="24"/>
          <w:lang w:bidi="zh-CN"/>
        </w:rPr>
        <w:t>月资金计</w:t>
      </w:r>
      <w:r>
        <w:rPr>
          <w:rFonts w:hint="eastAsia" w:ascii="宋体" w:hAnsi="宋体"/>
          <w:bCs/>
          <w:color w:val="000000"/>
          <w:sz w:val="24"/>
          <w:szCs w:val="24"/>
          <w:lang w:bidi="zh-CN"/>
        </w:rPr>
        <w:t>划</w:t>
      </w:r>
      <w:r>
        <w:rPr>
          <w:rFonts w:ascii="宋体" w:hAnsi="宋体"/>
          <w:bCs/>
          <w:color w:val="000000"/>
          <w:sz w:val="24"/>
          <w:szCs w:val="24"/>
          <w:lang w:bidi="zh-CN"/>
        </w:rPr>
        <w:t>包含</w:t>
      </w:r>
      <w:r>
        <w:rPr>
          <w:rFonts w:hint="eastAsia" w:ascii="宋体" w:hAnsi="宋体"/>
          <w:bCs/>
          <w:color w:val="000000"/>
          <w:sz w:val="24"/>
          <w:szCs w:val="24"/>
          <w:lang w:val="en-US" w:bidi="zh-CN"/>
        </w:rPr>
        <w:t>六</w:t>
      </w:r>
      <w:r>
        <w:rPr>
          <w:rFonts w:ascii="宋体" w:hAnsi="宋体"/>
          <w:bCs/>
          <w:color w:val="000000"/>
          <w:sz w:val="24"/>
          <w:szCs w:val="24"/>
          <w:lang w:bidi="zh-CN"/>
        </w:rPr>
        <w:t>大</w:t>
      </w:r>
      <w:r>
        <w:rPr>
          <w:rFonts w:hint="eastAsia" w:ascii="宋体" w:hAnsi="宋体"/>
          <w:bCs/>
          <w:color w:val="000000"/>
          <w:sz w:val="24"/>
          <w:szCs w:val="24"/>
          <w:lang w:bidi="zh-CN"/>
        </w:rPr>
        <w:t>项目</w:t>
      </w:r>
      <w:r>
        <w:rPr>
          <w:rFonts w:ascii="宋体" w:hAnsi="宋体"/>
          <w:bCs/>
          <w:color w:val="000000"/>
          <w:sz w:val="24"/>
          <w:szCs w:val="24"/>
          <w:lang w:bidi="zh-CN"/>
        </w:rPr>
        <w:t>，分别为</w:t>
      </w:r>
      <w:r>
        <w:rPr>
          <w:rFonts w:hint="eastAsia" w:ascii="宋体" w:hAnsi="宋体"/>
          <w:bCs/>
          <w:color w:val="000000"/>
          <w:sz w:val="24"/>
          <w:szCs w:val="24"/>
          <w:lang w:bidi="zh-CN"/>
        </w:rPr>
        <w:t>开发报建费</w:t>
      </w:r>
      <w:r>
        <w:rPr>
          <w:rFonts w:ascii="宋体" w:hAnsi="宋体"/>
          <w:bCs/>
          <w:color w:val="000000"/>
          <w:sz w:val="24"/>
          <w:szCs w:val="24"/>
          <w:lang w:bidi="zh-CN"/>
        </w:rPr>
        <w:t>、</w:t>
      </w:r>
      <w:r>
        <w:rPr>
          <w:rFonts w:hint="eastAsia" w:ascii="宋体" w:hAnsi="宋体"/>
          <w:bCs/>
          <w:color w:val="000000"/>
          <w:sz w:val="24"/>
          <w:szCs w:val="24"/>
          <w:lang w:bidi="zh-CN"/>
        </w:rPr>
        <w:t>工程款</w:t>
      </w:r>
      <w:r>
        <w:rPr>
          <w:rFonts w:ascii="宋体" w:hAnsi="宋体"/>
          <w:bCs/>
          <w:color w:val="000000"/>
          <w:sz w:val="24"/>
          <w:szCs w:val="24"/>
          <w:lang w:bidi="zh-CN"/>
        </w:rPr>
        <w:t>、</w:t>
      </w:r>
      <w:r>
        <w:rPr>
          <w:rFonts w:hint="eastAsia" w:ascii="宋体" w:hAnsi="宋体"/>
          <w:bCs/>
          <w:color w:val="000000"/>
          <w:sz w:val="24"/>
          <w:szCs w:val="24"/>
          <w:lang w:bidi="zh-CN"/>
        </w:rPr>
        <w:t>管理费用、营销费用、税金，其他费用。</w:t>
      </w:r>
      <w:r>
        <w:rPr>
          <w:rFonts w:ascii="宋体" w:hAnsi="宋体"/>
          <w:bCs/>
          <w:color w:val="000000"/>
          <w:sz w:val="24"/>
          <w:szCs w:val="24"/>
          <w:lang w:bidi="zh-CN"/>
        </w:rPr>
        <w:t>分类信息明确，直观，符合项目实际情况。费用明细与现场实际情况基本吻合</w:t>
      </w:r>
      <w:r>
        <w:rPr>
          <w:rFonts w:hint="eastAsia" w:ascii="宋体" w:hAnsi="宋体"/>
          <w:bCs/>
          <w:color w:val="000000"/>
          <w:sz w:val="24"/>
          <w:szCs w:val="24"/>
          <w:lang w:bidi="zh-CN"/>
        </w:rPr>
        <w:t>，资金计划编制基本合理，我司拟同意项目公司11</w:t>
      </w:r>
      <w:r>
        <w:rPr>
          <w:rFonts w:ascii="宋体" w:hAnsi="宋体"/>
          <w:bCs/>
          <w:color w:val="000000"/>
          <w:sz w:val="24"/>
          <w:szCs w:val="24"/>
          <w:lang w:bidi="zh-CN"/>
        </w:rPr>
        <w:t>月</w:t>
      </w:r>
      <w:r>
        <w:rPr>
          <w:rFonts w:hint="eastAsia" w:ascii="宋体" w:hAnsi="宋体"/>
          <w:bCs/>
          <w:color w:val="000000"/>
          <w:sz w:val="24"/>
          <w:szCs w:val="24"/>
          <w:lang w:bidi="zh-CN"/>
        </w:rPr>
        <w:t>份资金计划，并以此作为付款的依据。待实际支付时，我司人员将对相关付款资料的合理、合规性一一核实，对于其中单笔支付超1,000万的，上报贵司，经审批后，据实支付，请审批。</w:t>
      </w:r>
    </w:p>
    <w:p>
      <w:pPr>
        <w:spacing w:line="360" w:lineRule="auto"/>
        <w:rPr>
          <w:rFonts w:ascii="宋体" w:hAnsi="宋体"/>
          <w:b/>
          <w:color w:val="000000"/>
          <w:sz w:val="24"/>
          <w:lang w:bidi="zh-CN"/>
        </w:rPr>
      </w:pPr>
      <w:r>
        <w:rPr>
          <w:rFonts w:hint="eastAsia" w:ascii="宋体" w:hAnsi="宋体"/>
          <w:b/>
          <w:color w:val="000000"/>
          <w:sz w:val="24"/>
          <w:lang w:bidi="zh-CN"/>
        </w:rPr>
        <w:t xml:space="preserve">                                          </w:t>
      </w:r>
    </w:p>
    <w:p>
      <w:pPr>
        <w:spacing w:line="360" w:lineRule="auto"/>
        <w:rPr>
          <w:rFonts w:ascii="宋体" w:hAnsi="宋体"/>
          <w:b/>
          <w:color w:val="000000"/>
          <w:sz w:val="24"/>
          <w:lang w:bidi="zh-CN"/>
        </w:rPr>
      </w:pPr>
    </w:p>
    <w:p>
      <w:pPr>
        <w:spacing w:line="360" w:lineRule="auto"/>
        <w:ind w:firstLine="5060" w:firstLineChars="2100"/>
        <w:rPr>
          <w:rFonts w:ascii="宋体" w:hAnsi="宋体"/>
          <w:b/>
          <w:color w:val="000000"/>
          <w:sz w:val="24"/>
          <w:lang w:bidi="zh-CN"/>
        </w:rPr>
      </w:pPr>
      <w:r>
        <w:rPr>
          <w:rFonts w:hint="eastAsia" w:ascii="宋体" w:hAnsi="宋体"/>
          <w:b/>
          <w:color w:val="000000"/>
          <w:sz w:val="24"/>
          <w:lang w:bidi="zh-CN"/>
        </w:rPr>
        <w:t xml:space="preserve">       北京康信君安资产管理有限公司</w:t>
      </w:r>
    </w:p>
    <w:p>
      <w:pPr>
        <w:spacing w:line="360" w:lineRule="auto"/>
        <w:ind w:firstLine="5060" w:firstLineChars="2100"/>
        <w:rPr>
          <w:rFonts w:ascii="宋体" w:hAnsi="宋体"/>
          <w:b/>
          <w:color w:val="000000"/>
          <w:sz w:val="24"/>
          <w:lang w:bidi="zh-CN"/>
        </w:rPr>
      </w:pPr>
      <w:r>
        <w:rPr>
          <w:rFonts w:hint="eastAsia" w:ascii="宋体" w:hAnsi="宋体"/>
          <w:b/>
          <w:color w:val="000000"/>
          <w:sz w:val="24"/>
          <w:lang w:bidi="zh-CN"/>
        </w:rPr>
        <w:t xml:space="preserve"> </w:t>
      </w:r>
      <w:r>
        <w:rPr>
          <w:rFonts w:ascii="宋体" w:hAnsi="宋体"/>
          <w:b/>
          <w:color w:val="000000"/>
          <w:sz w:val="24"/>
          <w:lang w:bidi="zh-CN"/>
        </w:rPr>
        <w:t xml:space="preserve">           </w:t>
      </w:r>
      <w:r>
        <w:rPr>
          <w:rFonts w:hint="eastAsia" w:ascii="宋体" w:hAnsi="宋体"/>
          <w:b/>
          <w:color w:val="000000"/>
          <w:sz w:val="24"/>
          <w:lang w:bidi="zh-CN"/>
        </w:rPr>
        <w:t>海盐恒大都汇华庭项目组</w:t>
      </w:r>
    </w:p>
    <w:p>
      <w:pPr>
        <w:spacing w:before="156" w:beforeLines="50" w:line="360" w:lineRule="auto"/>
        <w:ind w:left="420" w:leftChars="200" w:firstLine="482" w:firstLineChars="200"/>
        <w:rPr>
          <w:rFonts w:ascii="宋体" w:hAnsi="宋体"/>
          <w:b/>
          <w:bCs/>
          <w:color w:val="000000"/>
          <w:sz w:val="24"/>
          <w:lang w:bidi="zh-CN"/>
        </w:rPr>
      </w:pPr>
      <w:r>
        <w:rPr>
          <w:rFonts w:hint="eastAsia" w:ascii="宋体" w:hAnsi="宋体"/>
          <w:b/>
          <w:color w:val="000000"/>
          <w:sz w:val="24"/>
          <w:lang w:bidi="zh-CN"/>
        </w:rPr>
        <w:t xml:space="preserve">                       </w:t>
      </w:r>
      <w:r>
        <w:rPr>
          <w:rFonts w:ascii="宋体" w:hAnsi="宋体"/>
          <w:b/>
          <w:color w:val="000000"/>
          <w:sz w:val="24"/>
          <w:lang w:bidi="zh-CN"/>
        </w:rPr>
        <w:t xml:space="preserve">  </w:t>
      </w:r>
      <w:r>
        <w:rPr>
          <w:rFonts w:hint="eastAsia" w:ascii="宋体" w:hAnsi="宋体"/>
          <w:b/>
          <w:color w:val="000000"/>
          <w:sz w:val="24"/>
          <w:lang w:bidi="zh-CN"/>
        </w:rPr>
        <w:t xml:space="preserve">                    </w:t>
      </w:r>
      <w:r>
        <w:rPr>
          <w:rFonts w:ascii="宋体" w:hAnsi="宋体"/>
          <w:b/>
          <w:color w:val="000000"/>
          <w:sz w:val="24"/>
          <w:lang w:bidi="zh-CN"/>
        </w:rPr>
        <w:t xml:space="preserve">  </w:t>
      </w:r>
      <w:r>
        <w:rPr>
          <w:rFonts w:hint="eastAsia" w:ascii="宋体" w:hAnsi="宋体"/>
          <w:b/>
          <w:color w:val="000000"/>
          <w:sz w:val="24"/>
          <w:lang w:bidi="zh-CN"/>
        </w:rPr>
        <w:t xml:space="preserve">   </w:t>
      </w:r>
      <w:r>
        <w:rPr>
          <w:rFonts w:hint="eastAsia" w:ascii="宋体" w:hAnsi="宋体"/>
          <w:b/>
          <w:bCs/>
          <w:color w:val="000000"/>
          <w:sz w:val="24"/>
          <w:lang w:bidi="zh-CN"/>
        </w:rPr>
        <w:t xml:space="preserve"> 20</w:t>
      </w:r>
      <w:r>
        <w:rPr>
          <w:rFonts w:ascii="宋体" w:hAnsi="宋体"/>
          <w:b/>
          <w:bCs/>
          <w:color w:val="000000"/>
          <w:sz w:val="24"/>
          <w:lang w:bidi="zh-CN"/>
        </w:rPr>
        <w:t>20</w:t>
      </w:r>
      <w:r>
        <w:rPr>
          <w:rFonts w:hint="eastAsia" w:ascii="宋体" w:hAnsi="宋体"/>
          <w:b/>
          <w:bCs/>
          <w:color w:val="000000"/>
          <w:sz w:val="24"/>
          <w:lang w:bidi="zh-CN"/>
        </w:rPr>
        <w:t>年11</w:t>
      </w:r>
      <w:r>
        <w:rPr>
          <w:rFonts w:ascii="宋体" w:hAnsi="宋体"/>
          <w:b/>
          <w:bCs/>
          <w:color w:val="000000"/>
          <w:sz w:val="24"/>
          <w:lang w:bidi="zh-CN"/>
        </w:rPr>
        <w:t>月</w:t>
      </w:r>
      <w:r>
        <w:rPr>
          <w:rFonts w:hint="eastAsia" w:ascii="宋体" w:hAnsi="宋体"/>
          <w:b/>
          <w:bCs/>
          <w:color w:val="000000"/>
          <w:sz w:val="24"/>
          <w:lang w:bidi="zh-CN"/>
        </w:rPr>
        <w:t>4</w:t>
      </w:r>
      <w:r>
        <w:rPr>
          <w:rFonts w:ascii="宋体" w:hAnsi="宋体"/>
          <w:b/>
          <w:bCs/>
          <w:color w:val="000000"/>
          <w:sz w:val="24"/>
          <w:lang w:bidi="zh-CN"/>
        </w:rPr>
        <w:t>日</w:t>
      </w:r>
    </w:p>
    <w:p>
      <w:pPr>
        <w:rPr>
          <w:rFonts w:ascii="宋体" w:hAnsi="宋体"/>
          <w:color w:val="000000"/>
          <w:sz w:val="24"/>
          <w:lang w:bidi="zh-CN"/>
        </w:rPr>
      </w:pPr>
    </w:p>
    <w:p>
      <w:pPr>
        <w:spacing w:before="156" w:beforeLines="50" w:line="360" w:lineRule="auto"/>
        <w:rPr>
          <w:rFonts w:ascii="宋体" w:hAnsi="宋体"/>
          <w:b/>
          <w:bCs/>
          <w:color w:val="000000"/>
          <w:sz w:val="24"/>
          <w:lang w:bidi="zh-CN"/>
        </w:rPr>
        <w:sectPr>
          <w:headerReference r:id="rId5" w:type="first"/>
          <w:footerReference r:id="rId8" w:type="first"/>
          <w:headerReference r:id="rId3" w:type="default"/>
          <w:footerReference r:id="rId6" w:type="default"/>
          <w:headerReference r:id="rId4" w:type="even"/>
          <w:footerReference r:id="rId7" w:type="even"/>
          <w:pgSz w:w="11906" w:h="16838"/>
          <w:pgMar w:top="1134" w:right="1134" w:bottom="1134" w:left="1134" w:header="851" w:footer="992" w:gutter="0"/>
          <w:cols w:space="425" w:num="1"/>
          <w:docGrid w:type="lines" w:linePitch="312" w:charSpace="0"/>
        </w:sectPr>
      </w:pPr>
    </w:p>
    <w:p>
      <w:pPr>
        <w:spacing w:before="160" w:beforeLines="50" w:line="360" w:lineRule="auto"/>
        <w:rPr>
          <w:rFonts w:ascii="宋体" w:hAnsi="宋体"/>
          <w:b/>
          <w:bCs/>
          <w:color w:val="000000"/>
          <w:sz w:val="24"/>
          <w:lang w:bidi="zh-CN"/>
        </w:rPr>
      </w:pPr>
      <w:r>
        <w:rPr>
          <w:rFonts w:hint="eastAsia" w:ascii="宋体" w:hAnsi="宋体"/>
          <w:b/>
          <w:bCs/>
          <w:color w:val="000000"/>
          <w:sz w:val="24"/>
          <w:lang w:bidi="zh-CN"/>
        </w:rPr>
        <w:t>附件 工程支出明细</w:t>
      </w:r>
    </w:p>
    <w:tbl>
      <w:tblPr>
        <w:tblStyle w:val="12"/>
        <w:tblW w:w="0" w:type="auto"/>
        <w:tblInd w:w="-2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4"/>
        <w:gridCol w:w="1485"/>
        <w:gridCol w:w="2182"/>
        <w:gridCol w:w="1185"/>
        <w:gridCol w:w="1928"/>
        <w:gridCol w:w="1200"/>
        <w:gridCol w:w="1020"/>
        <w:gridCol w:w="720"/>
        <w:gridCol w:w="1155"/>
        <w:gridCol w:w="750"/>
        <w:gridCol w:w="1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234" w:type="dxa"/>
            <w:vAlign w:val="center"/>
          </w:tcPr>
          <w:p>
            <w:pPr>
              <w:widowControl/>
              <w:jc w:val="center"/>
              <w:textAlignment w:val="center"/>
              <w:rPr>
                <w:sz w:val="18"/>
                <w:szCs w:val="18"/>
              </w:rPr>
            </w:pPr>
            <w:r>
              <w:rPr>
                <w:rFonts w:hint="eastAsia" w:ascii="宋体" w:hAnsi="宋体" w:cs="宋体"/>
                <w:b/>
                <w:color w:val="000000"/>
                <w:kern w:val="0"/>
                <w:sz w:val="18"/>
                <w:szCs w:val="18"/>
                <w:lang w:bidi="ar"/>
              </w:rPr>
              <w:t>费用类型</w:t>
            </w:r>
          </w:p>
        </w:tc>
        <w:tc>
          <w:tcPr>
            <w:tcW w:w="1485" w:type="dxa"/>
            <w:vAlign w:val="center"/>
          </w:tcPr>
          <w:p>
            <w:pPr>
              <w:widowControl/>
              <w:jc w:val="center"/>
              <w:textAlignment w:val="center"/>
              <w:rPr>
                <w:sz w:val="18"/>
                <w:szCs w:val="18"/>
              </w:rPr>
            </w:pPr>
            <w:r>
              <w:rPr>
                <w:rFonts w:hint="eastAsia" w:ascii="宋体" w:hAnsi="宋体" w:cs="宋体"/>
                <w:b/>
                <w:color w:val="000000"/>
                <w:kern w:val="0"/>
                <w:sz w:val="18"/>
                <w:szCs w:val="18"/>
                <w:lang w:bidi="ar"/>
              </w:rPr>
              <w:t>施工单位名称</w:t>
            </w:r>
          </w:p>
        </w:tc>
        <w:tc>
          <w:tcPr>
            <w:tcW w:w="2182" w:type="dxa"/>
            <w:vAlign w:val="center"/>
          </w:tcPr>
          <w:p>
            <w:pPr>
              <w:widowControl/>
              <w:jc w:val="center"/>
              <w:textAlignment w:val="center"/>
              <w:rPr>
                <w:sz w:val="18"/>
                <w:szCs w:val="18"/>
              </w:rPr>
            </w:pPr>
            <w:r>
              <w:rPr>
                <w:rFonts w:hint="eastAsia" w:ascii="宋体" w:hAnsi="宋体" w:cs="宋体"/>
                <w:b/>
                <w:color w:val="000000"/>
                <w:kern w:val="0"/>
                <w:sz w:val="18"/>
                <w:szCs w:val="18"/>
                <w:lang w:bidi="ar"/>
              </w:rPr>
              <w:t>款项用途</w:t>
            </w:r>
          </w:p>
        </w:tc>
        <w:tc>
          <w:tcPr>
            <w:tcW w:w="1185" w:type="dxa"/>
            <w:vAlign w:val="center"/>
          </w:tcPr>
          <w:p>
            <w:pPr>
              <w:widowControl/>
              <w:jc w:val="center"/>
              <w:textAlignment w:val="center"/>
              <w:rPr>
                <w:sz w:val="18"/>
                <w:szCs w:val="18"/>
              </w:rPr>
            </w:pPr>
            <w:r>
              <w:rPr>
                <w:rFonts w:hint="eastAsia" w:ascii="宋体" w:hAnsi="宋体" w:cs="宋体"/>
                <w:b/>
                <w:color w:val="000000"/>
                <w:kern w:val="0"/>
                <w:sz w:val="18"/>
                <w:szCs w:val="18"/>
                <w:lang w:bidi="ar"/>
              </w:rPr>
              <w:t>合同金额（万元）</w:t>
            </w:r>
          </w:p>
        </w:tc>
        <w:tc>
          <w:tcPr>
            <w:tcW w:w="1928" w:type="dxa"/>
            <w:vAlign w:val="center"/>
          </w:tcPr>
          <w:p>
            <w:pPr>
              <w:widowControl/>
              <w:jc w:val="center"/>
              <w:textAlignment w:val="center"/>
              <w:rPr>
                <w:sz w:val="18"/>
                <w:szCs w:val="18"/>
              </w:rPr>
            </w:pPr>
            <w:r>
              <w:rPr>
                <w:rFonts w:hint="eastAsia" w:ascii="宋体" w:hAnsi="宋体" w:cs="宋体"/>
                <w:b/>
                <w:color w:val="000000"/>
                <w:kern w:val="0"/>
                <w:sz w:val="18"/>
                <w:szCs w:val="18"/>
                <w:lang w:bidi="ar"/>
              </w:rPr>
              <w:t>合同付款条件</w:t>
            </w:r>
          </w:p>
        </w:tc>
        <w:tc>
          <w:tcPr>
            <w:tcW w:w="1200" w:type="dxa"/>
            <w:vAlign w:val="center"/>
          </w:tcPr>
          <w:p>
            <w:pPr>
              <w:widowControl/>
              <w:jc w:val="center"/>
              <w:textAlignment w:val="center"/>
              <w:rPr>
                <w:sz w:val="18"/>
                <w:szCs w:val="18"/>
              </w:rPr>
            </w:pPr>
            <w:r>
              <w:rPr>
                <w:rFonts w:hint="eastAsia" w:ascii="宋体" w:hAnsi="宋体" w:cs="宋体"/>
                <w:b/>
                <w:color w:val="000000"/>
                <w:kern w:val="0"/>
                <w:sz w:val="18"/>
                <w:szCs w:val="18"/>
                <w:lang w:bidi="ar"/>
              </w:rPr>
              <w:t>已完成产值（万元）</w:t>
            </w:r>
          </w:p>
        </w:tc>
        <w:tc>
          <w:tcPr>
            <w:tcW w:w="1020" w:type="dxa"/>
            <w:vAlign w:val="center"/>
          </w:tcPr>
          <w:p>
            <w:pPr>
              <w:widowControl/>
              <w:jc w:val="center"/>
              <w:textAlignment w:val="center"/>
              <w:rPr>
                <w:sz w:val="18"/>
                <w:szCs w:val="18"/>
              </w:rPr>
            </w:pPr>
            <w:r>
              <w:rPr>
                <w:rFonts w:hint="eastAsia" w:ascii="宋体" w:hAnsi="宋体" w:cs="宋体"/>
                <w:b/>
                <w:color w:val="000000"/>
                <w:kern w:val="0"/>
                <w:sz w:val="18"/>
                <w:szCs w:val="18"/>
                <w:lang w:bidi="ar"/>
              </w:rPr>
              <w:t>累计已付款（万元）</w:t>
            </w:r>
          </w:p>
        </w:tc>
        <w:tc>
          <w:tcPr>
            <w:tcW w:w="720" w:type="dxa"/>
            <w:vAlign w:val="center"/>
          </w:tcPr>
          <w:p>
            <w:pPr>
              <w:widowControl/>
              <w:jc w:val="center"/>
              <w:textAlignment w:val="center"/>
              <w:rPr>
                <w:sz w:val="18"/>
                <w:szCs w:val="18"/>
              </w:rPr>
            </w:pPr>
            <w:r>
              <w:rPr>
                <w:rFonts w:hint="eastAsia" w:ascii="宋体" w:hAnsi="宋体" w:cs="宋体"/>
                <w:b/>
                <w:color w:val="000000"/>
                <w:kern w:val="0"/>
                <w:sz w:val="18"/>
                <w:szCs w:val="18"/>
                <w:lang w:bidi="ar"/>
              </w:rPr>
              <w:t>累计支付比例(%)</w:t>
            </w:r>
          </w:p>
        </w:tc>
        <w:tc>
          <w:tcPr>
            <w:tcW w:w="1155" w:type="dxa"/>
            <w:vAlign w:val="center"/>
          </w:tcPr>
          <w:p>
            <w:pPr>
              <w:widowControl/>
              <w:jc w:val="center"/>
              <w:textAlignment w:val="center"/>
              <w:rPr>
                <w:sz w:val="18"/>
                <w:szCs w:val="18"/>
              </w:rPr>
            </w:pPr>
            <w:r>
              <w:rPr>
                <w:rFonts w:hint="eastAsia" w:ascii="宋体" w:hAnsi="宋体" w:cs="宋体"/>
                <w:b/>
                <w:color w:val="000000"/>
                <w:kern w:val="0"/>
                <w:sz w:val="18"/>
                <w:szCs w:val="18"/>
                <w:lang w:bidi="ar"/>
              </w:rPr>
              <w:t>本月拟支付额（万元）</w:t>
            </w:r>
          </w:p>
        </w:tc>
        <w:tc>
          <w:tcPr>
            <w:tcW w:w="750" w:type="dxa"/>
            <w:vAlign w:val="center"/>
          </w:tcPr>
          <w:p>
            <w:pPr>
              <w:widowControl/>
              <w:jc w:val="center"/>
              <w:textAlignment w:val="center"/>
              <w:rPr>
                <w:sz w:val="18"/>
                <w:szCs w:val="18"/>
              </w:rPr>
            </w:pPr>
            <w:r>
              <w:rPr>
                <w:rFonts w:hint="eastAsia" w:ascii="宋体" w:hAnsi="宋体" w:cs="宋体"/>
                <w:b/>
                <w:color w:val="000000"/>
                <w:kern w:val="0"/>
                <w:sz w:val="18"/>
                <w:szCs w:val="18"/>
                <w:lang w:bidi="ar"/>
              </w:rPr>
              <w:t>付款后累计支付比例(%)</w:t>
            </w:r>
          </w:p>
        </w:tc>
        <w:tc>
          <w:tcPr>
            <w:tcW w:w="1005" w:type="dxa"/>
            <w:vAlign w:val="center"/>
          </w:tcPr>
          <w:p>
            <w:pPr>
              <w:widowControl/>
              <w:jc w:val="center"/>
              <w:textAlignment w:val="center"/>
              <w:rPr>
                <w:sz w:val="18"/>
                <w:szCs w:val="18"/>
              </w:rPr>
            </w:pPr>
            <w:r>
              <w:rPr>
                <w:rFonts w:hint="eastAsia" w:ascii="宋体" w:hAnsi="宋体" w:cs="宋体"/>
                <w:b/>
                <w:color w:val="000000"/>
                <w:kern w:val="0"/>
                <w:sz w:val="18"/>
                <w:szCs w:val="18"/>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trPr>
        <w:tc>
          <w:tcPr>
            <w:tcW w:w="1234" w:type="dxa"/>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工程材料款</w:t>
            </w:r>
          </w:p>
        </w:tc>
        <w:tc>
          <w:tcPr>
            <w:tcW w:w="1485" w:type="dxa"/>
            <w:vAlign w:val="center"/>
          </w:tcPr>
          <w:p>
            <w:pPr>
              <w:widowControl/>
              <w:jc w:val="center"/>
              <w:textAlignment w:val="center"/>
              <w:rPr>
                <w:sz w:val="18"/>
                <w:szCs w:val="18"/>
              </w:rPr>
            </w:pPr>
            <w:r>
              <w:rPr>
                <w:rFonts w:hint="eastAsia" w:ascii="宋体" w:hAnsi="宋体" w:cs="宋体"/>
                <w:kern w:val="0"/>
                <w:sz w:val="18"/>
                <w:szCs w:val="18"/>
                <w:lang w:bidi="ar"/>
              </w:rPr>
              <w:t>西安高科幕墙门窗有限公司</w:t>
            </w:r>
          </w:p>
        </w:tc>
        <w:tc>
          <w:tcPr>
            <w:tcW w:w="2182" w:type="dxa"/>
            <w:vAlign w:val="center"/>
          </w:tcPr>
          <w:p>
            <w:pPr>
              <w:widowControl/>
              <w:jc w:val="center"/>
              <w:textAlignment w:val="center"/>
              <w:rPr>
                <w:sz w:val="18"/>
                <w:szCs w:val="18"/>
              </w:rPr>
            </w:pPr>
            <w:r>
              <w:rPr>
                <w:rFonts w:hint="eastAsia" w:ascii="宋体" w:hAnsi="宋体" w:cs="宋体"/>
                <w:kern w:val="0"/>
                <w:sz w:val="18"/>
                <w:szCs w:val="18"/>
                <w:lang w:bidi="ar"/>
              </w:rPr>
              <w:t>海盐都汇华庭售楼处、商业、临时样板房外立面铝板备料款及进度款</w:t>
            </w:r>
          </w:p>
        </w:tc>
        <w:tc>
          <w:tcPr>
            <w:tcW w:w="1185" w:type="dxa"/>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196.95</w:t>
            </w:r>
          </w:p>
        </w:tc>
        <w:tc>
          <w:tcPr>
            <w:tcW w:w="1928" w:type="dxa"/>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进场7天内付10%--按月付产值的70%--结算付至97.5%--三年质保期满付清</w:t>
            </w:r>
          </w:p>
        </w:tc>
        <w:tc>
          <w:tcPr>
            <w:tcW w:w="1200" w:type="dxa"/>
            <w:vAlign w:val="center"/>
          </w:tcPr>
          <w:p>
            <w:pPr>
              <w:jc w:val="center"/>
              <w:rPr>
                <w:sz w:val="18"/>
                <w:szCs w:val="18"/>
              </w:rPr>
            </w:pPr>
            <w:r>
              <w:rPr>
                <w:rFonts w:hint="eastAsia" w:ascii="宋体" w:hAnsi="宋体" w:cs="宋体"/>
                <w:kern w:val="0"/>
                <w:sz w:val="18"/>
                <w:szCs w:val="18"/>
                <w:lang w:bidi="ar"/>
              </w:rPr>
              <w:t>196.95</w:t>
            </w:r>
          </w:p>
        </w:tc>
        <w:tc>
          <w:tcPr>
            <w:tcW w:w="1020" w:type="dxa"/>
            <w:vAlign w:val="center"/>
          </w:tcPr>
          <w:p>
            <w:pPr>
              <w:jc w:val="center"/>
              <w:rPr>
                <w:rFonts w:ascii="宋体" w:hAnsi="宋体" w:cs="宋体"/>
                <w:kern w:val="0"/>
                <w:sz w:val="18"/>
                <w:szCs w:val="18"/>
                <w:lang w:bidi="ar"/>
              </w:rPr>
            </w:pPr>
            <w:r>
              <w:rPr>
                <w:rFonts w:hint="eastAsia" w:ascii="宋体" w:hAnsi="宋体" w:cs="宋体"/>
                <w:kern w:val="0"/>
                <w:sz w:val="18"/>
                <w:szCs w:val="18"/>
                <w:lang w:bidi="ar"/>
              </w:rPr>
              <w:t>0</w:t>
            </w:r>
          </w:p>
        </w:tc>
        <w:tc>
          <w:tcPr>
            <w:tcW w:w="720" w:type="dxa"/>
            <w:vAlign w:val="center"/>
          </w:tcPr>
          <w:p>
            <w:pPr>
              <w:jc w:val="center"/>
              <w:rPr>
                <w:rFonts w:ascii="宋体" w:hAnsi="宋体" w:cs="宋体"/>
                <w:kern w:val="0"/>
                <w:sz w:val="18"/>
                <w:szCs w:val="18"/>
                <w:lang w:bidi="ar"/>
              </w:rPr>
            </w:pPr>
            <w:r>
              <w:rPr>
                <w:rFonts w:hint="eastAsia" w:ascii="宋体" w:hAnsi="宋体" w:cs="宋体"/>
                <w:kern w:val="0"/>
                <w:sz w:val="18"/>
                <w:szCs w:val="18"/>
                <w:lang w:bidi="ar"/>
              </w:rPr>
              <w:t>0%</w:t>
            </w:r>
          </w:p>
        </w:tc>
        <w:tc>
          <w:tcPr>
            <w:tcW w:w="1155" w:type="dxa"/>
            <w:vAlign w:val="center"/>
          </w:tcPr>
          <w:p>
            <w:pPr>
              <w:jc w:val="center"/>
              <w:rPr>
                <w:rFonts w:eastAsiaTheme="minorEastAsia"/>
                <w:sz w:val="18"/>
                <w:szCs w:val="18"/>
              </w:rPr>
            </w:pPr>
            <w:r>
              <w:rPr>
                <w:rFonts w:hint="eastAsia" w:ascii="宋体" w:hAnsi="宋体" w:cs="宋体"/>
                <w:kern w:val="0"/>
                <w:sz w:val="18"/>
                <w:szCs w:val="18"/>
                <w:lang w:bidi="ar"/>
              </w:rPr>
              <w:t>157.57</w:t>
            </w:r>
          </w:p>
        </w:tc>
        <w:tc>
          <w:tcPr>
            <w:tcW w:w="750" w:type="dxa"/>
            <w:vAlign w:val="center"/>
          </w:tcPr>
          <w:p>
            <w:pPr>
              <w:jc w:val="center"/>
              <w:rPr>
                <w:sz w:val="18"/>
                <w:szCs w:val="18"/>
              </w:rPr>
            </w:pPr>
            <w:r>
              <w:rPr>
                <w:rFonts w:hint="eastAsia" w:ascii="宋体" w:hAnsi="宋体" w:cs="宋体"/>
                <w:kern w:val="0"/>
                <w:sz w:val="18"/>
                <w:szCs w:val="18"/>
                <w:lang w:bidi="ar"/>
              </w:rPr>
              <w:t>80%</w:t>
            </w:r>
          </w:p>
        </w:tc>
        <w:tc>
          <w:tcPr>
            <w:tcW w:w="1005" w:type="dxa"/>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234" w:type="dxa"/>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一般工程款</w:t>
            </w:r>
          </w:p>
        </w:tc>
        <w:tc>
          <w:tcPr>
            <w:tcW w:w="1485" w:type="dxa"/>
            <w:vAlign w:val="center"/>
          </w:tcPr>
          <w:p>
            <w:pPr>
              <w:widowControl/>
              <w:jc w:val="center"/>
              <w:textAlignment w:val="center"/>
              <w:rPr>
                <w:sz w:val="18"/>
                <w:szCs w:val="18"/>
              </w:rPr>
            </w:pPr>
            <w:r>
              <w:rPr>
                <w:rFonts w:hint="eastAsia" w:ascii="宋体" w:hAnsi="宋体" w:cs="宋体"/>
                <w:kern w:val="0"/>
                <w:sz w:val="18"/>
                <w:szCs w:val="18"/>
                <w:lang w:bidi="ar"/>
              </w:rPr>
              <w:t>江苏骏兴建设工程有限公司</w:t>
            </w:r>
          </w:p>
        </w:tc>
        <w:tc>
          <w:tcPr>
            <w:tcW w:w="2182" w:type="dxa"/>
            <w:vAlign w:val="center"/>
          </w:tcPr>
          <w:p>
            <w:pPr>
              <w:widowControl/>
              <w:jc w:val="center"/>
              <w:textAlignment w:val="center"/>
              <w:rPr>
                <w:sz w:val="18"/>
                <w:szCs w:val="18"/>
              </w:rPr>
            </w:pPr>
            <w:r>
              <w:rPr>
                <w:rFonts w:hint="eastAsia" w:ascii="宋体" w:hAnsi="宋体" w:cs="宋体"/>
                <w:kern w:val="0"/>
                <w:sz w:val="18"/>
                <w:szCs w:val="18"/>
                <w:lang w:bidi="ar"/>
              </w:rPr>
              <w:t>海盐恒大都汇华庭支护工程进度款，用于支付农民工工资和材料款</w:t>
            </w:r>
          </w:p>
        </w:tc>
        <w:tc>
          <w:tcPr>
            <w:tcW w:w="1185" w:type="dxa"/>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4,055.13</w:t>
            </w:r>
          </w:p>
        </w:tc>
        <w:tc>
          <w:tcPr>
            <w:tcW w:w="1928" w:type="dxa"/>
            <w:vAlign w:val="center"/>
          </w:tcPr>
          <w:p>
            <w:pPr>
              <w:widowControl/>
              <w:jc w:val="center"/>
              <w:textAlignment w:val="center"/>
              <w:rPr>
                <w:sz w:val="18"/>
                <w:szCs w:val="18"/>
              </w:rPr>
            </w:pPr>
            <w:r>
              <w:rPr>
                <w:rFonts w:hint="eastAsia" w:ascii="宋体" w:hAnsi="宋体" w:cs="宋体"/>
                <w:kern w:val="0"/>
                <w:sz w:val="18"/>
                <w:szCs w:val="18"/>
                <w:lang w:bidi="ar"/>
              </w:rPr>
              <w:t>进度款付月产值80%--结算付清</w:t>
            </w:r>
          </w:p>
        </w:tc>
        <w:tc>
          <w:tcPr>
            <w:tcW w:w="1200" w:type="dxa"/>
            <w:vAlign w:val="center"/>
          </w:tcPr>
          <w:p>
            <w:pPr>
              <w:jc w:val="center"/>
              <w:rPr>
                <w:sz w:val="18"/>
                <w:szCs w:val="18"/>
              </w:rPr>
            </w:pPr>
            <w:r>
              <w:rPr>
                <w:rFonts w:hint="eastAsia" w:ascii="宋体" w:hAnsi="宋体" w:cs="宋体"/>
                <w:kern w:val="0"/>
                <w:sz w:val="18"/>
                <w:szCs w:val="18"/>
                <w:lang w:bidi="ar"/>
              </w:rPr>
              <w:t>2,404.92</w:t>
            </w:r>
          </w:p>
        </w:tc>
        <w:tc>
          <w:tcPr>
            <w:tcW w:w="1020" w:type="dxa"/>
            <w:vAlign w:val="center"/>
          </w:tcPr>
          <w:p>
            <w:pPr>
              <w:jc w:val="center"/>
              <w:rPr>
                <w:sz w:val="18"/>
                <w:szCs w:val="18"/>
              </w:rPr>
            </w:pPr>
            <w:r>
              <w:rPr>
                <w:rFonts w:hint="eastAsia" w:ascii="宋体" w:hAnsi="宋体" w:cs="宋体"/>
                <w:kern w:val="0"/>
                <w:sz w:val="18"/>
                <w:szCs w:val="18"/>
                <w:lang w:bidi="ar"/>
              </w:rPr>
              <w:t>1,187.13</w:t>
            </w:r>
          </w:p>
        </w:tc>
        <w:tc>
          <w:tcPr>
            <w:tcW w:w="720" w:type="dxa"/>
            <w:vAlign w:val="center"/>
          </w:tcPr>
          <w:p>
            <w:pPr>
              <w:jc w:val="center"/>
              <w:rPr>
                <w:sz w:val="18"/>
                <w:szCs w:val="18"/>
              </w:rPr>
            </w:pPr>
            <w:r>
              <w:rPr>
                <w:rFonts w:hint="eastAsia" w:ascii="宋体" w:hAnsi="宋体" w:cs="宋体"/>
                <w:kern w:val="0"/>
                <w:sz w:val="18"/>
                <w:szCs w:val="18"/>
                <w:lang w:bidi="ar"/>
              </w:rPr>
              <w:t>29%</w:t>
            </w:r>
          </w:p>
        </w:tc>
        <w:tc>
          <w:tcPr>
            <w:tcW w:w="1155" w:type="dxa"/>
            <w:vAlign w:val="center"/>
          </w:tcPr>
          <w:p>
            <w:pPr>
              <w:jc w:val="center"/>
              <w:rPr>
                <w:sz w:val="18"/>
                <w:szCs w:val="18"/>
              </w:rPr>
            </w:pPr>
            <w:r>
              <w:rPr>
                <w:rFonts w:hint="eastAsia" w:ascii="宋体" w:hAnsi="宋体" w:cs="宋体"/>
                <w:kern w:val="0"/>
                <w:sz w:val="18"/>
                <w:szCs w:val="18"/>
                <w:lang w:bidi="ar"/>
              </w:rPr>
              <w:t>736.81</w:t>
            </w:r>
          </w:p>
        </w:tc>
        <w:tc>
          <w:tcPr>
            <w:tcW w:w="750" w:type="dxa"/>
            <w:vAlign w:val="center"/>
          </w:tcPr>
          <w:p>
            <w:pPr>
              <w:jc w:val="center"/>
              <w:rPr>
                <w:sz w:val="18"/>
                <w:szCs w:val="18"/>
              </w:rPr>
            </w:pPr>
            <w:r>
              <w:rPr>
                <w:rFonts w:hint="eastAsia" w:ascii="宋体" w:hAnsi="宋体" w:cs="宋体"/>
                <w:kern w:val="0"/>
                <w:sz w:val="18"/>
                <w:szCs w:val="18"/>
                <w:lang w:bidi="ar"/>
              </w:rPr>
              <w:t>47%</w:t>
            </w:r>
          </w:p>
        </w:tc>
        <w:tc>
          <w:tcPr>
            <w:tcW w:w="1005" w:type="dxa"/>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34" w:type="dxa"/>
            <w:vAlign w:val="center"/>
          </w:tcPr>
          <w:p>
            <w:pPr>
              <w:jc w:val="center"/>
              <w:rPr>
                <w:sz w:val="18"/>
                <w:szCs w:val="18"/>
              </w:rPr>
            </w:pPr>
            <w:r>
              <w:rPr>
                <w:rFonts w:hint="eastAsia" w:ascii="宋体" w:hAnsi="宋体" w:cs="宋体"/>
                <w:kern w:val="0"/>
                <w:sz w:val="18"/>
                <w:szCs w:val="18"/>
                <w:lang w:bidi="ar"/>
              </w:rPr>
              <w:t>一般工程款</w:t>
            </w:r>
          </w:p>
        </w:tc>
        <w:tc>
          <w:tcPr>
            <w:tcW w:w="1485" w:type="dxa"/>
            <w:vAlign w:val="center"/>
          </w:tcPr>
          <w:p>
            <w:pPr>
              <w:widowControl/>
              <w:jc w:val="center"/>
              <w:textAlignment w:val="center"/>
              <w:rPr>
                <w:sz w:val="18"/>
                <w:szCs w:val="18"/>
              </w:rPr>
            </w:pPr>
            <w:r>
              <w:rPr>
                <w:rFonts w:hint="eastAsia" w:ascii="宋体" w:hAnsi="宋体" w:cs="宋体"/>
                <w:kern w:val="0"/>
                <w:sz w:val="18"/>
                <w:szCs w:val="18"/>
                <w:lang w:bidi="ar"/>
              </w:rPr>
              <w:t>江苏骏兴建设工程有限公司</w:t>
            </w:r>
          </w:p>
        </w:tc>
        <w:tc>
          <w:tcPr>
            <w:tcW w:w="2182" w:type="dxa"/>
            <w:vAlign w:val="center"/>
          </w:tcPr>
          <w:p>
            <w:pPr>
              <w:widowControl/>
              <w:jc w:val="center"/>
              <w:textAlignment w:val="center"/>
              <w:rPr>
                <w:sz w:val="18"/>
                <w:szCs w:val="18"/>
              </w:rPr>
            </w:pPr>
            <w:r>
              <w:rPr>
                <w:rFonts w:hint="eastAsia" w:ascii="宋体" w:hAnsi="宋体" w:cs="宋体"/>
                <w:kern w:val="0"/>
                <w:sz w:val="18"/>
                <w:szCs w:val="18"/>
                <w:lang w:bidi="ar"/>
              </w:rPr>
              <w:t>海盐恒大都汇华庭基桩工程进度款，用于支付农民工工资和材料款</w:t>
            </w:r>
          </w:p>
        </w:tc>
        <w:tc>
          <w:tcPr>
            <w:tcW w:w="1185" w:type="dxa"/>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7,596.27</w:t>
            </w:r>
          </w:p>
        </w:tc>
        <w:tc>
          <w:tcPr>
            <w:tcW w:w="1928" w:type="dxa"/>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进度款付月产值80%--竣工验收97%--质保期满100%</w:t>
            </w:r>
          </w:p>
        </w:tc>
        <w:tc>
          <w:tcPr>
            <w:tcW w:w="1200" w:type="dxa"/>
            <w:vAlign w:val="center"/>
          </w:tcPr>
          <w:p>
            <w:pPr>
              <w:jc w:val="center"/>
              <w:rPr>
                <w:sz w:val="18"/>
                <w:szCs w:val="18"/>
              </w:rPr>
            </w:pPr>
            <w:r>
              <w:rPr>
                <w:rFonts w:hint="eastAsia" w:ascii="宋体" w:hAnsi="宋体" w:cs="宋体"/>
                <w:kern w:val="0"/>
                <w:sz w:val="18"/>
                <w:szCs w:val="18"/>
                <w:lang w:bidi="ar"/>
              </w:rPr>
              <w:t>6,705.45</w:t>
            </w:r>
          </w:p>
        </w:tc>
        <w:tc>
          <w:tcPr>
            <w:tcW w:w="1020" w:type="dxa"/>
            <w:vAlign w:val="center"/>
          </w:tcPr>
          <w:p>
            <w:pPr>
              <w:jc w:val="center"/>
              <w:rPr>
                <w:sz w:val="18"/>
                <w:szCs w:val="18"/>
              </w:rPr>
            </w:pPr>
            <w:r>
              <w:rPr>
                <w:rFonts w:hint="eastAsia" w:ascii="宋体" w:hAnsi="宋体" w:cs="宋体"/>
                <w:kern w:val="0"/>
                <w:sz w:val="18"/>
                <w:szCs w:val="18"/>
                <w:lang w:bidi="ar"/>
              </w:rPr>
              <w:t>3,074.87</w:t>
            </w:r>
          </w:p>
        </w:tc>
        <w:tc>
          <w:tcPr>
            <w:tcW w:w="720" w:type="dxa"/>
            <w:vAlign w:val="center"/>
          </w:tcPr>
          <w:p>
            <w:pPr>
              <w:jc w:val="center"/>
              <w:rPr>
                <w:sz w:val="18"/>
                <w:szCs w:val="18"/>
              </w:rPr>
            </w:pPr>
            <w:r>
              <w:rPr>
                <w:rFonts w:hint="eastAsia" w:ascii="宋体" w:hAnsi="宋体" w:cs="宋体"/>
                <w:kern w:val="0"/>
                <w:sz w:val="18"/>
                <w:szCs w:val="18"/>
                <w:lang w:bidi="ar"/>
              </w:rPr>
              <w:t>46%</w:t>
            </w:r>
          </w:p>
        </w:tc>
        <w:tc>
          <w:tcPr>
            <w:tcW w:w="1155" w:type="dxa"/>
            <w:vAlign w:val="center"/>
          </w:tcPr>
          <w:p>
            <w:pPr>
              <w:jc w:val="center"/>
              <w:rPr>
                <w:rFonts w:ascii="宋体" w:hAnsi="宋体" w:cs="宋体"/>
                <w:kern w:val="0"/>
                <w:sz w:val="18"/>
                <w:szCs w:val="18"/>
                <w:lang w:bidi="ar"/>
              </w:rPr>
            </w:pPr>
            <w:r>
              <w:rPr>
                <w:rFonts w:hint="eastAsia" w:ascii="宋体" w:hAnsi="宋体" w:cs="宋体"/>
                <w:kern w:val="0"/>
                <w:sz w:val="18"/>
                <w:szCs w:val="18"/>
                <w:lang w:bidi="ar"/>
              </w:rPr>
              <w:t>2,105.57</w:t>
            </w:r>
          </w:p>
        </w:tc>
        <w:tc>
          <w:tcPr>
            <w:tcW w:w="750" w:type="dxa"/>
            <w:vAlign w:val="center"/>
          </w:tcPr>
          <w:p>
            <w:pPr>
              <w:jc w:val="center"/>
              <w:rPr>
                <w:rFonts w:ascii="宋体" w:hAnsi="宋体" w:cs="宋体"/>
                <w:kern w:val="0"/>
                <w:sz w:val="18"/>
                <w:szCs w:val="18"/>
                <w:lang w:bidi="ar"/>
              </w:rPr>
            </w:pPr>
            <w:r>
              <w:rPr>
                <w:rFonts w:hint="eastAsia" w:ascii="宋体" w:hAnsi="宋体" w:cs="宋体"/>
                <w:kern w:val="0"/>
                <w:sz w:val="18"/>
                <w:szCs w:val="18"/>
                <w:lang w:bidi="ar"/>
              </w:rPr>
              <w:t>68%</w:t>
            </w:r>
          </w:p>
        </w:tc>
        <w:tc>
          <w:tcPr>
            <w:tcW w:w="1005" w:type="dxa"/>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6" w:hRule="atLeast"/>
        </w:trPr>
        <w:tc>
          <w:tcPr>
            <w:tcW w:w="1234" w:type="dxa"/>
            <w:vAlign w:val="center"/>
          </w:tcPr>
          <w:p>
            <w:pPr>
              <w:jc w:val="center"/>
              <w:rPr>
                <w:sz w:val="18"/>
                <w:szCs w:val="18"/>
              </w:rPr>
            </w:pPr>
            <w:r>
              <w:rPr>
                <w:rFonts w:hint="eastAsia" w:ascii="宋体" w:hAnsi="宋体" w:cs="宋体"/>
                <w:kern w:val="0"/>
                <w:sz w:val="18"/>
                <w:szCs w:val="18"/>
                <w:lang w:bidi="ar"/>
              </w:rPr>
              <w:t>工程设计费</w:t>
            </w:r>
          </w:p>
        </w:tc>
        <w:tc>
          <w:tcPr>
            <w:tcW w:w="1485" w:type="dxa"/>
            <w:vAlign w:val="center"/>
          </w:tcPr>
          <w:p>
            <w:pPr>
              <w:widowControl/>
              <w:jc w:val="center"/>
              <w:textAlignment w:val="center"/>
              <w:rPr>
                <w:rFonts w:ascii="宋体" w:hAnsi="宋体" w:cs="宋体"/>
                <w:kern w:val="0"/>
                <w:sz w:val="18"/>
                <w:szCs w:val="18"/>
                <w:lang w:bidi="ar"/>
              </w:rPr>
            </w:pPr>
          </w:p>
          <w:p>
            <w:pPr>
              <w:widowControl/>
              <w:jc w:val="center"/>
              <w:textAlignment w:val="center"/>
              <w:rPr>
                <w:sz w:val="18"/>
                <w:szCs w:val="18"/>
              </w:rPr>
            </w:pPr>
            <w:r>
              <w:rPr>
                <w:rFonts w:hint="eastAsia" w:ascii="宋体" w:hAnsi="宋体" w:cs="宋体"/>
                <w:kern w:val="0"/>
                <w:sz w:val="18"/>
                <w:szCs w:val="18"/>
                <w:lang w:bidi="ar"/>
              </w:rPr>
              <w:t>上海电气承广电力工程有限公司</w:t>
            </w:r>
          </w:p>
        </w:tc>
        <w:tc>
          <w:tcPr>
            <w:tcW w:w="2182" w:type="dxa"/>
            <w:vAlign w:val="center"/>
          </w:tcPr>
          <w:p>
            <w:pPr>
              <w:widowControl/>
              <w:jc w:val="center"/>
              <w:textAlignment w:val="center"/>
              <w:rPr>
                <w:rFonts w:ascii="宋体" w:hAnsi="宋体" w:cs="宋体"/>
                <w:kern w:val="0"/>
                <w:sz w:val="18"/>
                <w:szCs w:val="18"/>
                <w:lang w:bidi="ar"/>
              </w:rPr>
            </w:pPr>
          </w:p>
          <w:p>
            <w:pPr>
              <w:widowControl/>
              <w:jc w:val="center"/>
              <w:textAlignment w:val="center"/>
              <w:rPr>
                <w:sz w:val="18"/>
                <w:szCs w:val="18"/>
              </w:rPr>
            </w:pPr>
            <w:r>
              <w:rPr>
                <w:rFonts w:hint="eastAsia" w:ascii="宋体" w:hAnsi="宋体" w:cs="宋体"/>
                <w:kern w:val="0"/>
                <w:sz w:val="18"/>
                <w:szCs w:val="18"/>
                <w:lang w:bidi="ar"/>
              </w:rPr>
              <w:t>海盐恒大都汇华庭临时电工程款</w:t>
            </w:r>
          </w:p>
        </w:tc>
        <w:tc>
          <w:tcPr>
            <w:tcW w:w="1185" w:type="dxa"/>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56.53</w:t>
            </w:r>
          </w:p>
        </w:tc>
        <w:tc>
          <w:tcPr>
            <w:tcW w:w="1928" w:type="dxa"/>
            <w:vAlign w:val="center"/>
          </w:tcPr>
          <w:p>
            <w:pPr>
              <w:widowControl/>
              <w:jc w:val="center"/>
              <w:textAlignment w:val="center"/>
              <w:rPr>
                <w:sz w:val="18"/>
                <w:szCs w:val="18"/>
              </w:rPr>
            </w:pPr>
            <w:r>
              <w:rPr>
                <w:rFonts w:hint="eastAsia" w:ascii="宋体" w:hAnsi="宋体" w:cs="宋体"/>
                <w:kern w:val="0"/>
                <w:sz w:val="18"/>
                <w:szCs w:val="18"/>
                <w:lang w:bidi="ar"/>
              </w:rPr>
              <w:t>合同生效之日起3天内，甲方向乙方预付设计及施工费用的100%。</w:t>
            </w:r>
          </w:p>
        </w:tc>
        <w:tc>
          <w:tcPr>
            <w:tcW w:w="1200" w:type="dxa"/>
            <w:vAlign w:val="center"/>
          </w:tcPr>
          <w:p>
            <w:pPr>
              <w:jc w:val="center"/>
              <w:rPr>
                <w:rFonts w:eastAsiaTheme="minorEastAsia"/>
                <w:sz w:val="18"/>
                <w:szCs w:val="18"/>
              </w:rPr>
            </w:pPr>
            <w:r>
              <w:rPr>
                <w:rFonts w:hint="eastAsia" w:ascii="宋体" w:hAnsi="宋体" w:cs="宋体"/>
                <w:kern w:val="0"/>
                <w:sz w:val="18"/>
                <w:szCs w:val="18"/>
                <w:lang w:bidi="ar"/>
              </w:rPr>
              <w:t>/</w:t>
            </w:r>
          </w:p>
        </w:tc>
        <w:tc>
          <w:tcPr>
            <w:tcW w:w="1020" w:type="dxa"/>
            <w:vAlign w:val="center"/>
          </w:tcPr>
          <w:p>
            <w:pPr>
              <w:jc w:val="center"/>
              <w:rPr>
                <w:sz w:val="18"/>
                <w:szCs w:val="18"/>
              </w:rPr>
            </w:pPr>
            <w:r>
              <w:rPr>
                <w:rFonts w:hint="eastAsia" w:ascii="宋体" w:hAnsi="宋体" w:cs="宋体"/>
                <w:kern w:val="0"/>
                <w:sz w:val="18"/>
                <w:szCs w:val="18"/>
                <w:lang w:bidi="ar"/>
              </w:rPr>
              <w:t>0</w:t>
            </w:r>
          </w:p>
        </w:tc>
        <w:tc>
          <w:tcPr>
            <w:tcW w:w="720" w:type="dxa"/>
            <w:vAlign w:val="center"/>
          </w:tcPr>
          <w:p>
            <w:pPr>
              <w:jc w:val="center"/>
              <w:rPr>
                <w:sz w:val="18"/>
                <w:szCs w:val="18"/>
              </w:rPr>
            </w:pPr>
            <w:r>
              <w:rPr>
                <w:rFonts w:hint="eastAsia" w:ascii="宋体" w:hAnsi="宋体" w:cs="宋体"/>
                <w:kern w:val="0"/>
                <w:sz w:val="18"/>
                <w:szCs w:val="18"/>
                <w:lang w:bidi="ar"/>
              </w:rPr>
              <w:t>0%</w:t>
            </w:r>
          </w:p>
        </w:tc>
        <w:tc>
          <w:tcPr>
            <w:tcW w:w="1155" w:type="dxa"/>
            <w:vAlign w:val="center"/>
          </w:tcPr>
          <w:p>
            <w:pPr>
              <w:jc w:val="center"/>
              <w:rPr>
                <w:sz w:val="18"/>
                <w:szCs w:val="18"/>
              </w:rPr>
            </w:pPr>
            <w:r>
              <w:rPr>
                <w:rFonts w:hint="eastAsia" w:ascii="宋体" w:hAnsi="宋体" w:cs="宋体"/>
                <w:kern w:val="0"/>
                <w:sz w:val="18"/>
                <w:szCs w:val="18"/>
                <w:lang w:bidi="ar"/>
              </w:rPr>
              <w:t>56.53</w:t>
            </w:r>
          </w:p>
        </w:tc>
        <w:tc>
          <w:tcPr>
            <w:tcW w:w="750" w:type="dxa"/>
            <w:vAlign w:val="center"/>
          </w:tcPr>
          <w:p>
            <w:pPr>
              <w:jc w:val="center"/>
              <w:rPr>
                <w:sz w:val="18"/>
                <w:szCs w:val="18"/>
              </w:rPr>
            </w:pPr>
            <w:r>
              <w:rPr>
                <w:rFonts w:hint="eastAsia" w:ascii="宋体" w:hAnsi="宋体" w:cs="宋体"/>
                <w:kern w:val="0"/>
                <w:sz w:val="18"/>
                <w:szCs w:val="18"/>
                <w:lang w:bidi="ar"/>
              </w:rPr>
              <w:t>100%</w:t>
            </w:r>
          </w:p>
        </w:tc>
        <w:tc>
          <w:tcPr>
            <w:tcW w:w="1005" w:type="dxa"/>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34" w:type="dxa"/>
            <w:vAlign w:val="center"/>
          </w:tcPr>
          <w:p>
            <w:pPr>
              <w:jc w:val="center"/>
              <w:rPr>
                <w:sz w:val="18"/>
                <w:szCs w:val="18"/>
              </w:rPr>
            </w:pPr>
            <w:r>
              <w:rPr>
                <w:rFonts w:hint="eastAsia" w:ascii="宋体" w:hAnsi="宋体" w:cs="宋体"/>
                <w:kern w:val="0"/>
                <w:sz w:val="18"/>
                <w:szCs w:val="18"/>
                <w:lang w:bidi="ar"/>
              </w:rPr>
              <w:t>一般工程款</w:t>
            </w:r>
          </w:p>
        </w:tc>
        <w:tc>
          <w:tcPr>
            <w:tcW w:w="1485" w:type="dxa"/>
            <w:vAlign w:val="center"/>
          </w:tcPr>
          <w:p>
            <w:pPr>
              <w:widowControl/>
              <w:jc w:val="center"/>
              <w:textAlignment w:val="center"/>
              <w:rPr>
                <w:sz w:val="18"/>
                <w:szCs w:val="18"/>
              </w:rPr>
            </w:pPr>
            <w:r>
              <w:rPr>
                <w:rFonts w:hint="eastAsia" w:ascii="宋体" w:hAnsi="宋体" w:cs="宋体"/>
                <w:kern w:val="0"/>
                <w:sz w:val="18"/>
                <w:szCs w:val="18"/>
                <w:lang w:bidi="ar"/>
              </w:rPr>
              <w:t>江苏省苏中建设集团股份有限公司</w:t>
            </w:r>
          </w:p>
        </w:tc>
        <w:tc>
          <w:tcPr>
            <w:tcW w:w="2182" w:type="dxa"/>
            <w:vAlign w:val="center"/>
          </w:tcPr>
          <w:p>
            <w:pPr>
              <w:widowControl/>
              <w:jc w:val="center"/>
              <w:textAlignment w:val="center"/>
              <w:rPr>
                <w:sz w:val="18"/>
                <w:szCs w:val="18"/>
              </w:rPr>
            </w:pPr>
            <w:r>
              <w:rPr>
                <w:rFonts w:hint="eastAsia" w:ascii="宋体" w:hAnsi="宋体" w:cs="宋体"/>
                <w:kern w:val="0"/>
                <w:sz w:val="18"/>
                <w:szCs w:val="18"/>
                <w:lang w:bidi="ar"/>
              </w:rPr>
              <w:t>海盐恒大都汇华庭项目主体及配套建设工程进度款</w:t>
            </w:r>
          </w:p>
        </w:tc>
        <w:tc>
          <w:tcPr>
            <w:tcW w:w="1185" w:type="dxa"/>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21,500.00</w:t>
            </w:r>
          </w:p>
        </w:tc>
        <w:tc>
          <w:tcPr>
            <w:tcW w:w="1928" w:type="dxa"/>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按月进度的80%</w:t>
            </w:r>
          </w:p>
        </w:tc>
        <w:tc>
          <w:tcPr>
            <w:tcW w:w="1200" w:type="dxa"/>
            <w:vAlign w:val="center"/>
          </w:tcPr>
          <w:p>
            <w:pPr>
              <w:jc w:val="center"/>
              <w:rPr>
                <w:sz w:val="18"/>
                <w:szCs w:val="18"/>
              </w:rPr>
            </w:pPr>
            <w:r>
              <w:rPr>
                <w:rFonts w:hint="eastAsia" w:ascii="宋体" w:hAnsi="宋体" w:cs="宋体"/>
                <w:kern w:val="0"/>
                <w:sz w:val="18"/>
                <w:szCs w:val="18"/>
                <w:lang w:bidi="ar"/>
              </w:rPr>
              <w:t>650.00</w:t>
            </w:r>
          </w:p>
        </w:tc>
        <w:tc>
          <w:tcPr>
            <w:tcW w:w="1020" w:type="dxa"/>
            <w:vAlign w:val="center"/>
          </w:tcPr>
          <w:p>
            <w:pPr>
              <w:jc w:val="center"/>
              <w:rPr>
                <w:sz w:val="18"/>
                <w:szCs w:val="18"/>
              </w:rPr>
            </w:pPr>
            <w:r>
              <w:rPr>
                <w:rFonts w:hint="eastAsia" w:ascii="宋体" w:hAnsi="宋体" w:cs="宋体"/>
                <w:kern w:val="0"/>
                <w:sz w:val="18"/>
                <w:szCs w:val="18"/>
                <w:lang w:bidi="ar"/>
              </w:rPr>
              <w:t>0</w:t>
            </w:r>
          </w:p>
        </w:tc>
        <w:tc>
          <w:tcPr>
            <w:tcW w:w="720" w:type="dxa"/>
            <w:vAlign w:val="center"/>
          </w:tcPr>
          <w:p>
            <w:pPr>
              <w:jc w:val="center"/>
              <w:rPr>
                <w:sz w:val="18"/>
                <w:szCs w:val="18"/>
              </w:rPr>
            </w:pPr>
            <w:r>
              <w:rPr>
                <w:rFonts w:hint="eastAsia" w:ascii="宋体" w:hAnsi="宋体" w:cs="宋体"/>
                <w:kern w:val="0"/>
                <w:sz w:val="18"/>
                <w:szCs w:val="18"/>
                <w:lang w:bidi="ar"/>
              </w:rPr>
              <w:t>0%</w:t>
            </w:r>
          </w:p>
        </w:tc>
        <w:tc>
          <w:tcPr>
            <w:tcW w:w="1155" w:type="dxa"/>
            <w:vAlign w:val="center"/>
          </w:tcPr>
          <w:p>
            <w:pPr>
              <w:jc w:val="center"/>
              <w:rPr>
                <w:sz w:val="18"/>
                <w:szCs w:val="18"/>
              </w:rPr>
            </w:pPr>
            <w:r>
              <w:rPr>
                <w:rFonts w:hint="eastAsia" w:ascii="宋体" w:hAnsi="宋体" w:cs="宋体"/>
                <w:kern w:val="0"/>
                <w:sz w:val="18"/>
                <w:szCs w:val="18"/>
                <w:lang w:bidi="ar"/>
              </w:rPr>
              <w:t>520.00</w:t>
            </w:r>
          </w:p>
        </w:tc>
        <w:tc>
          <w:tcPr>
            <w:tcW w:w="750" w:type="dxa"/>
            <w:vAlign w:val="center"/>
          </w:tcPr>
          <w:p>
            <w:pPr>
              <w:jc w:val="center"/>
              <w:rPr>
                <w:sz w:val="18"/>
                <w:szCs w:val="18"/>
              </w:rPr>
            </w:pPr>
            <w:r>
              <w:rPr>
                <w:rFonts w:hint="eastAsia" w:ascii="宋体" w:hAnsi="宋体" w:cs="宋体"/>
                <w:kern w:val="0"/>
                <w:sz w:val="18"/>
                <w:szCs w:val="18"/>
                <w:lang w:bidi="ar"/>
              </w:rPr>
              <w:t>2.4%</w:t>
            </w:r>
          </w:p>
        </w:tc>
        <w:tc>
          <w:tcPr>
            <w:tcW w:w="1005" w:type="dxa"/>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9" w:hRule="atLeast"/>
        </w:trPr>
        <w:tc>
          <w:tcPr>
            <w:tcW w:w="1234" w:type="dxa"/>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监理费</w:t>
            </w:r>
          </w:p>
        </w:tc>
        <w:tc>
          <w:tcPr>
            <w:tcW w:w="1485" w:type="dxa"/>
            <w:vAlign w:val="center"/>
          </w:tcPr>
          <w:p>
            <w:pPr>
              <w:widowControl/>
              <w:jc w:val="center"/>
              <w:textAlignment w:val="center"/>
              <w:rPr>
                <w:sz w:val="18"/>
                <w:szCs w:val="18"/>
              </w:rPr>
            </w:pPr>
            <w:r>
              <w:rPr>
                <w:rFonts w:hint="eastAsia" w:ascii="宋体" w:hAnsi="宋体" w:cs="宋体"/>
                <w:kern w:val="0"/>
                <w:sz w:val="18"/>
                <w:szCs w:val="18"/>
                <w:lang w:bidi="ar"/>
              </w:rPr>
              <w:t>广州市恒合工程监理有限公司</w:t>
            </w:r>
          </w:p>
        </w:tc>
        <w:tc>
          <w:tcPr>
            <w:tcW w:w="2182" w:type="dxa"/>
            <w:vAlign w:val="center"/>
          </w:tcPr>
          <w:p>
            <w:pPr>
              <w:widowControl/>
              <w:jc w:val="center"/>
              <w:textAlignment w:val="center"/>
              <w:rPr>
                <w:sz w:val="18"/>
                <w:szCs w:val="18"/>
              </w:rPr>
            </w:pPr>
            <w:r>
              <w:rPr>
                <w:rFonts w:hint="eastAsia" w:ascii="宋体" w:hAnsi="宋体" w:cs="宋体"/>
                <w:kern w:val="0"/>
                <w:sz w:val="18"/>
                <w:szCs w:val="18"/>
                <w:lang w:bidi="ar"/>
              </w:rPr>
              <w:t>海盐恒大都汇华庭监理工程预付款</w:t>
            </w:r>
          </w:p>
        </w:tc>
        <w:tc>
          <w:tcPr>
            <w:tcW w:w="1185" w:type="dxa"/>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347.62</w:t>
            </w:r>
          </w:p>
        </w:tc>
        <w:tc>
          <w:tcPr>
            <w:tcW w:w="1928" w:type="dxa"/>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首付款付20%+主体基础开工付20%+封顶付40%+竣工验收付余款</w:t>
            </w:r>
          </w:p>
        </w:tc>
        <w:tc>
          <w:tcPr>
            <w:tcW w:w="1200" w:type="dxa"/>
            <w:vAlign w:val="center"/>
          </w:tcPr>
          <w:p>
            <w:pPr>
              <w:jc w:val="center"/>
              <w:rPr>
                <w:sz w:val="18"/>
                <w:szCs w:val="18"/>
              </w:rPr>
            </w:pPr>
            <w:r>
              <w:rPr>
                <w:rFonts w:hint="eastAsia" w:ascii="宋体" w:hAnsi="宋体" w:cs="宋体"/>
                <w:kern w:val="0"/>
                <w:sz w:val="18"/>
                <w:szCs w:val="18"/>
                <w:lang w:bidi="ar"/>
              </w:rPr>
              <w:t>/</w:t>
            </w:r>
          </w:p>
        </w:tc>
        <w:tc>
          <w:tcPr>
            <w:tcW w:w="1020" w:type="dxa"/>
            <w:vAlign w:val="center"/>
          </w:tcPr>
          <w:p>
            <w:pPr>
              <w:jc w:val="center"/>
              <w:rPr>
                <w:sz w:val="18"/>
                <w:szCs w:val="18"/>
              </w:rPr>
            </w:pPr>
            <w:r>
              <w:rPr>
                <w:rFonts w:hint="eastAsia" w:ascii="宋体" w:hAnsi="宋体" w:cs="宋体"/>
                <w:kern w:val="0"/>
                <w:sz w:val="18"/>
                <w:szCs w:val="18"/>
                <w:lang w:bidi="ar"/>
              </w:rPr>
              <w:t>0</w:t>
            </w:r>
          </w:p>
        </w:tc>
        <w:tc>
          <w:tcPr>
            <w:tcW w:w="720" w:type="dxa"/>
            <w:vAlign w:val="center"/>
          </w:tcPr>
          <w:p>
            <w:pPr>
              <w:jc w:val="center"/>
              <w:rPr>
                <w:sz w:val="18"/>
                <w:szCs w:val="18"/>
              </w:rPr>
            </w:pPr>
            <w:r>
              <w:rPr>
                <w:rFonts w:hint="eastAsia" w:ascii="宋体" w:hAnsi="宋体" w:cs="宋体"/>
                <w:kern w:val="0"/>
                <w:sz w:val="18"/>
                <w:szCs w:val="18"/>
                <w:lang w:bidi="ar"/>
              </w:rPr>
              <w:t>0%</w:t>
            </w:r>
          </w:p>
        </w:tc>
        <w:tc>
          <w:tcPr>
            <w:tcW w:w="1155" w:type="dxa"/>
            <w:vAlign w:val="center"/>
          </w:tcPr>
          <w:p>
            <w:pPr>
              <w:jc w:val="center"/>
              <w:rPr>
                <w:sz w:val="18"/>
                <w:szCs w:val="18"/>
              </w:rPr>
            </w:pPr>
            <w:r>
              <w:rPr>
                <w:rFonts w:hint="eastAsia" w:ascii="宋体" w:hAnsi="宋体" w:cs="宋体"/>
                <w:kern w:val="0"/>
                <w:sz w:val="18"/>
                <w:szCs w:val="18"/>
                <w:lang w:bidi="ar"/>
              </w:rPr>
              <w:t>69.52</w:t>
            </w:r>
          </w:p>
        </w:tc>
        <w:tc>
          <w:tcPr>
            <w:tcW w:w="750" w:type="dxa"/>
            <w:vAlign w:val="center"/>
          </w:tcPr>
          <w:p>
            <w:pPr>
              <w:jc w:val="center"/>
              <w:rPr>
                <w:sz w:val="18"/>
                <w:szCs w:val="18"/>
              </w:rPr>
            </w:pPr>
            <w:r>
              <w:rPr>
                <w:rFonts w:hint="eastAsia" w:ascii="宋体" w:hAnsi="宋体" w:cs="宋体"/>
                <w:kern w:val="0"/>
                <w:sz w:val="18"/>
                <w:szCs w:val="18"/>
                <w:lang w:bidi="ar"/>
              </w:rPr>
              <w:t>20%</w:t>
            </w:r>
          </w:p>
        </w:tc>
        <w:tc>
          <w:tcPr>
            <w:tcW w:w="1005" w:type="dxa"/>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34" w:type="dxa"/>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工程安装费</w:t>
            </w:r>
          </w:p>
        </w:tc>
        <w:tc>
          <w:tcPr>
            <w:tcW w:w="1485" w:type="dxa"/>
            <w:vAlign w:val="center"/>
          </w:tcPr>
          <w:p>
            <w:pPr>
              <w:widowControl/>
              <w:jc w:val="center"/>
              <w:textAlignment w:val="center"/>
              <w:rPr>
                <w:sz w:val="18"/>
                <w:szCs w:val="18"/>
              </w:rPr>
            </w:pPr>
            <w:r>
              <w:rPr>
                <w:rFonts w:hint="eastAsia" w:ascii="宋体" w:hAnsi="宋体" w:cs="宋体"/>
                <w:kern w:val="0"/>
                <w:sz w:val="18"/>
                <w:szCs w:val="18"/>
                <w:lang w:bidi="ar"/>
              </w:rPr>
              <w:t>杭州芝浦机电设备工程有限公司</w:t>
            </w:r>
          </w:p>
        </w:tc>
        <w:tc>
          <w:tcPr>
            <w:tcW w:w="2182" w:type="dxa"/>
            <w:vAlign w:val="center"/>
          </w:tcPr>
          <w:p>
            <w:pPr>
              <w:widowControl/>
              <w:jc w:val="center"/>
              <w:textAlignment w:val="center"/>
              <w:rPr>
                <w:sz w:val="18"/>
                <w:szCs w:val="18"/>
              </w:rPr>
            </w:pPr>
            <w:r>
              <w:rPr>
                <w:rFonts w:hint="eastAsia" w:ascii="宋体" w:hAnsi="宋体" w:cs="宋体"/>
                <w:kern w:val="0"/>
                <w:sz w:val="18"/>
                <w:szCs w:val="18"/>
                <w:lang w:bidi="ar"/>
              </w:rPr>
              <w:t>海盐恒大都汇华庭售楼处小型中央空调工程安装款</w:t>
            </w:r>
          </w:p>
        </w:tc>
        <w:tc>
          <w:tcPr>
            <w:tcW w:w="1185" w:type="dxa"/>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10.52</w:t>
            </w:r>
          </w:p>
        </w:tc>
        <w:tc>
          <w:tcPr>
            <w:tcW w:w="1928" w:type="dxa"/>
            <w:vAlign w:val="center"/>
          </w:tcPr>
          <w:p>
            <w:pPr>
              <w:jc w:val="center"/>
              <w:rPr>
                <w:sz w:val="18"/>
                <w:szCs w:val="18"/>
              </w:rPr>
            </w:pPr>
            <w:r>
              <w:rPr>
                <w:rFonts w:hint="eastAsia" w:ascii="宋体" w:hAnsi="宋体" w:cs="宋体"/>
                <w:kern w:val="0"/>
                <w:sz w:val="18"/>
                <w:szCs w:val="18"/>
                <w:lang w:bidi="ar"/>
              </w:rPr>
              <w:t>甲方在验收合格之日起60日内向乙方支付该批货物安装费的60%</w:t>
            </w:r>
          </w:p>
        </w:tc>
        <w:tc>
          <w:tcPr>
            <w:tcW w:w="1200" w:type="dxa"/>
            <w:vAlign w:val="center"/>
          </w:tcPr>
          <w:p>
            <w:pPr>
              <w:jc w:val="center"/>
              <w:rPr>
                <w:sz w:val="18"/>
                <w:szCs w:val="18"/>
              </w:rPr>
            </w:pPr>
            <w:r>
              <w:rPr>
                <w:rFonts w:hint="eastAsia" w:ascii="宋体" w:hAnsi="宋体" w:cs="宋体"/>
                <w:kern w:val="0"/>
                <w:sz w:val="18"/>
                <w:szCs w:val="18"/>
                <w:lang w:bidi="ar"/>
              </w:rPr>
              <w:t>/</w:t>
            </w:r>
          </w:p>
        </w:tc>
        <w:tc>
          <w:tcPr>
            <w:tcW w:w="1020" w:type="dxa"/>
            <w:vAlign w:val="center"/>
          </w:tcPr>
          <w:p>
            <w:pPr>
              <w:jc w:val="center"/>
              <w:rPr>
                <w:sz w:val="18"/>
                <w:szCs w:val="18"/>
              </w:rPr>
            </w:pPr>
            <w:r>
              <w:rPr>
                <w:rFonts w:hint="eastAsia" w:ascii="宋体" w:hAnsi="宋体" w:cs="宋体"/>
                <w:kern w:val="0"/>
                <w:sz w:val="18"/>
                <w:szCs w:val="18"/>
                <w:lang w:bidi="ar"/>
              </w:rPr>
              <w:t>0</w:t>
            </w:r>
          </w:p>
        </w:tc>
        <w:tc>
          <w:tcPr>
            <w:tcW w:w="720" w:type="dxa"/>
            <w:vAlign w:val="center"/>
          </w:tcPr>
          <w:p>
            <w:pPr>
              <w:jc w:val="center"/>
              <w:rPr>
                <w:sz w:val="18"/>
                <w:szCs w:val="18"/>
              </w:rPr>
            </w:pPr>
            <w:r>
              <w:rPr>
                <w:rFonts w:hint="eastAsia" w:ascii="宋体" w:hAnsi="宋体" w:cs="宋体"/>
                <w:kern w:val="0"/>
                <w:sz w:val="18"/>
                <w:szCs w:val="18"/>
                <w:lang w:bidi="ar"/>
              </w:rPr>
              <w:t>0%</w:t>
            </w:r>
          </w:p>
        </w:tc>
        <w:tc>
          <w:tcPr>
            <w:tcW w:w="1155" w:type="dxa"/>
            <w:vAlign w:val="center"/>
          </w:tcPr>
          <w:p>
            <w:pPr>
              <w:jc w:val="center"/>
              <w:rPr>
                <w:sz w:val="18"/>
                <w:szCs w:val="18"/>
              </w:rPr>
            </w:pPr>
            <w:r>
              <w:rPr>
                <w:rFonts w:hint="eastAsia" w:ascii="宋体" w:hAnsi="宋体" w:cs="宋体"/>
                <w:kern w:val="0"/>
                <w:sz w:val="18"/>
                <w:szCs w:val="18"/>
                <w:lang w:bidi="ar"/>
              </w:rPr>
              <w:t>6.31</w:t>
            </w:r>
          </w:p>
        </w:tc>
        <w:tc>
          <w:tcPr>
            <w:tcW w:w="750" w:type="dxa"/>
            <w:vAlign w:val="center"/>
          </w:tcPr>
          <w:p>
            <w:pPr>
              <w:jc w:val="center"/>
              <w:rPr>
                <w:sz w:val="18"/>
                <w:szCs w:val="18"/>
              </w:rPr>
            </w:pPr>
            <w:r>
              <w:rPr>
                <w:rFonts w:hint="eastAsia" w:ascii="宋体" w:hAnsi="宋体" w:cs="宋体"/>
                <w:kern w:val="0"/>
                <w:sz w:val="18"/>
                <w:szCs w:val="18"/>
                <w:lang w:bidi="ar"/>
              </w:rPr>
              <w:t>60%</w:t>
            </w:r>
          </w:p>
        </w:tc>
        <w:tc>
          <w:tcPr>
            <w:tcW w:w="1005" w:type="dxa"/>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34" w:type="dxa"/>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工程安装费</w:t>
            </w:r>
          </w:p>
        </w:tc>
        <w:tc>
          <w:tcPr>
            <w:tcW w:w="1485" w:type="dxa"/>
            <w:vAlign w:val="center"/>
          </w:tcPr>
          <w:p>
            <w:pPr>
              <w:widowControl/>
              <w:jc w:val="center"/>
              <w:textAlignment w:val="center"/>
              <w:rPr>
                <w:sz w:val="18"/>
                <w:szCs w:val="18"/>
              </w:rPr>
            </w:pPr>
            <w:r>
              <w:rPr>
                <w:rFonts w:hint="eastAsia" w:ascii="宋体" w:hAnsi="宋体" w:cs="宋体"/>
                <w:kern w:val="0"/>
                <w:sz w:val="18"/>
                <w:szCs w:val="18"/>
                <w:lang w:bidi="ar"/>
              </w:rPr>
              <w:t>杭州芝浦机电设备工程有限公司</w:t>
            </w:r>
          </w:p>
        </w:tc>
        <w:tc>
          <w:tcPr>
            <w:tcW w:w="2182" w:type="dxa"/>
            <w:vAlign w:val="center"/>
          </w:tcPr>
          <w:p>
            <w:pPr>
              <w:widowControl/>
              <w:jc w:val="center"/>
              <w:textAlignment w:val="center"/>
              <w:rPr>
                <w:sz w:val="18"/>
                <w:szCs w:val="18"/>
              </w:rPr>
            </w:pPr>
            <w:r>
              <w:rPr>
                <w:rFonts w:hint="eastAsia" w:ascii="宋体" w:hAnsi="宋体" w:cs="宋体"/>
                <w:kern w:val="0"/>
                <w:sz w:val="18"/>
                <w:szCs w:val="18"/>
                <w:lang w:bidi="ar"/>
              </w:rPr>
              <w:t>海盐恒大都汇华庭临时样板房小型中央空调安装工程款</w:t>
            </w:r>
          </w:p>
        </w:tc>
        <w:tc>
          <w:tcPr>
            <w:tcW w:w="1185" w:type="dxa"/>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2.11</w:t>
            </w:r>
          </w:p>
        </w:tc>
        <w:tc>
          <w:tcPr>
            <w:tcW w:w="1928" w:type="dxa"/>
            <w:vAlign w:val="center"/>
          </w:tcPr>
          <w:p>
            <w:pPr>
              <w:jc w:val="center"/>
              <w:rPr>
                <w:sz w:val="18"/>
                <w:szCs w:val="18"/>
              </w:rPr>
            </w:pPr>
            <w:r>
              <w:rPr>
                <w:rFonts w:hint="eastAsia" w:ascii="宋体" w:hAnsi="宋体" w:cs="宋体"/>
                <w:kern w:val="0"/>
                <w:sz w:val="18"/>
                <w:szCs w:val="18"/>
                <w:lang w:bidi="ar"/>
              </w:rPr>
              <w:t>甲方在验收合格之日起60日内向乙方支付该批货物安装费的60%</w:t>
            </w:r>
          </w:p>
        </w:tc>
        <w:tc>
          <w:tcPr>
            <w:tcW w:w="1200" w:type="dxa"/>
            <w:vAlign w:val="center"/>
          </w:tcPr>
          <w:p>
            <w:pPr>
              <w:jc w:val="center"/>
              <w:rPr>
                <w:sz w:val="18"/>
                <w:szCs w:val="18"/>
              </w:rPr>
            </w:pPr>
            <w:r>
              <w:rPr>
                <w:rFonts w:hint="eastAsia" w:ascii="宋体" w:hAnsi="宋体" w:cs="宋体"/>
                <w:kern w:val="0"/>
                <w:sz w:val="18"/>
                <w:szCs w:val="18"/>
                <w:lang w:bidi="ar"/>
              </w:rPr>
              <w:t>/</w:t>
            </w:r>
          </w:p>
        </w:tc>
        <w:tc>
          <w:tcPr>
            <w:tcW w:w="1020" w:type="dxa"/>
            <w:vAlign w:val="center"/>
          </w:tcPr>
          <w:p>
            <w:pPr>
              <w:jc w:val="center"/>
              <w:rPr>
                <w:sz w:val="18"/>
                <w:szCs w:val="18"/>
              </w:rPr>
            </w:pPr>
            <w:r>
              <w:rPr>
                <w:rFonts w:hint="eastAsia" w:ascii="宋体" w:hAnsi="宋体" w:cs="宋体"/>
                <w:kern w:val="0"/>
                <w:sz w:val="18"/>
                <w:szCs w:val="18"/>
                <w:lang w:bidi="ar"/>
              </w:rPr>
              <w:t>0</w:t>
            </w:r>
          </w:p>
        </w:tc>
        <w:tc>
          <w:tcPr>
            <w:tcW w:w="720" w:type="dxa"/>
            <w:vAlign w:val="center"/>
          </w:tcPr>
          <w:p>
            <w:pPr>
              <w:jc w:val="center"/>
              <w:rPr>
                <w:sz w:val="18"/>
                <w:szCs w:val="18"/>
              </w:rPr>
            </w:pPr>
            <w:r>
              <w:rPr>
                <w:rFonts w:hint="eastAsia" w:ascii="宋体" w:hAnsi="宋体" w:cs="宋体"/>
                <w:kern w:val="0"/>
                <w:sz w:val="18"/>
                <w:szCs w:val="18"/>
                <w:lang w:bidi="ar"/>
              </w:rPr>
              <w:t>0%</w:t>
            </w:r>
          </w:p>
        </w:tc>
        <w:tc>
          <w:tcPr>
            <w:tcW w:w="1155" w:type="dxa"/>
            <w:vAlign w:val="center"/>
          </w:tcPr>
          <w:p>
            <w:pPr>
              <w:jc w:val="center"/>
              <w:rPr>
                <w:sz w:val="18"/>
                <w:szCs w:val="18"/>
              </w:rPr>
            </w:pPr>
            <w:r>
              <w:rPr>
                <w:rFonts w:hint="eastAsia" w:ascii="宋体" w:hAnsi="宋体" w:cs="宋体"/>
                <w:kern w:val="0"/>
                <w:sz w:val="18"/>
                <w:szCs w:val="18"/>
                <w:lang w:bidi="ar"/>
              </w:rPr>
              <w:t>1.27</w:t>
            </w:r>
          </w:p>
        </w:tc>
        <w:tc>
          <w:tcPr>
            <w:tcW w:w="750" w:type="dxa"/>
            <w:vAlign w:val="center"/>
          </w:tcPr>
          <w:p>
            <w:pPr>
              <w:jc w:val="center"/>
              <w:rPr>
                <w:sz w:val="18"/>
                <w:szCs w:val="18"/>
              </w:rPr>
            </w:pPr>
            <w:r>
              <w:rPr>
                <w:rFonts w:hint="eastAsia" w:ascii="宋体" w:hAnsi="宋体" w:cs="宋体"/>
                <w:kern w:val="0"/>
                <w:sz w:val="18"/>
                <w:szCs w:val="18"/>
                <w:lang w:bidi="ar"/>
              </w:rPr>
              <w:t>60%</w:t>
            </w:r>
          </w:p>
        </w:tc>
        <w:tc>
          <w:tcPr>
            <w:tcW w:w="1005" w:type="dxa"/>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34" w:type="dxa"/>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一般工程款</w:t>
            </w:r>
          </w:p>
        </w:tc>
        <w:tc>
          <w:tcPr>
            <w:tcW w:w="1485" w:type="dxa"/>
            <w:vAlign w:val="center"/>
          </w:tcPr>
          <w:p>
            <w:pPr>
              <w:widowControl/>
              <w:jc w:val="center"/>
              <w:textAlignment w:val="center"/>
              <w:rPr>
                <w:sz w:val="18"/>
                <w:szCs w:val="18"/>
              </w:rPr>
            </w:pPr>
            <w:r>
              <w:rPr>
                <w:rFonts w:hint="eastAsia" w:ascii="宋体" w:hAnsi="宋体" w:cs="宋体"/>
                <w:kern w:val="0"/>
                <w:sz w:val="18"/>
                <w:szCs w:val="18"/>
                <w:lang w:bidi="ar"/>
              </w:rPr>
              <w:t>上海煜铂广告有限公司</w:t>
            </w:r>
          </w:p>
        </w:tc>
        <w:tc>
          <w:tcPr>
            <w:tcW w:w="2182" w:type="dxa"/>
            <w:vAlign w:val="center"/>
          </w:tcPr>
          <w:p>
            <w:pPr>
              <w:widowControl/>
              <w:jc w:val="center"/>
              <w:textAlignment w:val="center"/>
              <w:rPr>
                <w:sz w:val="18"/>
                <w:szCs w:val="18"/>
              </w:rPr>
            </w:pPr>
            <w:r>
              <w:rPr>
                <w:rFonts w:hint="eastAsia" w:ascii="宋体" w:hAnsi="宋体" w:cs="宋体"/>
                <w:kern w:val="0"/>
                <w:sz w:val="18"/>
                <w:szCs w:val="18"/>
                <w:lang w:bidi="ar"/>
              </w:rPr>
              <w:t>海盐恒大都汇华庭围蔽进度款</w:t>
            </w:r>
          </w:p>
        </w:tc>
        <w:tc>
          <w:tcPr>
            <w:tcW w:w="1185" w:type="dxa"/>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182.5</w:t>
            </w:r>
          </w:p>
        </w:tc>
        <w:tc>
          <w:tcPr>
            <w:tcW w:w="1928" w:type="dxa"/>
            <w:vAlign w:val="center"/>
          </w:tcPr>
          <w:p>
            <w:pPr>
              <w:jc w:val="center"/>
              <w:rPr>
                <w:sz w:val="18"/>
                <w:szCs w:val="18"/>
              </w:rPr>
            </w:pPr>
            <w:r>
              <w:rPr>
                <w:rFonts w:hint="eastAsia" w:ascii="宋体" w:hAnsi="宋体" w:cs="宋体"/>
                <w:kern w:val="0"/>
                <w:sz w:val="18"/>
                <w:szCs w:val="18"/>
                <w:lang w:bidi="ar"/>
              </w:rPr>
              <w:t>进度款按月产值80%--竣工验收97%--质保期满100%</w:t>
            </w:r>
          </w:p>
        </w:tc>
        <w:tc>
          <w:tcPr>
            <w:tcW w:w="1200" w:type="dxa"/>
            <w:vAlign w:val="center"/>
          </w:tcPr>
          <w:p>
            <w:pPr>
              <w:widowControl/>
              <w:jc w:val="center"/>
              <w:textAlignment w:val="center"/>
              <w:rPr>
                <w:rFonts w:eastAsiaTheme="minorEastAsia"/>
                <w:sz w:val="18"/>
                <w:szCs w:val="18"/>
              </w:rPr>
            </w:pPr>
            <w:r>
              <w:rPr>
                <w:rFonts w:hint="eastAsia" w:ascii="宋体" w:hAnsi="宋体" w:cs="宋体"/>
                <w:kern w:val="0"/>
                <w:sz w:val="18"/>
                <w:szCs w:val="18"/>
                <w:lang w:bidi="ar"/>
              </w:rPr>
              <w:t>100.00</w:t>
            </w:r>
          </w:p>
        </w:tc>
        <w:tc>
          <w:tcPr>
            <w:tcW w:w="1020" w:type="dxa"/>
            <w:vAlign w:val="center"/>
          </w:tcPr>
          <w:p>
            <w:pPr>
              <w:jc w:val="center"/>
              <w:rPr>
                <w:rFonts w:ascii="宋体" w:hAnsi="宋体" w:cs="宋体"/>
                <w:kern w:val="0"/>
                <w:sz w:val="18"/>
                <w:szCs w:val="18"/>
                <w:lang w:bidi="ar"/>
              </w:rPr>
            </w:pPr>
            <w:r>
              <w:rPr>
                <w:rFonts w:hint="eastAsia" w:ascii="宋体" w:hAnsi="宋体" w:cs="宋体"/>
                <w:kern w:val="0"/>
                <w:sz w:val="18"/>
                <w:szCs w:val="18"/>
                <w:lang w:bidi="ar"/>
              </w:rPr>
              <w:t>0</w:t>
            </w:r>
          </w:p>
        </w:tc>
        <w:tc>
          <w:tcPr>
            <w:tcW w:w="720" w:type="dxa"/>
            <w:vAlign w:val="center"/>
          </w:tcPr>
          <w:p>
            <w:pPr>
              <w:jc w:val="center"/>
              <w:rPr>
                <w:rFonts w:ascii="宋体" w:hAnsi="宋体" w:cs="宋体"/>
                <w:kern w:val="0"/>
                <w:sz w:val="18"/>
                <w:szCs w:val="18"/>
                <w:lang w:bidi="ar"/>
              </w:rPr>
            </w:pPr>
            <w:r>
              <w:rPr>
                <w:rFonts w:hint="eastAsia" w:ascii="宋体" w:hAnsi="宋体" w:cs="宋体"/>
                <w:kern w:val="0"/>
                <w:sz w:val="18"/>
                <w:szCs w:val="18"/>
                <w:lang w:bidi="ar"/>
              </w:rPr>
              <w:t>0%</w:t>
            </w:r>
          </w:p>
        </w:tc>
        <w:tc>
          <w:tcPr>
            <w:tcW w:w="1155" w:type="dxa"/>
            <w:vAlign w:val="center"/>
          </w:tcPr>
          <w:p>
            <w:pPr>
              <w:jc w:val="center"/>
              <w:rPr>
                <w:rFonts w:ascii="宋体" w:hAnsi="宋体" w:cs="宋体"/>
                <w:kern w:val="0"/>
                <w:sz w:val="18"/>
                <w:szCs w:val="18"/>
                <w:lang w:bidi="ar"/>
              </w:rPr>
            </w:pPr>
            <w:r>
              <w:rPr>
                <w:rFonts w:hint="eastAsia" w:ascii="宋体" w:hAnsi="宋体" w:cs="宋体"/>
                <w:kern w:val="0"/>
                <w:sz w:val="18"/>
                <w:szCs w:val="18"/>
                <w:lang w:bidi="ar"/>
              </w:rPr>
              <w:t>80.00</w:t>
            </w:r>
          </w:p>
        </w:tc>
        <w:tc>
          <w:tcPr>
            <w:tcW w:w="750" w:type="dxa"/>
            <w:vAlign w:val="center"/>
          </w:tcPr>
          <w:p>
            <w:pPr>
              <w:jc w:val="center"/>
              <w:rPr>
                <w:rFonts w:ascii="宋体" w:hAnsi="宋体" w:cs="宋体"/>
                <w:kern w:val="0"/>
                <w:sz w:val="18"/>
                <w:szCs w:val="18"/>
                <w:lang w:bidi="ar"/>
              </w:rPr>
            </w:pPr>
            <w:r>
              <w:rPr>
                <w:rFonts w:hint="eastAsia" w:ascii="宋体" w:hAnsi="宋体" w:cs="宋体"/>
                <w:kern w:val="0"/>
                <w:sz w:val="18"/>
                <w:szCs w:val="18"/>
                <w:lang w:bidi="ar"/>
              </w:rPr>
              <w:t>44%</w:t>
            </w:r>
          </w:p>
        </w:tc>
        <w:tc>
          <w:tcPr>
            <w:tcW w:w="1005" w:type="dxa"/>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34" w:type="dxa"/>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工程材料款</w:t>
            </w:r>
          </w:p>
        </w:tc>
        <w:tc>
          <w:tcPr>
            <w:tcW w:w="1485" w:type="dxa"/>
            <w:vAlign w:val="center"/>
          </w:tcPr>
          <w:p>
            <w:pPr>
              <w:widowControl/>
              <w:jc w:val="center"/>
              <w:textAlignment w:val="center"/>
              <w:rPr>
                <w:sz w:val="18"/>
                <w:szCs w:val="18"/>
              </w:rPr>
            </w:pPr>
            <w:r>
              <w:rPr>
                <w:rFonts w:hint="eastAsia" w:ascii="宋体" w:hAnsi="宋体" w:cs="宋体"/>
                <w:kern w:val="0"/>
                <w:sz w:val="18"/>
                <w:szCs w:val="18"/>
                <w:lang w:bidi="ar"/>
              </w:rPr>
              <w:t>南京长岛建设工程有限公司</w:t>
            </w:r>
          </w:p>
        </w:tc>
        <w:tc>
          <w:tcPr>
            <w:tcW w:w="2182" w:type="dxa"/>
            <w:vAlign w:val="center"/>
          </w:tcPr>
          <w:p>
            <w:pPr>
              <w:widowControl/>
              <w:jc w:val="center"/>
              <w:textAlignment w:val="center"/>
              <w:rPr>
                <w:sz w:val="18"/>
                <w:szCs w:val="18"/>
              </w:rPr>
            </w:pPr>
            <w:r>
              <w:rPr>
                <w:rFonts w:hint="eastAsia" w:ascii="宋体" w:hAnsi="宋体" w:cs="宋体"/>
                <w:kern w:val="0"/>
                <w:sz w:val="18"/>
                <w:szCs w:val="18"/>
                <w:lang w:bidi="ar"/>
              </w:rPr>
              <w:t>海盐恒大都汇华庭临时样板房室内装修备料款</w:t>
            </w:r>
          </w:p>
        </w:tc>
        <w:tc>
          <w:tcPr>
            <w:tcW w:w="1185" w:type="dxa"/>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13.75</w:t>
            </w:r>
          </w:p>
        </w:tc>
        <w:tc>
          <w:tcPr>
            <w:tcW w:w="1928" w:type="dxa"/>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合同签订后乙方进场施工后7天内，支付50%的工程备料款</w:t>
            </w:r>
          </w:p>
        </w:tc>
        <w:tc>
          <w:tcPr>
            <w:tcW w:w="1200" w:type="dxa"/>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w:t>
            </w:r>
          </w:p>
        </w:tc>
        <w:tc>
          <w:tcPr>
            <w:tcW w:w="1020" w:type="dxa"/>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0</w:t>
            </w:r>
          </w:p>
        </w:tc>
        <w:tc>
          <w:tcPr>
            <w:tcW w:w="720" w:type="dxa"/>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0%</w:t>
            </w:r>
          </w:p>
        </w:tc>
        <w:tc>
          <w:tcPr>
            <w:tcW w:w="1155" w:type="dxa"/>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6.87</w:t>
            </w:r>
          </w:p>
        </w:tc>
        <w:tc>
          <w:tcPr>
            <w:tcW w:w="750" w:type="dxa"/>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50%</w:t>
            </w:r>
          </w:p>
        </w:tc>
        <w:tc>
          <w:tcPr>
            <w:tcW w:w="1005" w:type="dxa"/>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66" w:hRule="atLeast"/>
        </w:trPr>
        <w:tc>
          <w:tcPr>
            <w:tcW w:w="1234" w:type="dxa"/>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一般工程款</w:t>
            </w:r>
          </w:p>
        </w:tc>
        <w:tc>
          <w:tcPr>
            <w:tcW w:w="1485" w:type="dxa"/>
            <w:vAlign w:val="center"/>
          </w:tcPr>
          <w:p>
            <w:pPr>
              <w:widowControl/>
              <w:jc w:val="center"/>
              <w:textAlignment w:val="center"/>
              <w:rPr>
                <w:sz w:val="18"/>
                <w:szCs w:val="18"/>
              </w:rPr>
            </w:pPr>
            <w:r>
              <w:rPr>
                <w:rFonts w:hint="eastAsia" w:ascii="宋体" w:hAnsi="宋体" w:cs="宋体"/>
                <w:kern w:val="0"/>
                <w:sz w:val="18"/>
                <w:szCs w:val="18"/>
                <w:lang w:bidi="ar"/>
              </w:rPr>
              <w:t>安徽省安泰科技股份有限公司</w:t>
            </w:r>
          </w:p>
        </w:tc>
        <w:tc>
          <w:tcPr>
            <w:tcW w:w="2182" w:type="dxa"/>
            <w:vAlign w:val="center"/>
          </w:tcPr>
          <w:p>
            <w:pPr>
              <w:widowControl/>
              <w:jc w:val="center"/>
              <w:textAlignment w:val="center"/>
              <w:rPr>
                <w:sz w:val="18"/>
                <w:szCs w:val="18"/>
              </w:rPr>
            </w:pPr>
            <w:r>
              <w:rPr>
                <w:rFonts w:hint="eastAsia" w:ascii="宋体" w:hAnsi="宋体" w:cs="宋体"/>
                <w:kern w:val="0"/>
                <w:sz w:val="18"/>
                <w:szCs w:val="18"/>
                <w:lang w:bidi="ar"/>
              </w:rPr>
              <w:t>售楼处、临时样板房智能化工程进度款</w:t>
            </w:r>
          </w:p>
        </w:tc>
        <w:tc>
          <w:tcPr>
            <w:tcW w:w="1185" w:type="dxa"/>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23.72</w:t>
            </w:r>
          </w:p>
        </w:tc>
        <w:tc>
          <w:tcPr>
            <w:tcW w:w="1928" w:type="dxa"/>
            <w:vAlign w:val="center"/>
          </w:tcPr>
          <w:p>
            <w:pPr>
              <w:jc w:val="center"/>
              <w:rPr>
                <w:sz w:val="18"/>
                <w:szCs w:val="18"/>
              </w:rPr>
            </w:pPr>
            <w:r>
              <w:rPr>
                <w:rFonts w:hint="eastAsia" w:ascii="宋体" w:hAnsi="宋体" w:cs="宋体"/>
                <w:kern w:val="0"/>
                <w:sz w:val="18"/>
                <w:szCs w:val="18"/>
                <w:lang w:bidi="ar"/>
              </w:rPr>
              <w:t>乙方进场施工后10天内，甲方支付乙方合同暂定总价的10%作为预付款，进度款按每月实际完成并验收合格的工程量支付70%</w:t>
            </w:r>
          </w:p>
        </w:tc>
        <w:tc>
          <w:tcPr>
            <w:tcW w:w="1200" w:type="dxa"/>
            <w:vAlign w:val="center"/>
          </w:tcPr>
          <w:p>
            <w:pPr>
              <w:widowControl/>
              <w:jc w:val="center"/>
              <w:textAlignment w:val="center"/>
              <w:rPr>
                <w:sz w:val="18"/>
                <w:szCs w:val="18"/>
              </w:rPr>
            </w:pPr>
            <w:r>
              <w:rPr>
                <w:rFonts w:hint="eastAsia" w:ascii="宋体" w:hAnsi="宋体" w:cs="宋体"/>
                <w:kern w:val="0"/>
                <w:sz w:val="18"/>
                <w:szCs w:val="18"/>
                <w:lang w:bidi="ar"/>
              </w:rPr>
              <w:t>23.72</w:t>
            </w:r>
          </w:p>
        </w:tc>
        <w:tc>
          <w:tcPr>
            <w:tcW w:w="1020" w:type="dxa"/>
            <w:vAlign w:val="center"/>
          </w:tcPr>
          <w:p>
            <w:pPr>
              <w:widowControl/>
              <w:jc w:val="center"/>
              <w:textAlignment w:val="center"/>
              <w:rPr>
                <w:sz w:val="18"/>
                <w:szCs w:val="18"/>
              </w:rPr>
            </w:pPr>
            <w:r>
              <w:rPr>
                <w:rFonts w:hint="eastAsia" w:ascii="宋体" w:hAnsi="宋体" w:cs="宋体"/>
                <w:kern w:val="0"/>
                <w:sz w:val="18"/>
                <w:szCs w:val="18"/>
                <w:lang w:bidi="ar"/>
              </w:rPr>
              <w:t>0</w:t>
            </w:r>
          </w:p>
        </w:tc>
        <w:tc>
          <w:tcPr>
            <w:tcW w:w="720" w:type="dxa"/>
            <w:vAlign w:val="center"/>
          </w:tcPr>
          <w:p>
            <w:pPr>
              <w:widowControl/>
              <w:jc w:val="center"/>
              <w:textAlignment w:val="center"/>
              <w:rPr>
                <w:sz w:val="18"/>
                <w:szCs w:val="18"/>
              </w:rPr>
            </w:pPr>
            <w:r>
              <w:rPr>
                <w:rFonts w:hint="eastAsia" w:ascii="宋体" w:hAnsi="宋体" w:cs="宋体"/>
                <w:kern w:val="0"/>
                <w:sz w:val="18"/>
                <w:szCs w:val="18"/>
                <w:lang w:bidi="ar"/>
              </w:rPr>
              <w:t>0%</w:t>
            </w:r>
          </w:p>
        </w:tc>
        <w:tc>
          <w:tcPr>
            <w:tcW w:w="1155" w:type="dxa"/>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18.97</w:t>
            </w:r>
          </w:p>
        </w:tc>
        <w:tc>
          <w:tcPr>
            <w:tcW w:w="750" w:type="dxa"/>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80%</w:t>
            </w:r>
          </w:p>
        </w:tc>
        <w:tc>
          <w:tcPr>
            <w:tcW w:w="1005" w:type="dxa"/>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4" w:hRule="atLeast"/>
        </w:trPr>
        <w:tc>
          <w:tcPr>
            <w:tcW w:w="1234" w:type="dxa"/>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工程勘察费</w:t>
            </w:r>
          </w:p>
        </w:tc>
        <w:tc>
          <w:tcPr>
            <w:tcW w:w="1485" w:type="dxa"/>
            <w:vAlign w:val="center"/>
          </w:tcPr>
          <w:p>
            <w:pPr>
              <w:widowControl/>
              <w:jc w:val="center"/>
              <w:textAlignment w:val="center"/>
              <w:rPr>
                <w:rFonts w:ascii="宋体" w:hAnsi="宋体" w:cs="宋体"/>
                <w:kern w:val="0"/>
                <w:sz w:val="18"/>
                <w:szCs w:val="18"/>
                <w:lang w:bidi="ar"/>
              </w:rPr>
            </w:pPr>
          </w:p>
          <w:p>
            <w:pPr>
              <w:widowControl/>
              <w:jc w:val="center"/>
              <w:textAlignment w:val="center"/>
              <w:rPr>
                <w:sz w:val="18"/>
                <w:szCs w:val="18"/>
              </w:rPr>
            </w:pPr>
            <w:r>
              <w:rPr>
                <w:rFonts w:hint="eastAsia" w:ascii="宋体" w:hAnsi="宋体" w:cs="宋体"/>
                <w:kern w:val="0"/>
                <w:sz w:val="18"/>
                <w:szCs w:val="18"/>
                <w:lang w:bidi="ar"/>
              </w:rPr>
              <w:t>浙江中材工程勘测设计有限公司</w:t>
            </w:r>
          </w:p>
        </w:tc>
        <w:tc>
          <w:tcPr>
            <w:tcW w:w="2182" w:type="dxa"/>
            <w:vAlign w:val="center"/>
          </w:tcPr>
          <w:p>
            <w:pPr>
              <w:widowControl/>
              <w:jc w:val="center"/>
              <w:textAlignment w:val="center"/>
              <w:rPr>
                <w:rFonts w:ascii="宋体" w:hAnsi="宋体" w:cs="宋体"/>
                <w:kern w:val="0"/>
                <w:sz w:val="18"/>
                <w:szCs w:val="18"/>
                <w:lang w:bidi="ar"/>
              </w:rPr>
            </w:pPr>
          </w:p>
          <w:p>
            <w:pPr>
              <w:widowControl/>
              <w:jc w:val="center"/>
              <w:textAlignment w:val="center"/>
              <w:rPr>
                <w:sz w:val="18"/>
                <w:szCs w:val="18"/>
              </w:rPr>
            </w:pPr>
            <w:r>
              <w:rPr>
                <w:rFonts w:hint="eastAsia" w:ascii="宋体" w:hAnsi="宋体" w:cs="宋体"/>
                <w:kern w:val="0"/>
                <w:sz w:val="18"/>
                <w:szCs w:val="18"/>
                <w:lang w:bidi="ar"/>
              </w:rPr>
              <w:t>海盐恒大都汇华庭勘察工程进度款</w:t>
            </w:r>
          </w:p>
        </w:tc>
        <w:tc>
          <w:tcPr>
            <w:tcW w:w="1185" w:type="dxa"/>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60.75</w:t>
            </w:r>
          </w:p>
        </w:tc>
        <w:tc>
          <w:tcPr>
            <w:tcW w:w="1928" w:type="dxa"/>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按合同约定，完成全部土方开挖工程经甲方确认后30天内，甲方支付暂定总价的50%作为进度款;完成全部土方回填工程经甲方确认后30天内，甲方支付暂定总价的30%作为进度款</w:t>
            </w:r>
          </w:p>
        </w:tc>
        <w:tc>
          <w:tcPr>
            <w:tcW w:w="1200" w:type="dxa"/>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w:t>
            </w:r>
          </w:p>
        </w:tc>
        <w:tc>
          <w:tcPr>
            <w:tcW w:w="1020" w:type="dxa"/>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0</w:t>
            </w:r>
          </w:p>
        </w:tc>
        <w:tc>
          <w:tcPr>
            <w:tcW w:w="720" w:type="dxa"/>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0%</w:t>
            </w:r>
          </w:p>
        </w:tc>
        <w:tc>
          <w:tcPr>
            <w:tcW w:w="1155" w:type="dxa"/>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48.00</w:t>
            </w:r>
          </w:p>
        </w:tc>
        <w:tc>
          <w:tcPr>
            <w:tcW w:w="750" w:type="dxa"/>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79%</w:t>
            </w:r>
          </w:p>
        </w:tc>
        <w:tc>
          <w:tcPr>
            <w:tcW w:w="1005" w:type="dxa"/>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3" w:hRule="atLeast"/>
        </w:trPr>
        <w:tc>
          <w:tcPr>
            <w:tcW w:w="1234" w:type="dxa"/>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一般工程款</w:t>
            </w:r>
          </w:p>
        </w:tc>
        <w:tc>
          <w:tcPr>
            <w:tcW w:w="1485" w:type="dxa"/>
            <w:vAlign w:val="center"/>
          </w:tcPr>
          <w:p>
            <w:pPr>
              <w:widowControl/>
              <w:jc w:val="center"/>
              <w:textAlignment w:val="center"/>
              <w:rPr>
                <w:sz w:val="18"/>
                <w:szCs w:val="18"/>
              </w:rPr>
            </w:pPr>
            <w:r>
              <w:rPr>
                <w:rFonts w:hint="eastAsia" w:ascii="宋体" w:hAnsi="宋体" w:cs="宋体"/>
                <w:kern w:val="0"/>
                <w:sz w:val="18"/>
                <w:szCs w:val="18"/>
                <w:lang w:bidi="ar"/>
              </w:rPr>
              <w:t>上海徐汇园林发展有限公司</w:t>
            </w:r>
          </w:p>
        </w:tc>
        <w:tc>
          <w:tcPr>
            <w:tcW w:w="2182" w:type="dxa"/>
            <w:vAlign w:val="center"/>
          </w:tcPr>
          <w:p>
            <w:pPr>
              <w:widowControl/>
              <w:jc w:val="center"/>
              <w:textAlignment w:val="center"/>
              <w:rPr>
                <w:sz w:val="18"/>
                <w:szCs w:val="18"/>
              </w:rPr>
            </w:pPr>
            <w:r>
              <w:rPr>
                <w:rFonts w:hint="eastAsia" w:ascii="宋体" w:hAnsi="宋体" w:cs="宋体"/>
                <w:kern w:val="0"/>
                <w:sz w:val="18"/>
                <w:szCs w:val="18"/>
                <w:lang w:bidi="ar"/>
              </w:rPr>
              <w:t>海盐恒大都汇华庭展示区园建工程进度款</w:t>
            </w:r>
          </w:p>
        </w:tc>
        <w:tc>
          <w:tcPr>
            <w:tcW w:w="1185" w:type="dxa"/>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570.08</w:t>
            </w:r>
          </w:p>
        </w:tc>
        <w:tc>
          <w:tcPr>
            <w:tcW w:w="1928" w:type="dxa"/>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进场7天内付10%--每月按产值70%报进度款--竣工验收合格付至97%--质保期2年后付清</w:t>
            </w:r>
          </w:p>
        </w:tc>
        <w:tc>
          <w:tcPr>
            <w:tcW w:w="1200" w:type="dxa"/>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60.00</w:t>
            </w:r>
          </w:p>
        </w:tc>
        <w:tc>
          <w:tcPr>
            <w:tcW w:w="1020" w:type="dxa"/>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0</w:t>
            </w:r>
          </w:p>
        </w:tc>
        <w:tc>
          <w:tcPr>
            <w:tcW w:w="720" w:type="dxa"/>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0%</w:t>
            </w:r>
          </w:p>
        </w:tc>
        <w:tc>
          <w:tcPr>
            <w:tcW w:w="1155" w:type="dxa"/>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48.00</w:t>
            </w:r>
          </w:p>
        </w:tc>
        <w:tc>
          <w:tcPr>
            <w:tcW w:w="750" w:type="dxa"/>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8%</w:t>
            </w:r>
          </w:p>
        </w:tc>
        <w:tc>
          <w:tcPr>
            <w:tcW w:w="1005" w:type="dxa"/>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trPr>
        <w:tc>
          <w:tcPr>
            <w:tcW w:w="1234" w:type="dxa"/>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一般工程款</w:t>
            </w:r>
          </w:p>
        </w:tc>
        <w:tc>
          <w:tcPr>
            <w:tcW w:w="1485" w:type="dxa"/>
            <w:vAlign w:val="center"/>
          </w:tcPr>
          <w:p>
            <w:pPr>
              <w:widowControl/>
              <w:jc w:val="center"/>
              <w:textAlignment w:val="center"/>
              <w:rPr>
                <w:sz w:val="18"/>
                <w:szCs w:val="18"/>
              </w:rPr>
            </w:pPr>
            <w:r>
              <w:rPr>
                <w:rFonts w:hint="eastAsia" w:ascii="宋体" w:hAnsi="宋体" w:cs="宋体"/>
                <w:kern w:val="0"/>
                <w:sz w:val="18"/>
                <w:szCs w:val="18"/>
                <w:lang w:bidi="ar"/>
              </w:rPr>
              <w:t>浙江尚都建设有限公司</w:t>
            </w:r>
          </w:p>
        </w:tc>
        <w:tc>
          <w:tcPr>
            <w:tcW w:w="2182" w:type="dxa"/>
            <w:vAlign w:val="center"/>
          </w:tcPr>
          <w:p>
            <w:pPr>
              <w:widowControl/>
              <w:jc w:val="center"/>
              <w:textAlignment w:val="center"/>
              <w:rPr>
                <w:sz w:val="18"/>
                <w:szCs w:val="18"/>
              </w:rPr>
            </w:pPr>
            <w:r>
              <w:rPr>
                <w:rFonts w:hint="eastAsia" w:ascii="宋体" w:hAnsi="宋体" w:cs="宋体"/>
                <w:kern w:val="0"/>
                <w:sz w:val="18"/>
                <w:szCs w:val="18"/>
                <w:lang w:bidi="ar"/>
              </w:rPr>
              <w:t>海盐恒大都汇华庭土方工程进度款</w:t>
            </w:r>
          </w:p>
        </w:tc>
        <w:tc>
          <w:tcPr>
            <w:tcW w:w="1185" w:type="dxa"/>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1,060.70</w:t>
            </w:r>
          </w:p>
        </w:tc>
        <w:tc>
          <w:tcPr>
            <w:tcW w:w="1928" w:type="dxa"/>
            <w:vAlign w:val="center"/>
          </w:tcPr>
          <w:p>
            <w:pPr>
              <w:jc w:val="center"/>
              <w:rPr>
                <w:sz w:val="18"/>
                <w:szCs w:val="18"/>
              </w:rPr>
            </w:pPr>
            <w:r>
              <w:rPr>
                <w:rFonts w:hint="eastAsia" w:ascii="宋体" w:hAnsi="宋体" w:cs="宋体"/>
                <w:kern w:val="0"/>
                <w:sz w:val="18"/>
                <w:szCs w:val="18"/>
                <w:lang w:bidi="ar"/>
              </w:rPr>
              <w:t>进度款付月产值80%--竣工验收97%--质保期满100%</w:t>
            </w:r>
          </w:p>
        </w:tc>
        <w:tc>
          <w:tcPr>
            <w:tcW w:w="1200" w:type="dxa"/>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140.00</w:t>
            </w:r>
          </w:p>
        </w:tc>
        <w:tc>
          <w:tcPr>
            <w:tcW w:w="1020" w:type="dxa"/>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0</w:t>
            </w:r>
          </w:p>
        </w:tc>
        <w:tc>
          <w:tcPr>
            <w:tcW w:w="720" w:type="dxa"/>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0%</w:t>
            </w:r>
          </w:p>
        </w:tc>
        <w:tc>
          <w:tcPr>
            <w:tcW w:w="1155" w:type="dxa"/>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112.00</w:t>
            </w:r>
          </w:p>
        </w:tc>
        <w:tc>
          <w:tcPr>
            <w:tcW w:w="750" w:type="dxa"/>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11%</w:t>
            </w:r>
          </w:p>
        </w:tc>
        <w:tc>
          <w:tcPr>
            <w:tcW w:w="1005" w:type="dxa"/>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7" w:hRule="atLeast"/>
        </w:trPr>
        <w:tc>
          <w:tcPr>
            <w:tcW w:w="1234" w:type="dxa"/>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一般工程款</w:t>
            </w:r>
          </w:p>
        </w:tc>
        <w:tc>
          <w:tcPr>
            <w:tcW w:w="1485" w:type="dxa"/>
            <w:vAlign w:val="center"/>
          </w:tcPr>
          <w:p>
            <w:pPr>
              <w:widowControl/>
              <w:jc w:val="center"/>
              <w:textAlignment w:val="center"/>
              <w:rPr>
                <w:sz w:val="18"/>
                <w:szCs w:val="18"/>
              </w:rPr>
            </w:pPr>
            <w:r>
              <w:rPr>
                <w:rFonts w:hint="eastAsia" w:ascii="宋体" w:hAnsi="宋体" w:cs="宋体"/>
                <w:kern w:val="0"/>
                <w:sz w:val="18"/>
                <w:szCs w:val="18"/>
                <w:lang w:bidi="ar"/>
              </w:rPr>
              <w:t>浙江华坤建设工程有限公司</w:t>
            </w:r>
          </w:p>
        </w:tc>
        <w:tc>
          <w:tcPr>
            <w:tcW w:w="2182" w:type="dxa"/>
            <w:vAlign w:val="center"/>
          </w:tcPr>
          <w:p>
            <w:pPr>
              <w:widowControl/>
              <w:jc w:val="center"/>
              <w:textAlignment w:val="center"/>
              <w:rPr>
                <w:sz w:val="18"/>
                <w:szCs w:val="18"/>
              </w:rPr>
            </w:pPr>
            <w:r>
              <w:rPr>
                <w:rFonts w:hint="eastAsia" w:ascii="宋体" w:hAnsi="宋体" w:cs="宋体"/>
                <w:kern w:val="0"/>
                <w:sz w:val="18"/>
                <w:szCs w:val="18"/>
                <w:lang w:bidi="ar"/>
              </w:rPr>
              <w:t>海盐恒大都汇华庭临时道路进度款</w:t>
            </w:r>
          </w:p>
        </w:tc>
        <w:tc>
          <w:tcPr>
            <w:tcW w:w="1185" w:type="dxa"/>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100.04</w:t>
            </w:r>
          </w:p>
        </w:tc>
        <w:tc>
          <w:tcPr>
            <w:tcW w:w="1928" w:type="dxa"/>
            <w:vAlign w:val="center"/>
          </w:tcPr>
          <w:p>
            <w:pPr>
              <w:jc w:val="center"/>
              <w:rPr>
                <w:sz w:val="18"/>
                <w:szCs w:val="18"/>
              </w:rPr>
            </w:pPr>
            <w:r>
              <w:rPr>
                <w:rFonts w:hint="eastAsia" w:ascii="宋体" w:hAnsi="宋体" w:cs="宋体"/>
                <w:kern w:val="0"/>
                <w:sz w:val="18"/>
                <w:szCs w:val="18"/>
                <w:lang w:bidi="ar"/>
              </w:rPr>
              <w:t>进度款付月产值80%--竣工验收97%--质保期满100%</w:t>
            </w:r>
          </w:p>
        </w:tc>
        <w:tc>
          <w:tcPr>
            <w:tcW w:w="1200" w:type="dxa"/>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15.00</w:t>
            </w:r>
          </w:p>
        </w:tc>
        <w:tc>
          <w:tcPr>
            <w:tcW w:w="1020" w:type="dxa"/>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0</w:t>
            </w:r>
          </w:p>
        </w:tc>
        <w:tc>
          <w:tcPr>
            <w:tcW w:w="720" w:type="dxa"/>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0%</w:t>
            </w:r>
          </w:p>
        </w:tc>
        <w:tc>
          <w:tcPr>
            <w:tcW w:w="1155" w:type="dxa"/>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12.00</w:t>
            </w:r>
          </w:p>
        </w:tc>
        <w:tc>
          <w:tcPr>
            <w:tcW w:w="750" w:type="dxa"/>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12%</w:t>
            </w:r>
          </w:p>
        </w:tc>
        <w:tc>
          <w:tcPr>
            <w:tcW w:w="1005" w:type="dxa"/>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6" w:hRule="atLeast"/>
        </w:trPr>
        <w:tc>
          <w:tcPr>
            <w:tcW w:w="1234" w:type="dxa"/>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一般工程款</w:t>
            </w:r>
          </w:p>
        </w:tc>
        <w:tc>
          <w:tcPr>
            <w:tcW w:w="1485" w:type="dxa"/>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上海继昱建设工程有限公司</w:t>
            </w:r>
          </w:p>
        </w:tc>
        <w:tc>
          <w:tcPr>
            <w:tcW w:w="2182" w:type="dxa"/>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（海盐恒大都汇华庭项目展示区售楼处、临时样板房、商业消防工程施工合同）</w:t>
            </w:r>
          </w:p>
        </w:tc>
        <w:tc>
          <w:tcPr>
            <w:tcW w:w="1185" w:type="dxa"/>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28.92</w:t>
            </w:r>
          </w:p>
        </w:tc>
        <w:tc>
          <w:tcPr>
            <w:tcW w:w="1928" w:type="dxa"/>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进度款付月产值70%--竣工验收付至97%--质保期满付清</w:t>
            </w:r>
          </w:p>
        </w:tc>
        <w:tc>
          <w:tcPr>
            <w:tcW w:w="1200" w:type="dxa"/>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28.92</w:t>
            </w:r>
          </w:p>
        </w:tc>
        <w:tc>
          <w:tcPr>
            <w:tcW w:w="1020" w:type="dxa"/>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0</w:t>
            </w:r>
          </w:p>
        </w:tc>
        <w:tc>
          <w:tcPr>
            <w:tcW w:w="720" w:type="dxa"/>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0%</w:t>
            </w:r>
          </w:p>
        </w:tc>
        <w:tc>
          <w:tcPr>
            <w:tcW w:w="1155" w:type="dxa"/>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20.24</w:t>
            </w:r>
          </w:p>
        </w:tc>
        <w:tc>
          <w:tcPr>
            <w:tcW w:w="750" w:type="dxa"/>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70%</w:t>
            </w:r>
          </w:p>
        </w:tc>
        <w:tc>
          <w:tcPr>
            <w:tcW w:w="1005" w:type="dxa"/>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14" w:type="dxa"/>
            <w:gridSpan w:val="5"/>
            <w:vAlign w:val="center"/>
          </w:tcPr>
          <w:p>
            <w:pPr>
              <w:jc w:val="center"/>
              <w:rPr>
                <w:rFonts w:ascii="宋体" w:hAnsi="宋体" w:cs="宋体"/>
                <w:b/>
                <w:bCs/>
                <w:kern w:val="0"/>
                <w:sz w:val="18"/>
                <w:szCs w:val="18"/>
                <w:lang w:bidi="ar"/>
              </w:rPr>
            </w:pPr>
            <w:r>
              <w:rPr>
                <w:rFonts w:hint="eastAsia" w:ascii="宋体" w:hAnsi="宋体" w:cs="宋体"/>
                <w:b/>
                <w:bCs/>
                <w:kern w:val="0"/>
                <w:sz w:val="18"/>
                <w:szCs w:val="18"/>
                <w:lang w:bidi="ar"/>
              </w:rPr>
              <w:t>合计</w:t>
            </w:r>
          </w:p>
        </w:tc>
        <w:tc>
          <w:tcPr>
            <w:tcW w:w="1200" w:type="dxa"/>
            <w:vAlign w:val="center"/>
          </w:tcPr>
          <w:p>
            <w:pPr>
              <w:widowControl/>
              <w:jc w:val="center"/>
              <w:textAlignment w:val="center"/>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10,324.96</w:t>
            </w:r>
          </w:p>
        </w:tc>
        <w:tc>
          <w:tcPr>
            <w:tcW w:w="1020" w:type="dxa"/>
            <w:vAlign w:val="center"/>
          </w:tcPr>
          <w:p>
            <w:pPr>
              <w:widowControl/>
              <w:jc w:val="center"/>
              <w:textAlignment w:val="center"/>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4,262.00</w:t>
            </w:r>
          </w:p>
        </w:tc>
        <w:tc>
          <w:tcPr>
            <w:tcW w:w="720" w:type="dxa"/>
            <w:vAlign w:val="center"/>
          </w:tcPr>
          <w:p>
            <w:pPr>
              <w:widowControl/>
              <w:jc w:val="center"/>
              <w:textAlignment w:val="center"/>
              <w:rPr>
                <w:rFonts w:ascii="宋体" w:hAnsi="宋体" w:cs="宋体"/>
                <w:b/>
                <w:bCs/>
                <w:kern w:val="0"/>
                <w:sz w:val="18"/>
                <w:szCs w:val="18"/>
                <w:lang w:bidi="ar"/>
              </w:rPr>
            </w:pPr>
          </w:p>
        </w:tc>
        <w:tc>
          <w:tcPr>
            <w:tcW w:w="1155" w:type="dxa"/>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3,999.66</w:t>
            </w:r>
          </w:p>
        </w:tc>
        <w:tc>
          <w:tcPr>
            <w:tcW w:w="750" w:type="dxa"/>
            <w:vAlign w:val="center"/>
          </w:tcPr>
          <w:p>
            <w:pPr>
              <w:widowControl/>
              <w:jc w:val="center"/>
              <w:textAlignment w:val="center"/>
              <w:rPr>
                <w:rFonts w:ascii="宋体" w:hAnsi="宋体" w:cs="宋体"/>
                <w:b/>
                <w:bCs/>
                <w:kern w:val="0"/>
                <w:sz w:val="18"/>
                <w:szCs w:val="18"/>
                <w:lang w:bidi="ar"/>
              </w:rPr>
            </w:pPr>
          </w:p>
        </w:tc>
        <w:tc>
          <w:tcPr>
            <w:tcW w:w="1005" w:type="dxa"/>
            <w:vAlign w:val="center"/>
          </w:tcPr>
          <w:p>
            <w:pPr>
              <w:jc w:val="center"/>
              <w:rPr>
                <w:b/>
                <w:bCs/>
                <w:sz w:val="18"/>
                <w:szCs w:val="18"/>
              </w:rPr>
            </w:pPr>
          </w:p>
        </w:tc>
      </w:tr>
    </w:tbl>
    <w:p>
      <w:pPr>
        <w:spacing w:before="160" w:beforeLines="50" w:line="360" w:lineRule="auto"/>
        <w:rPr>
          <w:rFonts w:ascii="宋体" w:hAnsi="宋体"/>
          <w:b/>
          <w:bCs/>
          <w:color w:val="000000"/>
          <w:sz w:val="24"/>
          <w:lang w:bidi="zh-CN"/>
        </w:rPr>
      </w:pPr>
    </w:p>
    <w:p>
      <w:pPr>
        <w:spacing w:before="160" w:beforeLines="50" w:line="360" w:lineRule="auto"/>
        <w:ind w:left="420" w:leftChars="200" w:firstLine="480" w:firstLineChars="200"/>
        <w:rPr>
          <w:rFonts w:ascii="宋体" w:hAnsi="宋体"/>
          <w:color w:val="000000"/>
          <w:sz w:val="24"/>
          <w:lang w:bidi="zh-CN"/>
        </w:rPr>
      </w:pPr>
    </w:p>
    <w:sectPr>
      <w:pgSz w:w="16838" w:h="11906" w:orient="landscape"/>
      <w:pgMar w:top="1134" w:right="1134" w:bottom="1134" w:left="1134" w:header="851" w:footer="992" w:gutter="0"/>
      <w:cols w:space="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C8JksDEAIAAAcEAAAOAAAAAAAAAAEAIAAA&#10;AB8BAABkcnMvZTJvRG9jLnhtbFBLBQYAAAAABgAGAFkBAAChBQAAAAA=&#10;">
              <v:fill on="f" focussize="0,0"/>
              <v:stroke on="f" weight="0.5pt"/>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drawing>
        <wp:inline distT="0" distB="0" distL="0" distR="0">
          <wp:extent cx="5922645" cy="407670"/>
          <wp:effectExtent l="0" t="0" r="1905" b="11430"/>
          <wp:docPr id="4" name="图片 3" descr="E:\！！！张津夷\工作\08公司宣传\公司VI设计&amp;名片\20200907康信君安报告封面\康信君安信纸20200906-简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E:\！！！张津夷\工作\08公司宣传\公司VI设计&amp;名片\20200907康信君安报告封面\康信君安信纸20200906-简4.png"/>
                  <pic:cNvPicPr>
                    <a:picLocks noChangeAspect="1" noChangeArrowheads="1"/>
                  </pic:cNvPicPr>
                </pic:nvPicPr>
                <pic:blipFill>
                  <a:blip r:embed="rId1"/>
                  <a:srcRect/>
                  <a:stretch>
                    <a:fillRect/>
                  </a:stretch>
                </pic:blipFill>
                <pic:spPr>
                  <a:xfrm>
                    <a:off x="0" y="0"/>
                    <a:ext cx="5922645" cy="40767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drawing>
        <wp:inline distT="0" distB="0" distL="0" distR="0">
          <wp:extent cx="5922645" cy="407670"/>
          <wp:effectExtent l="0" t="0" r="1905" b="11430"/>
          <wp:docPr id="3" name="图片 3" descr="E:\！！！张津夷\工作\08公司宣传\公司VI设计&amp;名片\20200907康信君安报告封面\康信君安信纸20200906-简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张津夷\工作\08公司宣传\公司VI设计&amp;名片\20200907康信君安报告封面\康信君安信纸20200906-简4.png"/>
                  <pic:cNvPicPr>
                    <a:picLocks noChangeAspect="1" noChangeArrowheads="1"/>
                  </pic:cNvPicPr>
                </pic:nvPicPr>
                <pic:blipFill>
                  <a:blip r:embed="rId1"/>
                  <a:srcRect/>
                  <a:stretch>
                    <a:fillRect/>
                  </a:stretch>
                </pic:blipFill>
                <pic:spPr>
                  <a:xfrm>
                    <a:off x="0" y="0"/>
                    <a:ext cx="5922645" cy="40767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drawing>
        <wp:inline distT="0" distB="0" distL="0" distR="0">
          <wp:extent cx="5922645" cy="407670"/>
          <wp:effectExtent l="0" t="0" r="1905" b="11430"/>
          <wp:docPr id="34" name="图片 3" descr="E:\！！！张津夷\工作\08公司宣传\公司VI设计&amp;名片\20200907康信君安报告封面\康信君安信纸20200906-简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 descr="E:\！！！张津夷\工作\08公司宣传\公司VI设计&amp;名片\20200907康信君安报告封面\康信君安信纸20200906-简4.png"/>
                  <pic:cNvPicPr>
                    <a:picLocks noChangeAspect="1" noChangeArrowheads="1"/>
                  </pic:cNvPicPr>
                </pic:nvPicPr>
                <pic:blipFill>
                  <a:blip r:embed="rId1"/>
                  <a:srcRect/>
                  <a:stretch>
                    <a:fillRect/>
                  </a:stretch>
                </pic:blipFill>
                <pic:spPr>
                  <a:xfrm>
                    <a:off x="0" y="0"/>
                    <a:ext cx="5922645" cy="40767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E07AAAF"/>
    <w:multiLevelType w:val="singleLevel"/>
    <w:tmpl w:val="BE07AAAF"/>
    <w:lvl w:ilvl="0" w:tentative="0">
      <w:start w:val="1"/>
      <w:numFmt w:val="decimal"/>
      <w:suff w:val="nothing"/>
      <w:lvlText w:val="（%1）"/>
      <w:lvlJc w:val="left"/>
    </w:lvl>
  </w:abstractNum>
  <w:abstractNum w:abstractNumId="1">
    <w:nsid w:val="ED7664FB"/>
    <w:multiLevelType w:val="singleLevel"/>
    <w:tmpl w:val="ED7664FB"/>
    <w:lvl w:ilvl="0" w:tentative="0">
      <w:start w:val="1"/>
      <w:numFmt w:val="decimal"/>
      <w:suff w:val="nothing"/>
      <w:lvlText w:val="（%1）"/>
      <w:lvlJc w:val="left"/>
    </w:lvl>
  </w:abstractNum>
  <w:abstractNum w:abstractNumId="2">
    <w:nsid w:val="F5433900"/>
    <w:multiLevelType w:val="singleLevel"/>
    <w:tmpl w:val="F5433900"/>
    <w:lvl w:ilvl="0" w:tentative="0">
      <w:start w:val="1"/>
      <w:numFmt w:val="chineseCounting"/>
      <w:suff w:val="nothing"/>
      <w:lvlText w:val="（%1）"/>
      <w:lvlJc w:val="left"/>
      <w:pPr>
        <w:ind w:left="225" w:firstLine="0"/>
      </w:pPr>
      <w:rPr>
        <w:rFonts w:hint="eastAsia"/>
      </w:rPr>
    </w:lvl>
  </w:abstractNum>
  <w:abstractNum w:abstractNumId="3">
    <w:nsid w:val="1F5288DA"/>
    <w:multiLevelType w:val="singleLevel"/>
    <w:tmpl w:val="1F5288DA"/>
    <w:lvl w:ilvl="0" w:tentative="0">
      <w:start w:val="1"/>
      <w:numFmt w:val="chineseCounting"/>
      <w:suff w:val="nothing"/>
      <w:lvlText w:val="%1、"/>
      <w:lvlJc w:val="left"/>
      <w:rPr>
        <w:rFonts w:hint="eastAsia"/>
      </w:rPr>
    </w:lvl>
  </w:abstractNum>
  <w:abstractNum w:abstractNumId="4">
    <w:nsid w:val="362B8503"/>
    <w:multiLevelType w:val="singleLevel"/>
    <w:tmpl w:val="362B8503"/>
    <w:lvl w:ilvl="0" w:tentative="0">
      <w:start w:val="1"/>
      <w:numFmt w:val="decimal"/>
      <w:suff w:val="nothing"/>
      <w:lvlText w:val="（%1）"/>
      <w:lvlJc w:val="left"/>
    </w:lvl>
  </w:abstractNum>
  <w:abstractNum w:abstractNumId="5">
    <w:nsid w:val="3E85633B"/>
    <w:multiLevelType w:val="singleLevel"/>
    <w:tmpl w:val="3E85633B"/>
    <w:lvl w:ilvl="0" w:tentative="0">
      <w:start w:val="1"/>
      <w:numFmt w:val="decimal"/>
      <w:suff w:val="nothing"/>
      <w:lvlText w:val="（%1）"/>
      <w:lvlJc w:val="left"/>
    </w:lvl>
  </w:abstractNum>
  <w:num w:numId="1">
    <w:abstractNumId w:val="3"/>
  </w:num>
  <w:num w:numId="2">
    <w:abstractNumId w:val="2"/>
  </w:num>
  <w:num w:numId="3">
    <w:abstractNumId w:val="0"/>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VerticalSpacing w:val="160"/>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106140"/>
    <w:rsid w:val="00172A27"/>
    <w:rsid w:val="003976F5"/>
    <w:rsid w:val="00425E47"/>
    <w:rsid w:val="0048705F"/>
    <w:rsid w:val="00490DAF"/>
    <w:rsid w:val="00544FDE"/>
    <w:rsid w:val="00616666"/>
    <w:rsid w:val="00626167"/>
    <w:rsid w:val="006338FB"/>
    <w:rsid w:val="006A6305"/>
    <w:rsid w:val="00832F58"/>
    <w:rsid w:val="00941F33"/>
    <w:rsid w:val="0096261F"/>
    <w:rsid w:val="00BA0515"/>
    <w:rsid w:val="00C54F78"/>
    <w:rsid w:val="00CD1AC5"/>
    <w:rsid w:val="02BB3A0D"/>
    <w:rsid w:val="02C03493"/>
    <w:rsid w:val="04143CD3"/>
    <w:rsid w:val="04982717"/>
    <w:rsid w:val="063D1761"/>
    <w:rsid w:val="07437089"/>
    <w:rsid w:val="07B33843"/>
    <w:rsid w:val="07BB5526"/>
    <w:rsid w:val="07E03F89"/>
    <w:rsid w:val="08090DD1"/>
    <w:rsid w:val="080E118F"/>
    <w:rsid w:val="0813699A"/>
    <w:rsid w:val="08EE1EC1"/>
    <w:rsid w:val="09D532CF"/>
    <w:rsid w:val="0A62663F"/>
    <w:rsid w:val="0C4C545E"/>
    <w:rsid w:val="0CD91B2C"/>
    <w:rsid w:val="0CD969FB"/>
    <w:rsid w:val="0DD3578C"/>
    <w:rsid w:val="0DEB56BA"/>
    <w:rsid w:val="0E067F70"/>
    <w:rsid w:val="0E222314"/>
    <w:rsid w:val="0F1562FF"/>
    <w:rsid w:val="0FD710E1"/>
    <w:rsid w:val="0FEA6922"/>
    <w:rsid w:val="10B13D06"/>
    <w:rsid w:val="114C5971"/>
    <w:rsid w:val="118F615A"/>
    <w:rsid w:val="11960DBA"/>
    <w:rsid w:val="11D367FA"/>
    <w:rsid w:val="12076B34"/>
    <w:rsid w:val="1360764C"/>
    <w:rsid w:val="136E61C0"/>
    <w:rsid w:val="14182DF5"/>
    <w:rsid w:val="15614126"/>
    <w:rsid w:val="157C74F2"/>
    <w:rsid w:val="161D13A8"/>
    <w:rsid w:val="16616814"/>
    <w:rsid w:val="177F06B4"/>
    <w:rsid w:val="178873E1"/>
    <w:rsid w:val="17C81BDF"/>
    <w:rsid w:val="18A616A2"/>
    <w:rsid w:val="18CB1101"/>
    <w:rsid w:val="1A8B5D6E"/>
    <w:rsid w:val="1AF42078"/>
    <w:rsid w:val="1B10755C"/>
    <w:rsid w:val="1B880285"/>
    <w:rsid w:val="1B891E56"/>
    <w:rsid w:val="1BB52C68"/>
    <w:rsid w:val="1C17389B"/>
    <w:rsid w:val="1C407F46"/>
    <w:rsid w:val="1C486267"/>
    <w:rsid w:val="1C4A17AC"/>
    <w:rsid w:val="1CF37E49"/>
    <w:rsid w:val="1E153492"/>
    <w:rsid w:val="1E245472"/>
    <w:rsid w:val="1EF517A9"/>
    <w:rsid w:val="1F054931"/>
    <w:rsid w:val="20263578"/>
    <w:rsid w:val="20441E4E"/>
    <w:rsid w:val="20613C70"/>
    <w:rsid w:val="209E4029"/>
    <w:rsid w:val="212127AC"/>
    <w:rsid w:val="21885471"/>
    <w:rsid w:val="21F07492"/>
    <w:rsid w:val="22082310"/>
    <w:rsid w:val="227B234B"/>
    <w:rsid w:val="243775D1"/>
    <w:rsid w:val="26E3788F"/>
    <w:rsid w:val="281A5806"/>
    <w:rsid w:val="28480EB0"/>
    <w:rsid w:val="28640873"/>
    <w:rsid w:val="28E87E2A"/>
    <w:rsid w:val="2A74116F"/>
    <w:rsid w:val="2A9918BD"/>
    <w:rsid w:val="2AD9736D"/>
    <w:rsid w:val="2B7A32EB"/>
    <w:rsid w:val="2BEA0ECF"/>
    <w:rsid w:val="2C476DD5"/>
    <w:rsid w:val="2D81517D"/>
    <w:rsid w:val="2DE728DD"/>
    <w:rsid w:val="2E571F41"/>
    <w:rsid w:val="2E790945"/>
    <w:rsid w:val="2E940617"/>
    <w:rsid w:val="2EBD178D"/>
    <w:rsid w:val="2F0040C5"/>
    <w:rsid w:val="2F220792"/>
    <w:rsid w:val="2F403413"/>
    <w:rsid w:val="2F582AD5"/>
    <w:rsid w:val="2FAC40F3"/>
    <w:rsid w:val="306C41C0"/>
    <w:rsid w:val="30C3422A"/>
    <w:rsid w:val="312D01C3"/>
    <w:rsid w:val="32C62F35"/>
    <w:rsid w:val="33451765"/>
    <w:rsid w:val="33EA2F53"/>
    <w:rsid w:val="34147C21"/>
    <w:rsid w:val="354E5505"/>
    <w:rsid w:val="35826B17"/>
    <w:rsid w:val="366720DC"/>
    <w:rsid w:val="36BF7984"/>
    <w:rsid w:val="36CC6E90"/>
    <w:rsid w:val="38446A30"/>
    <w:rsid w:val="384B622B"/>
    <w:rsid w:val="38547711"/>
    <w:rsid w:val="38D7138E"/>
    <w:rsid w:val="392B7FAD"/>
    <w:rsid w:val="39665CBC"/>
    <w:rsid w:val="39F6178A"/>
    <w:rsid w:val="3A3B3B7E"/>
    <w:rsid w:val="3A886F15"/>
    <w:rsid w:val="3C637C4A"/>
    <w:rsid w:val="3CA92709"/>
    <w:rsid w:val="3CB453D8"/>
    <w:rsid w:val="3CCE2AA4"/>
    <w:rsid w:val="3D5A682E"/>
    <w:rsid w:val="3D9E70F1"/>
    <w:rsid w:val="3E4C1445"/>
    <w:rsid w:val="3F1C0F37"/>
    <w:rsid w:val="407961B2"/>
    <w:rsid w:val="40C41A7D"/>
    <w:rsid w:val="40F52FEA"/>
    <w:rsid w:val="41196A5D"/>
    <w:rsid w:val="419B0366"/>
    <w:rsid w:val="41A20F3E"/>
    <w:rsid w:val="41D1723F"/>
    <w:rsid w:val="41D6199A"/>
    <w:rsid w:val="422A4AF3"/>
    <w:rsid w:val="428665CC"/>
    <w:rsid w:val="437C7673"/>
    <w:rsid w:val="4411131C"/>
    <w:rsid w:val="466923B3"/>
    <w:rsid w:val="46B742FC"/>
    <w:rsid w:val="46EC2819"/>
    <w:rsid w:val="486F33CC"/>
    <w:rsid w:val="49077435"/>
    <w:rsid w:val="4A5E7F43"/>
    <w:rsid w:val="4B1027F6"/>
    <w:rsid w:val="4B6F306B"/>
    <w:rsid w:val="4CBF1F60"/>
    <w:rsid w:val="4D6D48AF"/>
    <w:rsid w:val="4E1F51BB"/>
    <w:rsid w:val="4E3E2F42"/>
    <w:rsid w:val="4F232F75"/>
    <w:rsid w:val="4FFD3B3E"/>
    <w:rsid w:val="50597B4D"/>
    <w:rsid w:val="51CF319D"/>
    <w:rsid w:val="521627BF"/>
    <w:rsid w:val="539A5C50"/>
    <w:rsid w:val="545C1228"/>
    <w:rsid w:val="54BD1A39"/>
    <w:rsid w:val="550C465E"/>
    <w:rsid w:val="569241E4"/>
    <w:rsid w:val="56D05B99"/>
    <w:rsid w:val="57314B69"/>
    <w:rsid w:val="574243D0"/>
    <w:rsid w:val="574C2C28"/>
    <w:rsid w:val="589E609E"/>
    <w:rsid w:val="59DE52E9"/>
    <w:rsid w:val="5A882028"/>
    <w:rsid w:val="5AE4208F"/>
    <w:rsid w:val="5B28509C"/>
    <w:rsid w:val="5C4641C7"/>
    <w:rsid w:val="5D9745B4"/>
    <w:rsid w:val="5DA14F29"/>
    <w:rsid w:val="5EFC0D42"/>
    <w:rsid w:val="5F6B30E4"/>
    <w:rsid w:val="5F9C6582"/>
    <w:rsid w:val="602757D8"/>
    <w:rsid w:val="605665CB"/>
    <w:rsid w:val="60E45E98"/>
    <w:rsid w:val="616C3692"/>
    <w:rsid w:val="62705BD4"/>
    <w:rsid w:val="63144E40"/>
    <w:rsid w:val="6340157E"/>
    <w:rsid w:val="634F23CD"/>
    <w:rsid w:val="63D41790"/>
    <w:rsid w:val="63E6307C"/>
    <w:rsid w:val="654C23AD"/>
    <w:rsid w:val="661B4AFF"/>
    <w:rsid w:val="66631303"/>
    <w:rsid w:val="66EC598E"/>
    <w:rsid w:val="67C33A99"/>
    <w:rsid w:val="67E06EB8"/>
    <w:rsid w:val="68282526"/>
    <w:rsid w:val="68942509"/>
    <w:rsid w:val="694407AC"/>
    <w:rsid w:val="694532CE"/>
    <w:rsid w:val="69485802"/>
    <w:rsid w:val="69C016D5"/>
    <w:rsid w:val="69C061DC"/>
    <w:rsid w:val="6A610905"/>
    <w:rsid w:val="6AD54014"/>
    <w:rsid w:val="6C1B04CA"/>
    <w:rsid w:val="6C6F5300"/>
    <w:rsid w:val="6C9C7B61"/>
    <w:rsid w:val="6E005869"/>
    <w:rsid w:val="6E4468E8"/>
    <w:rsid w:val="6EAD51A2"/>
    <w:rsid w:val="6FAA4F1A"/>
    <w:rsid w:val="6FC22C5E"/>
    <w:rsid w:val="701228D1"/>
    <w:rsid w:val="704F2583"/>
    <w:rsid w:val="70BB53BE"/>
    <w:rsid w:val="71181A94"/>
    <w:rsid w:val="724F71D6"/>
    <w:rsid w:val="73D50563"/>
    <w:rsid w:val="73F773CD"/>
    <w:rsid w:val="7414318F"/>
    <w:rsid w:val="742D7562"/>
    <w:rsid w:val="7586575E"/>
    <w:rsid w:val="761B4740"/>
    <w:rsid w:val="782A4291"/>
    <w:rsid w:val="78BE45B0"/>
    <w:rsid w:val="7A396FD1"/>
    <w:rsid w:val="7B586819"/>
    <w:rsid w:val="7C081C35"/>
    <w:rsid w:val="7C510C71"/>
    <w:rsid w:val="7CD16FBB"/>
    <w:rsid w:val="7D180F56"/>
    <w:rsid w:val="7E4A2337"/>
    <w:rsid w:val="7F380AE0"/>
    <w:rsid w:val="7F522792"/>
    <w:rsid w:val="7FEB70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13">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qFormat/>
    <w:uiPriority w:val="0"/>
    <w:pPr>
      <w:jc w:val="left"/>
    </w:pPr>
  </w:style>
  <w:style w:type="paragraph" w:styleId="5">
    <w:name w:val="Body Text"/>
    <w:basedOn w:val="1"/>
    <w:semiHidden/>
    <w:unhideWhenUsed/>
    <w:qFormat/>
    <w:uiPriority w:val="99"/>
    <w:pPr>
      <w:spacing w:after="120"/>
    </w:pPr>
  </w:style>
  <w:style w:type="paragraph" w:styleId="6">
    <w:name w:val="Balloon Text"/>
    <w:basedOn w:val="1"/>
    <w:link w:val="16"/>
    <w:qFormat/>
    <w:uiPriority w:val="0"/>
    <w:rPr>
      <w:sz w:val="18"/>
      <w:szCs w:val="18"/>
    </w:rPr>
  </w:style>
  <w:style w:type="paragraph" w:styleId="7">
    <w:name w:val="footer"/>
    <w:basedOn w:val="1"/>
    <w:unhideWhenUsed/>
    <w:qFormat/>
    <w:uiPriority w:val="99"/>
    <w:pPr>
      <w:tabs>
        <w:tab w:val="center" w:pos="4153"/>
        <w:tab w:val="right" w:pos="8306"/>
      </w:tabs>
      <w:snapToGrid w:val="0"/>
      <w:jc w:val="left"/>
    </w:pPr>
    <w:rPr>
      <w:kern w:val="0"/>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annotation subject"/>
    <w:basedOn w:val="4"/>
    <w:next w:val="4"/>
    <w:link w:val="18"/>
    <w:qFormat/>
    <w:uiPriority w:val="0"/>
    <w:rPr>
      <w:b/>
      <w:bCs/>
    </w:rPr>
  </w:style>
  <w:style w:type="paragraph" w:styleId="10">
    <w:name w:val="Body Text First Indent"/>
    <w:basedOn w:val="5"/>
    <w:unhideWhenUsed/>
    <w:qFormat/>
    <w:uiPriority w:val="99"/>
    <w:pPr>
      <w:ind w:firstLine="420" w:firstLineChars="100"/>
    </w:pPr>
    <w:rPr>
      <w:szCs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annotation reference"/>
    <w:basedOn w:val="13"/>
    <w:qFormat/>
    <w:uiPriority w:val="0"/>
    <w:rPr>
      <w:sz w:val="21"/>
      <w:szCs w:val="21"/>
    </w:rPr>
  </w:style>
  <w:style w:type="paragraph" w:styleId="15">
    <w:name w:val="List Paragraph"/>
    <w:basedOn w:val="1"/>
    <w:qFormat/>
    <w:uiPriority w:val="99"/>
    <w:pPr>
      <w:ind w:firstLine="420" w:firstLineChars="200"/>
    </w:pPr>
  </w:style>
  <w:style w:type="character" w:customStyle="1" w:styleId="16">
    <w:name w:val="批注框文本 字符"/>
    <w:basedOn w:val="13"/>
    <w:link w:val="6"/>
    <w:qFormat/>
    <w:uiPriority w:val="0"/>
    <w:rPr>
      <w:kern w:val="2"/>
      <w:sz w:val="18"/>
      <w:szCs w:val="18"/>
    </w:rPr>
  </w:style>
  <w:style w:type="character" w:customStyle="1" w:styleId="17">
    <w:name w:val="批注文字 字符"/>
    <w:basedOn w:val="13"/>
    <w:link w:val="4"/>
    <w:qFormat/>
    <w:uiPriority w:val="0"/>
    <w:rPr>
      <w:kern w:val="2"/>
      <w:sz w:val="21"/>
      <w:szCs w:val="22"/>
    </w:rPr>
  </w:style>
  <w:style w:type="character" w:customStyle="1" w:styleId="18">
    <w:name w:val="批注主题 字符"/>
    <w:basedOn w:val="17"/>
    <w:link w:val="9"/>
    <w:qFormat/>
    <w:uiPriority w:val="0"/>
    <w:rPr>
      <w:b/>
      <w:bCs/>
      <w:kern w:val="2"/>
      <w:sz w:val="21"/>
      <w:szCs w:val="22"/>
    </w:rPr>
  </w:style>
  <w:style w:type="character" w:customStyle="1" w:styleId="19">
    <w:name w:val="bsharetext"/>
    <w:basedOn w:val="13"/>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13</Pages>
  <Words>1384</Words>
  <Characters>7889</Characters>
  <Lines>65</Lines>
  <Paragraphs>18</Paragraphs>
  <TotalTime>37</TotalTime>
  <ScaleCrop>false</ScaleCrop>
  <LinksUpToDate>false</LinksUpToDate>
  <CharactersWithSpaces>9255</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2020-10-14T02:59:00Z</dcterms:created>
  <dc:creator>郭胜霖</dc:creator>
  <cp:lastModifiedBy>zhenny</cp:lastModifiedBy>
  <dcterms:modified xsi:type="dcterms:W3CDTF">2020-11-05T04:13:38Z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