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237A4" w14:textId="75FDA736" w:rsidR="00D85AD8" w:rsidRPr="00025A00" w:rsidRDefault="00D85AD8" w:rsidP="00025A00">
      <w:pPr>
        <w:spacing w:beforeLines="200" w:before="480" w:afterLines="100" w:after="240" w:line="360" w:lineRule="auto"/>
        <w:jc w:val="center"/>
        <w:outlineLvl w:val="0"/>
        <w:rPr>
          <w:rFonts w:ascii="Arial" w:eastAsia="楷体_GB2312" w:hAnsi="Arial" w:cs="Arial"/>
          <w:b/>
          <w:sz w:val="40"/>
        </w:rPr>
      </w:pPr>
      <w:r w:rsidRPr="00025A00">
        <w:rPr>
          <w:rFonts w:ascii="Arial" w:eastAsia="楷体_GB2312" w:hAnsi="Arial" w:cs="Arial" w:hint="eastAsia"/>
          <w:b/>
          <w:sz w:val="40"/>
        </w:rPr>
        <w:t>说</w:t>
      </w:r>
      <w:r w:rsidRPr="00025A00">
        <w:rPr>
          <w:rFonts w:ascii="Arial" w:eastAsia="楷体_GB2312" w:hAnsi="Arial" w:cs="Arial" w:hint="eastAsia"/>
          <w:b/>
          <w:sz w:val="40"/>
        </w:rPr>
        <w:t xml:space="preserve">   </w:t>
      </w:r>
      <w:r w:rsidRPr="00025A00">
        <w:rPr>
          <w:rFonts w:ascii="Arial" w:eastAsia="楷体_GB2312" w:hAnsi="Arial" w:cs="Arial" w:hint="eastAsia"/>
          <w:b/>
          <w:sz w:val="40"/>
        </w:rPr>
        <w:t>明</w:t>
      </w:r>
    </w:p>
    <w:p w14:paraId="52DE7AFB" w14:textId="77777777" w:rsidR="00025A00" w:rsidRPr="00025A00" w:rsidRDefault="00025A00" w:rsidP="00025A00">
      <w:pPr>
        <w:spacing w:before="0" w:after="0" w:line="360" w:lineRule="auto"/>
        <w:jc w:val="both"/>
        <w:outlineLvl w:val="0"/>
        <w:rPr>
          <w:rFonts w:ascii="Arial" w:eastAsia="楷体_GB2312" w:hAnsi="Arial" w:cs="Arial" w:hint="eastAsia"/>
          <w:b/>
          <w:sz w:val="28"/>
          <w:szCs w:val="28"/>
        </w:rPr>
      </w:pPr>
      <w:r w:rsidRPr="00025A00">
        <w:rPr>
          <w:rFonts w:ascii="Arial" w:eastAsia="楷体_GB2312" w:hAnsi="Arial" w:cs="Arial" w:hint="eastAsia"/>
          <w:b/>
          <w:sz w:val="28"/>
          <w:szCs w:val="28"/>
        </w:rPr>
        <w:t>北京首钢房地产开发有限公司</w:t>
      </w:r>
      <w:r w:rsidRPr="00025A00">
        <w:rPr>
          <w:rFonts w:ascii="Arial" w:eastAsia="楷体_GB2312" w:hAnsi="Arial" w:cs="Arial" w:hint="eastAsia"/>
          <w:b/>
          <w:sz w:val="28"/>
          <w:szCs w:val="28"/>
        </w:rPr>
        <w:t>：</w:t>
      </w:r>
    </w:p>
    <w:p w14:paraId="1565F291" w14:textId="6B41AA17" w:rsidR="00F45445" w:rsidRDefault="00025A00" w:rsidP="00025A00">
      <w:pPr>
        <w:spacing w:before="0" w:after="0" w:line="360" w:lineRule="auto"/>
        <w:ind w:firstLineChars="200" w:firstLine="560"/>
        <w:jc w:val="both"/>
        <w:outlineLvl w:val="0"/>
        <w:rPr>
          <w:rFonts w:ascii="Arial" w:eastAsia="楷体_GB2312" w:hAnsi="Arial" w:cs="Arial" w:hint="eastAsia"/>
          <w:sz w:val="28"/>
          <w:szCs w:val="28"/>
        </w:rPr>
      </w:pPr>
      <w:r>
        <w:rPr>
          <w:rFonts w:ascii="Arial" w:eastAsia="楷体_GB2312" w:hAnsi="Arial" w:cs="Arial" w:hint="eastAsia"/>
          <w:sz w:val="28"/>
          <w:szCs w:val="28"/>
        </w:rPr>
        <w:t>本</w:t>
      </w:r>
      <w:r w:rsidR="00AA6DBB">
        <w:rPr>
          <w:rFonts w:ascii="Arial" w:eastAsia="楷体_GB2312" w:hAnsi="Arial" w:cs="Arial" w:hint="eastAsia"/>
          <w:sz w:val="28"/>
          <w:szCs w:val="28"/>
        </w:rPr>
        <w:t>说明中</w:t>
      </w:r>
      <w:r w:rsidR="00F45445" w:rsidRPr="004B0947">
        <w:rPr>
          <w:rFonts w:ascii="Arial" w:eastAsia="楷体_GB2312" w:hAnsi="Arial" w:cs="Arial"/>
          <w:sz w:val="28"/>
          <w:szCs w:val="28"/>
        </w:rPr>
        <w:t>“</w:t>
      </w:r>
      <w:r w:rsidR="00F45445" w:rsidRPr="004B0947">
        <w:rPr>
          <w:rFonts w:ascii="Arial" w:eastAsia="楷体_GB2312" w:hAnsi="Arial" w:cs="Arial"/>
          <w:sz w:val="28"/>
          <w:szCs w:val="28"/>
        </w:rPr>
        <w:t>房地产价值</w:t>
      </w:r>
      <w:r w:rsidR="00F45445" w:rsidRPr="004B0947">
        <w:rPr>
          <w:rFonts w:ascii="Arial" w:eastAsia="楷体_GB2312" w:hAnsi="Arial" w:cs="Arial"/>
          <w:sz w:val="28"/>
          <w:szCs w:val="28"/>
        </w:rPr>
        <w:t>”</w:t>
      </w:r>
      <w:r w:rsidR="00F45445" w:rsidRPr="004B0947">
        <w:rPr>
          <w:rFonts w:ascii="Arial" w:eastAsia="楷体_GB2312" w:hAnsi="Arial" w:cs="Arial"/>
          <w:sz w:val="28"/>
          <w:szCs w:val="28"/>
        </w:rPr>
        <w:t>是指在正常市场情况下，在价值时点</w:t>
      </w:r>
      <w:r w:rsidR="00F45445" w:rsidRPr="00AA6DBB">
        <w:rPr>
          <w:rFonts w:ascii="Arial" w:eastAsia="楷体_GB2312" w:hAnsi="Arial" w:cs="Arial"/>
          <w:sz w:val="28"/>
          <w:szCs w:val="28"/>
        </w:rPr>
        <w:t>2021</w:t>
      </w:r>
      <w:r w:rsidR="00F45445" w:rsidRPr="00AA6DBB">
        <w:rPr>
          <w:rFonts w:ascii="Arial" w:eastAsia="楷体_GB2312" w:hAnsi="Arial" w:cs="Arial"/>
          <w:sz w:val="28"/>
          <w:szCs w:val="28"/>
        </w:rPr>
        <w:t>年</w:t>
      </w:r>
      <w:r w:rsidR="00F45445" w:rsidRPr="00AA6DBB">
        <w:rPr>
          <w:rFonts w:ascii="Arial" w:eastAsia="楷体_GB2312" w:hAnsi="Arial" w:cs="Arial"/>
          <w:sz w:val="28"/>
          <w:szCs w:val="28"/>
        </w:rPr>
        <w:t>5</w:t>
      </w:r>
      <w:r w:rsidR="00F45445" w:rsidRPr="00AA6DBB">
        <w:rPr>
          <w:rFonts w:ascii="Arial" w:eastAsia="楷体_GB2312" w:hAnsi="Arial" w:cs="Arial"/>
          <w:sz w:val="28"/>
          <w:szCs w:val="28"/>
        </w:rPr>
        <w:t>月</w:t>
      </w:r>
      <w:r w:rsidR="00F45445" w:rsidRPr="00AA6DBB">
        <w:rPr>
          <w:rFonts w:ascii="Arial" w:eastAsia="楷体_GB2312" w:hAnsi="Arial" w:cs="Arial"/>
          <w:sz w:val="28"/>
          <w:szCs w:val="28"/>
        </w:rPr>
        <w:t>31</w:t>
      </w:r>
      <w:r w:rsidR="00F45445" w:rsidRPr="00AA6DBB">
        <w:rPr>
          <w:rFonts w:ascii="Arial" w:eastAsia="楷体_GB2312" w:hAnsi="Arial" w:cs="Arial"/>
          <w:sz w:val="28"/>
          <w:szCs w:val="28"/>
        </w:rPr>
        <w:t>日</w:t>
      </w:r>
      <w:r w:rsidR="00F45445" w:rsidRPr="004B0947">
        <w:rPr>
          <w:rFonts w:ascii="Arial" w:eastAsia="楷体_GB2312" w:hAnsi="Arial" w:cs="Arial"/>
          <w:sz w:val="28"/>
          <w:szCs w:val="28"/>
        </w:rPr>
        <w:t>，土地使用权类型为划拨，用途为住宅</w:t>
      </w:r>
      <w:r w:rsidR="00CA405B">
        <w:rPr>
          <w:rFonts w:ascii="Arial" w:eastAsia="楷体_GB2312" w:hAnsi="Arial" w:cs="Arial" w:hint="eastAsia"/>
          <w:sz w:val="28"/>
          <w:szCs w:val="28"/>
        </w:rPr>
        <w:t>（集资房）</w:t>
      </w:r>
      <w:r w:rsidR="00F45445" w:rsidRPr="004B0947">
        <w:rPr>
          <w:rFonts w:ascii="Arial" w:eastAsia="楷体_GB2312" w:hAnsi="Arial" w:cs="Arial"/>
          <w:sz w:val="28"/>
          <w:szCs w:val="28"/>
        </w:rPr>
        <w:t>，</w:t>
      </w:r>
      <w:r w:rsidR="00CA405B">
        <w:rPr>
          <w:rFonts w:ascii="Arial" w:eastAsia="楷体_GB2312" w:hAnsi="Arial" w:cs="Arial" w:hint="eastAsia"/>
          <w:sz w:val="28"/>
          <w:szCs w:val="28"/>
        </w:rPr>
        <w:t>规划建筑面积为</w:t>
      </w:r>
      <w:r w:rsidR="00CA405B">
        <w:rPr>
          <w:rFonts w:ascii="Arial" w:eastAsia="楷体_GB2312" w:hAnsi="Arial" w:cs="Arial" w:hint="eastAsia"/>
          <w:sz w:val="28"/>
          <w:szCs w:val="28"/>
        </w:rPr>
        <w:t>158994</w:t>
      </w:r>
      <w:r w:rsidR="00CA405B">
        <w:rPr>
          <w:rFonts w:ascii="Arial" w:eastAsia="楷体_GB2312" w:hAnsi="Arial" w:cs="Arial" w:hint="eastAsia"/>
          <w:sz w:val="28"/>
          <w:szCs w:val="28"/>
        </w:rPr>
        <w:t>平方米，</w:t>
      </w:r>
      <w:r w:rsidR="00F45445" w:rsidRPr="00AA6DBB">
        <w:rPr>
          <w:rFonts w:ascii="Arial" w:eastAsia="楷体_GB2312" w:hAnsi="Arial" w:cs="Arial"/>
          <w:sz w:val="28"/>
          <w:szCs w:val="28"/>
        </w:rPr>
        <w:t>房屋性质设定为按经济适用住房产权管理，室内装修情况</w:t>
      </w:r>
      <w:r w:rsidR="00F45445" w:rsidRPr="00AA6DBB">
        <w:rPr>
          <w:rFonts w:ascii="Arial" w:eastAsia="楷体_GB2312" w:hAnsi="Arial" w:cs="Arial"/>
          <w:sz w:val="28"/>
          <w:szCs w:val="28"/>
        </w:rPr>
        <w:t>4</w:t>
      </w:r>
      <w:r w:rsidR="00F45445" w:rsidRPr="00AA6DBB">
        <w:rPr>
          <w:rFonts w:ascii="Arial" w:eastAsia="楷体_GB2312" w:hAnsi="Arial" w:cs="Arial"/>
          <w:sz w:val="28"/>
          <w:szCs w:val="28"/>
        </w:rPr>
        <w:t>、</w:t>
      </w:r>
      <w:r w:rsidR="00F45445" w:rsidRPr="00AA6DBB">
        <w:rPr>
          <w:rFonts w:ascii="Arial" w:eastAsia="楷体_GB2312" w:hAnsi="Arial" w:cs="Arial"/>
          <w:sz w:val="28"/>
          <w:szCs w:val="28"/>
        </w:rPr>
        <w:t>7</w:t>
      </w:r>
      <w:r w:rsidR="00F45445" w:rsidRPr="00AA6DBB">
        <w:rPr>
          <w:rFonts w:ascii="Arial" w:eastAsia="楷体_GB2312" w:hAnsi="Arial" w:cs="Arial"/>
          <w:sz w:val="28"/>
          <w:szCs w:val="28"/>
        </w:rPr>
        <w:t>号楼设定为精装修、其余设定为毛坯，成新度设定为</w:t>
      </w:r>
      <w:r w:rsidR="00F45445" w:rsidRPr="00AA6DBB">
        <w:rPr>
          <w:rFonts w:ascii="Arial" w:eastAsia="楷体_GB2312" w:hAnsi="Arial" w:cs="Arial"/>
          <w:sz w:val="28"/>
          <w:szCs w:val="28"/>
        </w:rPr>
        <w:t>100%</w:t>
      </w:r>
      <w:r w:rsidR="00F45445" w:rsidRPr="00AA6DBB">
        <w:rPr>
          <w:rFonts w:ascii="Arial" w:eastAsia="楷体_GB2312" w:hAnsi="Arial" w:cs="Arial"/>
          <w:sz w:val="28"/>
          <w:szCs w:val="28"/>
        </w:rPr>
        <w:t>，地上容积率设定为</w:t>
      </w:r>
      <w:r w:rsidR="00F45445" w:rsidRPr="00AA6DBB">
        <w:rPr>
          <w:rFonts w:ascii="Arial" w:eastAsia="楷体_GB2312" w:hAnsi="Arial" w:cs="Arial"/>
          <w:sz w:val="28"/>
          <w:szCs w:val="28"/>
        </w:rPr>
        <w:t>2.56</w:t>
      </w:r>
      <w:r w:rsidR="00F45445" w:rsidRPr="00AA6DBB">
        <w:rPr>
          <w:rFonts w:ascii="Arial" w:eastAsia="楷体_GB2312" w:hAnsi="Arial" w:cs="Arial"/>
          <w:sz w:val="28"/>
          <w:szCs w:val="28"/>
        </w:rPr>
        <w:t>，宗地内开发程度设定为</w:t>
      </w:r>
      <w:r w:rsidR="00F45445" w:rsidRPr="00AA6DBB">
        <w:rPr>
          <w:rFonts w:ascii="Arial" w:eastAsia="楷体_GB2312" w:hAnsi="Arial" w:cs="Arial"/>
          <w:sz w:val="28"/>
          <w:szCs w:val="28"/>
        </w:rPr>
        <w:t>“</w:t>
      </w:r>
      <w:bookmarkStart w:id="0" w:name="_GoBack"/>
      <w:bookmarkEnd w:id="0"/>
      <w:r w:rsidR="00F45445" w:rsidRPr="00AA6DBB">
        <w:rPr>
          <w:rFonts w:ascii="Arial" w:eastAsia="楷体_GB2312" w:hAnsi="Arial" w:cs="Arial"/>
          <w:sz w:val="28"/>
          <w:szCs w:val="28"/>
        </w:rPr>
        <w:t>七通一平</w:t>
      </w:r>
      <w:r w:rsidR="00F45445" w:rsidRPr="00AA6DBB">
        <w:rPr>
          <w:rFonts w:ascii="Arial" w:eastAsia="楷体_GB2312" w:hAnsi="Arial" w:cs="Arial"/>
          <w:sz w:val="28"/>
          <w:szCs w:val="28"/>
        </w:rPr>
        <w:t>”</w:t>
      </w:r>
      <w:r w:rsidR="00F45445" w:rsidRPr="00AA6DBB">
        <w:rPr>
          <w:rFonts w:ascii="Arial" w:eastAsia="楷体_GB2312" w:hAnsi="Arial" w:cs="Arial"/>
          <w:sz w:val="28"/>
          <w:szCs w:val="28"/>
        </w:rPr>
        <w:t>（通路、通电、通上水、通下水、通讯、通暖、通燃气），已完成</w:t>
      </w:r>
      <w:r w:rsidR="00AA6DBB" w:rsidRPr="00AA6DBB">
        <w:rPr>
          <w:rFonts w:ascii="Arial" w:eastAsia="楷体_GB2312" w:hAnsi="Arial" w:cs="Arial"/>
          <w:sz w:val="28"/>
          <w:szCs w:val="28"/>
        </w:rPr>
        <w:t>竣工验收并</w:t>
      </w:r>
      <w:r w:rsidR="00F45445" w:rsidRPr="00AA6DBB">
        <w:rPr>
          <w:rFonts w:ascii="Arial" w:eastAsia="楷体_GB2312" w:hAnsi="Arial" w:cs="Arial"/>
          <w:sz w:val="28"/>
          <w:szCs w:val="28"/>
        </w:rPr>
        <w:t>正常交付使用的成本价值。</w:t>
      </w:r>
    </w:p>
    <w:p w14:paraId="1F04B02A" w14:textId="11E7042B" w:rsidR="00025A00" w:rsidRPr="00AA6DBB" w:rsidRDefault="00025A00" w:rsidP="007C1C17">
      <w:pPr>
        <w:spacing w:before="0" w:after="0" w:line="360" w:lineRule="auto"/>
        <w:ind w:firstLine="560"/>
        <w:jc w:val="both"/>
        <w:outlineLvl w:val="0"/>
        <w:rPr>
          <w:rFonts w:ascii="Arial" w:eastAsia="楷体_GB2312" w:hAnsi="Arial" w:cs="Arial" w:hint="eastAsia"/>
          <w:sz w:val="28"/>
          <w:szCs w:val="28"/>
        </w:rPr>
      </w:pPr>
      <w:r>
        <w:rPr>
          <w:rFonts w:ascii="Arial" w:eastAsia="楷体_GB2312" w:hAnsi="Arial" w:cs="Arial" w:hint="eastAsia"/>
          <w:sz w:val="28"/>
        </w:rPr>
        <w:t>根据</w:t>
      </w:r>
      <w:r w:rsidRPr="00F5506B">
        <w:rPr>
          <w:rFonts w:ascii="Arial" w:eastAsia="楷体_GB2312" w:hAnsi="Arial" w:cs="Arial" w:hint="eastAsia"/>
          <w:sz w:val="28"/>
          <w:szCs w:val="28"/>
        </w:rPr>
        <w:t>北京首钢房地产开发有限公司</w:t>
      </w:r>
      <w:r>
        <w:rPr>
          <w:rFonts w:ascii="Arial" w:eastAsia="楷体_GB2312" w:hAnsi="Arial" w:cs="Arial" w:hint="eastAsia"/>
          <w:sz w:val="28"/>
        </w:rPr>
        <w:t>提供的《估价委托函》及《</w:t>
      </w:r>
      <w:r w:rsidRPr="00ED4754">
        <w:rPr>
          <w:rFonts w:ascii="Arial" w:eastAsia="楷体_GB2312" w:hAnsi="Arial" w:cs="Arial" w:hint="eastAsia"/>
          <w:sz w:val="28"/>
        </w:rPr>
        <w:t>三期集资房项目利息说明</w:t>
      </w:r>
      <w:r>
        <w:rPr>
          <w:rFonts w:ascii="Arial" w:eastAsia="楷体_GB2312" w:hAnsi="Arial" w:cs="Arial" w:hint="eastAsia"/>
          <w:sz w:val="28"/>
        </w:rPr>
        <w:t>》，</w:t>
      </w:r>
      <w:r w:rsidRPr="00C47FEB">
        <w:rPr>
          <w:rFonts w:ascii="Arial" w:eastAsia="楷体_GB2312" w:hAnsi="Arial" w:cs="Arial" w:hint="eastAsia"/>
          <w:sz w:val="28"/>
        </w:rPr>
        <w:t>北京市石景山区铸造村集资建房遗留项目，截止到</w:t>
      </w:r>
      <w:r w:rsidRPr="00C47FEB">
        <w:rPr>
          <w:rFonts w:ascii="Arial" w:eastAsia="楷体_GB2312" w:hAnsi="Arial" w:cs="Arial" w:hint="eastAsia"/>
          <w:sz w:val="28"/>
        </w:rPr>
        <w:t>2021</w:t>
      </w:r>
      <w:r w:rsidRPr="00C47FEB">
        <w:rPr>
          <w:rFonts w:ascii="Arial" w:eastAsia="楷体_GB2312" w:hAnsi="Arial" w:cs="Arial" w:hint="eastAsia"/>
          <w:sz w:val="28"/>
        </w:rPr>
        <w:t>年</w:t>
      </w:r>
      <w:r w:rsidRPr="00C47FEB">
        <w:rPr>
          <w:rFonts w:ascii="Arial" w:eastAsia="楷体_GB2312" w:hAnsi="Arial" w:cs="Arial" w:hint="eastAsia"/>
          <w:sz w:val="28"/>
        </w:rPr>
        <w:t>5</w:t>
      </w:r>
      <w:r w:rsidRPr="00C47FEB">
        <w:rPr>
          <w:rFonts w:ascii="Arial" w:eastAsia="楷体_GB2312" w:hAnsi="Arial" w:cs="Arial" w:hint="eastAsia"/>
          <w:sz w:val="28"/>
        </w:rPr>
        <w:t>月</w:t>
      </w:r>
      <w:r w:rsidRPr="00C47FEB">
        <w:rPr>
          <w:rFonts w:ascii="Arial" w:eastAsia="楷体_GB2312" w:hAnsi="Arial" w:cs="Arial" w:hint="eastAsia"/>
          <w:sz w:val="28"/>
        </w:rPr>
        <w:t>31</w:t>
      </w:r>
      <w:r w:rsidRPr="00C47FEB">
        <w:rPr>
          <w:rFonts w:ascii="Arial" w:eastAsia="楷体_GB2312" w:hAnsi="Arial" w:cs="Arial" w:hint="eastAsia"/>
          <w:sz w:val="28"/>
        </w:rPr>
        <w:t>日，住宅部分利息实际发生为</w:t>
      </w:r>
      <w:r w:rsidRPr="00C47FEB">
        <w:rPr>
          <w:rFonts w:ascii="Arial" w:eastAsia="楷体_GB2312" w:hAnsi="Arial" w:cs="Arial" w:hint="eastAsia"/>
          <w:sz w:val="28"/>
        </w:rPr>
        <w:t>52285</w:t>
      </w:r>
      <w:r>
        <w:rPr>
          <w:rFonts w:ascii="Arial" w:eastAsia="楷体_GB2312" w:hAnsi="Arial" w:cs="Arial" w:hint="eastAsia"/>
          <w:sz w:val="28"/>
        </w:rPr>
        <w:t>万元</w:t>
      </w:r>
      <w:r>
        <w:rPr>
          <w:rFonts w:ascii="Arial" w:eastAsia="楷体_GB2312" w:hAnsi="Arial" w:cs="Arial" w:hint="eastAsia"/>
          <w:sz w:val="28"/>
          <w:szCs w:val="28"/>
        </w:rPr>
        <w:t>。其中</w:t>
      </w:r>
      <w:r w:rsidRPr="0026698F">
        <w:rPr>
          <w:rFonts w:ascii="Arial" w:eastAsia="楷体_GB2312" w:hAnsi="Arial" w:cs="Arial" w:hint="eastAsia"/>
          <w:sz w:val="28"/>
          <w:szCs w:val="28"/>
        </w:rPr>
        <w:t>住宅部分拆迁投资</w:t>
      </w:r>
      <w:r w:rsidRPr="0026698F">
        <w:rPr>
          <w:rFonts w:ascii="Arial" w:eastAsia="楷体_GB2312" w:hAnsi="Arial" w:cs="Arial" w:hint="eastAsia"/>
          <w:sz w:val="28"/>
          <w:szCs w:val="28"/>
        </w:rPr>
        <w:t>71008</w:t>
      </w:r>
      <w:r w:rsidRPr="0026698F">
        <w:rPr>
          <w:rFonts w:ascii="Arial" w:eastAsia="楷体_GB2312" w:hAnsi="Arial" w:cs="Arial" w:hint="eastAsia"/>
          <w:sz w:val="28"/>
          <w:szCs w:val="28"/>
        </w:rPr>
        <w:t>万元，</w:t>
      </w:r>
      <w:r>
        <w:rPr>
          <w:rFonts w:ascii="Arial" w:eastAsia="楷体_GB2312" w:hAnsi="Arial" w:cs="Arial" w:hint="eastAsia"/>
          <w:sz w:val="28"/>
          <w:szCs w:val="28"/>
        </w:rPr>
        <w:t>自</w:t>
      </w:r>
      <w:r>
        <w:rPr>
          <w:rFonts w:ascii="Arial" w:eastAsia="楷体_GB2312" w:hAnsi="Arial" w:cs="Arial" w:hint="eastAsia"/>
          <w:sz w:val="28"/>
          <w:szCs w:val="28"/>
        </w:rPr>
        <w:t>2009</w:t>
      </w:r>
      <w:r>
        <w:rPr>
          <w:rFonts w:ascii="Arial" w:eastAsia="楷体_GB2312" w:hAnsi="Arial" w:cs="Arial" w:hint="eastAsia"/>
          <w:sz w:val="28"/>
          <w:szCs w:val="28"/>
        </w:rPr>
        <w:t>年起至</w:t>
      </w:r>
      <w:r>
        <w:rPr>
          <w:rFonts w:ascii="Arial" w:eastAsia="楷体_GB2312" w:hAnsi="Arial" w:cs="Arial" w:hint="eastAsia"/>
          <w:sz w:val="28"/>
          <w:szCs w:val="28"/>
        </w:rPr>
        <w:t>2021</w:t>
      </w:r>
      <w:r>
        <w:rPr>
          <w:rFonts w:ascii="Arial" w:eastAsia="楷体_GB2312" w:hAnsi="Arial" w:cs="Arial" w:hint="eastAsia"/>
          <w:sz w:val="28"/>
          <w:szCs w:val="28"/>
        </w:rPr>
        <w:t>年，</w:t>
      </w:r>
      <w:r w:rsidRPr="0026698F">
        <w:rPr>
          <w:rFonts w:ascii="Arial" w:eastAsia="楷体_GB2312" w:hAnsi="Arial" w:cs="Arial" w:hint="eastAsia"/>
          <w:sz w:val="28"/>
          <w:szCs w:val="28"/>
        </w:rPr>
        <w:t>按每年实际发生统计</w:t>
      </w:r>
      <w:r>
        <w:rPr>
          <w:rFonts w:ascii="Arial" w:eastAsia="楷体_GB2312" w:hAnsi="Arial" w:cs="Arial" w:hint="eastAsia"/>
          <w:sz w:val="28"/>
          <w:szCs w:val="28"/>
        </w:rPr>
        <w:t>，</w:t>
      </w:r>
      <w:r w:rsidRPr="008F24A0">
        <w:rPr>
          <w:rFonts w:ascii="Arial" w:eastAsia="楷体_GB2312" w:hAnsi="Arial" w:cs="Arial" w:hint="eastAsia"/>
          <w:sz w:val="28"/>
          <w:szCs w:val="28"/>
        </w:rPr>
        <w:t>按历年贷款利率表的利息进行计算</w:t>
      </w:r>
      <w:r>
        <w:rPr>
          <w:rFonts w:ascii="Arial" w:eastAsia="楷体_GB2312" w:hAnsi="Arial" w:cs="Arial" w:hint="eastAsia"/>
          <w:sz w:val="28"/>
          <w:szCs w:val="28"/>
        </w:rPr>
        <w:t>，实际利息金额为</w:t>
      </w:r>
      <w:r>
        <w:rPr>
          <w:rFonts w:ascii="Arial" w:eastAsia="楷体_GB2312" w:hAnsi="Arial" w:cs="Arial" w:hint="eastAsia"/>
          <w:sz w:val="28"/>
          <w:szCs w:val="28"/>
        </w:rPr>
        <w:t>30803</w:t>
      </w:r>
      <w:r>
        <w:rPr>
          <w:rFonts w:ascii="Arial" w:eastAsia="楷体_GB2312" w:hAnsi="Arial" w:cs="Arial" w:hint="eastAsia"/>
          <w:sz w:val="28"/>
          <w:szCs w:val="28"/>
        </w:rPr>
        <w:t>万元。</w:t>
      </w:r>
      <w:r w:rsidRPr="0026698F">
        <w:rPr>
          <w:rFonts w:ascii="Arial" w:eastAsia="楷体_GB2312" w:hAnsi="Arial" w:cs="Arial" w:hint="eastAsia"/>
          <w:sz w:val="28"/>
          <w:szCs w:val="28"/>
        </w:rPr>
        <w:t>住宅部分工程投资</w:t>
      </w:r>
      <w:r w:rsidRPr="00ED4754">
        <w:rPr>
          <w:rFonts w:ascii="Arial" w:eastAsia="楷体_GB2312" w:hAnsi="Arial" w:cs="Arial" w:hint="eastAsia"/>
          <w:sz w:val="28"/>
          <w:szCs w:val="28"/>
        </w:rPr>
        <w:t>83840</w:t>
      </w:r>
      <w:r w:rsidRPr="00ED4754">
        <w:rPr>
          <w:rFonts w:ascii="Arial" w:eastAsia="楷体_GB2312" w:hAnsi="Arial" w:cs="Arial" w:hint="eastAsia"/>
          <w:sz w:val="28"/>
          <w:szCs w:val="28"/>
        </w:rPr>
        <w:t>万元，</w:t>
      </w:r>
      <w:r>
        <w:rPr>
          <w:rFonts w:ascii="Arial" w:eastAsia="楷体_GB2312" w:hAnsi="Arial" w:cs="Arial" w:hint="eastAsia"/>
          <w:sz w:val="28"/>
          <w:szCs w:val="28"/>
        </w:rPr>
        <w:t>自</w:t>
      </w:r>
      <w:r>
        <w:rPr>
          <w:rFonts w:ascii="Arial" w:eastAsia="楷体_GB2312" w:hAnsi="Arial" w:cs="Arial" w:hint="eastAsia"/>
          <w:sz w:val="28"/>
          <w:szCs w:val="28"/>
        </w:rPr>
        <w:t>2012</w:t>
      </w:r>
      <w:r>
        <w:rPr>
          <w:rFonts w:ascii="Arial" w:eastAsia="楷体_GB2312" w:hAnsi="Arial" w:cs="Arial" w:hint="eastAsia"/>
          <w:sz w:val="28"/>
          <w:szCs w:val="28"/>
        </w:rPr>
        <w:t>年起至</w:t>
      </w:r>
      <w:r>
        <w:rPr>
          <w:rFonts w:ascii="Arial" w:eastAsia="楷体_GB2312" w:hAnsi="Arial" w:cs="Arial" w:hint="eastAsia"/>
          <w:sz w:val="28"/>
          <w:szCs w:val="28"/>
        </w:rPr>
        <w:t>2021</w:t>
      </w:r>
      <w:r>
        <w:rPr>
          <w:rFonts w:ascii="Arial" w:eastAsia="楷体_GB2312" w:hAnsi="Arial" w:cs="Arial" w:hint="eastAsia"/>
          <w:sz w:val="28"/>
          <w:szCs w:val="28"/>
        </w:rPr>
        <w:t>年，</w:t>
      </w:r>
      <w:r w:rsidRPr="00ED4754">
        <w:rPr>
          <w:rFonts w:ascii="Arial" w:eastAsia="楷体_GB2312" w:hAnsi="Arial" w:cs="Arial" w:hint="eastAsia"/>
          <w:sz w:val="28"/>
          <w:szCs w:val="28"/>
        </w:rPr>
        <w:t>按年均发生</w:t>
      </w:r>
      <w:r w:rsidRPr="00ED4754">
        <w:rPr>
          <w:rFonts w:ascii="Arial" w:eastAsia="楷体_GB2312" w:hAnsi="Arial" w:cs="Arial" w:hint="eastAsia"/>
          <w:sz w:val="28"/>
          <w:szCs w:val="28"/>
        </w:rPr>
        <w:t>8600</w:t>
      </w:r>
      <w:r w:rsidRPr="00ED4754">
        <w:rPr>
          <w:rFonts w:ascii="Arial" w:eastAsia="楷体_GB2312" w:hAnsi="Arial" w:cs="Arial" w:hint="eastAsia"/>
          <w:sz w:val="28"/>
          <w:szCs w:val="28"/>
        </w:rPr>
        <w:t>万元统计，</w:t>
      </w:r>
      <w:r>
        <w:rPr>
          <w:rFonts w:ascii="Arial" w:eastAsia="楷体_GB2312" w:hAnsi="Arial" w:cs="Arial" w:hint="eastAsia"/>
          <w:sz w:val="28"/>
          <w:szCs w:val="28"/>
        </w:rPr>
        <w:t>实际利息金额</w:t>
      </w:r>
      <w:r w:rsidRPr="00ED4754">
        <w:rPr>
          <w:rFonts w:ascii="Arial" w:eastAsia="楷体_GB2312" w:hAnsi="Arial" w:cs="Arial" w:hint="eastAsia"/>
          <w:sz w:val="28"/>
          <w:szCs w:val="28"/>
        </w:rPr>
        <w:t>为</w:t>
      </w:r>
      <w:r w:rsidRPr="00ED4754">
        <w:rPr>
          <w:rFonts w:ascii="Arial" w:eastAsia="楷体_GB2312" w:hAnsi="Arial" w:cs="Arial" w:hint="eastAsia"/>
          <w:sz w:val="28"/>
          <w:szCs w:val="28"/>
        </w:rPr>
        <w:t>21482</w:t>
      </w:r>
      <w:r w:rsidRPr="00ED4754">
        <w:rPr>
          <w:rFonts w:ascii="Arial" w:eastAsia="楷体_GB2312" w:hAnsi="Arial" w:cs="Arial" w:hint="eastAsia"/>
          <w:sz w:val="28"/>
          <w:szCs w:val="28"/>
        </w:rPr>
        <w:t>万元</w:t>
      </w:r>
      <w:r>
        <w:rPr>
          <w:rFonts w:ascii="Arial" w:eastAsia="楷体_GB2312" w:hAnsi="Arial" w:cs="Arial" w:hint="eastAsia"/>
          <w:sz w:val="28"/>
          <w:szCs w:val="28"/>
        </w:rPr>
        <w:t>。</w:t>
      </w:r>
    </w:p>
    <w:p w14:paraId="1EED8963" w14:textId="7CD8C489" w:rsidR="000C055A" w:rsidRDefault="000C055A" w:rsidP="007C1C17">
      <w:pPr>
        <w:spacing w:before="0" w:after="0" w:line="360" w:lineRule="auto"/>
        <w:ind w:firstLine="560"/>
        <w:jc w:val="both"/>
        <w:outlineLvl w:val="0"/>
        <w:rPr>
          <w:rFonts w:ascii="Arial" w:eastAsia="楷体_GB2312" w:hAnsi="Arial" w:cs="Arial"/>
          <w:sz w:val="28"/>
          <w:szCs w:val="28"/>
        </w:rPr>
      </w:pPr>
      <w:r>
        <w:rPr>
          <w:rFonts w:ascii="Arial" w:eastAsia="楷体_GB2312" w:hAnsi="Arial" w:cs="Arial" w:hint="eastAsia"/>
          <w:sz w:val="28"/>
          <w:szCs w:val="28"/>
        </w:rPr>
        <w:t>考虑</w:t>
      </w:r>
      <w:r w:rsidR="00927845" w:rsidRPr="00927845">
        <w:rPr>
          <w:rFonts w:ascii="Arial" w:eastAsia="楷体_GB2312" w:hAnsi="Arial" w:cs="Arial" w:hint="eastAsia"/>
          <w:sz w:val="28"/>
          <w:szCs w:val="28"/>
        </w:rPr>
        <w:t>首钢集资建房实际建造周期较长，</w:t>
      </w:r>
      <w:r w:rsidR="00F45445">
        <w:rPr>
          <w:rFonts w:ascii="Arial" w:eastAsia="楷体_GB2312" w:hAnsi="Arial" w:cs="Arial" w:hint="eastAsia"/>
          <w:sz w:val="28"/>
          <w:szCs w:val="28"/>
        </w:rPr>
        <w:t>住宅用房</w:t>
      </w:r>
      <w:r w:rsidR="00927845">
        <w:rPr>
          <w:rFonts w:ascii="Arial" w:eastAsia="楷体_GB2312" w:hAnsi="Arial" w:cs="Arial" w:hint="eastAsia"/>
          <w:sz w:val="28"/>
          <w:szCs w:val="28"/>
        </w:rPr>
        <w:t>的利息按照</w:t>
      </w:r>
      <w:r>
        <w:rPr>
          <w:rFonts w:ascii="Arial" w:eastAsia="楷体_GB2312" w:hAnsi="Arial" w:cs="Arial" w:hint="eastAsia"/>
          <w:sz w:val="28"/>
          <w:szCs w:val="28"/>
        </w:rPr>
        <w:t>实际发生的利息金额</w:t>
      </w:r>
      <w:r w:rsidR="00927845">
        <w:rPr>
          <w:rFonts w:ascii="Arial" w:eastAsia="楷体_GB2312" w:hAnsi="Arial" w:cs="Arial" w:hint="eastAsia"/>
          <w:sz w:val="28"/>
          <w:szCs w:val="28"/>
        </w:rPr>
        <w:t>计取</w:t>
      </w:r>
      <w:r>
        <w:rPr>
          <w:rFonts w:ascii="Arial" w:eastAsia="楷体_GB2312" w:hAnsi="Arial" w:cs="Arial" w:hint="eastAsia"/>
          <w:sz w:val="28"/>
          <w:szCs w:val="28"/>
        </w:rPr>
        <w:t>，</w:t>
      </w:r>
      <w:r w:rsidR="007C1C17">
        <w:rPr>
          <w:rFonts w:ascii="Arial" w:eastAsia="楷体_GB2312" w:hAnsi="Arial" w:cs="Arial" w:hint="eastAsia"/>
          <w:sz w:val="28"/>
          <w:szCs w:val="28"/>
        </w:rPr>
        <w:t>估算</w:t>
      </w:r>
      <w:r>
        <w:rPr>
          <w:rFonts w:ascii="Arial" w:eastAsia="楷体_GB2312" w:hAnsi="Arial" w:cs="Arial" w:hint="eastAsia"/>
          <w:sz w:val="28"/>
          <w:szCs w:val="28"/>
        </w:rPr>
        <w:t>集资建房成本价值</w:t>
      </w:r>
      <w:r w:rsidR="007C1C17">
        <w:rPr>
          <w:rFonts w:ascii="Arial" w:eastAsia="楷体_GB2312" w:hAnsi="Arial" w:cs="Arial" w:hint="eastAsia"/>
          <w:sz w:val="28"/>
          <w:szCs w:val="28"/>
        </w:rPr>
        <w:t>为</w:t>
      </w:r>
      <w:r w:rsidR="008366F1">
        <w:rPr>
          <w:rFonts w:ascii="Arial" w:eastAsia="楷体_GB2312" w:hAnsi="Arial" w:cs="Arial" w:hint="eastAsia"/>
          <w:sz w:val="28"/>
          <w:szCs w:val="28"/>
        </w:rPr>
        <w:t>24.9785</w:t>
      </w:r>
      <w:r w:rsidR="007C1C17">
        <w:rPr>
          <w:rFonts w:ascii="Arial" w:eastAsia="楷体_GB2312" w:hAnsi="Arial" w:cs="Arial" w:hint="eastAsia"/>
          <w:sz w:val="28"/>
          <w:szCs w:val="28"/>
        </w:rPr>
        <w:t>亿元，单价为</w:t>
      </w:r>
      <w:r w:rsidR="008366F1">
        <w:rPr>
          <w:rFonts w:ascii="Arial" w:eastAsia="楷体_GB2312" w:hAnsi="Arial" w:cs="Arial" w:hint="eastAsia"/>
          <w:sz w:val="28"/>
          <w:szCs w:val="28"/>
        </w:rPr>
        <w:t>15710</w:t>
      </w:r>
      <w:r w:rsidR="007C1C17">
        <w:rPr>
          <w:rFonts w:ascii="Arial" w:eastAsia="楷体_GB2312" w:hAnsi="Arial" w:cs="Arial" w:hint="eastAsia"/>
          <w:sz w:val="28"/>
          <w:szCs w:val="28"/>
        </w:rPr>
        <w:t>元</w:t>
      </w:r>
      <w:r w:rsidR="007C1C17">
        <w:rPr>
          <w:rFonts w:ascii="Arial" w:eastAsia="楷体_GB2312" w:hAnsi="Arial" w:cs="Arial" w:hint="eastAsia"/>
          <w:sz w:val="28"/>
          <w:szCs w:val="28"/>
        </w:rPr>
        <w:t>/</w:t>
      </w:r>
      <w:r w:rsidR="007C1C17">
        <w:rPr>
          <w:rFonts w:ascii="Arial" w:eastAsia="楷体_GB2312" w:hAnsi="Arial" w:cs="Arial" w:hint="eastAsia"/>
          <w:sz w:val="28"/>
          <w:szCs w:val="28"/>
        </w:rPr>
        <w:t>平方米。</w:t>
      </w:r>
      <w:r w:rsidR="00927845">
        <w:rPr>
          <w:rFonts w:ascii="Arial" w:eastAsia="楷体_GB2312" w:hAnsi="Arial" w:cs="Arial" w:hint="eastAsia"/>
          <w:sz w:val="28"/>
          <w:szCs w:val="28"/>
        </w:rPr>
        <w:t>另配有</w:t>
      </w:r>
      <w:r w:rsidR="00927845" w:rsidRPr="00927845">
        <w:rPr>
          <w:rFonts w:ascii="Arial" w:eastAsia="楷体_GB2312" w:hAnsi="Arial" w:cs="Arial" w:hint="eastAsia"/>
          <w:sz w:val="28"/>
          <w:szCs w:val="28"/>
        </w:rPr>
        <w:t>商业和地下车库成本</w:t>
      </w:r>
      <w:r w:rsidR="00927845" w:rsidRPr="00927845">
        <w:rPr>
          <w:rFonts w:ascii="Arial" w:eastAsia="楷体_GB2312" w:hAnsi="Arial" w:cs="Arial" w:hint="eastAsia"/>
          <w:sz w:val="28"/>
          <w:szCs w:val="28"/>
        </w:rPr>
        <w:t>1.3703</w:t>
      </w:r>
      <w:r w:rsidR="00927845" w:rsidRPr="00927845">
        <w:rPr>
          <w:rFonts w:ascii="Arial" w:eastAsia="楷体_GB2312" w:hAnsi="Arial" w:cs="Arial" w:hint="eastAsia"/>
          <w:sz w:val="28"/>
          <w:szCs w:val="28"/>
        </w:rPr>
        <w:t>亿元。</w:t>
      </w:r>
      <w:r w:rsidR="00927845">
        <w:rPr>
          <w:rFonts w:ascii="Arial" w:eastAsia="楷体_GB2312" w:hAnsi="Arial" w:cs="Arial" w:hint="eastAsia"/>
          <w:sz w:val="28"/>
          <w:szCs w:val="28"/>
        </w:rPr>
        <w:t>项目总成本为</w:t>
      </w:r>
      <w:r w:rsidR="00927845">
        <w:rPr>
          <w:rFonts w:ascii="Arial" w:eastAsia="楷体_GB2312" w:hAnsi="Arial" w:cs="Arial" w:hint="eastAsia"/>
          <w:sz w:val="28"/>
          <w:szCs w:val="28"/>
        </w:rPr>
        <w:t>26.3488</w:t>
      </w:r>
      <w:r w:rsidR="00927845">
        <w:rPr>
          <w:rFonts w:ascii="Arial" w:eastAsia="楷体_GB2312" w:hAnsi="Arial" w:cs="Arial" w:hint="eastAsia"/>
          <w:sz w:val="28"/>
          <w:szCs w:val="28"/>
        </w:rPr>
        <w:t>亿元。</w:t>
      </w:r>
    </w:p>
    <w:p w14:paraId="29BEB6E9" w14:textId="22F8B049" w:rsidR="007C1C17" w:rsidRDefault="007C1C17" w:rsidP="00927845">
      <w:pPr>
        <w:spacing w:line="560" w:lineRule="exact"/>
        <w:ind w:firstLineChars="850" w:firstLine="2380"/>
        <w:rPr>
          <w:rFonts w:ascii="Arial" w:eastAsia="楷体_GB2312" w:hAnsi="Arial" w:cs="Arial"/>
          <w:sz w:val="28"/>
          <w:szCs w:val="28"/>
        </w:rPr>
      </w:pPr>
      <w:r>
        <w:rPr>
          <w:rFonts w:ascii="Arial" w:eastAsia="楷体_GB2312" w:hAnsi="Arial" w:cs="Arial" w:hint="eastAsia"/>
          <w:sz w:val="28"/>
          <w:szCs w:val="28"/>
        </w:rPr>
        <w:t xml:space="preserve">    </w:t>
      </w:r>
    </w:p>
    <w:p w14:paraId="147BC56A" w14:textId="77777777" w:rsidR="007C1C17" w:rsidRDefault="007C1C17" w:rsidP="007C1C17">
      <w:pPr>
        <w:spacing w:line="560" w:lineRule="exact"/>
        <w:ind w:firstLineChars="850" w:firstLine="2380"/>
        <w:rPr>
          <w:rFonts w:ascii="Arial" w:eastAsia="楷体_GB2312" w:hAnsi="Arial" w:cs="Arial"/>
          <w:sz w:val="28"/>
          <w:szCs w:val="28"/>
        </w:rPr>
      </w:pPr>
      <w:r>
        <w:rPr>
          <w:rFonts w:ascii="Arial" w:eastAsia="楷体_GB2312" w:hAnsi="Arial" w:cs="Arial" w:hint="eastAsia"/>
          <w:sz w:val="28"/>
          <w:szCs w:val="28"/>
        </w:rPr>
        <w:t xml:space="preserve">                 </w:t>
      </w:r>
      <w:r w:rsidRPr="00F5506B">
        <w:rPr>
          <w:rFonts w:ascii="Arial" w:eastAsia="楷体_GB2312" w:hAnsi="Arial" w:cs="Arial" w:hint="eastAsia"/>
          <w:sz w:val="28"/>
          <w:szCs w:val="28"/>
        </w:rPr>
        <w:t>北京</w:t>
      </w:r>
      <w:r>
        <w:rPr>
          <w:rFonts w:ascii="Arial" w:eastAsia="楷体_GB2312" w:hAnsi="Arial" w:cs="Arial" w:hint="eastAsia"/>
          <w:sz w:val="28"/>
          <w:szCs w:val="28"/>
        </w:rPr>
        <w:t>康正宏基房地产评估</w:t>
      </w:r>
      <w:r w:rsidRPr="00F5506B">
        <w:rPr>
          <w:rFonts w:ascii="Arial" w:eastAsia="楷体_GB2312" w:hAnsi="Arial" w:cs="Arial" w:hint="eastAsia"/>
          <w:sz w:val="28"/>
          <w:szCs w:val="28"/>
        </w:rPr>
        <w:t>有限公司</w:t>
      </w:r>
    </w:p>
    <w:p w14:paraId="6B5132E5" w14:textId="77777777" w:rsidR="007C1C17" w:rsidRPr="009C1DE1" w:rsidRDefault="007C1C17" w:rsidP="007C1C17">
      <w:pPr>
        <w:spacing w:line="560" w:lineRule="exact"/>
        <w:ind w:firstLineChars="1150" w:firstLine="3220"/>
        <w:rPr>
          <w:rFonts w:ascii="Arial" w:eastAsia="楷体_GB2312" w:hAnsi="Arial" w:cs="Arial"/>
          <w:sz w:val="28"/>
          <w:szCs w:val="28"/>
        </w:rPr>
      </w:pPr>
    </w:p>
    <w:p w14:paraId="251A6EA8" w14:textId="64B68139" w:rsidR="003656E6" w:rsidRPr="007C1C17" w:rsidRDefault="007C1C17" w:rsidP="007C1C17">
      <w:pPr>
        <w:rPr>
          <w:rFonts w:ascii="Arial" w:eastAsia="楷体_GB2312" w:hAnsi="Arial" w:cs="Arial"/>
          <w:sz w:val="28"/>
          <w:szCs w:val="28"/>
        </w:rPr>
      </w:pPr>
      <w:r>
        <w:rPr>
          <w:rFonts w:ascii="Arial" w:eastAsia="楷体_GB2312" w:hAnsi="Arial" w:cs="Arial" w:hint="eastAsia"/>
          <w:sz w:val="28"/>
          <w:szCs w:val="28"/>
        </w:rPr>
        <w:t xml:space="preserve">                                     </w:t>
      </w:r>
      <w:r w:rsidR="00022DAC">
        <w:rPr>
          <w:rFonts w:ascii="Arial" w:eastAsia="楷体_GB2312" w:hAnsi="Arial" w:cs="Arial" w:hint="eastAsia"/>
          <w:sz w:val="28"/>
          <w:szCs w:val="28"/>
        </w:rPr>
        <w:t>2021</w:t>
      </w:r>
      <w:r>
        <w:rPr>
          <w:rFonts w:ascii="Arial" w:eastAsia="楷体_GB2312" w:hAnsi="Arial" w:cs="Arial" w:hint="eastAsia"/>
          <w:sz w:val="28"/>
          <w:szCs w:val="28"/>
        </w:rPr>
        <w:t xml:space="preserve">  </w:t>
      </w:r>
      <w:r w:rsidRPr="009C1DE1">
        <w:rPr>
          <w:rFonts w:ascii="Arial" w:eastAsia="楷体_GB2312" w:hAnsi="Arial" w:cs="Arial"/>
          <w:sz w:val="28"/>
          <w:szCs w:val="28"/>
        </w:rPr>
        <w:t>年</w:t>
      </w:r>
      <w:r w:rsidR="00022DAC">
        <w:rPr>
          <w:rFonts w:ascii="Arial" w:eastAsia="楷体_GB2312" w:hAnsi="Arial" w:cs="Arial"/>
          <w:sz w:val="28"/>
          <w:szCs w:val="28"/>
        </w:rPr>
        <w:t xml:space="preserve"> </w:t>
      </w:r>
      <w:r w:rsidRPr="009C1DE1">
        <w:rPr>
          <w:rFonts w:ascii="Arial" w:eastAsia="楷体_GB2312" w:hAnsi="Arial" w:cs="Arial"/>
          <w:sz w:val="28"/>
          <w:szCs w:val="28"/>
        </w:rPr>
        <w:t xml:space="preserve"> </w:t>
      </w:r>
      <w:r w:rsidR="00022DAC">
        <w:rPr>
          <w:rFonts w:ascii="Arial" w:eastAsia="楷体_GB2312" w:hAnsi="Arial" w:cs="Arial" w:hint="eastAsia"/>
          <w:sz w:val="28"/>
          <w:szCs w:val="28"/>
        </w:rPr>
        <w:t>7</w:t>
      </w:r>
      <w:r w:rsidRPr="009C1DE1">
        <w:rPr>
          <w:rFonts w:ascii="Arial" w:eastAsia="楷体_GB2312" w:hAnsi="Arial" w:cs="Arial"/>
          <w:sz w:val="28"/>
          <w:szCs w:val="28"/>
        </w:rPr>
        <w:t xml:space="preserve"> </w:t>
      </w:r>
      <w:r w:rsidRPr="009C1DE1">
        <w:rPr>
          <w:rFonts w:ascii="Arial" w:eastAsia="楷体_GB2312" w:hAnsi="Arial" w:cs="Arial"/>
          <w:sz w:val="28"/>
          <w:szCs w:val="28"/>
        </w:rPr>
        <w:t>月</w:t>
      </w:r>
      <w:r w:rsidRPr="009C1DE1">
        <w:rPr>
          <w:rFonts w:ascii="Arial" w:eastAsia="楷体_GB2312" w:hAnsi="Arial" w:cs="Arial"/>
          <w:sz w:val="28"/>
          <w:szCs w:val="28"/>
        </w:rPr>
        <w:t xml:space="preserve">  </w:t>
      </w:r>
      <w:r w:rsidR="00022DAC">
        <w:rPr>
          <w:rFonts w:ascii="Arial" w:eastAsia="楷体_GB2312" w:hAnsi="Arial" w:cs="Arial" w:hint="eastAsia"/>
          <w:sz w:val="28"/>
          <w:szCs w:val="28"/>
        </w:rPr>
        <w:t>23</w:t>
      </w:r>
      <w:r w:rsidRPr="009C1DE1">
        <w:rPr>
          <w:rFonts w:ascii="Arial" w:eastAsia="楷体_GB2312" w:hAnsi="Arial" w:cs="Arial"/>
          <w:sz w:val="28"/>
          <w:szCs w:val="28"/>
        </w:rPr>
        <w:t xml:space="preserve"> </w:t>
      </w:r>
      <w:r w:rsidRPr="009C1DE1">
        <w:rPr>
          <w:rFonts w:ascii="Arial" w:eastAsia="楷体_GB2312" w:hAnsi="Arial" w:cs="Arial"/>
          <w:sz w:val="28"/>
          <w:szCs w:val="28"/>
        </w:rPr>
        <w:t>日</w:t>
      </w:r>
    </w:p>
    <w:sectPr w:rsidR="003656E6" w:rsidRPr="007C1C17" w:rsidSect="001453D9">
      <w:headerReference w:type="default" r:id="rId7"/>
      <w:footerReference w:type="default" r:id="rId8"/>
      <w:pgSz w:w="11907" w:h="16840" w:code="9"/>
      <w:pgMar w:top="1418" w:right="1134"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6167D" w14:textId="77777777" w:rsidR="001D1FA4" w:rsidRDefault="001D1FA4">
      <w:pPr>
        <w:spacing w:before="0" w:after="0" w:line="240" w:lineRule="auto"/>
      </w:pPr>
      <w:r>
        <w:separator/>
      </w:r>
    </w:p>
  </w:endnote>
  <w:endnote w:type="continuationSeparator" w:id="0">
    <w:p w14:paraId="529FB5E3" w14:textId="77777777" w:rsidR="001D1FA4" w:rsidRDefault="001D1F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script"/>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DengXian Light">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845C3" w14:textId="77777777" w:rsidR="00B16F87" w:rsidRPr="0093435D" w:rsidRDefault="00DA5E2E" w:rsidP="00271105">
    <w:pPr>
      <w:pStyle w:val="a4"/>
      <w:pBdr>
        <w:top w:val="single" w:sz="8" w:space="2" w:color="FF0000"/>
      </w:pBdr>
      <w:jc w:val="center"/>
      <w:rPr>
        <w:lang w:eastAsia="zh-CN"/>
      </w:rPr>
    </w:pPr>
    <w:r>
      <w:fldChar w:fldCharType="begin"/>
    </w:r>
    <w:r>
      <w:instrText>PAGE   \* MERGEFORMAT</w:instrText>
    </w:r>
    <w:r>
      <w:fldChar w:fldCharType="separate"/>
    </w:r>
    <w:r w:rsidR="001D1FA4" w:rsidRPr="001D1FA4">
      <w:rPr>
        <w:rFonts w:ascii="Arial" w:hAnsi="Arial"/>
        <w:noProof/>
        <w:lang w:val="zh-CN" w:eastAsia="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7D937" w14:textId="77777777" w:rsidR="001D1FA4" w:rsidRDefault="001D1FA4">
      <w:pPr>
        <w:spacing w:before="0" w:after="0" w:line="240" w:lineRule="auto"/>
      </w:pPr>
      <w:r>
        <w:separator/>
      </w:r>
    </w:p>
  </w:footnote>
  <w:footnote w:type="continuationSeparator" w:id="0">
    <w:p w14:paraId="411D7AEE" w14:textId="77777777" w:rsidR="001D1FA4" w:rsidRDefault="001D1FA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5D5D" w14:textId="77777777" w:rsidR="00B16F87" w:rsidRDefault="00D85AD8" w:rsidP="007B6012">
    <w:pPr>
      <w:pStyle w:val="a3"/>
      <w:rPr>
        <w:noProof/>
        <w:lang w:eastAsia="zh-CN"/>
      </w:rPr>
    </w:pPr>
    <w:r w:rsidRPr="00782E3E">
      <w:rPr>
        <w:noProof/>
        <w:lang w:val="en-US" w:eastAsia="zh-CN"/>
      </w:rPr>
      <w:drawing>
        <wp:inline distT="0" distB="0" distL="0" distR="0" wp14:anchorId="09138EB8" wp14:editId="4E56CE88">
          <wp:extent cx="6019165" cy="318135"/>
          <wp:effectExtent l="0" t="0" r="635" b="1206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318135"/>
                  </a:xfrm>
                  <a:prstGeom prst="rect">
                    <a:avLst/>
                  </a:prstGeom>
                  <a:noFill/>
                  <a:ln>
                    <a:noFill/>
                  </a:ln>
                </pic:spPr>
              </pic:pic>
            </a:graphicData>
          </a:graphic>
        </wp:inline>
      </w:drawing>
    </w:r>
  </w:p>
  <w:p w14:paraId="704C7673" w14:textId="77777777" w:rsidR="00B16F87" w:rsidRPr="00B92446" w:rsidRDefault="001D1FA4" w:rsidP="007B60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20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D8"/>
    <w:rsid w:val="00022DAC"/>
    <w:rsid w:val="00025A00"/>
    <w:rsid w:val="000C055A"/>
    <w:rsid w:val="001D1FA4"/>
    <w:rsid w:val="0026698F"/>
    <w:rsid w:val="003656E6"/>
    <w:rsid w:val="00553F44"/>
    <w:rsid w:val="005F4F74"/>
    <w:rsid w:val="00694F0A"/>
    <w:rsid w:val="007C1C17"/>
    <w:rsid w:val="00803E16"/>
    <w:rsid w:val="008366F1"/>
    <w:rsid w:val="008F24A0"/>
    <w:rsid w:val="00927845"/>
    <w:rsid w:val="00AA6DBB"/>
    <w:rsid w:val="00BF5364"/>
    <w:rsid w:val="00C47FEB"/>
    <w:rsid w:val="00CA405B"/>
    <w:rsid w:val="00D85AD8"/>
    <w:rsid w:val="00DA5E2E"/>
    <w:rsid w:val="00E71AEE"/>
    <w:rsid w:val="00F4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1F76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D8"/>
    <w:pPr>
      <w:widowControl w:val="0"/>
      <w:adjustRightInd w:val="0"/>
      <w:spacing w:before="20" w:after="20" w:line="360" w:lineRule="atLeast"/>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autoRedefine/>
    <w:uiPriority w:val="99"/>
    <w:unhideWhenUsed/>
    <w:qFormat/>
    <w:rsid w:val="00D85AD8"/>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basedOn w:val="a0"/>
    <w:link w:val="a3"/>
    <w:uiPriority w:val="99"/>
    <w:rsid w:val="00D85AD8"/>
    <w:rPr>
      <w:rFonts w:ascii="Times New Roman" w:eastAsia="宋体" w:hAnsi="Times New Roman" w:cs="Times New Roman"/>
      <w:kern w:val="0"/>
      <w:sz w:val="18"/>
      <w:szCs w:val="18"/>
      <w:lang w:val="x-none" w:eastAsia="x-none"/>
    </w:rPr>
  </w:style>
  <w:style w:type="paragraph" w:styleId="a4">
    <w:name w:val="footer"/>
    <w:basedOn w:val="a"/>
    <w:link w:val="Char0"/>
    <w:uiPriority w:val="99"/>
    <w:unhideWhenUsed/>
    <w:rsid w:val="00D85AD8"/>
    <w:pPr>
      <w:tabs>
        <w:tab w:val="center" w:pos="4153"/>
        <w:tab w:val="right" w:pos="8306"/>
      </w:tabs>
      <w:snapToGrid w:val="0"/>
    </w:pPr>
    <w:rPr>
      <w:rFonts w:ascii="Calibri" w:hAnsi="Calibri"/>
      <w:sz w:val="18"/>
      <w:szCs w:val="18"/>
      <w:lang w:val="x-none" w:eastAsia="x-none"/>
    </w:rPr>
  </w:style>
  <w:style w:type="character" w:customStyle="1" w:styleId="Char0">
    <w:name w:val="页脚 Char"/>
    <w:basedOn w:val="a0"/>
    <w:link w:val="a4"/>
    <w:uiPriority w:val="99"/>
    <w:rsid w:val="00D85AD8"/>
    <w:rPr>
      <w:rFonts w:ascii="Calibri" w:eastAsia="宋体" w:hAnsi="Calibri" w:cs="Times New Roman"/>
      <w:kern w:val="0"/>
      <w:sz w:val="18"/>
      <w:szCs w:val="18"/>
      <w:lang w:val="x-none" w:eastAsia="x-none"/>
    </w:rPr>
  </w:style>
  <w:style w:type="paragraph" w:styleId="a5">
    <w:name w:val="Balloon Text"/>
    <w:basedOn w:val="a"/>
    <w:link w:val="Char1"/>
    <w:uiPriority w:val="99"/>
    <w:semiHidden/>
    <w:unhideWhenUsed/>
    <w:rsid w:val="00C47FEB"/>
    <w:pPr>
      <w:spacing w:before="0" w:after="0" w:line="240" w:lineRule="auto"/>
    </w:pPr>
    <w:rPr>
      <w:sz w:val="18"/>
      <w:szCs w:val="18"/>
    </w:rPr>
  </w:style>
  <w:style w:type="character" w:customStyle="1" w:styleId="Char1">
    <w:name w:val="批注框文本 Char"/>
    <w:basedOn w:val="a0"/>
    <w:link w:val="a5"/>
    <w:uiPriority w:val="99"/>
    <w:semiHidden/>
    <w:rsid w:val="00C47FEB"/>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D8"/>
    <w:pPr>
      <w:widowControl w:val="0"/>
      <w:adjustRightInd w:val="0"/>
      <w:spacing w:before="20" w:after="20" w:line="360" w:lineRule="atLeast"/>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autoRedefine/>
    <w:uiPriority w:val="99"/>
    <w:unhideWhenUsed/>
    <w:qFormat/>
    <w:rsid w:val="00D85AD8"/>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basedOn w:val="a0"/>
    <w:link w:val="a3"/>
    <w:uiPriority w:val="99"/>
    <w:rsid w:val="00D85AD8"/>
    <w:rPr>
      <w:rFonts w:ascii="Times New Roman" w:eastAsia="宋体" w:hAnsi="Times New Roman" w:cs="Times New Roman"/>
      <w:kern w:val="0"/>
      <w:sz w:val="18"/>
      <w:szCs w:val="18"/>
      <w:lang w:val="x-none" w:eastAsia="x-none"/>
    </w:rPr>
  </w:style>
  <w:style w:type="paragraph" w:styleId="a4">
    <w:name w:val="footer"/>
    <w:basedOn w:val="a"/>
    <w:link w:val="Char0"/>
    <w:uiPriority w:val="99"/>
    <w:unhideWhenUsed/>
    <w:rsid w:val="00D85AD8"/>
    <w:pPr>
      <w:tabs>
        <w:tab w:val="center" w:pos="4153"/>
        <w:tab w:val="right" w:pos="8306"/>
      </w:tabs>
      <w:snapToGrid w:val="0"/>
    </w:pPr>
    <w:rPr>
      <w:rFonts w:ascii="Calibri" w:hAnsi="Calibri"/>
      <w:sz w:val="18"/>
      <w:szCs w:val="18"/>
      <w:lang w:val="x-none" w:eastAsia="x-none"/>
    </w:rPr>
  </w:style>
  <w:style w:type="character" w:customStyle="1" w:styleId="Char0">
    <w:name w:val="页脚 Char"/>
    <w:basedOn w:val="a0"/>
    <w:link w:val="a4"/>
    <w:uiPriority w:val="99"/>
    <w:rsid w:val="00D85AD8"/>
    <w:rPr>
      <w:rFonts w:ascii="Calibri" w:eastAsia="宋体" w:hAnsi="Calibri" w:cs="Times New Roman"/>
      <w:kern w:val="0"/>
      <w:sz w:val="18"/>
      <w:szCs w:val="18"/>
      <w:lang w:val="x-none" w:eastAsia="x-none"/>
    </w:rPr>
  </w:style>
  <w:style w:type="paragraph" w:styleId="a5">
    <w:name w:val="Balloon Text"/>
    <w:basedOn w:val="a"/>
    <w:link w:val="Char1"/>
    <w:uiPriority w:val="99"/>
    <w:semiHidden/>
    <w:unhideWhenUsed/>
    <w:rsid w:val="00C47FEB"/>
    <w:pPr>
      <w:spacing w:before="0" w:after="0" w:line="240" w:lineRule="auto"/>
    </w:pPr>
    <w:rPr>
      <w:sz w:val="18"/>
      <w:szCs w:val="18"/>
    </w:rPr>
  </w:style>
  <w:style w:type="character" w:customStyle="1" w:styleId="Char1">
    <w:name w:val="批注框文本 Char"/>
    <w:basedOn w:val="a0"/>
    <w:link w:val="a5"/>
    <w:uiPriority w:val="99"/>
    <w:semiHidden/>
    <w:rsid w:val="00C47FEB"/>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563</Characters>
  <Application>Microsoft Office Word</Application>
  <DocSecurity>0</DocSecurity>
  <Lines>4</Lines>
  <Paragraphs>1</Paragraphs>
  <ScaleCrop>false</ScaleCrop>
  <HeadingPairs>
    <vt:vector size="4" baseType="variant">
      <vt:variant>
        <vt:lpstr>Headings</vt:lpstr>
      </vt:variant>
      <vt:variant>
        <vt:i4>4</vt:i4>
      </vt:variant>
      <vt:variant>
        <vt:lpstr>标题</vt:lpstr>
      </vt:variant>
      <vt:variant>
        <vt:i4>5</vt:i4>
      </vt:variant>
    </vt:vector>
  </HeadingPairs>
  <TitlesOfParts>
    <vt:vector size="9" baseType="lpstr">
      <vt:lpstr>说   明</vt:lpstr>
      <vt:lpstr>根据北京首钢房地产开发有限公司提供的《估价委托函》及《三期集资房项目利息说明》，北京市石景山区首钢铸造村集资建房遗留项目成本价值中实际发生的利息金额共计</vt:lpstr>
      <vt:lpstr>考虑该项目实际发生的利息金额，估算集资建房成本价值为24.9134亿元，单价为15669元/平方米。</vt:lpstr>
      <vt:lpstr/>
      <vt:lpstr>说   明</vt:lpstr>
      <vt:lpstr>北京首钢房地产开发有限公司：</vt:lpstr>
      <vt:lpstr>本说明中“房地产价值”是指在正常市场情况下，在价值时点2021年5月31日，土地使用权类型为划拨，用途为住宅（集资房），规划建筑面积为158994平方米，房屋性</vt:lpstr>
      <vt:lpstr>根据北京首钢房地产开发有限公司提供的《估价委托函》及《三期集资房项目利息说明》，北京市石景山区铸造村集资建房遗留项目，截止到2021年5月31日，住宅部分利息实</vt:lpstr>
      <vt:lpstr>考虑首钢集资建房实际建造周期较长，住宅用房的利息按照实际发生的利息金额计取，估算集资建房成本价值为24.9785亿元，单价为15710元/平方米。另配有商业和地</vt:lpstr>
    </vt:vector>
  </TitlesOfParts>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诗霖</dc:creator>
  <cp:lastModifiedBy>KG</cp:lastModifiedBy>
  <cp:revision>8</cp:revision>
  <cp:lastPrinted>2021-07-23T03:04:00Z</cp:lastPrinted>
  <dcterms:created xsi:type="dcterms:W3CDTF">2021-07-23T02:21:00Z</dcterms:created>
  <dcterms:modified xsi:type="dcterms:W3CDTF">2021-07-23T03:07:00Z</dcterms:modified>
</cp:coreProperties>
</file>