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lang w:val="en-US" w:eastAsia="zh-CN"/>
        </w:rPr>
        <w:t>1</w:t>
      </w:r>
      <w:r>
        <w:rPr>
          <w:rFonts w:hint="eastAsia" w:ascii="宋体" w:hAnsi="宋体" w:cs="宋体"/>
          <w:b/>
          <w:bCs/>
          <w:sz w:val="36"/>
          <w:szCs w:val="36"/>
        </w:rPr>
        <w:t>年</w:t>
      </w:r>
      <w:r>
        <w:rPr>
          <w:rFonts w:hint="eastAsia" w:ascii="Arial" w:hAnsi="Arial" w:cs="Arial"/>
          <w:b/>
          <w:bCs/>
          <w:sz w:val="36"/>
          <w:szCs w:val="36"/>
          <w:lang w:val="en-US" w:eastAsia="zh-CN"/>
        </w:rPr>
        <w:t>2</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3</w:t>
      </w:r>
      <w:r>
        <w:rPr>
          <w:rFonts w:ascii="宋体" w:hAnsi="宋体"/>
          <w:sz w:val="24"/>
          <w:szCs w:val="24"/>
        </w:rPr>
        <w:t>日</w:t>
      </w:r>
      <w:r>
        <w:rPr>
          <w:rFonts w:hint="eastAsia" w:ascii="宋体" w:hAnsi="宋体"/>
          <w:sz w:val="24"/>
          <w:szCs w:val="24"/>
        </w:rPr>
        <w:t>提交了《海盐恒大都汇华庭202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2</w:t>
      </w:r>
      <w:r>
        <w:rPr>
          <w:rFonts w:hint="eastAsia" w:ascii="宋体" w:hAnsi="宋体"/>
          <w:b/>
          <w:sz w:val="24"/>
          <w:szCs w:val="24"/>
        </w:rPr>
        <w:t>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3</w:t>
      </w:r>
      <w:r>
        <w:rPr>
          <w:rFonts w:ascii="宋体" w:hAnsi="宋体"/>
          <w:sz w:val="24"/>
          <w:szCs w:val="24"/>
        </w:rPr>
        <w:t>日</w:t>
      </w:r>
      <w:r>
        <w:rPr>
          <w:rFonts w:hint="eastAsia" w:ascii="宋体" w:hAnsi="宋体"/>
          <w:sz w:val="24"/>
          <w:szCs w:val="24"/>
        </w:rPr>
        <w:t>提交的202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月资金支出计划，</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49</w:t>
      </w:r>
      <w:r>
        <w:rPr>
          <w:rFonts w:hint="eastAsia" w:ascii="宋体" w:hAnsi="宋体"/>
          <w:sz w:val="24"/>
          <w:szCs w:val="24"/>
        </w:rPr>
        <w:t>笔，合计</w:t>
      </w:r>
      <w:r>
        <w:rPr>
          <w:rFonts w:hint="eastAsia" w:ascii="宋体" w:hAnsi="宋体"/>
          <w:sz w:val="24"/>
          <w:szCs w:val="24"/>
          <w:lang w:val="en-US" w:eastAsia="zh-CN"/>
        </w:rPr>
        <w:t>3,917.60</w:t>
      </w:r>
      <w:r>
        <w:rPr>
          <w:rFonts w:hint="eastAsia" w:ascii="宋体" w:hAnsi="宋体"/>
          <w:sz w:val="24"/>
          <w:szCs w:val="24"/>
        </w:rPr>
        <w:t>万元。</w:t>
      </w:r>
      <w:r>
        <w:rPr>
          <w:rFonts w:hint="eastAsia" w:ascii="宋体" w:hAnsi="宋体"/>
          <w:sz w:val="24"/>
          <w:szCs w:val="24"/>
          <w:lang w:eastAsia="zh-CN"/>
        </w:rPr>
        <w:t>根据尽调报告中的目标成本分类方式，我司对资金计划中的支付项进行整理、分类，</w:t>
      </w:r>
      <w:r>
        <w:rPr>
          <w:rFonts w:hint="eastAsia" w:ascii="宋体" w:hAnsi="宋体"/>
          <w:sz w:val="24"/>
          <w:szCs w:val="24"/>
        </w:rPr>
        <w:t>其中：</w:t>
      </w:r>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r>
        <w:rPr>
          <w:rFonts w:hint="eastAsia" w:ascii="宋体" w:hAnsi="宋体"/>
          <w:sz w:val="24"/>
          <w:szCs w:val="24"/>
        </w:rPr>
        <w:t>支出约</w:t>
      </w:r>
      <w:r>
        <w:rPr>
          <w:rFonts w:hint="eastAsia" w:ascii="宋体" w:hAnsi="宋体"/>
          <w:sz w:val="24"/>
          <w:szCs w:val="24"/>
          <w:lang w:val="en-US" w:eastAsia="zh-CN"/>
        </w:rPr>
        <w:t>324.97</w:t>
      </w:r>
      <w:r>
        <w:rPr>
          <w:rFonts w:hint="eastAsia" w:ascii="宋体" w:hAnsi="宋体"/>
          <w:sz w:val="24"/>
          <w:szCs w:val="24"/>
        </w:rPr>
        <w:t>万元，工程</w:t>
      </w:r>
      <w:r>
        <w:rPr>
          <w:rFonts w:hint="eastAsia" w:ascii="宋体" w:hAnsi="宋体"/>
          <w:sz w:val="24"/>
          <w:szCs w:val="24"/>
          <w:lang w:val="en-US" w:eastAsia="zh-CN"/>
        </w:rPr>
        <w:t>费用支出</w:t>
      </w:r>
      <w:r>
        <w:rPr>
          <w:rFonts w:hint="eastAsia" w:ascii="宋体" w:hAnsi="宋体"/>
          <w:bCs/>
          <w:color w:val="auto"/>
          <w:sz w:val="24"/>
          <w:szCs w:val="24"/>
          <w:highlight w:val="none"/>
          <w:lang w:val="en-US" w:bidi="zh-CN"/>
        </w:rPr>
        <w:t>2,733.86</w:t>
      </w:r>
      <w:r>
        <w:rPr>
          <w:rFonts w:hint="eastAsia" w:ascii="宋体" w:hAnsi="宋体"/>
          <w:sz w:val="24"/>
          <w:szCs w:val="24"/>
        </w:rPr>
        <w:t>万元，管理费支出</w:t>
      </w:r>
      <w:r>
        <w:rPr>
          <w:rFonts w:hint="eastAsia" w:ascii="宋体" w:hAnsi="宋体"/>
          <w:sz w:val="24"/>
          <w:szCs w:val="24"/>
          <w:lang w:val="en-US" w:eastAsia="zh-CN"/>
        </w:rPr>
        <w:t>32</w:t>
      </w:r>
      <w:r>
        <w:rPr>
          <w:rFonts w:hint="eastAsia" w:ascii="宋体" w:hAnsi="宋体"/>
          <w:sz w:val="24"/>
          <w:szCs w:val="24"/>
        </w:rPr>
        <w:t>.00万元,营销费支出</w:t>
      </w:r>
      <w:r>
        <w:rPr>
          <w:rFonts w:hint="eastAsia" w:ascii="宋体" w:hAnsi="宋体"/>
          <w:sz w:val="24"/>
          <w:szCs w:val="24"/>
          <w:lang w:val="en-US" w:eastAsia="zh-CN"/>
        </w:rPr>
        <w:t>486.77</w:t>
      </w:r>
      <w:r>
        <w:rPr>
          <w:rFonts w:hint="eastAsia" w:ascii="宋体" w:hAnsi="宋体"/>
          <w:sz w:val="24"/>
          <w:szCs w:val="24"/>
        </w:rPr>
        <w:t>万元，财务费用支出</w:t>
      </w:r>
      <w:r>
        <w:rPr>
          <w:rFonts w:hint="eastAsia" w:ascii="宋体" w:hAnsi="宋体"/>
          <w:sz w:val="24"/>
          <w:szCs w:val="24"/>
          <w:lang w:val="en-US" w:eastAsia="zh-CN"/>
        </w:rPr>
        <w:t>110</w:t>
      </w:r>
      <w:r>
        <w:rPr>
          <w:rFonts w:hint="eastAsia" w:ascii="宋体" w:hAnsi="宋体"/>
          <w:sz w:val="24"/>
          <w:szCs w:val="24"/>
        </w:rPr>
        <w:t>.00万元，其他支出</w:t>
      </w:r>
      <w:r>
        <w:rPr>
          <w:rFonts w:hint="eastAsia" w:ascii="宋体" w:hAnsi="宋体"/>
          <w:sz w:val="24"/>
          <w:szCs w:val="24"/>
          <w:lang w:val="en-US" w:eastAsia="zh-CN"/>
        </w:rPr>
        <w:t>230</w:t>
      </w:r>
      <w:r>
        <w:rPr>
          <w:rFonts w:hint="eastAsia" w:ascii="宋体" w:hAnsi="宋体"/>
          <w:sz w:val="24"/>
          <w:szCs w:val="24"/>
        </w:rPr>
        <w:t>.00万元。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2</w:t>
            </w:r>
            <w:r>
              <w:rPr>
                <w:rFonts w:hint="eastAsia" w:ascii="宋体" w:hAnsi="宋体"/>
                <w:b/>
                <w:bCs/>
                <w:sz w:val="24"/>
                <w:szCs w:val="24"/>
              </w:rPr>
              <w:t>月度资金使用计划（202</w:t>
            </w:r>
            <w:r>
              <w:rPr>
                <w:rFonts w:hint="eastAsia" w:ascii="宋体" w:hAnsi="宋体"/>
                <w:b/>
                <w:bCs/>
                <w:sz w:val="24"/>
                <w:szCs w:val="24"/>
                <w:lang w:val="en-US" w:eastAsia="zh-CN"/>
              </w:rPr>
              <w:t>1</w:t>
            </w:r>
            <w:r>
              <w:rPr>
                <w:rFonts w:hint="eastAsia" w:ascii="宋体" w:hAnsi="宋体"/>
                <w:b/>
                <w:bCs/>
                <w:sz w:val="24"/>
                <w:szCs w:val="24"/>
              </w:rPr>
              <w:t>年</w:t>
            </w:r>
            <w:r>
              <w:rPr>
                <w:rFonts w:hint="eastAsia" w:ascii="宋体" w:hAnsi="宋体"/>
                <w:b/>
                <w:bCs/>
                <w:sz w:val="24"/>
                <w:szCs w:val="24"/>
                <w:lang w:val="en-US" w:eastAsia="zh-CN"/>
              </w:rPr>
              <w:t>2</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sz w:val="24"/>
                <w:szCs w:val="24"/>
                <w:lang w:val="en-US" w:eastAsia="zh-CN"/>
              </w:rPr>
            </w:pPr>
            <w:r>
              <w:rPr>
                <w:rFonts w:hint="eastAsia" w:ascii="宋体" w:hAnsi="宋体"/>
                <w:b/>
                <w:bCs/>
                <w:sz w:val="24"/>
                <w:szCs w:val="24"/>
                <w:lang w:val="en-US" w:eastAsia="zh-CN"/>
              </w:rPr>
              <w:t>资金类别</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p>
        </w:tc>
        <w:tc>
          <w:tcPr>
            <w:tcW w:w="2693"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506.25</w:t>
            </w:r>
          </w:p>
        </w:tc>
        <w:tc>
          <w:tcPr>
            <w:tcW w:w="2552"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 xml:space="preserve">1,105.75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324.97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eastAsia="zh-CN"/>
              </w:rPr>
            </w:pPr>
            <w:r>
              <w:rPr>
                <w:rFonts w:hint="eastAsia" w:ascii="宋体" w:hAnsi="宋体"/>
                <w:sz w:val="24"/>
                <w:szCs w:val="24"/>
              </w:rPr>
              <w:t>工程</w:t>
            </w:r>
            <w:r>
              <w:rPr>
                <w:rFonts w:hint="eastAsia" w:ascii="宋体" w:hAnsi="宋体"/>
                <w:sz w:val="24"/>
                <w:szCs w:val="24"/>
                <w:lang w:val="en-US" w:eastAsia="zh-CN"/>
              </w:rPr>
              <w:t>费用</w:t>
            </w:r>
          </w:p>
        </w:tc>
        <w:tc>
          <w:tcPr>
            <w:tcW w:w="2693" w:type="dxa"/>
            <w:vAlign w:val="center"/>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 xml:space="preserve">23,202.81 </w:t>
            </w:r>
          </w:p>
        </w:tc>
        <w:tc>
          <w:tcPr>
            <w:tcW w:w="2552"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 xml:space="preserve">10,703.69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bCs/>
                <w:color w:val="auto"/>
                <w:sz w:val="24"/>
                <w:szCs w:val="24"/>
                <w:highlight w:val="none"/>
                <w:lang w:val="en-US" w:bidi="zh-CN"/>
              </w:rPr>
              <w:t>2,733.86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67.14</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169.31</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326.42</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486.77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22.60</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0.00</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12,225.60</w:t>
            </w:r>
          </w:p>
        </w:tc>
        <w:tc>
          <w:tcPr>
            <w:tcW w:w="2429" w:type="dxa"/>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3,917.60</w:t>
            </w:r>
          </w:p>
        </w:tc>
      </w:tr>
      <w:bookmarkEnd w:id="0"/>
    </w:tbl>
    <w:p>
      <w:pPr>
        <w:pStyle w:val="10"/>
        <w:spacing w:before="156" w:beforeLines="50" w:after="156" w:afterLines="50" w:line="360" w:lineRule="auto"/>
        <w:ind w:firstLine="0" w:firstLineChars="0"/>
        <w:rPr>
          <w:rFonts w:hint="eastAsia"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lang w:val="en-US" w:eastAsia="zh-CN"/>
        </w:rPr>
        <w:t>1</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ascii="宋体" w:hAnsi="宋体"/>
          <w:sz w:val="24"/>
          <w:szCs w:val="24"/>
        </w:rPr>
        <w:t>月资金支出计划</w:t>
      </w:r>
      <w:r>
        <w:rPr>
          <w:rFonts w:hint="eastAsia" w:ascii="宋体" w:hAnsi="宋体"/>
          <w:sz w:val="24"/>
          <w:szCs w:val="24"/>
          <w:lang w:val="en-US" w:eastAsia="zh-CN"/>
        </w:rPr>
        <w:t>9,702.02</w:t>
      </w:r>
      <w:r>
        <w:rPr>
          <w:rFonts w:hint="eastAsia" w:ascii="宋体" w:hAnsi="宋体"/>
          <w:bCs/>
          <w:sz w:val="24"/>
          <w:szCs w:val="24"/>
        </w:rPr>
        <w:t>万元，</w:t>
      </w:r>
      <w:r>
        <w:rPr>
          <w:rFonts w:hint="eastAsia" w:ascii="宋体" w:hAnsi="宋体"/>
          <w:sz w:val="24"/>
          <w:szCs w:val="24"/>
        </w:rPr>
        <w:t>实际资金支</w:t>
      </w:r>
      <w:r>
        <w:rPr>
          <w:rFonts w:hint="eastAsia" w:ascii="宋体" w:hAnsi="宋体"/>
          <w:sz w:val="24"/>
          <w:szCs w:val="24"/>
          <w:lang w:val="en-US" w:eastAsia="zh-CN"/>
        </w:rPr>
        <w:t>付 5,304.17</w:t>
      </w:r>
      <w:r>
        <w:rPr>
          <w:rFonts w:hint="eastAsia" w:ascii="宋体" w:hAnsi="宋体"/>
          <w:sz w:val="24"/>
          <w:szCs w:val="24"/>
        </w:rPr>
        <w:t>万元，其中：前期费用支出</w:t>
      </w:r>
      <w:r>
        <w:rPr>
          <w:rFonts w:hint="eastAsia" w:ascii="宋体" w:hAnsi="宋体"/>
          <w:sz w:val="24"/>
          <w:szCs w:val="24"/>
          <w:lang w:val="en-US" w:eastAsia="zh-CN"/>
        </w:rPr>
        <w:t>212.76</w:t>
      </w:r>
      <w:r>
        <w:rPr>
          <w:rFonts w:hint="eastAsia" w:ascii="宋体" w:hAnsi="宋体"/>
          <w:sz w:val="24"/>
          <w:szCs w:val="24"/>
        </w:rPr>
        <w:t>万元；工程费用支</w:t>
      </w:r>
      <w:r>
        <w:rPr>
          <w:rFonts w:hint="eastAsia" w:ascii="宋体" w:hAnsi="宋体"/>
          <w:sz w:val="24"/>
          <w:szCs w:val="24"/>
          <w:lang w:val="en-US" w:eastAsia="zh-CN"/>
        </w:rPr>
        <w:t>出4,933.61</w:t>
      </w:r>
      <w:r>
        <w:rPr>
          <w:rFonts w:hint="eastAsia" w:ascii="宋体" w:hAnsi="宋体"/>
          <w:sz w:val="24"/>
          <w:szCs w:val="24"/>
        </w:rPr>
        <w:t>万元；管理费用支出</w:t>
      </w:r>
      <w:r>
        <w:rPr>
          <w:rFonts w:hint="eastAsia" w:ascii="宋体" w:hAnsi="宋体"/>
          <w:sz w:val="24"/>
          <w:szCs w:val="24"/>
          <w:lang w:val="en-US" w:eastAsia="zh-CN"/>
        </w:rPr>
        <w:t>23.91</w:t>
      </w:r>
      <w:r>
        <w:rPr>
          <w:rFonts w:hint="eastAsia" w:ascii="宋体" w:hAnsi="宋体"/>
          <w:sz w:val="24"/>
          <w:szCs w:val="24"/>
        </w:rPr>
        <w:t>万元；财务费用支出</w:t>
      </w:r>
      <w:r>
        <w:rPr>
          <w:rFonts w:hint="eastAsia" w:ascii="宋体" w:hAnsi="宋体"/>
          <w:sz w:val="24"/>
          <w:szCs w:val="24"/>
          <w:lang w:val="en-US" w:eastAsia="zh-CN"/>
        </w:rPr>
        <w:t>21.35</w:t>
      </w:r>
      <w:r>
        <w:rPr>
          <w:rFonts w:hint="eastAsia" w:ascii="宋体" w:hAnsi="宋体"/>
          <w:sz w:val="24"/>
          <w:szCs w:val="24"/>
        </w:rPr>
        <w:t>万元；营销费用</w:t>
      </w:r>
      <w:r>
        <w:rPr>
          <w:rFonts w:hint="eastAsia" w:ascii="宋体" w:hAnsi="宋体"/>
          <w:sz w:val="24"/>
          <w:szCs w:val="24"/>
          <w:lang w:val="en-US" w:eastAsia="zh-CN"/>
        </w:rPr>
        <w:t>112.54</w:t>
      </w:r>
      <w:r>
        <w:rPr>
          <w:rFonts w:hint="eastAsia" w:ascii="宋体" w:hAnsi="宋体"/>
          <w:sz w:val="24"/>
          <w:szCs w:val="24"/>
        </w:rPr>
        <w:t>万元</w:t>
      </w:r>
      <w:r>
        <w:rPr>
          <w:rFonts w:hint="eastAsia" w:ascii="宋体" w:hAnsi="宋体"/>
          <w:sz w:val="24"/>
          <w:szCs w:val="24"/>
          <w:lang w:val="en-US" w:eastAsia="zh-CN"/>
        </w:rPr>
        <w:t>。</w:t>
      </w:r>
      <w:r>
        <w:rPr>
          <w:rFonts w:hint="eastAsia" w:ascii="宋体" w:hAnsi="宋体"/>
          <w:bCs/>
          <w:sz w:val="24"/>
          <w:szCs w:val="24"/>
          <w:lang w:val="en-US" w:eastAsia="zh-CN"/>
        </w:rPr>
        <w:t>1</w:t>
      </w:r>
      <w:r>
        <w:rPr>
          <w:rFonts w:hint="eastAsia" w:ascii="宋体" w:hAnsi="宋体"/>
          <w:bCs/>
          <w:sz w:val="24"/>
          <w:szCs w:val="24"/>
        </w:rPr>
        <w:t>月资金支付中使用现金支</w:t>
      </w:r>
      <w:r>
        <w:rPr>
          <w:rFonts w:hint="eastAsia" w:ascii="宋体" w:hAnsi="宋体"/>
          <w:bCs/>
          <w:sz w:val="24"/>
          <w:szCs w:val="24"/>
          <w:lang w:val="en-US" w:eastAsia="zh-CN"/>
        </w:rPr>
        <w:t>付248.34</w:t>
      </w:r>
      <w:r>
        <w:rPr>
          <w:rFonts w:hint="eastAsia" w:ascii="宋体" w:hAnsi="宋体"/>
          <w:bCs/>
          <w:sz w:val="24"/>
          <w:szCs w:val="24"/>
        </w:rPr>
        <w:t>万元，使用商业承兑汇票支付</w:t>
      </w:r>
      <w:r>
        <w:rPr>
          <w:rFonts w:hint="eastAsia" w:ascii="宋体" w:hAnsi="宋体"/>
          <w:bCs/>
          <w:sz w:val="24"/>
          <w:szCs w:val="24"/>
          <w:lang w:val="en-US" w:eastAsia="zh-CN"/>
        </w:rPr>
        <w:t>5,055.83</w:t>
      </w:r>
      <w:r>
        <w:rPr>
          <w:rFonts w:hint="eastAsia" w:ascii="宋体" w:hAnsi="宋体"/>
          <w:bCs/>
          <w:sz w:val="24"/>
          <w:szCs w:val="24"/>
        </w:rPr>
        <w:t>万元。</w:t>
      </w:r>
      <w:r>
        <w:rPr>
          <w:rFonts w:hint="eastAsia" w:ascii="宋体" w:hAnsi="宋体"/>
          <w:sz w:val="24"/>
          <w:szCs w:val="24"/>
          <w:lang w:val="en-US" w:eastAsia="zh-CN"/>
        </w:rPr>
        <w:t>1</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val="en-US" w:eastAsia="zh-CN" w:bidi="ar"/>
        </w:rPr>
        <w:t>1</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1</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1</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cs="宋体"/>
                <w:kern w:val="0"/>
                <w:sz w:val="22"/>
                <w:lang w:bidi="ar"/>
              </w:rPr>
              <w:t>前期费用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432.28</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212.76</w:t>
            </w:r>
          </w:p>
        </w:tc>
        <w:tc>
          <w:tcPr>
            <w:tcW w:w="1527" w:type="dxa"/>
            <w:vAlign w:val="center"/>
          </w:tcPr>
          <w:p>
            <w:pPr>
              <w:keepNext w:val="0"/>
              <w:keepLines w:val="0"/>
              <w:widowControl/>
              <w:suppressLineNumbers w:val="0"/>
              <w:jc w:val="right"/>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49.22%</w:t>
            </w:r>
          </w:p>
        </w:tc>
        <w:tc>
          <w:tcPr>
            <w:tcW w:w="4332" w:type="dxa"/>
            <w:vAlign w:val="center"/>
          </w:tcPr>
          <w:p>
            <w:pPr>
              <w:pStyle w:val="10"/>
              <w:ind w:firstLine="0" w:firstLineChars="0"/>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1月支付勘察工程费12.89万元；前期设计费71.87万元；围蔽进度款60.18万元；临时道路工程、红外线施工进度款67.82万元。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工程费用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8,870.79</w:t>
            </w:r>
          </w:p>
        </w:tc>
        <w:tc>
          <w:tcPr>
            <w:tcW w:w="1732"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4,933.61</w:t>
            </w:r>
          </w:p>
        </w:tc>
        <w:tc>
          <w:tcPr>
            <w:tcW w:w="1527" w:type="dxa"/>
            <w:vAlign w:val="center"/>
          </w:tcPr>
          <w:p>
            <w:pPr>
              <w:keepNext w:val="0"/>
              <w:keepLines w:val="0"/>
              <w:widowControl/>
              <w:suppressLineNumbers w:val="0"/>
              <w:jc w:val="right"/>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55.62%</w:t>
            </w:r>
          </w:p>
        </w:tc>
        <w:tc>
          <w:tcPr>
            <w:tcW w:w="4332" w:type="dxa"/>
            <w:vAlign w:val="center"/>
          </w:tcPr>
          <w:p>
            <w:pPr>
              <w:widowControl/>
              <w:textAlignment w:val="top"/>
              <w:rPr>
                <w:rFonts w:ascii="宋体" w:hAnsi="宋体" w:cs="宋体"/>
                <w:kern w:val="0"/>
                <w:sz w:val="22"/>
                <w:lang w:bidi="ar"/>
              </w:rPr>
            </w:pPr>
            <w:r>
              <w:rPr>
                <w:rFonts w:hint="eastAsia" w:ascii="宋体" w:hAnsi="宋体" w:cs="宋体"/>
                <w:kern w:val="0"/>
                <w:sz w:val="22"/>
                <w:lang w:val="en-US" w:eastAsia="zh-CN" w:bidi="ar"/>
              </w:rPr>
              <w:t>1</w:t>
            </w:r>
            <w:r>
              <w:rPr>
                <w:rFonts w:hint="eastAsia" w:ascii="宋体" w:hAnsi="宋体" w:cs="宋体"/>
                <w:kern w:val="0"/>
                <w:sz w:val="22"/>
                <w:lang w:bidi="ar"/>
              </w:rPr>
              <w:t>月</w:t>
            </w:r>
            <w:r>
              <w:rPr>
                <w:rFonts w:hint="eastAsia" w:ascii="宋体" w:hAnsi="宋体" w:cs="宋体"/>
                <w:kern w:val="0"/>
                <w:sz w:val="22"/>
                <w:lang w:val="en-US" w:eastAsia="zh-CN" w:bidi="ar"/>
              </w:rPr>
              <w:t>支付总包进度款1,831.83万元；基坑支护降排水进度款1,175.13万元；桩基进度款1,605.57万元；工程水电费8.11万元；展示区园建工程进度款37.01万元；土石方工程进程款81.00万元；工程材料款194.96万元</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营销费用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248.95</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112.54</w:t>
            </w:r>
          </w:p>
        </w:tc>
        <w:tc>
          <w:tcPr>
            <w:tcW w:w="1527" w:type="dxa"/>
            <w:vAlign w:val="center"/>
          </w:tcPr>
          <w:p>
            <w:pPr>
              <w:keepNext w:val="0"/>
              <w:keepLines w:val="0"/>
              <w:widowControl/>
              <w:suppressLineNumbers w:val="0"/>
              <w:jc w:val="right"/>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45.21%</w:t>
            </w:r>
          </w:p>
        </w:tc>
        <w:tc>
          <w:tcPr>
            <w:tcW w:w="4332" w:type="dxa"/>
            <w:vAlign w:val="center"/>
          </w:tcPr>
          <w:p>
            <w:pPr>
              <w:pStyle w:val="10"/>
              <w:ind w:firstLine="0" w:firstLineChars="0"/>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项目营销物资采购款102.54万元，展示区亮化施工款10.00万元。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管理费用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47.00</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23.91</w:t>
            </w:r>
          </w:p>
        </w:tc>
        <w:tc>
          <w:tcPr>
            <w:tcW w:w="1527" w:type="dxa"/>
            <w:vAlign w:val="center"/>
          </w:tcPr>
          <w:p>
            <w:pPr>
              <w:keepNext w:val="0"/>
              <w:keepLines w:val="0"/>
              <w:widowControl/>
              <w:suppressLineNumbers w:val="0"/>
              <w:jc w:val="right"/>
              <w:textAlignment w:val="center"/>
              <w:rPr>
                <w:rFonts w:hint="default"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50.87%</w:t>
            </w:r>
          </w:p>
        </w:tc>
        <w:tc>
          <w:tcPr>
            <w:tcW w:w="4332" w:type="dxa"/>
            <w:vAlign w:val="center"/>
          </w:tcPr>
          <w:p>
            <w:pPr>
              <w:pStyle w:val="10"/>
              <w:ind w:firstLine="0" w:firstLineChars="0"/>
              <w:jc w:val="left"/>
              <w:rPr>
                <w:rFonts w:ascii="宋体" w:hAnsi="宋体" w:cs="宋体"/>
                <w:kern w:val="0"/>
                <w:sz w:val="22"/>
                <w:szCs w:val="22"/>
                <w:lang w:bidi="ar"/>
              </w:rPr>
            </w:pPr>
            <w:r>
              <w:rPr>
                <w:rFonts w:hint="eastAsia" w:ascii="宋体" w:hAnsi="宋体" w:cs="宋体"/>
                <w:kern w:val="0"/>
                <w:sz w:val="22"/>
                <w:szCs w:val="22"/>
                <w:lang w:bidi="ar"/>
              </w:rPr>
              <w:t>发放员工工资、社保、公积金等支出共计</w:t>
            </w:r>
            <w:r>
              <w:rPr>
                <w:rFonts w:hint="eastAsia" w:ascii="宋体" w:hAnsi="宋体" w:cs="宋体"/>
                <w:kern w:val="0"/>
                <w:sz w:val="22"/>
                <w:szCs w:val="22"/>
                <w:lang w:val="en-US" w:eastAsia="zh-CN" w:bidi="ar"/>
              </w:rPr>
              <w:t>23.91</w:t>
            </w:r>
            <w:r>
              <w:rPr>
                <w:rFonts w:hint="eastAsia" w:ascii="宋体" w:hAnsi="宋体" w:cs="宋体"/>
                <w:kern w:val="0"/>
                <w:sz w:val="22"/>
                <w:szCs w:val="22"/>
                <w:lang w:bidi="ar"/>
              </w:rPr>
              <w:t>万元；</w:t>
            </w:r>
          </w:p>
          <w:p>
            <w:pPr>
              <w:pStyle w:val="10"/>
              <w:ind w:firstLine="0" w:firstLineChars="0"/>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exact"/>
          <w:jc w:val="center"/>
        </w:trPr>
        <w:tc>
          <w:tcPr>
            <w:tcW w:w="1241" w:type="dxa"/>
            <w:vAlign w:val="center"/>
          </w:tcPr>
          <w:p>
            <w:pPr>
              <w:widowControl/>
              <w:jc w:val="center"/>
              <w:textAlignment w:val="top"/>
              <w:rPr>
                <w:rFonts w:ascii="宋体" w:hAnsi="宋体" w:cs="宋体"/>
                <w:color w:val="000000"/>
                <w:kern w:val="0"/>
                <w:sz w:val="22"/>
                <w:lang w:bidi="ar"/>
              </w:rPr>
            </w:pPr>
            <w:r>
              <w:rPr>
                <w:rFonts w:hint="eastAsia" w:ascii="宋体" w:hAnsi="宋体" w:cs="宋体"/>
                <w:color w:val="000000"/>
                <w:kern w:val="0"/>
                <w:sz w:val="22"/>
                <w:lang w:bidi="ar"/>
              </w:rPr>
              <w:t>财务费用</w:t>
            </w:r>
          </w:p>
        </w:tc>
        <w:tc>
          <w:tcPr>
            <w:tcW w:w="1457" w:type="dxa"/>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w:t>
            </w:r>
            <w:r>
              <w:rPr>
                <w:rFonts w:hint="eastAsia" w:ascii="宋体" w:hAnsi="宋体" w:cs="宋体"/>
                <w:color w:val="000000"/>
                <w:kern w:val="0"/>
                <w:sz w:val="22"/>
                <w:lang w:val="en-US" w:eastAsia="zh-CN" w:bidi="ar"/>
              </w:rPr>
              <w:t>3</w:t>
            </w:r>
            <w:r>
              <w:rPr>
                <w:rFonts w:hint="eastAsia" w:ascii="宋体" w:hAnsi="宋体" w:cs="宋体"/>
                <w:color w:val="000000"/>
                <w:kern w:val="0"/>
                <w:sz w:val="22"/>
                <w:lang w:bidi="ar"/>
              </w:rPr>
              <w:t>.00</w:t>
            </w:r>
          </w:p>
        </w:tc>
        <w:tc>
          <w:tcPr>
            <w:tcW w:w="1732" w:type="dxa"/>
            <w:vAlign w:val="center"/>
          </w:tcPr>
          <w:p>
            <w:pPr>
              <w:widowControl/>
              <w:jc w:val="right"/>
              <w:textAlignment w:val="center"/>
              <w:rPr>
                <w:rFonts w:hint="default" w:ascii="宋体" w:hAnsi="宋体" w:eastAsia="宋体"/>
                <w:sz w:val="22"/>
                <w:lang w:val="en-US" w:eastAsia="zh-CN"/>
              </w:rPr>
            </w:pPr>
            <w:r>
              <w:rPr>
                <w:rFonts w:hint="eastAsia" w:ascii="宋体" w:hAnsi="宋体"/>
                <w:sz w:val="22"/>
                <w:lang w:val="en-US" w:eastAsia="zh-CN"/>
              </w:rPr>
              <w:t>21.35</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92.83%</w:t>
            </w:r>
          </w:p>
        </w:tc>
        <w:tc>
          <w:tcPr>
            <w:tcW w:w="4332" w:type="dxa"/>
            <w:vAlign w:val="center"/>
          </w:tcPr>
          <w:p>
            <w:pPr>
              <w:pStyle w:val="10"/>
              <w:ind w:firstLine="0" w:firstLineChars="0"/>
              <w:rPr>
                <w:rFonts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印花税21.02万元；耕地占用税0.3万元；</w:t>
            </w:r>
            <w:r>
              <w:rPr>
                <w:rFonts w:hint="eastAsia" w:ascii="宋体" w:hAnsi="宋体" w:cs="宋体"/>
                <w:color w:val="000000"/>
                <w:kern w:val="0"/>
                <w:sz w:val="22"/>
                <w:szCs w:val="22"/>
                <w:lang w:bidi="ar"/>
              </w:rPr>
              <w:t>手续费和税费</w:t>
            </w:r>
            <w:r>
              <w:rPr>
                <w:rFonts w:hint="eastAsia" w:ascii="宋体" w:hAnsi="宋体" w:cs="宋体"/>
                <w:color w:val="000000"/>
                <w:kern w:val="0"/>
                <w:sz w:val="22"/>
                <w:szCs w:val="22"/>
                <w:lang w:val="en-US" w:eastAsia="zh-CN" w:bidi="ar"/>
              </w:rPr>
              <w:t>0.03万元</w:t>
            </w:r>
            <w:r>
              <w:rPr>
                <w:rFonts w:hint="eastAsia" w:ascii="宋体" w:hAnsi="宋体" w:cs="宋体"/>
                <w:color w:val="000000"/>
                <w:kern w:val="0"/>
                <w:sz w:val="22"/>
                <w:szCs w:val="22"/>
                <w:lang w:bidi="ar"/>
              </w:rPr>
              <w:t>；</w:t>
            </w:r>
          </w:p>
          <w:p>
            <w:pPr>
              <w:pStyle w:val="10"/>
              <w:ind w:firstLine="0" w:firstLineChars="0"/>
              <w:rPr>
                <w:rFonts w:ascii="宋体" w:hAnsi="宋体" w:cs="宋体"/>
                <w:color w:val="000000"/>
                <w:kern w:val="0"/>
                <w:sz w:val="22"/>
                <w:szCs w:val="22"/>
                <w:lang w:bidi="ar"/>
              </w:rPr>
            </w:pPr>
            <w:r>
              <w:rPr>
                <w:rFonts w:ascii="宋体" w:hAnsi="宋体"/>
                <w:sz w:val="22"/>
                <w:szCs w:val="22"/>
              </w:rPr>
              <w:t>税费支出</w:t>
            </w:r>
            <w:r>
              <w:rPr>
                <w:rFonts w:hint="eastAsia" w:ascii="宋体" w:hAnsi="宋体"/>
                <w:sz w:val="22"/>
                <w:szCs w:val="22"/>
              </w:rPr>
              <w:t>以项目公司申报自动划扣，</w:t>
            </w:r>
            <w:r>
              <w:rPr>
                <w:rFonts w:ascii="宋体" w:hAnsi="宋体"/>
                <w:sz w:val="22"/>
                <w:szCs w:val="22"/>
              </w:rPr>
              <w:t>符合国家相关标准</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jc w:val="center"/>
        </w:trPr>
        <w:tc>
          <w:tcPr>
            <w:tcW w:w="1241" w:type="dxa"/>
            <w:vAlign w:val="center"/>
          </w:tcPr>
          <w:p>
            <w:pPr>
              <w:widowControl/>
              <w:jc w:val="center"/>
              <w:textAlignment w:val="top"/>
              <w:rPr>
                <w:rFonts w:ascii="宋体" w:hAnsi="宋体"/>
                <w:sz w:val="22"/>
              </w:rPr>
            </w:pPr>
            <w:r>
              <w:rPr>
                <w:rFonts w:hint="eastAsia" w:ascii="宋体" w:hAnsi="宋体"/>
                <w:sz w:val="22"/>
              </w:rPr>
              <w:t>其他不可预见费</w:t>
            </w:r>
          </w:p>
        </w:tc>
        <w:tc>
          <w:tcPr>
            <w:tcW w:w="1457" w:type="dxa"/>
            <w:vAlign w:val="center"/>
          </w:tcPr>
          <w:p>
            <w:pPr>
              <w:widowControl/>
              <w:jc w:val="right"/>
              <w:textAlignment w:val="center"/>
              <w:rPr>
                <w:rFonts w:ascii="宋体" w:hAnsi="宋体"/>
                <w:sz w:val="22"/>
              </w:rPr>
            </w:pPr>
            <w:r>
              <w:rPr>
                <w:rFonts w:hint="eastAsia" w:ascii="宋体" w:hAnsi="宋体"/>
                <w:sz w:val="22"/>
              </w:rPr>
              <w:t>80.00</w:t>
            </w:r>
          </w:p>
        </w:tc>
        <w:tc>
          <w:tcPr>
            <w:tcW w:w="1732" w:type="dxa"/>
            <w:vAlign w:val="center"/>
          </w:tcPr>
          <w:p>
            <w:pPr>
              <w:widowControl/>
              <w:jc w:val="right"/>
              <w:textAlignment w:val="center"/>
              <w:rPr>
                <w:rFonts w:hint="default" w:ascii="宋体" w:hAnsi="宋体" w:eastAsia="宋体"/>
                <w:sz w:val="22"/>
                <w:lang w:val="en-US" w:eastAsia="zh-CN"/>
              </w:rPr>
            </w:pPr>
            <w:r>
              <w:rPr>
                <w:rFonts w:hint="eastAsia" w:ascii="宋体" w:hAnsi="宋体"/>
                <w:sz w:val="22"/>
                <w:lang w:val="en-US" w:eastAsia="zh-CN"/>
              </w:rPr>
              <w:t>0.00</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.00</w:t>
            </w:r>
          </w:p>
        </w:tc>
        <w:tc>
          <w:tcPr>
            <w:tcW w:w="4332" w:type="dxa"/>
            <w:vAlign w:val="center"/>
          </w:tcPr>
          <w:p>
            <w:pPr>
              <w:pStyle w:val="10"/>
              <w:ind w:firstLine="0" w:firstLineChars="0"/>
              <w:rPr>
                <w:rFonts w:hint="default"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457" w:type="dxa"/>
            <w:vAlign w:val="center"/>
          </w:tcPr>
          <w:p>
            <w:pPr>
              <w:widowControl/>
              <w:jc w:val="right"/>
              <w:textAlignment w:val="center"/>
              <w:rPr>
                <w:rFonts w:ascii="宋体" w:hAnsi="宋体" w:cs="宋体"/>
                <w:b/>
                <w:bCs/>
                <w:color w:val="000000"/>
                <w:kern w:val="0"/>
                <w:sz w:val="22"/>
                <w:lang w:bidi="ar"/>
              </w:rPr>
            </w:pPr>
            <w:r>
              <w:rPr>
                <w:rFonts w:hint="eastAsia" w:ascii="宋体" w:hAnsi="宋体"/>
                <w:b/>
                <w:bCs/>
                <w:sz w:val="22"/>
              </w:rPr>
              <w:t>9,702.02</w:t>
            </w:r>
          </w:p>
        </w:tc>
        <w:tc>
          <w:tcPr>
            <w:tcW w:w="1732" w:type="dxa"/>
            <w:vAlign w:val="center"/>
          </w:tcPr>
          <w:p>
            <w:pPr>
              <w:widowControl/>
              <w:jc w:val="right"/>
              <w:textAlignment w:val="center"/>
              <w:rPr>
                <w:rFonts w:hint="default" w:ascii="宋体" w:hAnsi="宋体" w:eastAsia="宋体"/>
                <w:b/>
                <w:bCs/>
                <w:sz w:val="22"/>
                <w:lang w:val="en-US" w:eastAsia="zh-CN"/>
              </w:rPr>
            </w:pPr>
            <w:r>
              <w:rPr>
                <w:rFonts w:hint="eastAsia" w:ascii="宋体" w:hAnsi="宋体"/>
                <w:b/>
                <w:bCs/>
                <w:sz w:val="22"/>
                <w:lang w:val="en-US" w:eastAsia="zh-CN"/>
              </w:rPr>
              <w:t>5,304.17</w:t>
            </w:r>
          </w:p>
        </w:tc>
        <w:tc>
          <w:tcPr>
            <w:tcW w:w="1527" w:type="dxa"/>
            <w:vAlign w:val="center"/>
          </w:tcPr>
          <w:p>
            <w:pPr>
              <w:widowControl/>
              <w:jc w:val="right"/>
              <w:textAlignment w:val="center"/>
              <w:rPr>
                <w:rFonts w:hint="default" w:ascii="宋体" w:hAnsi="宋体" w:eastAsia="宋体" w:cs="宋体"/>
                <w:b/>
                <w:color w:val="000000"/>
                <w:kern w:val="0"/>
                <w:sz w:val="22"/>
                <w:lang w:val="en-US" w:eastAsia="zh-CN" w:bidi="ar"/>
              </w:rPr>
            </w:pPr>
            <w:r>
              <w:rPr>
                <w:rFonts w:hint="eastAsia" w:ascii="宋体" w:hAnsi="宋体" w:cs="宋体"/>
                <w:b/>
                <w:color w:val="000000"/>
                <w:kern w:val="0"/>
                <w:sz w:val="22"/>
                <w:lang w:val="en-US" w:eastAsia="zh-CN" w:bidi="ar"/>
              </w:rPr>
              <w:t>54.67%</w:t>
            </w:r>
          </w:p>
        </w:tc>
        <w:tc>
          <w:tcPr>
            <w:tcW w:w="4332" w:type="dxa"/>
            <w:vAlign w:val="center"/>
          </w:tcPr>
          <w:p>
            <w:pPr>
              <w:widowControl/>
              <w:jc w:val="both"/>
              <w:textAlignment w:val="top"/>
              <w:rPr>
                <w:rFonts w:ascii="宋体" w:hAnsi="宋体" w:cs="宋体"/>
                <w:b/>
                <w:color w:val="000000"/>
                <w:kern w:val="0"/>
                <w:sz w:val="22"/>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color w:val="000000"/>
          <w:sz w:val="24"/>
          <w:szCs w:val="24"/>
          <w:lang w:bidi="zh-CN"/>
        </w:rPr>
        <w:t>根据《1月份资金计划金额与执行情况对比表》显示，项目公司的资金计划与实际支付差异较大，部分前期费用、工程款支付延迟。除上述费用外，</w:t>
      </w:r>
      <w:r>
        <w:rPr>
          <w:rFonts w:hint="eastAsia" w:ascii="宋体" w:hAnsi="宋体"/>
          <w:bCs/>
          <w:color w:val="000000"/>
          <w:sz w:val="24"/>
          <w:szCs w:val="24"/>
          <w:lang w:val="en-US" w:eastAsia="zh-CN" w:bidi="zh-CN"/>
        </w:rPr>
        <w:t>1月项目公司归还上海颖骏投资管理有限公司借款693.00万元。</w:t>
      </w:r>
    </w:p>
    <w:p>
      <w:pPr>
        <w:pStyle w:val="10"/>
        <w:spacing w:after="0" w:line="360" w:lineRule="auto"/>
        <w:ind w:firstLine="482" w:firstLineChars="200"/>
        <w:rPr>
          <w:rFonts w:ascii="宋体" w:hAnsi="宋体" w:cs="宋体"/>
          <w:b/>
          <w:color w:val="auto"/>
          <w:sz w:val="24"/>
        </w:rPr>
      </w:pPr>
      <w:r>
        <w:rPr>
          <w:rFonts w:hint="eastAsia" w:ascii="宋体" w:hAnsi="宋体" w:cs="宋体"/>
          <w:b/>
          <w:color w:val="auto"/>
          <w:sz w:val="24"/>
        </w:rPr>
        <w:t>三、</w:t>
      </w:r>
      <w:r>
        <w:rPr>
          <w:rFonts w:ascii="宋体" w:hAnsi="宋体"/>
          <w:b/>
          <w:color w:val="auto"/>
          <w:sz w:val="24"/>
          <w:lang w:val="zh-CN" w:bidi="zh-CN"/>
        </w:rPr>
        <w:t>付款情况</w:t>
      </w:r>
      <w:r>
        <w:rPr>
          <w:rFonts w:hint="eastAsia" w:ascii="宋体" w:hAnsi="宋体"/>
          <w:b/>
          <w:color w:val="auto"/>
          <w:sz w:val="24"/>
          <w:lang w:bidi="zh-CN"/>
        </w:rPr>
        <w:t>审核说明</w:t>
      </w:r>
    </w:p>
    <w:p>
      <w:pPr>
        <w:numPr>
          <w:ilvl w:val="0"/>
          <w:numId w:val="2"/>
        </w:numPr>
        <w:spacing w:before="156" w:beforeLines="50" w:after="156" w:afterLines="50" w:line="360" w:lineRule="auto"/>
        <w:rPr>
          <w:rFonts w:ascii="宋体" w:hAnsi="宋体"/>
          <w:bCs/>
          <w:color w:val="auto"/>
          <w:sz w:val="24"/>
          <w:szCs w:val="24"/>
          <w:lang w:bidi="zh-CN"/>
        </w:rPr>
      </w:pPr>
      <w:r>
        <w:rPr>
          <w:rFonts w:hint="eastAsia" w:ascii="宋体" w:hAnsi="宋体"/>
          <w:b/>
          <w:color w:val="auto"/>
          <w:sz w:val="24"/>
          <w:szCs w:val="24"/>
          <w:lang w:val="en-US" w:bidi="zh-CN"/>
        </w:rPr>
        <w:t>前期费用</w:t>
      </w:r>
      <w:r>
        <w:rPr>
          <w:rFonts w:hint="eastAsia" w:ascii="宋体" w:hAnsi="宋体"/>
          <w:b/>
          <w:color w:val="auto"/>
          <w:sz w:val="24"/>
          <w:szCs w:val="24"/>
          <w:lang w:bidi="zh-CN"/>
        </w:rPr>
        <w:t>支出计划说明</w:t>
      </w:r>
    </w:p>
    <w:p>
      <w:pPr>
        <w:spacing w:before="156" w:beforeLines="50" w:after="156" w:afterLines="50" w:line="360" w:lineRule="auto"/>
        <w:ind w:left="225" w:firstLine="480" w:firstLineChars="200"/>
        <w:rPr>
          <w:rFonts w:ascii="宋体" w:hAnsi="宋体"/>
          <w:bCs/>
          <w:color w:val="auto"/>
          <w:sz w:val="24"/>
          <w:szCs w:val="24"/>
          <w:highlight w:val="none"/>
          <w:lang w:bidi="zh-CN"/>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2</w:t>
      </w:r>
      <w:r>
        <w:rPr>
          <w:rFonts w:hint="eastAsia" w:ascii="宋体" w:hAnsi="宋体"/>
          <w:bCs/>
          <w:color w:val="auto"/>
          <w:sz w:val="24"/>
          <w:szCs w:val="24"/>
          <w:highlight w:val="none"/>
          <w:lang w:bidi="zh-CN"/>
        </w:rPr>
        <w:t>月</w:t>
      </w:r>
      <w:r>
        <w:rPr>
          <w:rFonts w:hint="eastAsia" w:ascii="宋体" w:hAnsi="宋体"/>
          <w:bCs/>
          <w:color w:val="auto"/>
          <w:sz w:val="24"/>
          <w:szCs w:val="24"/>
          <w:highlight w:val="none"/>
          <w:lang w:val="en-US" w:bidi="zh-CN"/>
        </w:rPr>
        <w:t>前期费用计划支出</w:t>
      </w:r>
      <w:r>
        <w:rPr>
          <w:rFonts w:hint="eastAsia" w:ascii="宋体" w:hAnsi="宋体"/>
          <w:bCs/>
          <w:color w:val="auto"/>
          <w:sz w:val="24"/>
          <w:szCs w:val="24"/>
          <w:highlight w:val="none"/>
          <w:lang w:bidi="zh-CN"/>
        </w:rPr>
        <w:t>金额共计</w:t>
      </w:r>
      <w:r>
        <w:rPr>
          <w:rFonts w:hint="eastAsia" w:ascii="宋体" w:hAnsi="宋体" w:cs="宋体"/>
          <w:i w:val="0"/>
          <w:color w:val="auto"/>
          <w:kern w:val="0"/>
          <w:sz w:val="24"/>
          <w:szCs w:val="24"/>
          <w:u w:val="none"/>
          <w:lang w:val="en-US" w:eastAsia="zh-CN" w:bidi="ar"/>
        </w:rPr>
        <w:t>324.97</w:t>
      </w:r>
      <w:r>
        <w:rPr>
          <w:rFonts w:hint="eastAsia" w:ascii="宋体" w:hAnsi="宋体"/>
          <w:bCs/>
          <w:color w:val="auto"/>
          <w:sz w:val="24"/>
          <w:szCs w:val="24"/>
          <w:highlight w:val="none"/>
          <w:lang w:bidi="zh-CN"/>
        </w:rPr>
        <w:t>万元，具体分析如下：</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月向浙江恒欣建筑设计股份有限公司桐乡恒欣分公司支付建筑日照分析费</w:t>
      </w:r>
      <w:r>
        <w:rPr>
          <w:rFonts w:hint="eastAsia" w:ascii="宋体" w:hAnsi="宋体"/>
          <w:color w:val="auto"/>
          <w:sz w:val="24"/>
          <w:szCs w:val="24"/>
          <w:highlight w:val="none"/>
          <w:lang w:val="en-US" w:eastAsia="zh-CN"/>
        </w:rPr>
        <w:t>5.45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物业招标咨询</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5.95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造价清册报告费1.06</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依据项目公司2020年10月10日和桐乡市恒诚节能技术咨询有限公司签订的《技术咨询合同》，合同总价15.30万元，按照合同约定，节能评估报告完成通过审查后5日内支付合同金额的100%，</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月支付</w:t>
      </w:r>
      <w:r>
        <w:rPr>
          <w:rFonts w:hint="eastAsia" w:ascii="宋体" w:hAnsi="宋体"/>
          <w:color w:val="auto"/>
          <w:sz w:val="24"/>
          <w:szCs w:val="24"/>
          <w:highlight w:val="none"/>
          <w:lang w:val="en-US" w:eastAsia="zh-CN"/>
        </w:rPr>
        <w:t>节能评估费15.30</w:t>
      </w:r>
      <w:r>
        <w:rPr>
          <w:rFonts w:hint="eastAsia" w:ascii="宋体" w:hAnsi="宋体"/>
          <w:color w:val="auto"/>
          <w:sz w:val="24"/>
          <w:szCs w:val="24"/>
          <w:highlight w:val="none"/>
        </w:rPr>
        <w:t>万元，实际支付时，我司会严格审核付款资料，并按合同条款进行支付。</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月向嘉兴智联环保技术服务有限公司支付</w:t>
      </w:r>
      <w:r>
        <w:rPr>
          <w:rFonts w:hint="eastAsia" w:ascii="宋体" w:hAnsi="宋体"/>
          <w:color w:val="auto"/>
          <w:sz w:val="24"/>
          <w:szCs w:val="24"/>
          <w:highlight w:val="none"/>
          <w:lang w:val="en-US" w:eastAsia="zh-CN"/>
        </w:rPr>
        <w:t>环境评估费0.50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依据项目公司2020年7月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日和浙江省地球物理技术应用研究所签订的《海盐恒大都汇华庭项目桩基检测工程承包合同》，合同金额</w:t>
      </w:r>
      <w:r>
        <w:rPr>
          <w:rFonts w:hint="eastAsia" w:ascii="宋体" w:hAnsi="宋体"/>
          <w:color w:val="auto"/>
          <w:sz w:val="24"/>
          <w:szCs w:val="24"/>
          <w:highlight w:val="none"/>
          <w:lang w:val="en-US" w:eastAsia="zh-CN"/>
        </w:rPr>
        <w:t>59.38</w:t>
      </w:r>
      <w:r>
        <w:rPr>
          <w:rFonts w:hint="eastAsia" w:ascii="宋体" w:hAnsi="宋体"/>
          <w:color w:val="auto"/>
          <w:sz w:val="24"/>
          <w:szCs w:val="24"/>
          <w:highlight w:val="none"/>
        </w:rPr>
        <w:t>万元，按合同约定，甲方按乙方当期实际完成工程量金额的80%作为进度。</w:t>
      </w:r>
      <w:r>
        <w:rPr>
          <w:rFonts w:hint="eastAsia" w:ascii="宋体" w:hAnsi="宋体"/>
          <w:color w:val="auto"/>
          <w:sz w:val="24"/>
          <w:szCs w:val="24"/>
          <w:highlight w:val="none"/>
          <w:lang w:eastAsia="zh-CN"/>
        </w:rPr>
        <w:t>根据项目公司提供的</w:t>
      </w:r>
      <w:r>
        <w:rPr>
          <w:rFonts w:hint="eastAsia" w:ascii="宋体" w:hAnsi="宋体"/>
          <w:color w:val="auto"/>
          <w:sz w:val="24"/>
          <w:szCs w:val="24"/>
          <w:highlight w:val="none"/>
          <w:lang w:val="en-US" w:eastAsia="zh-CN"/>
        </w:rPr>
        <w:t>累计产值60.59万元</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本次申请支付48.47万元，</w:t>
      </w:r>
      <w:r>
        <w:rPr>
          <w:rFonts w:hint="eastAsia" w:ascii="宋体" w:hAnsi="宋体"/>
          <w:color w:val="auto"/>
          <w:sz w:val="24"/>
          <w:szCs w:val="24"/>
          <w:highlight w:val="none"/>
        </w:rPr>
        <w:t>本次支付完成后，累计付款比例占合同价的</w:t>
      </w:r>
      <w:r>
        <w:rPr>
          <w:rFonts w:hint="eastAsia" w:ascii="宋体" w:hAnsi="宋体"/>
          <w:color w:val="auto"/>
          <w:sz w:val="24"/>
          <w:szCs w:val="24"/>
          <w:highlight w:val="none"/>
          <w:lang w:val="en-US" w:eastAsia="zh-CN"/>
        </w:rPr>
        <w:t>82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,占累计产值的80%。</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月向嘉兴市环泰工程技术有限公司支付</w:t>
      </w:r>
      <w:r>
        <w:rPr>
          <w:rFonts w:hint="eastAsia" w:ascii="宋体" w:hAnsi="宋体"/>
          <w:color w:val="auto"/>
          <w:sz w:val="24"/>
          <w:szCs w:val="24"/>
          <w:highlight w:val="none"/>
          <w:lang w:val="en-US" w:eastAsia="zh-CN"/>
        </w:rPr>
        <w:t>水土保持方案编制费用6.00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海盐县财政局</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水土水土保持补偿费8.94</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实际支付时以政府出具的缴款单为准。</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浙江新华人防设备检测有限公司</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人防工程实体检测费用3.4</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丁轲</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海盐都汇华庭实体样板房公证费垫付费用0.61</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实际支付时以发票和相关资料为准</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11</w:t>
      </w:r>
      <w:r>
        <w:rPr>
          <w:rFonts w:hint="eastAsia" w:ascii="宋体" w:hAnsi="宋体"/>
          <w:color w:val="auto"/>
          <w:sz w:val="24"/>
          <w:szCs w:val="24"/>
          <w:highlight w:val="none"/>
          <w:lang w:bidi="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沉降观测</w:t>
      </w:r>
      <w:r>
        <w:rPr>
          <w:rFonts w:hint="eastAsia" w:ascii="宋体" w:hAnsi="宋体"/>
          <w:color w:val="auto"/>
          <w:sz w:val="24"/>
          <w:szCs w:val="24"/>
          <w:highlight w:val="none"/>
          <w:lang w:val="en-US" w:eastAsia="zh-CN"/>
        </w:rPr>
        <w:t>费8.2</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结构实体检测费用</w:t>
      </w:r>
      <w:r>
        <w:rPr>
          <w:rFonts w:hint="eastAsia" w:ascii="宋体" w:hAnsi="宋体"/>
          <w:color w:val="auto"/>
          <w:sz w:val="24"/>
          <w:szCs w:val="24"/>
          <w:highlight w:val="none"/>
          <w:lang w:val="en-US" w:eastAsia="zh-CN"/>
        </w:rPr>
        <w:t>8.57</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月向海盐县滨海规划测绘有限公司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样板房实测费用</w:t>
      </w:r>
      <w:r>
        <w:rPr>
          <w:rFonts w:hint="eastAsia" w:ascii="宋体" w:hAnsi="宋体"/>
          <w:color w:val="auto"/>
          <w:sz w:val="24"/>
          <w:szCs w:val="24"/>
          <w:highlight w:val="none"/>
          <w:lang w:val="en-US" w:eastAsia="zh-CN"/>
        </w:rPr>
        <w:t>0.24</w:t>
      </w:r>
      <w:r>
        <w:rPr>
          <w:rFonts w:hint="eastAsia" w:ascii="宋体" w:hAnsi="宋体"/>
          <w:color w:val="auto"/>
          <w:sz w:val="24"/>
          <w:szCs w:val="24"/>
          <w:highlight w:val="none"/>
        </w:rPr>
        <w:t>万元，面积预测绘费用</w:t>
      </w:r>
      <w:r>
        <w:rPr>
          <w:rFonts w:hint="eastAsia" w:ascii="宋体" w:hAnsi="宋体"/>
          <w:color w:val="auto"/>
          <w:sz w:val="24"/>
          <w:szCs w:val="24"/>
          <w:highlight w:val="none"/>
          <w:lang w:val="en-US" w:eastAsia="zh-CN"/>
        </w:rPr>
        <w:t>3.38万元，</w:t>
      </w:r>
      <w:r>
        <w:rPr>
          <w:rFonts w:hint="eastAsia" w:ascii="宋体" w:hAnsi="宋体"/>
          <w:color w:val="auto"/>
          <w:sz w:val="24"/>
          <w:szCs w:val="24"/>
          <w:highlight w:val="none"/>
        </w:rPr>
        <w:t>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月向嘉兴市天华城建设计院有限公司</w:t>
      </w:r>
      <w:r>
        <w:rPr>
          <w:rFonts w:hint="eastAsia" w:ascii="宋体" w:hAnsi="宋体"/>
          <w:color w:val="auto"/>
          <w:sz w:val="24"/>
          <w:szCs w:val="24"/>
          <w:highlight w:val="none"/>
          <w:lang w:val="en-US" w:eastAsia="zh-CN"/>
        </w:rPr>
        <w:t>支付审图咨询费13.60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日和江苏博森建筑设计有限公司签订的《海盐恒大都汇华庭项目施工图设计合同》，合同金额</w:t>
      </w:r>
      <w:r>
        <w:rPr>
          <w:rFonts w:hint="eastAsia" w:ascii="宋体" w:hAnsi="宋体"/>
          <w:color w:val="auto"/>
          <w:sz w:val="24"/>
          <w:szCs w:val="24"/>
          <w:highlight w:val="none"/>
          <w:lang w:val="en-US" w:eastAsia="zh-CN"/>
        </w:rPr>
        <w:t>431.57</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按合同约定，合同签订后开始设计5个工作日内支付20%预付款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全套规划设计图纸审核通过</w:t>
      </w:r>
      <w:r>
        <w:rPr>
          <w:rFonts w:hint="eastAsia" w:ascii="宋体" w:hAnsi="宋体"/>
          <w:color w:val="auto"/>
          <w:sz w:val="24"/>
          <w:szCs w:val="24"/>
          <w:highlight w:val="none"/>
          <w:lang w:val="en-US" w:eastAsia="zh-CN"/>
        </w:rPr>
        <w:t>后支付40%，全套规划设计图纸经当地政府部门审批通过提供相应的电子图后10个工作日内支付剩余款项。累计支付89.58万元，本次申请支付180.00万元，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62</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default" w:ascii="宋体" w:hAnsi="宋体"/>
          <w:color w:val="auto"/>
          <w:sz w:val="24"/>
          <w:szCs w:val="24"/>
          <w:highlight w:val="none"/>
          <w:lang w:val="en-US" w:eastAsia="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16</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预计在2月向上海康业建筑装饰工程有限公司支付项目图设计费7.5万元，施工图配合报外审费7.8万元。此合同为与华东公司签订的框架协议，</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bidi="zh-CN"/>
        </w:rPr>
        <w:t>经审核，我司认为资金计划表中的金额为预估金额，对于</w:t>
      </w:r>
      <w:r>
        <w:rPr>
          <w:rFonts w:ascii="Arial" w:hAnsi="Arial" w:cs="Arial" w:eastAsiaTheme="minorEastAsia"/>
          <w:color w:val="auto"/>
          <w:sz w:val="24"/>
          <w:szCs w:val="24"/>
        </w:rPr>
        <w:t>未签订合同的款项，</w:t>
      </w:r>
      <w:r>
        <w:rPr>
          <w:rFonts w:hint="eastAsia" w:ascii="宋体" w:hAnsi="宋体"/>
          <w:color w:val="auto"/>
          <w:sz w:val="24"/>
          <w:szCs w:val="24"/>
        </w:rPr>
        <w:t>需待合同签订后根据合同条款确定是否合理</w:t>
      </w:r>
      <w:r>
        <w:rPr>
          <w:rFonts w:hint="eastAsia" w:ascii="宋体" w:hAnsi="宋体"/>
          <w:color w:val="auto"/>
          <w:sz w:val="24"/>
          <w:szCs w:val="24"/>
          <w:lang w:bidi="zh-CN"/>
        </w:rPr>
        <w:t>，后期我司会对合同签订严格把控，实际支付时，我司会对付款申请、发票、流程、工程合同、现场签证等依据进行审核、计算：</w:t>
      </w:r>
      <w:r>
        <w:rPr>
          <w:rFonts w:hint="eastAsia" w:ascii="宋体" w:hAnsi="宋体"/>
          <w:color w:val="auto"/>
          <w:sz w:val="24"/>
          <w:szCs w:val="24"/>
        </w:rPr>
        <w:t>对于行政单位事业性收费，</w:t>
      </w:r>
      <w:r>
        <w:rPr>
          <w:rFonts w:ascii="宋体" w:hAnsi="宋体"/>
          <w:color w:val="auto"/>
          <w:sz w:val="24"/>
          <w:szCs w:val="24"/>
          <w:lang w:bidi="zh-CN"/>
        </w:rPr>
        <w:t>我司会</w:t>
      </w:r>
      <w:r>
        <w:rPr>
          <w:rFonts w:hint="eastAsia" w:ascii="宋体" w:hAnsi="宋体"/>
          <w:color w:val="auto"/>
          <w:sz w:val="24"/>
          <w:szCs w:val="24"/>
          <w:lang w:bidi="zh-CN"/>
        </w:rPr>
        <w:t>在后期</w:t>
      </w:r>
      <w:r>
        <w:rPr>
          <w:rFonts w:hint="eastAsia" w:ascii="宋体" w:hAnsi="宋体"/>
          <w:color w:val="auto"/>
          <w:sz w:val="24"/>
          <w:szCs w:val="24"/>
        </w:rPr>
        <w:t>申请</w:t>
      </w:r>
      <w:r>
        <w:rPr>
          <w:rFonts w:ascii="宋体" w:hAnsi="宋体"/>
          <w:color w:val="auto"/>
          <w:sz w:val="24"/>
          <w:szCs w:val="24"/>
        </w:rPr>
        <w:t>相关款项</w:t>
      </w:r>
      <w:r>
        <w:rPr>
          <w:rFonts w:ascii="宋体" w:hAnsi="宋体"/>
          <w:color w:val="auto"/>
          <w:sz w:val="24"/>
          <w:szCs w:val="24"/>
          <w:lang w:bidi="zh-CN"/>
        </w:rPr>
        <w:t>支付时</w:t>
      </w:r>
      <w:r>
        <w:rPr>
          <w:rFonts w:hint="eastAsia" w:ascii="宋体" w:hAnsi="宋体"/>
          <w:color w:val="auto"/>
          <w:sz w:val="24"/>
          <w:szCs w:val="24"/>
          <w:lang w:bidi="zh-CN"/>
        </w:rPr>
        <w:t>，</w:t>
      </w:r>
      <w:r>
        <w:rPr>
          <w:rFonts w:ascii="宋体" w:hAnsi="宋体"/>
          <w:color w:val="auto"/>
          <w:sz w:val="24"/>
          <w:szCs w:val="24"/>
          <w:lang w:bidi="zh-CN"/>
        </w:rPr>
        <w:t>对付款申请、票</w:t>
      </w:r>
      <w:r>
        <w:rPr>
          <w:rFonts w:hint="eastAsia" w:ascii="宋体" w:hAnsi="宋体"/>
          <w:color w:val="auto"/>
          <w:sz w:val="24"/>
          <w:szCs w:val="24"/>
          <w:lang w:bidi="zh-CN"/>
        </w:rPr>
        <w:t>据</w:t>
      </w:r>
      <w:r>
        <w:rPr>
          <w:rFonts w:ascii="宋体" w:hAnsi="宋体"/>
          <w:color w:val="auto"/>
          <w:sz w:val="24"/>
          <w:szCs w:val="24"/>
          <w:lang w:bidi="zh-CN"/>
        </w:rPr>
        <w:t>、流程、</w:t>
      </w:r>
      <w:r>
        <w:rPr>
          <w:rFonts w:hint="eastAsia" w:ascii="宋体" w:hAnsi="宋体"/>
          <w:color w:val="auto"/>
          <w:sz w:val="24"/>
          <w:szCs w:val="24"/>
          <w:lang w:bidi="zh-CN"/>
        </w:rPr>
        <w:t>通知</w:t>
      </w:r>
      <w:r>
        <w:rPr>
          <w:rFonts w:ascii="宋体" w:hAnsi="宋体"/>
          <w:color w:val="auto"/>
          <w:sz w:val="24"/>
          <w:szCs w:val="24"/>
          <w:lang w:bidi="zh-CN"/>
        </w:rPr>
        <w:t>等依据进行审核，</w:t>
      </w:r>
      <w:r>
        <w:rPr>
          <w:rFonts w:ascii="宋体" w:hAnsi="宋体"/>
          <w:color w:val="auto"/>
          <w:sz w:val="24"/>
          <w:szCs w:val="24"/>
        </w:rPr>
        <w:t>严格把控，确保资金支付合理</w:t>
      </w:r>
      <w:r>
        <w:rPr>
          <w:rFonts w:hint="eastAsia" w:ascii="宋体" w:hAnsi="宋体"/>
          <w:color w:val="auto"/>
          <w:sz w:val="24"/>
          <w:szCs w:val="24"/>
          <w:lang w:eastAsia="zh-CN"/>
        </w:rPr>
        <w:t>、</w:t>
      </w:r>
      <w:r>
        <w:rPr>
          <w:rFonts w:ascii="宋体" w:hAnsi="宋体"/>
          <w:color w:val="auto"/>
          <w:sz w:val="24"/>
          <w:szCs w:val="24"/>
        </w:rPr>
        <w:t>合规。</w:t>
      </w:r>
    </w:p>
    <w:p>
      <w:pPr>
        <w:numPr>
          <w:ilvl w:val="0"/>
          <w:numId w:val="2"/>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工程款资金支出计划说明</w:t>
      </w:r>
    </w:p>
    <w:p>
      <w:pPr>
        <w:numPr>
          <w:ilvl w:val="255"/>
          <w:numId w:val="0"/>
        </w:num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2</w:t>
      </w:r>
      <w:r>
        <w:rPr>
          <w:rFonts w:hint="eastAsia" w:ascii="宋体" w:hAnsi="宋体"/>
          <w:bCs/>
          <w:color w:val="auto"/>
          <w:sz w:val="24"/>
          <w:szCs w:val="24"/>
          <w:highlight w:val="none"/>
          <w:lang w:bidi="zh-CN"/>
        </w:rPr>
        <w:t>月工程款计划支出金额共计</w:t>
      </w:r>
      <w:r>
        <w:rPr>
          <w:rFonts w:hint="eastAsia" w:ascii="宋体" w:hAnsi="宋体"/>
          <w:bCs/>
          <w:color w:val="auto"/>
          <w:sz w:val="24"/>
          <w:szCs w:val="24"/>
          <w:highlight w:val="none"/>
          <w:lang w:val="en-US" w:bidi="zh-CN"/>
        </w:rPr>
        <w:t>2,733.86</w:t>
      </w:r>
      <w:r>
        <w:rPr>
          <w:rFonts w:hint="eastAsia" w:ascii="宋体" w:hAnsi="宋体"/>
          <w:bCs/>
          <w:color w:val="auto"/>
          <w:sz w:val="24"/>
          <w:szCs w:val="24"/>
          <w:highlight w:val="none"/>
          <w:lang w:bidi="zh-CN"/>
        </w:rPr>
        <w:t>万元，工程支出明细详见附件，</w:t>
      </w:r>
      <w:r>
        <w:rPr>
          <w:rFonts w:ascii="宋体" w:hAnsi="宋体"/>
          <w:color w:val="auto"/>
          <w:sz w:val="24"/>
          <w:szCs w:val="24"/>
          <w:highlight w:val="none"/>
        </w:rPr>
        <w:t>具体分析如下</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日和嘉兴巨匠防护设备有限公司签订的《海盐都汇华庭项目人防门供货及安装工程施工合同》，合同金额</w:t>
      </w:r>
      <w:r>
        <w:rPr>
          <w:rFonts w:hint="eastAsia" w:ascii="宋体" w:hAnsi="宋体"/>
          <w:color w:val="auto"/>
          <w:sz w:val="24"/>
          <w:szCs w:val="24"/>
          <w:highlight w:val="none"/>
          <w:lang w:val="en-US" w:eastAsia="zh-CN"/>
        </w:rPr>
        <w:t>72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3万元，按合同约定，门框安装完毕后十日内甲方支付乙方至合同暂定总价的60%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2月预计支付19.44万元，</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依据项目公司2020年8月11日和江苏省苏中建设集团股份有限公司签订的《海盐恒大都汇华庭项目主体及配套建设工程施工合同》，合同金额21,500.00万元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第三四次进度款核定产值3,187.07万元，</w:t>
      </w:r>
      <w:r>
        <w:rPr>
          <w:rFonts w:hint="eastAsia" w:ascii="宋体" w:hAnsi="宋体"/>
          <w:color w:val="auto"/>
          <w:sz w:val="24"/>
          <w:szCs w:val="24"/>
          <w:highlight w:val="none"/>
        </w:rPr>
        <w:t>按合同约定，进度款按每月实际完成并验收合格的工程量支付80%，</w:t>
      </w:r>
      <w:r>
        <w:rPr>
          <w:rFonts w:hint="eastAsia" w:ascii="宋体" w:hAnsi="宋体"/>
          <w:color w:val="auto"/>
          <w:sz w:val="24"/>
          <w:szCs w:val="24"/>
          <w:highlight w:val="none"/>
          <w:lang w:val="en-US" w:eastAsia="zh-CN"/>
        </w:rPr>
        <w:t>应付2,549.66万元，扣除施工水电费10.49万元，实际应付2,539.17万元，1月已支付1,711.00万元,本次拟支付828.17万元。第五次进度款核定产值2,000.00万元，本次拟支付1,600.00万元，本月预计支付共计2,428.17万元。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依据项目公司2020年8月5日和深圳恒大材料设备有限公司签订的《海盐恒大都汇华庭材料物资供货合同》，预计在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月向深圳恒大材料设备有限公司</w:t>
      </w:r>
      <w:r>
        <w:rPr>
          <w:rFonts w:hint="eastAsia" w:ascii="宋体" w:hAnsi="宋体"/>
          <w:color w:val="auto"/>
          <w:sz w:val="24"/>
          <w:szCs w:val="24"/>
          <w:highlight w:val="none"/>
          <w:lang w:val="en-US" w:eastAsia="zh-CN"/>
        </w:rPr>
        <w:t>项目材料款40.00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恒大材料设备有限公司签订的《海盐恒大都汇华庭材料物资供货合同》，预计在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w:t>
      </w:r>
      <w:r>
        <w:rPr>
          <w:rFonts w:hint="eastAsia" w:ascii="宋体" w:hAnsi="宋体"/>
          <w:color w:val="auto"/>
          <w:sz w:val="24"/>
          <w:szCs w:val="24"/>
          <w:highlight w:val="none"/>
          <w:lang w:val="en-US" w:eastAsia="zh-CN"/>
        </w:rPr>
        <w:t>项目材料款10.00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预计2月向恒大园林集团有限公司支付园林</w:t>
      </w:r>
      <w:r>
        <w:rPr>
          <w:rFonts w:hint="eastAsia" w:ascii="宋体" w:hAnsi="宋体"/>
          <w:color w:val="auto"/>
          <w:sz w:val="24"/>
          <w:szCs w:val="24"/>
          <w:highlight w:val="none"/>
        </w:rPr>
        <w:t>款</w:t>
      </w:r>
      <w:r>
        <w:rPr>
          <w:rFonts w:hint="eastAsia" w:ascii="宋体" w:hAnsi="宋体"/>
          <w:color w:val="auto"/>
          <w:sz w:val="24"/>
          <w:szCs w:val="24"/>
          <w:highlight w:val="none"/>
          <w:lang w:val="en-US" w:eastAsia="zh-CN"/>
        </w:rPr>
        <w:t>40.00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日和浙江尚都建设有限公司签订的《海盐恒大都汇华庭项目土石方工程施工合同》，合同金额</w:t>
      </w:r>
      <w:r>
        <w:rPr>
          <w:rFonts w:hint="eastAsia" w:ascii="宋体" w:hAnsi="宋体"/>
          <w:color w:val="auto"/>
          <w:sz w:val="24"/>
          <w:szCs w:val="24"/>
          <w:highlight w:val="none"/>
          <w:lang w:val="en-US" w:eastAsia="zh-CN"/>
        </w:rPr>
        <w:t>1,060.70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9-10月核定产值524.59万元，</w:t>
      </w:r>
      <w:r>
        <w:rPr>
          <w:rFonts w:hint="eastAsia" w:ascii="宋体" w:hAnsi="宋体"/>
          <w:color w:val="auto"/>
          <w:sz w:val="24"/>
          <w:szCs w:val="24"/>
          <w:highlight w:val="none"/>
        </w:rPr>
        <w:t>按合同约定，进度款按每月实际完成并验收合格的工程量支付</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累计支付206.76万元</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申请支付156.57万元，本次</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34</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依据项目公司2020年9月8日和上海徐汇园林发展有限公司签订的《海盐恒大都汇华庭园建施工合同》，合同金额570.08万元，按合同约定，进场7天内付10%</w:t>
      </w:r>
      <w:r>
        <w:rPr>
          <w:rFonts w:hint="eastAsia" w:ascii="宋体" w:hAnsi="宋体"/>
          <w:color w:val="auto"/>
          <w:sz w:val="24"/>
          <w:szCs w:val="24"/>
          <w:highlight w:val="none"/>
          <w:lang w:val="en-US" w:eastAsia="zh-CN"/>
        </w:rPr>
        <w:t>材料款</w:t>
      </w:r>
      <w:r>
        <w:rPr>
          <w:rFonts w:hint="eastAsia" w:ascii="宋体" w:hAnsi="宋体"/>
          <w:color w:val="auto"/>
          <w:sz w:val="24"/>
          <w:szCs w:val="24"/>
          <w:highlight w:val="none"/>
        </w:rPr>
        <w:t>，每期按实际完成工程量支付至双方确认金额的70%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应付10%材料款57.00万元，9-10</w:t>
      </w:r>
      <w:r>
        <w:rPr>
          <w:rFonts w:hint="eastAsia" w:ascii="宋体" w:hAnsi="宋体"/>
          <w:color w:val="auto"/>
          <w:sz w:val="24"/>
          <w:szCs w:val="24"/>
          <w:highlight w:val="none"/>
        </w:rPr>
        <w:t>月核定产值</w:t>
      </w:r>
      <w:r>
        <w:rPr>
          <w:rFonts w:hint="eastAsia" w:ascii="宋体" w:hAnsi="宋体"/>
          <w:color w:val="auto"/>
          <w:sz w:val="24"/>
          <w:szCs w:val="24"/>
          <w:highlight w:val="none"/>
          <w:lang w:val="en-US" w:eastAsia="zh-CN"/>
        </w:rPr>
        <w:t>108.12</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累计已付108.00万元，本次申请支付24.68万元，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bidi="zh-CN"/>
        </w:rPr>
        <w:t>预计2月支付工程用水电费15.00万元。</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lang w:bidi="zh-CN"/>
        </w:rPr>
      </w:pPr>
      <w:r>
        <w:rPr>
          <w:rFonts w:hint="eastAsia" w:ascii="宋体" w:hAnsi="宋体"/>
          <w:color w:val="auto"/>
          <w:sz w:val="24"/>
          <w:szCs w:val="24"/>
          <w:highlight w:val="none"/>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highlight w:val="none"/>
        </w:rPr>
        <w:t>严格按照相关合同付款条款严格执行，</w:t>
      </w:r>
      <w:r>
        <w:rPr>
          <w:rFonts w:hint="eastAsia" w:ascii="宋体" w:hAnsi="宋体"/>
          <w:color w:val="auto"/>
          <w:sz w:val="24"/>
          <w:szCs w:val="24"/>
          <w:highlight w:val="none"/>
          <w:lang w:bidi="zh-CN"/>
        </w:rPr>
        <w:t>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管理费用资金支出计划说明</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月的管理费用支出金额共计</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.00万元，具体分析如下：</w:t>
      </w:r>
    </w:p>
    <w:p>
      <w:pPr>
        <w:numPr>
          <w:ilvl w:val="0"/>
          <w:numId w:val="0"/>
        </w:num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预计本期支付</w:t>
      </w:r>
      <w:r>
        <w:rPr>
          <w:rFonts w:hint="eastAsia" w:ascii="宋体" w:hAnsi="宋体"/>
          <w:color w:val="auto"/>
          <w:sz w:val="24"/>
          <w:szCs w:val="24"/>
          <w:highlight w:val="none"/>
        </w:rPr>
        <w:t>工资社保费用</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.00万元。</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bidi="zh-CN"/>
        </w:rPr>
        <w:t>经审核，我司认为</w:t>
      </w:r>
      <w:r>
        <w:rPr>
          <w:rFonts w:hint="eastAsia" w:ascii="宋体" w:hAnsi="宋体"/>
          <w:color w:val="auto"/>
          <w:sz w:val="24"/>
          <w:szCs w:val="24"/>
          <w:highlight w:val="none"/>
          <w:lang w:val="en-US" w:bidi="zh-CN"/>
        </w:rPr>
        <w:t>2</w:t>
      </w:r>
      <w:r>
        <w:rPr>
          <w:rFonts w:hint="eastAsia" w:ascii="宋体" w:hAnsi="宋体"/>
          <w:color w:val="auto"/>
          <w:sz w:val="24"/>
          <w:szCs w:val="24"/>
          <w:highlight w:val="none"/>
          <w:lang w:bidi="zh-CN"/>
        </w:rPr>
        <w:t>月管理费用资金支出</w:t>
      </w:r>
      <w:r>
        <w:rPr>
          <w:rFonts w:ascii="宋体" w:hAnsi="宋体"/>
          <w:color w:val="auto"/>
          <w:sz w:val="24"/>
          <w:szCs w:val="24"/>
          <w:highlight w:val="none"/>
          <w:lang w:bidi="zh-CN"/>
        </w:rPr>
        <w:t>计划编制合理</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营销费用资金支出计划说明</w:t>
      </w:r>
    </w:p>
    <w:p>
      <w:pPr>
        <w:spacing w:before="156" w:beforeLines="50" w:after="156" w:afterLines="50" w:line="360" w:lineRule="auto"/>
        <w:ind w:left="225" w:firstLine="240" w:firstLineChars="1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月的营销费用支出金额共计</w:t>
      </w:r>
      <w:r>
        <w:rPr>
          <w:rFonts w:hint="eastAsia" w:ascii="宋体" w:hAnsi="宋体"/>
          <w:color w:val="auto"/>
          <w:sz w:val="24"/>
          <w:szCs w:val="24"/>
          <w:highlight w:val="none"/>
          <w:lang w:val="en-US" w:eastAsia="zh-CN"/>
        </w:rPr>
        <w:t>486.77</w:t>
      </w:r>
      <w:r>
        <w:rPr>
          <w:rFonts w:hint="eastAsia" w:ascii="宋体" w:hAnsi="宋体"/>
          <w:color w:val="auto"/>
          <w:sz w:val="24"/>
          <w:szCs w:val="24"/>
          <w:highlight w:val="none"/>
        </w:rPr>
        <w:t>万元，具体分析如下</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依据项目公司2020年7月1日和上海鹤琢广告有限公司签订的《海盐恒大都汇华庭项目全案广告代理合同》，合同金额90.00万元，项目开盘前，每月支付广告费约8.60万元，开盘后，每月广告费约6.50万元。</w:t>
      </w:r>
      <w:r>
        <w:rPr>
          <w:rFonts w:hint="eastAsia" w:ascii="宋体" w:hAnsi="宋体"/>
          <w:color w:val="auto"/>
          <w:sz w:val="24"/>
          <w:szCs w:val="24"/>
          <w:highlight w:val="none"/>
          <w:lang w:val="en-US" w:eastAsia="zh-CN"/>
        </w:rPr>
        <w:t>本次申请支付2020年9-12月全案广告费35.60万元，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预计2月支付海盐鼎圣广告传媒有限公司10月物料费用2.26万元；11月物料费用12.05万元；设立巡展点费用4.5万元；拉斯维加斯活动6.3万元；恒大温情回馈 畅游海盐活动费用2.3万元；感恩节活动费用5.8万元；糖果派对,甜蜜建筑主题活动费用3.45万元；超级 MALL，嗨购都汇主题活动费用4.1万元；“恒大·华庭杯”广场舞大赛主题3.9万元；12月第三周库外物料2.9万元；梦回大唐，遇鉴都汇活动费3.1万元；牛年大赢家，年货抱回家活动费2.05万元；春节礼包包装费8.56万元，以上活动费用共计61.26万元，</w:t>
      </w:r>
      <w:r>
        <w:rPr>
          <w:rFonts w:hint="eastAsia" w:ascii="宋体" w:hAnsi="宋体"/>
          <w:color w:val="auto"/>
          <w:sz w:val="24"/>
          <w:szCs w:val="24"/>
          <w:highlight w:val="none"/>
          <w:lang w:val="en-US" w:eastAsia="zh-CN" w:bidi="zh-CN"/>
        </w:rPr>
        <w:t>此合同为华东区框架协议，</w:t>
      </w:r>
      <w:r>
        <w:rPr>
          <w:rFonts w:hint="eastAsia" w:ascii="宋体" w:hAnsi="宋体"/>
          <w:color w:val="auto"/>
          <w:sz w:val="24"/>
          <w:szCs w:val="24"/>
          <w:highlight w:val="none"/>
          <w:lang w:val="en-US"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支付嘉兴火舞传媒有限公司营销展示区开放魔术活动费用23.90万元；绿野仙踪，都汇奇遇记活动费用8.49万元；双旦节包装物料4.28万元；缤纷圣诞，冬至好食光主题活动费用1.43万元；梦幻迪士尼活动费用4.65万元；展厅圣诞氛围包装物料采购费1.59万元；魅力夜宴，欢乐嘉年华活动费用1.57万元；异国风情美食节活动费用6.6万元；寻味中国年，贺福腊八节活动2.9万元，以上活动费用共计55.41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预计2月向嘉兴佰赢文化传媒有限公司支付大型广告牌广告费用10.72万元，实际支付时我司会依据费用单据、发票对实际金额把控，严格审核后执行。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预计2月向嘉兴市艾可广告传媒有限公司支付电梯框架广告费用10.17万元；电梯框架换画费用0.09万元，实际支付时我司会依据费用单据、发票对实际金额把控，严格审核后执行。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预计2月向嘉兴市邦尼广告传媒有限公司支付映前广告广告费用3.90万元；映前广告换画费用0.60万元，实际支付时我司会依据费用单据、发票对实际金额把控，严格审核后执行。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预计2月向嘉兴市金诚印刷有限公司支付2020年10月-2021年1月印刷广告费27.05万元；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val="en-US" w:bidi="zh-CN"/>
        </w:rPr>
        <w:t>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预计2月向嘉兴藤王绅士服有限公司支付销售员定制服装费1.89万元，实际支付时我司会依据费用单据、发票对实际金额把控，严格审核后执行。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预计2月向上海承鹏汽车服务有限公司支付恒大两新项目老业主一日游用车方案费0.44万元，实际支付时我司会依据费用单据、发票对实际金额把控，严格审核后执行。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月向上海锋艺广告有限公司支付示范区开放包装物料采购货款</w:t>
      </w:r>
      <w:r>
        <w:rPr>
          <w:rFonts w:hint="eastAsia" w:ascii="宋体" w:hAnsi="宋体"/>
          <w:color w:val="auto"/>
          <w:sz w:val="24"/>
          <w:szCs w:val="24"/>
          <w:highlight w:val="none"/>
          <w:lang w:val="en-US" w:eastAsia="zh-CN"/>
        </w:rPr>
        <w:t>20.5</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日和深圳钛铂新媒体营销股份有限公司签订的《海盐恒大都汇华庭项目3D宣传片制作合同》，合同金额</w:t>
      </w:r>
      <w:r>
        <w:rPr>
          <w:rFonts w:hint="eastAsia" w:ascii="宋体" w:hAnsi="宋体"/>
          <w:color w:val="auto"/>
          <w:sz w:val="24"/>
          <w:szCs w:val="24"/>
          <w:highlight w:val="none"/>
          <w:lang w:val="en-US" w:eastAsia="zh-CN"/>
        </w:rPr>
        <w:t>13.50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累计支付10.8万元，本次申请支付尾款2.70万元，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月向浙江海纳传媒有限公司支付拓客物料</w:t>
      </w:r>
      <w:r>
        <w:rPr>
          <w:rFonts w:hint="eastAsia" w:ascii="宋体" w:hAnsi="宋体"/>
          <w:color w:val="auto"/>
          <w:sz w:val="24"/>
          <w:szCs w:val="24"/>
          <w:highlight w:val="none"/>
          <w:lang w:val="en-US" w:eastAsia="zh-CN"/>
        </w:rPr>
        <w:t>费12.74</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月向上海路鸣模型设计有限公司支付沙盘模型35%费用</w:t>
      </w:r>
      <w:r>
        <w:rPr>
          <w:rFonts w:hint="eastAsia" w:ascii="宋体" w:hAnsi="宋体"/>
          <w:color w:val="auto"/>
          <w:sz w:val="24"/>
          <w:szCs w:val="24"/>
          <w:highlight w:val="none"/>
          <w:lang w:val="en-US" w:eastAsia="zh-CN"/>
        </w:rPr>
        <w:t>4.77万元；新增单体模型的定标申请费1.01万元，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月向上海临浦印刷有限公司</w:t>
      </w:r>
      <w:r>
        <w:rPr>
          <w:rFonts w:hint="eastAsia" w:ascii="宋体" w:hAnsi="宋体"/>
          <w:color w:val="auto"/>
          <w:sz w:val="24"/>
          <w:szCs w:val="24"/>
          <w:highlight w:val="none"/>
          <w:lang w:val="en-US" w:eastAsia="zh-CN"/>
        </w:rPr>
        <w:t>支付12月-1月印刷费2.42</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（15）依据项目公司2021年1月11日和杭州润滨礼品有限公司签订的《海盐恒大都汇华庭项目营销物资购销合同》，合同金额15.14万元，按照合同约定甲方验收合格后一个月内付清全款，本期预计支付15.14万元，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月向苏州市深广印刷有限公司</w:t>
      </w:r>
      <w:r>
        <w:rPr>
          <w:rFonts w:hint="eastAsia" w:ascii="宋体" w:hAnsi="宋体"/>
          <w:color w:val="auto"/>
          <w:sz w:val="24"/>
          <w:szCs w:val="24"/>
          <w:highlight w:val="none"/>
          <w:lang w:val="en-US" w:eastAsia="zh-CN"/>
        </w:rPr>
        <w:t>支付1月印刷费1.3</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月向嘉兴市双丰广告有限公司</w:t>
      </w:r>
      <w:r>
        <w:rPr>
          <w:rFonts w:hint="eastAsia" w:ascii="宋体" w:hAnsi="宋体"/>
          <w:color w:val="auto"/>
          <w:sz w:val="24"/>
          <w:szCs w:val="24"/>
          <w:highlight w:val="none"/>
          <w:lang w:val="en-US" w:eastAsia="zh-CN"/>
        </w:rPr>
        <w:t>支付新增户外广告费3.00</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（18）依据项目公司2020年11月9日和江苏宏洁机电工程有限公司签订的《海盐恒大都汇华庭项目临时展示区亮化工程施工合同》，合同金额28.99万元，按照合同约定工程完工验收合格后 10 天内，甲方支付至工程合同暂定总价的 80%作为进度款，累计支付10万元，本期预计支付12.32万元，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（19）依据项目公司2021年1月21日和深圳市房车宝销售有限公司上海分公司签订的《房车宝营销服务合作协议》，按照合同约定每套房源按照《商品房买卖合同》约定的总成交价格的 3.2%向乙方支付服务费，本期预计支付185.52万元，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依据项目公司2020年12月14日和南京长岛建设工程有限公司签订的《海盐恒大都汇华庭售楼处室内装修工程施工合同》补充协议（1-赶工奖框架协议）及补充协议（2-赶工奖）</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支付赶工奖（商承贴息）6.65</w:t>
      </w:r>
      <w:r>
        <w:rPr>
          <w:rFonts w:hint="eastAsia" w:ascii="宋体" w:hAnsi="宋体"/>
          <w:color w:val="auto"/>
          <w:sz w:val="24"/>
          <w:szCs w:val="24"/>
          <w:highlight w:val="none"/>
        </w:rPr>
        <w:t>万元，实际支付时，我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日和南京唯启广告传媒有限公司签订的《海盐恒大都汇华庭展示区导视及精神堡垒制作安装工程施工合同》，合同金额</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万元，按合同约定，乙方在每月20日前上报工程进度款申请，经甲方核实后10日内按乙方实际完成合格工程量的80%支付进度款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该工程已完成，核定产值</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月预计支付工程进度款</w:t>
      </w:r>
      <w:r>
        <w:rPr>
          <w:rFonts w:hint="eastAsia" w:ascii="宋体" w:hAnsi="宋体"/>
          <w:color w:val="auto"/>
          <w:sz w:val="24"/>
          <w:szCs w:val="24"/>
          <w:highlight w:val="none"/>
          <w:lang w:val="en-US" w:eastAsia="zh-CN"/>
        </w:rPr>
        <w:t>11.58</w:t>
      </w:r>
      <w:r>
        <w:rPr>
          <w:rFonts w:hint="eastAsia" w:ascii="宋体" w:hAnsi="宋体"/>
          <w:color w:val="auto"/>
          <w:sz w:val="24"/>
          <w:szCs w:val="24"/>
          <w:highlight w:val="none"/>
        </w:rPr>
        <w:t>万元，本次支付完成后，累计付款比例</w:t>
      </w:r>
      <w:r>
        <w:rPr>
          <w:rFonts w:hint="eastAsia" w:ascii="宋体" w:hAnsi="宋体"/>
          <w:color w:val="auto"/>
          <w:sz w:val="24"/>
          <w:szCs w:val="24"/>
          <w:highlight w:val="none"/>
          <w:lang w:val="en-US" w:eastAsia="zh-CN"/>
        </w:rPr>
        <w:t>77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eastAsia" w:ascii="宋体" w:hAnsi="宋体" w:eastAsia="宋体"/>
          <w:color w:val="auto"/>
          <w:sz w:val="24"/>
          <w:szCs w:val="24"/>
          <w:highlight w:val="none"/>
          <w:lang w:eastAsia="zh-CN" w:bidi="zh-CN"/>
        </w:rPr>
      </w:pPr>
      <w:r>
        <w:rPr>
          <w:rFonts w:hint="eastAsia" w:ascii="宋体" w:hAnsi="宋体"/>
          <w:bCs/>
          <w:color w:val="auto"/>
          <w:sz w:val="24"/>
          <w:szCs w:val="24"/>
          <w:highlight w:val="none"/>
          <w:lang w:bidi="zh-CN"/>
        </w:rPr>
        <w:t>经审核，</w:t>
      </w:r>
      <w:r>
        <w:rPr>
          <w:rFonts w:hint="eastAsia" w:ascii="宋体" w:hAnsi="宋体"/>
          <w:bCs/>
          <w:color w:val="auto"/>
          <w:sz w:val="24"/>
          <w:szCs w:val="24"/>
          <w:highlight w:val="none"/>
          <w:lang w:val="en-US" w:bidi="zh-CN"/>
        </w:rPr>
        <w:t>营销费用</w:t>
      </w:r>
      <w:r>
        <w:rPr>
          <w:rFonts w:hint="eastAsia" w:ascii="宋体" w:hAnsi="宋体"/>
          <w:bCs/>
          <w:color w:val="auto"/>
          <w:sz w:val="24"/>
          <w:szCs w:val="24"/>
          <w:highlight w:val="none"/>
          <w:lang w:bidi="zh-CN"/>
        </w:rPr>
        <w:t>中已签订合同部分的计划资金支付均符合合同的规定付款时间，未签订合同的需待合同签订后根据合同条款确定是否合理。</w:t>
      </w:r>
      <w:r>
        <w:rPr>
          <w:rFonts w:hint="eastAsia" w:ascii="宋体" w:hAnsi="宋体"/>
          <w:color w:val="auto"/>
          <w:sz w:val="24"/>
          <w:szCs w:val="24"/>
          <w:highlight w:val="none"/>
          <w:lang w:bidi="zh-CN"/>
        </w:rPr>
        <w:t>后期我司会对合同签订严格把控，实际支付时，我司会对付款申请、发票、流程、合同等依据进行审核、计算，</w:t>
      </w:r>
      <w:r>
        <w:rPr>
          <w:rFonts w:ascii="宋体" w:hAnsi="宋体"/>
          <w:color w:val="auto"/>
          <w:sz w:val="24"/>
          <w:szCs w:val="24"/>
          <w:highlight w:val="none"/>
        </w:rPr>
        <w:t>严格把控，确保资金支付合理、合规</w:t>
      </w:r>
      <w:r>
        <w:rPr>
          <w:rFonts w:hint="eastAsia" w:ascii="宋体" w:hAnsi="宋体"/>
          <w:color w:val="auto"/>
          <w:sz w:val="24"/>
          <w:szCs w:val="24"/>
          <w:highlight w:val="none"/>
          <w:lang w:eastAsia="zh-CN"/>
        </w:rPr>
        <w:t>。</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财务费用支出计划说明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2</w:t>
      </w:r>
      <w:r>
        <w:rPr>
          <w:rFonts w:hint="eastAsia" w:ascii="宋体" w:hAnsi="宋体"/>
          <w:color w:val="auto"/>
          <w:sz w:val="24"/>
          <w:szCs w:val="24"/>
          <w:highlight w:val="none"/>
          <w:lang w:bidi="zh-CN"/>
        </w:rPr>
        <w:t>月预估支付税金</w:t>
      </w:r>
      <w:r>
        <w:rPr>
          <w:rFonts w:hint="eastAsia" w:ascii="宋体" w:hAnsi="宋体"/>
          <w:color w:val="auto"/>
          <w:sz w:val="24"/>
          <w:szCs w:val="24"/>
          <w:highlight w:val="none"/>
          <w:lang w:val="en-US" w:bidi="zh-CN"/>
        </w:rPr>
        <w:t>110</w:t>
      </w:r>
      <w:r>
        <w:rPr>
          <w:rFonts w:hint="eastAsia" w:ascii="宋体" w:hAnsi="宋体"/>
          <w:color w:val="auto"/>
          <w:sz w:val="24"/>
          <w:szCs w:val="24"/>
          <w:highlight w:val="none"/>
          <w:lang w:bidi="zh-CN"/>
        </w:rPr>
        <w:t>.00万元，实际支付时，我司将严格按当月实际需缴纳的税款执行。</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其他费用计划说明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2</w:t>
      </w:r>
      <w:r>
        <w:rPr>
          <w:rFonts w:hint="eastAsia" w:ascii="宋体" w:hAnsi="宋体"/>
          <w:color w:val="auto"/>
          <w:sz w:val="24"/>
          <w:szCs w:val="24"/>
          <w:highlight w:val="none"/>
          <w:lang w:bidi="zh-CN"/>
        </w:rPr>
        <w:t>月</w:t>
      </w:r>
      <w:r>
        <w:rPr>
          <w:rFonts w:hint="eastAsia" w:ascii="宋体" w:hAnsi="宋体"/>
          <w:color w:val="auto"/>
          <w:sz w:val="24"/>
          <w:szCs w:val="24"/>
          <w:highlight w:val="none"/>
          <w:lang w:val="en-US" w:bidi="zh-CN"/>
        </w:rPr>
        <w:t>预计退认筹金150万元，</w:t>
      </w:r>
      <w:r>
        <w:rPr>
          <w:rFonts w:hint="eastAsia" w:ascii="宋体" w:hAnsi="宋体"/>
          <w:color w:val="auto"/>
          <w:sz w:val="24"/>
          <w:szCs w:val="24"/>
          <w:highlight w:val="none"/>
          <w:lang w:bidi="zh-CN"/>
        </w:rPr>
        <w:t>其他不可</w:t>
      </w:r>
      <w:bookmarkStart w:id="1" w:name="_GoBack"/>
      <w:bookmarkEnd w:id="1"/>
      <w:r>
        <w:rPr>
          <w:rFonts w:hint="eastAsia" w:ascii="宋体" w:hAnsi="宋体"/>
          <w:color w:val="auto"/>
          <w:sz w:val="24"/>
          <w:szCs w:val="24"/>
          <w:highlight w:val="none"/>
          <w:lang w:bidi="zh-CN"/>
        </w:rPr>
        <w:t>预见费用预估总计80.00万元。实际支付时，我司会对付款申请、发票、流程、相关合同、现场签证等依据进行审核，</w:t>
      </w:r>
      <w:r>
        <w:rPr>
          <w:rFonts w:ascii="宋体" w:hAnsi="宋体"/>
          <w:color w:val="auto"/>
          <w:sz w:val="24"/>
          <w:szCs w:val="24"/>
          <w:highlight w:val="none"/>
        </w:rPr>
        <w:t>严格把控，</w:t>
      </w:r>
      <w:r>
        <w:rPr>
          <w:rFonts w:hint="eastAsia" w:ascii="宋体" w:hAnsi="宋体"/>
          <w:color w:val="auto"/>
          <w:sz w:val="24"/>
          <w:szCs w:val="24"/>
          <w:highlight w:val="none"/>
          <w:lang w:bidi="zh-CN"/>
        </w:rPr>
        <w:t>确保资金支付合理、合规。</w:t>
      </w:r>
    </w:p>
    <w:p>
      <w:pPr>
        <w:spacing w:before="156" w:beforeLines="50" w:after="156" w:afterLines="50" w:line="360" w:lineRule="auto"/>
        <w:ind w:firstLine="241" w:firstLineChars="100"/>
        <w:rPr>
          <w:rFonts w:ascii="宋体" w:hAnsi="宋体"/>
          <w:b/>
          <w:bCs/>
          <w:color w:val="auto"/>
          <w:sz w:val="24"/>
          <w:szCs w:val="24"/>
          <w:highlight w:val="none"/>
          <w:lang w:bidi="zh-CN"/>
        </w:rPr>
      </w:pPr>
      <w:r>
        <w:rPr>
          <w:rFonts w:hint="eastAsia" w:ascii="宋体" w:hAnsi="宋体"/>
          <w:b/>
          <w:bCs/>
          <w:color w:val="auto"/>
          <w:sz w:val="24"/>
          <w:szCs w:val="24"/>
          <w:highlight w:val="none"/>
          <w:lang w:bidi="zh-CN"/>
        </w:rPr>
        <w:t>四、结论：</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bCs/>
          <w:color w:val="auto"/>
          <w:sz w:val="24"/>
          <w:szCs w:val="24"/>
          <w:highlight w:val="none"/>
          <w:lang w:bidi="zh-CN"/>
        </w:rPr>
        <w:t>本次海盐丰涛置业有限公司申报的</w:t>
      </w:r>
      <w:r>
        <w:rPr>
          <w:rFonts w:hint="eastAsia" w:ascii="宋体" w:hAnsi="宋体"/>
          <w:bCs/>
          <w:color w:val="auto"/>
          <w:sz w:val="24"/>
          <w:szCs w:val="24"/>
          <w:highlight w:val="none"/>
          <w:lang w:val="en-US" w:bidi="zh-CN"/>
        </w:rPr>
        <w:t>2</w:t>
      </w:r>
      <w:r>
        <w:rPr>
          <w:rFonts w:ascii="宋体" w:hAnsi="宋体"/>
          <w:bCs/>
          <w:color w:val="auto"/>
          <w:sz w:val="24"/>
          <w:szCs w:val="24"/>
          <w:highlight w:val="none"/>
          <w:lang w:bidi="zh-CN"/>
        </w:rPr>
        <w:t>月资金计</w:t>
      </w:r>
      <w:r>
        <w:rPr>
          <w:rFonts w:hint="eastAsia" w:ascii="宋体" w:hAnsi="宋体"/>
          <w:bCs/>
          <w:color w:val="auto"/>
          <w:sz w:val="24"/>
          <w:szCs w:val="24"/>
          <w:highlight w:val="none"/>
          <w:lang w:bidi="zh-CN"/>
        </w:rPr>
        <w:t>划</w:t>
      </w:r>
      <w:r>
        <w:rPr>
          <w:rFonts w:ascii="宋体" w:hAnsi="宋体"/>
          <w:bCs/>
          <w:color w:val="auto"/>
          <w:sz w:val="24"/>
          <w:szCs w:val="24"/>
          <w:highlight w:val="none"/>
          <w:lang w:bidi="zh-CN"/>
        </w:rPr>
        <w:t>包含</w:t>
      </w:r>
      <w:r>
        <w:rPr>
          <w:rFonts w:hint="eastAsia" w:ascii="宋体" w:hAnsi="宋体"/>
          <w:bCs/>
          <w:color w:val="auto"/>
          <w:sz w:val="24"/>
          <w:szCs w:val="24"/>
          <w:highlight w:val="none"/>
          <w:lang w:val="en-US" w:bidi="zh-CN"/>
        </w:rPr>
        <w:t>六</w:t>
      </w:r>
      <w:r>
        <w:rPr>
          <w:rFonts w:ascii="宋体" w:hAnsi="宋体"/>
          <w:bCs/>
          <w:color w:val="auto"/>
          <w:sz w:val="24"/>
          <w:szCs w:val="24"/>
          <w:highlight w:val="none"/>
          <w:lang w:bidi="zh-CN"/>
        </w:rPr>
        <w:t>大</w:t>
      </w:r>
      <w:r>
        <w:rPr>
          <w:rFonts w:hint="eastAsia" w:ascii="宋体" w:hAnsi="宋体"/>
          <w:bCs/>
          <w:color w:val="auto"/>
          <w:sz w:val="24"/>
          <w:szCs w:val="24"/>
          <w:highlight w:val="none"/>
          <w:lang w:bidi="zh-CN"/>
        </w:rPr>
        <w:t>项目</w:t>
      </w:r>
      <w:r>
        <w:rPr>
          <w:rFonts w:ascii="宋体" w:hAnsi="宋体"/>
          <w:bCs/>
          <w:color w:val="auto"/>
          <w:sz w:val="24"/>
          <w:szCs w:val="24"/>
          <w:highlight w:val="none"/>
          <w:lang w:bidi="zh-CN"/>
        </w:rPr>
        <w:t>，分别为</w:t>
      </w:r>
      <w:r>
        <w:rPr>
          <w:rFonts w:hint="eastAsia" w:ascii="宋体" w:hAnsi="宋体"/>
          <w:bCs/>
          <w:color w:val="auto"/>
          <w:sz w:val="24"/>
          <w:szCs w:val="24"/>
          <w:highlight w:val="none"/>
          <w:lang w:bidi="zh-CN"/>
        </w:rPr>
        <w:t>前期费用</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工程款</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管理费用、营销费用、税金，其他费用，</w:t>
      </w:r>
      <w:r>
        <w:rPr>
          <w:rFonts w:hint="eastAsia" w:ascii="宋体" w:hAnsi="宋体"/>
          <w:bCs/>
          <w:color w:val="auto"/>
          <w:sz w:val="24"/>
          <w:szCs w:val="24"/>
          <w:highlight w:val="none"/>
          <w:lang w:val="en-US" w:bidi="zh-CN"/>
        </w:rPr>
        <w:t>分类方式为项目公司各部门提供，与目标成本分类不符，但费用明细与现场实际情况基本吻合</w:t>
      </w:r>
      <w:r>
        <w:rPr>
          <w:rFonts w:hint="eastAsia" w:ascii="宋体" w:hAnsi="宋体"/>
          <w:bCs/>
          <w:color w:val="auto"/>
          <w:sz w:val="24"/>
          <w:szCs w:val="24"/>
          <w:highlight w:val="none"/>
          <w:lang w:bidi="zh-CN"/>
        </w:rPr>
        <w:t>，资金计划编制基本合理。</w:t>
      </w:r>
      <w:r>
        <w:rPr>
          <w:rFonts w:hint="eastAsia" w:ascii="宋体" w:hAnsi="宋体"/>
          <w:bCs/>
          <w:color w:val="auto"/>
          <w:sz w:val="24"/>
          <w:szCs w:val="24"/>
          <w:highlight w:val="none"/>
          <w:lang w:val="en-US" w:bidi="zh-CN"/>
        </w:rPr>
        <w:t>我司重新整理、统计了项目公司的资金计划，对上述费用的类别进行了调整，对费用明细进行审核分析，</w:t>
      </w:r>
      <w:r>
        <w:rPr>
          <w:rFonts w:hint="eastAsia" w:ascii="宋体" w:hAnsi="宋体"/>
          <w:bCs/>
          <w:color w:val="auto"/>
          <w:sz w:val="24"/>
          <w:szCs w:val="24"/>
          <w:highlight w:val="none"/>
          <w:lang w:bidi="zh-CN"/>
        </w:rPr>
        <w:t>拟同意项目公司</w:t>
      </w:r>
      <w:r>
        <w:rPr>
          <w:rFonts w:hint="eastAsia" w:ascii="宋体" w:hAnsi="宋体"/>
          <w:bCs/>
          <w:color w:val="auto"/>
          <w:sz w:val="24"/>
          <w:szCs w:val="24"/>
          <w:highlight w:val="none"/>
          <w:lang w:val="en-US" w:bidi="zh-CN"/>
        </w:rPr>
        <w:t>2</w:t>
      </w:r>
      <w:r>
        <w:rPr>
          <w:rFonts w:ascii="宋体" w:hAnsi="宋体"/>
          <w:bCs/>
          <w:color w:val="auto"/>
          <w:sz w:val="24"/>
          <w:szCs w:val="24"/>
          <w:highlight w:val="none"/>
          <w:lang w:bidi="zh-CN"/>
        </w:rPr>
        <w:t>月</w:t>
      </w:r>
      <w:r>
        <w:rPr>
          <w:rFonts w:hint="eastAsia" w:ascii="宋体" w:hAnsi="宋体"/>
          <w:bCs/>
          <w:color w:val="auto"/>
          <w:sz w:val="24"/>
          <w:szCs w:val="24"/>
          <w:highlight w:val="none"/>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color w:val="auto"/>
          <w:sz w:val="24"/>
          <w:highlight w:val="none"/>
          <w:lang w:bidi="zh-CN"/>
        </w:rPr>
      </w:pPr>
      <w:r>
        <w:rPr>
          <w:rFonts w:hint="eastAsia" w:ascii="宋体" w:hAnsi="宋体"/>
          <w:b/>
          <w:color w:val="auto"/>
          <w:sz w:val="24"/>
          <w:highlight w:val="none"/>
          <w:lang w:bidi="zh-CN"/>
        </w:rPr>
        <w:t xml:space="preserve">                                          </w:t>
      </w:r>
    </w:p>
    <w:p>
      <w:pPr>
        <w:spacing w:line="360" w:lineRule="auto"/>
        <w:rPr>
          <w:rFonts w:ascii="宋体" w:hAnsi="宋体"/>
          <w:b/>
          <w:color w:val="auto"/>
          <w:sz w:val="24"/>
          <w:highlight w:val="none"/>
          <w:lang w:bidi="zh-CN"/>
        </w:rPr>
      </w:pP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北京康信君安资产管理有限公司</w:t>
      </w: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海盐恒大都汇华庭项目组</w:t>
      </w:r>
    </w:p>
    <w:p>
      <w:pPr>
        <w:spacing w:before="156" w:beforeLines="50" w:line="360" w:lineRule="auto"/>
        <w:ind w:left="420" w:leftChars="200" w:firstLine="482" w:firstLineChars="200"/>
        <w:rPr>
          <w:rFonts w:ascii="宋体" w:hAnsi="宋体"/>
          <w:b/>
          <w:bCs/>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hint="eastAsia" w:ascii="宋体" w:hAnsi="宋体"/>
          <w:b/>
          <w:bCs/>
          <w:color w:val="auto"/>
          <w:sz w:val="24"/>
          <w:highlight w:val="none"/>
          <w:lang w:bidi="zh-CN"/>
        </w:rPr>
        <w:t xml:space="preserve"> 20</w:t>
      </w:r>
      <w:r>
        <w:rPr>
          <w:rFonts w:ascii="宋体" w:hAnsi="宋体"/>
          <w:b/>
          <w:bCs/>
          <w:color w:val="auto"/>
          <w:sz w:val="24"/>
          <w:highlight w:val="none"/>
          <w:lang w:bidi="zh-CN"/>
        </w:rPr>
        <w:t>2</w:t>
      </w:r>
      <w:r>
        <w:rPr>
          <w:rFonts w:hint="eastAsia" w:ascii="宋体" w:hAnsi="宋体"/>
          <w:b/>
          <w:bCs/>
          <w:color w:val="auto"/>
          <w:sz w:val="24"/>
          <w:highlight w:val="none"/>
          <w:lang w:val="en-US" w:bidi="zh-CN"/>
        </w:rPr>
        <w:t>1</w:t>
      </w:r>
      <w:r>
        <w:rPr>
          <w:rFonts w:hint="eastAsia" w:ascii="宋体" w:hAnsi="宋体"/>
          <w:b/>
          <w:bCs/>
          <w:color w:val="auto"/>
          <w:sz w:val="24"/>
          <w:highlight w:val="none"/>
          <w:lang w:bidi="zh-CN"/>
        </w:rPr>
        <w:t>年</w:t>
      </w:r>
      <w:r>
        <w:rPr>
          <w:rFonts w:hint="eastAsia" w:ascii="宋体" w:hAnsi="宋体"/>
          <w:b/>
          <w:bCs/>
          <w:color w:val="auto"/>
          <w:sz w:val="24"/>
          <w:highlight w:val="none"/>
          <w:lang w:val="en-US" w:bidi="zh-CN"/>
        </w:rPr>
        <w:t>2</w:t>
      </w:r>
      <w:r>
        <w:rPr>
          <w:rFonts w:ascii="宋体" w:hAnsi="宋体"/>
          <w:b/>
          <w:bCs/>
          <w:color w:val="auto"/>
          <w:sz w:val="24"/>
          <w:highlight w:val="none"/>
          <w:lang w:bidi="zh-CN"/>
        </w:rPr>
        <w:t>月</w:t>
      </w:r>
      <w:r>
        <w:rPr>
          <w:rFonts w:hint="eastAsia" w:ascii="宋体" w:hAnsi="宋体"/>
          <w:b/>
          <w:bCs/>
          <w:color w:val="auto"/>
          <w:sz w:val="24"/>
          <w:highlight w:val="none"/>
          <w:lang w:val="en-US" w:bidi="zh-CN"/>
        </w:rPr>
        <w:t>3</w:t>
      </w:r>
      <w:r>
        <w:rPr>
          <w:rFonts w:ascii="宋体" w:hAnsi="宋体"/>
          <w:b/>
          <w:bCs/>
          <w:color w:val="auto"/>
          <w:sz w:val="24"/>
          <w:highlight w:val="none"/>
          <w:lang w:bidi="zh-CN"/>
        </w:rPr>
        <w:t>日</w:t>
      </w:r>
    </w:p>
    <w:p>
      <w:pPr>
        <w:rPr>
          <w:rFonts w:ascii="宋体" w:hAnsi="宋体"/>
          <w:color w:val="auto"/>
          <w:sz w:val="24"/>
          <w:highlight w:val="none"/>
          <w:lang w:bidi="zh-CN"/>
        </w:rPr>
      </w:pPr>
    </w:p>
    <w:p>
      <w:pPr>
        <w:spacing w:before="156" w:beforeLines="50" w:line="360" w:lineRule="auto"/>
        <w:rPr>
          <w:rFonts w:ascii="宋体" w:hAnsi="宋体"/>
          <w:b/>
          <w:bCs/>
          <w:color w:val="auto"/>
          <w:sz w:val="24"/>
          <w:highlight w:val="none"/>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60" w:beforeLines="50" w:line="360" w:lineRule="auto"/>
        <w:rPr>
          <w:rFonts w:ascii="宋体" w:hAnsi="宋体"/>
          <w:b/>
          <w:bCs/>
          <w:color w:val="000000"/>
          <w:sz w:val="24"/>
          <w:lang w:bidi="zh-CN"/>
        </w:rPr>
      </w:pPr>
      <w:r>
        <w:rPr>
          <w:rFonts w:hint="eastAsia" w:ascii="宋体" w:hAnsi="宋体"/>
          <w:b/>
          <w:bCs/>
          <w:color w:val="000000"/>
          <w:sz w:val="24"/>
          <w:lang w:bidi="zh-CN"/>
        </w:rPr>
        <w:t>附件 工程支出明细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940"/>
        <w:gridCol w:w="1183"/>
        <w:gridCol w:w="934"/>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费用类型</w:t>
            </w:r>
          </w:p>
        </w:tc>
        <w:tc>
          <w:tcPr>
            <w:tcW w:w="14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施工单位名称</w:t>
            </w:r>
          </w:p>
        </w:tc>
        <w:tc>
          <w:tcPr>
            <w:tcW w:w="2182"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款项用途</w:t>
            </w:r>
          </w:p>
        </w:tc>
        <w:tc>
          <w:tcPr>
            <w:tcW w:w="11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合同金额（万元）</w:t>
            </w:r>
          </w:p>
        </w:tc>
        <w:tc>
          <w:tcPr>
            <w:tcW w:w="1928"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合同付款条件</w:t>
            </w:r>
          </w:p>
        </w:tc>
        <w:tc>
          <w:tcPr>
            <w:tcW w:w="120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已完成产值（万元）</w:t>
            </w:r>
          </w:p>
        </w:tc>
        <w:tc>
          <w:tcPr>
            <w:tcW w:w="102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累计已付款（万元）</w:t>
            </w:r>
          </w:p>
        </w:tc>
        <w:tc>
          <w:tcPr>
            <w:tcW w:w="94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累计支付比例(%)</w:t>
            </w:r>
          </w:p>
        </w:tc>
        <w:tc>
          <w:tcPr>
            <w:tcW w:w="1183"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本月拟支付额（万元）</w:t>
            </w:r>
          </w:p>
        </w:tc>
        <w:tc>
          <w:tcPr>
            <w:tcW w:w="9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付款后累计支付比例(%)</w:t>
            </w:r>
          </w:p>
        </w:tc>
        <w:tc>
          <w:tcPr>
            <w:tcW w:w="816"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jc w:val="center"/>
              <w:rPr>
                <w:color w:val="auto"/>
                <w:sz w:val="18"/>
                <w:szCs w:val="18"/>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江苏省苏中建设集团股份有限公司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海盐恒大都汇华庭项目主体及配套建设工程进度款</w:t>
            </w:r>
          </w:p>
        </w:tc>
        <w:tc>
          <w:tcPr>
            <w:tcW w:w="1185" w:type="dxa"/>
            <w:vAlign w:val="center"/>
          </w:tcPr>
          <w:p>
            <w:pPr>
              <w:widowControl/>
              <w:jc w:val="righ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21,500.00</w:t>
            </w:r>
          </w:p>
        </w:tc>
        <w:tc>
          <w:tcPr>
            <w:tcW w:w="1928"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按月进度的80%</w:t>
            </w:r>
          </w:p>
        </w:tc>
        <w:tc>
          <w:tcPr>
            <w:tcW w:w="120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3,938.07</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2,311.98</w:t>
            </w:r>
          </w:p>
        </w:tc>
        <w:tc>
          <w:tcPr>
            <w:tcW w:w="940"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000000"/>
                <w:kern w:val="0"/>
                <w:sz w:val="18"/>
                <w:szCs w:val="18"/>
                <w:u w:val="none"/>
                <w:lang w:val="en-US" w:eastAsia="zh-CN" w:bidi="ar"/>
              </w:rPr>
              <w:t>11</w:t>
            </w:r>
            <w:r>
              <w:rPr>
                <w:rFonts w:hint="eastAsia" w:ascii="宋体" w:hAnsi="宋体" w:eastAsia="宋体" w:cs="宋体"/>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default"/>
                <w:color w:val="auto"/>
                <w:sz w:val="18"/>
                <w:szCs w:val="18"/>
                <w:lang w:val="en-US"/>
              </w:rPr>
            </w:pPr>
            <w:r>
              <w:rPr>
                <w:rFonts w:hint="eastAsia" w:ascii="宋体" w:hAnsi="宋体" w:cs="宋体"/>
                <w:i w:val="0"/>
                <w:color w:val="000000"/>
                <w:kern w:val="0"/>
                <w:sz w:val="18"/>
                <w:szCs w:val="18"/>
                <w:u w:val="none"/>
                <w:lang w:val="en-US" w:eastAsia="zh-CN" w:bidi="ar"/>
              </w:rPr>
              <w:t>2,428.17</w:t>
            </w:r>
          </w:p>
        </w:tc>
        <w:tc>
          <w:tcPr>
            <w:tcW w:w="934"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000000"/>
                <w:kern w:val="0"/>
                <w:sz w:val="18"/>
                <w:szCs w:val="18"/>
                <w:u w:val="none"/>
                <w:lang w:val="en-US" w:eastAsia="zh-CN" w:bidi="ar"/>
              </w:rPr>
              <w:t>22</w:t>
            </w:r>
            <w:r>
              <w:rPr>
                <w:rFonts w:hint="eastAsia" w:ascii="宋体" w:hAnsi="宋体" w:eastAsia="宋体" w:cs="宋体"/>
                <w:i w:val="0"/>
                <w:color w:val="000000"/>
                <w:kern w:val="0"/>
                <w:sz w:val="18"/>
                <w:szCs w:val="18"/>
                <w:u w:val="none"/>
                <w:lang w:val="en-US" w:eastAsia="zh-CN" w:bidi="ar"/>
              </w:rPr>
              <w:t>%</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color w:val="auto"/>
                <w:sz w:val="18"/>
                <w:szCs w:val="18"/>
              </w:rPr>
            </w:pPr>
            <w:r>
              <w:rPr>
                <w:rFonts w:hint="eastAsia"/>
                <w:color w:val="auto"/>
                <w:sz w:val="18"/>
                <w:szCs w:val="18"/>
                <w:lang w:val="en-US" w:eastAsia="zh-CN"/>
              </w:rPr>
              <w:t>深圳恒大材料设备有限公司</w:t>
            </w:r>
          </w:p>
        </w:tc>
        <w:tc>
          <w:tcPr>
            <w:tcW w:w="2182" w:type="dxa"/>
            <w:vAlign w:val="center"/>
          </w:tcPr>
          <w:p>
            <w:pPr>
              <w:widowControl/>
              <w:jc w:val="center"/>
              <w:textAlignment w:val="center"/>
              <w:rPr>
                <w:rFonts w:hint="default" w:eastAsia="宋体"/>
                <w:color w:val="auto"/>
                <w:sz w:val="18"/>
                <w:szCs w:val="18"/>
                <w:lang w:val="en-US" w:eastAsia="zh-CN"/>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甲方于每月20日前，将上月所领用乙方的所有材料物资款支付给乙方</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311.49</w:t>
            </w:r>
          </w:p>
        </w:tc>
        <w:tc>
          <w:tcPr>
            <w:tcW w:w="940" w:type="dxa"/>
            <w:vAlign w:val="center"/>
          </w:tcPr>
          <w:p>
            <w:pPr>
              <w:widowControl/>
              <w:jc w:val="right"/>
              <w:textAlignment w:val="center"/>
              <w:rPr>
                <w:rFonts w:hint="eastAsia" w:ascii="宋体" w:hAnsi="宋体" w:cs="宋体"/>
                <w:color w:val="auto"/>
                <w:kern w:val="0"/>
                <w:sz w:val="18"/>
                <w:szCs w:val="18"/>
                <w:lang w:val="en-US" w:eastAsia="zh-CN" w:bidi="ar"/>
              </w:rPr>
            </w:pPr>
          </w:p>
        </w:tc>
        <w:tc>
          <w:tcPr>
            <w:tcW w:w="1183"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40.00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广州恒大材料设备有限公司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jc w:val="center"/>
              <w:rPr>
                <w:color w:val="auto"/>
                <w:sz w:val="18"/>
                <w:szCs w:val="18"/>
              </w:rPr>
            </w:pPr>
            <w:r>
              <w:rPr>
                <w:rFonts w:hint="eastAsia"/>
                <w:color w:val="auto"/>
                <w:sz w:val="18"/>
                <w:szCs w:val="18"/>
              </w:rPr>
              <w:t>甲方于每月20日前，将上月所领用乙方的所有材料物资款支付给乙方</w:t>
            </w:r>
          </w:p>
        </w:tc>
        <w:tc>
          <w:tcPr>
            <w:tcW w:w="1200" w:type="dxa"/>
            <w:vAlign w:val="center"/>
          </w:tcPr>
          <w:p>
            <w:pPr>
              <w:jc w:val="right"/>
              <w:rPr>
                <w:rFonts w:hint="eastAsia" w:eastAsia="宋体"/>
                <w:color w:val="auto"/>
                <w:sz w:val="18"/>
                <w:szCs w:val="18"/>
                <w:lang w:val="en-US" w:eastAsia="zh-CN"/>
              </w:rPr>
            </w:pPr>
            <w:r>
              <w:rPr>
                <w:rFonts w:hint="eastAsia"/>
                <w:color w:val="auto"/>
                <w:sz w:val="18"/>
                <w:szCs w:val="18"/>
                <w:lang w:val="en-US" w:eastAsia="zh-CN"/>
              </w:rPr>
              <w:t>/</w:t>
            </w:r>
          </w:p>
        </w:tc>
        <w:tc>
          <w:tcPr>
            <w:tcW w:w="1020" w:type="dxa"/>
            <w:vAlign w:val="center"/>
          </w:tcPr>
          <w:p>
            <w:pPr>
              <w:jc w:val="right"/>
              <w:rPr>
                <w:rFonts w:hint="default" w:eastAsia="宋体"/>
                <w:color w:val="auto"/>
                <w:sz w:val="18"/>
                <w:szCs w:val="18"/>
                <w:lang w:val="en-US" w:eastAsia="zh-CN"/>
              </w:rPr>
            </w:pPr>
            <w:r>
              <w:rPr>
                <w:rFonts w:hint="eastAsia" w:ascii="宋体" w:hAnsi="宋体" w:eastAsia="宋体" w:cs="宋体"/>
                <w:color w:val="auto"/>
                <w:kern w:val="0"/>
                <w:sz w:val="18"/>
                <w:szCs w:val="18"/>
                <w:lang w:val="en-US" w:eastAsia="zh-CN" w:bidi="ar"/>
              </w:rPr>
              <w:t>0.</w:t>
            </w:r>
            <w:r>
              <w:rPr>
                <w:rFonts w:hint="eastAsia" w:ascii="宋体" w:hAnsi="宋体" w:cs="宋体"/>
                <w:color w:val="auto"/>
                <w:kern w:val="0"/>
                <w:sz w:val="18"/>
                <w:szCs w:val="18"/>
                <w:lang w:val="en-US" w:eastAsia="zh-CN" w:bidi="ar"/>
              </w:rPr>
              <w:t>14</w:t>
            </w: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eastAsia="宋体"/>
                <w:color w:val="auto"/>
                <w:sz w:val="18"/>
                <w:szCs w:val="18"/>
                <w:lang w:val="en-US" w:eastAsia="zh-CN"/>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eastAsia"/>
                <w:color w:val="auto"/>
                <w:sz w:val="18"/>
                <w:szCs w:val="18"/>
                <w:lang w:val="en-US" w:eastAsia="zh-CN"/>
              </w:rPr>
            </w:pPr>
            <w:r>
              <w:rPr>
                <w:rFonts w:hint="eastAsia"/>
                <w:color w:val="auto"/>
                <w:sz w:val="18"/>
                <w:szCs w:val="18"/>
                <w:lang w:val="en-US" w:eastAsia="zh-CN"/>
              </w:rPr>
              <w:t>恒大园林集团</w:t>
            </w:r>
          </w:p>
        </w:tc>
        <w:tc>
          <w:tcPr>
            <w:tcW w:w="2182" w:type="dxa"/>
            <w:vAlign w:val="center"/>
          </w:tcPr>
          <w:p>
            <w:pPr>
              <w:widowControl/>
              <w:jc w:val="center"/>
              <w:textAlignment w:val="center"/>
              <w:rPr>
                <w:rFonts w:hint="eastAsia" w:ascii="宋体" w:hAnsi="宋体" w:cs="宋体"/>
                <w:color w:val="auto"/>
                <w:kern w:val="0"/>
                <w:sz w:val="18"/>
                <w:szCs w:val="18"/>
                <w:lang w:bidi="ar"/>
              </w:rPr>
            </w:pPr>
          </w:p>
        </w:tc>
        <w:tc>
          <w:tcPr>
            <w:tcW w:w="1185" w:type="dxa"/>
            <w:vAlign w:val="center"/>
          </w:tcPr>
          <w:p>
            <w:pPr>
              <w:widowControl/>
              <w:jc w:val="right"/>
              <w:textAlignment w:val="center"/>
              <w:rPr>
                <w:rFonts w:hint="eastAsia" w:ascii="宋体" w:hAnsi="宋体" w:cs="宋体"/>
                <w:color w:val="auto"/>
                <w:kern w:val="0"/>
                <w:sz w:val="18"/>
                <w:szCs w:val="18"/>
                <w:lang w:val="en-US" w:eastAsia="zh-CN" w:bidi="ar"/>
              </w:rPr>
            </w:pPr>
          </w:p>
        </w:tc>
        <w:tc>
          <w:tcPr>
            <w:tcW w:w="1928" w:type="dxa"/>
            <w:vAlign w:val="center"/>
          </w:tcPr>
          <w:p>
            <w:pPr>
              <w:jc w:val="center"/>
              <w:rPr>
                <w:rFonts w:hint="eastAsia"/>
                <w:color w:val="auto"/>
                <w:sz w:val="18"/>
                <w:szCs w:val="18"/>
              </w:rPr>
            </w:pPr>
          </w:p>
        </w:tc>
        <w:tc>
          <w:tcPr>
            <w:tcW w:w="1200" w:type="dxa"/>
            <w:vAlign w:val="center"/>
          </w:tcPr>
          <w:p>
            <w:pPr>
              <w:jc w:val="right"/>
              <w:rPr>
                <w:rFonts w:hint="eastAsia"/>
                <w:color w:val="auto"/>
                <w:sz w:val="18"/>
                <w:szCs w:val="18"/>
                <w:lang w:val="en-US" w:eastAsia="zh-CN"/>
              </w:rPr>
            </w:pPr>
          </w:p>
        </w:tc>
        <w:tc>
          <w:tcPr>
            <w:tcW w:w="1020" w:type="dxa"/>
            <w:vAlign w:val="center"/>
          </w:tcPr>
          <w:p>
            <w:pPr>
              <w:jc w:val="right"/>
              <w:rPr>
                <w:rFonts w:hint="eastAsia" w:ascii="宋体" w:hAnsi="宋体" w:eastAsia="宋体" w:cs="宋体"/>
                <w:color w:val="auto"/>
                <w:kern w:val="0"/>
                <w:sz w:val="18"/>
                <w:szCs w:val="18"/>
                <w:lang w:val="en-US" w:eastAsia="zh-CN" w:bidi="ar"/>
              </w:rPr>
            </w:pP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浙江尚都建设有限公司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海盐恒大都汇华庭土方工程进度款</w:t>
            </w:r>
          </w:p>
        </w:tc>
        <w:tc>
          <w:tcPr>
            <w:tcW w:w="1185" w:type="dxa"/>
            <w:vAlign w:val="center"/>
          </w:tcPr>
          <w:p>
            <w:pPr>
              <w:widowControl/>
              <w:jc w:val="righ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1,060.70</w:t>
            </w:r>
          </w:p>
        </w:tc>
        <w:tc>
          <w:tcPr>
            <w:tcW w:w="1928" w:type="dxa"/>
            <w:vAlign w:val="center"/>
          </w:tcPr>
          <w:p>
            <w:pPr>
              <w:jc w:val="center"/>
              <w:rPr>
                <w:color w:val="auto"/>
                <w:sz w:val="18"/>
                <w:szCs w:val="18"/>
              </w:rPr>
            </w:pPr>
            <w:r>
              <w:rPr>
                <w:rFonts w:hint="eastAsia" w:ascii="宋体" w:hAnsi="宋体" w:cs="宋体"/>
                <w:color w:val="auto"/>
                <w:kern w:val="0"/>
                <w:sz w:val="18"/>
                <w:szCs w:val="18"/>
                <w:lang w:bidi="ar"/>
              </w:rPr>
              <w:t>进度款付月产值80%--竣工验收97%--质保期满100%</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524.59</w:t>
            </w:r>
          </w:p>
        </w:tc>
        <w:tc>
          <w:tcPr>
            <w:tcW w:w="102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206.76</w:t>
            </w:r>
          </w:p>
        </w:tc>
        <w:tc>
          <w:tcPr>
            <w:tcW w:w="940"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19%</w:t>
            </w:r>
          </w:p>
        </w:tc>
        <w:tc>
          <w:tcPr>
            <w:tcW w:w="1183"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156.57</w:t>
            </w:r>
          </w:p>
        </w:tc>
        <w:tc>
          <w:tcPr>
            <w:tcW w:w="934"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34%</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上海徐汇园林发展有限公司</w:t>
            </w:r>
          </w:p>
        </w:tc>
        <w:tc>
          <w:tcPr>
            <w:tcW w:w="2182"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海盐恒大都汇华庭展示区园建工程进度款</w:t>
            </w:r>
          </w:p>
        </w:tc>
        <w:tc>
          <w:tcPr>
            <w:tcW w:w="1185" w:type="dxa"/>
            <w:vAlign w:val="center"/>
          </w:tcPr>
          <w:p>
            <w:pPr>
              <w:widowControl/>
              <w:jc w:val="right"/>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570.08</w:t>
            </w:r>
          </w:p>
        </w:tc>
        <w:tc>
          <w:tcPr>
            <w:tcW w:w="1928"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进场7天内付10%--每月按产值70%报进度款--竣工验收合格付至97%--质保期2年后付清</w:t>
            </w:r>
          </w:p>
        </w:tc>
        <w:tc>
          <w:tcPr>
            <w:tcW w:w="1200"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108.12</w:t>
            </w:r>
          </w:p>
        </w:tc>
        <w:tc>
          <w:tcPr>
            <w:tcW w:w="1020"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i w:val="0"/>
                <w:color w:val="000000"/>
                <w:kern w:val="0"/>
                <w:sz w:val="18"/>
                <w:szCs w:val="18"/>
                <w:u w:val="none"/>
                <w:lang w:val="en-US" w:eastAsia="zh-CN" w:bidi="ar"/>
              </w:rPr>
              <w:t>108</w:t>
            </w:r>
            <w:r>
              <w:rPr>
                <w:rFonts w:hint="eastAsia" w:ascii="宋体" w:hAnsi="宋体" w:eastAsia="宋体" w:cs="宋体"/>
                <w:i w:val="0"/>
                <w:color w:val="000000"/>
                <w:kern w:val="0"/>
                <w:sz w:val="18"/>
                <w:szCs w:val="18"/>
                <w:u w:val="none"/>
                <w:lang w:val="en-US" w:eastAsia="zh-CN" w:bidi="ar"/>
              </w:rPr>
              <w:t>.00</w:t>
            </w:r>
          </w:p>
        </w:tc>
        <w:tc>
          <w:tcPr>
            <w:tcW w:w="940" w:type="dxa"/>
            <w:vAlign w:val="center"/>
          </w:tcPr>
          <w:p>
            <w:pPr>
              <w:keepNext w:val="0"/>
              <w:keepLines w:val="0"/>
              <w:widowControl/>
              <w:suppressLineNumbers w:val="0"/>
              <w:jc w:val="right"/>
              <w:textAlignment w:val="center"/>
              <w:rPr>
                <w:rFonts w:hint="eastAsia" w:ascii="宋体" w:hAnsi="宋体" w:eastAsia="宋体" w:cs="宋体"/>
                <w:color w:val="auto"/>
                <w:kern w:val="0"/>
                <w:sz w:val="18"/>
                <w:szCs w:val="18"/>
                <w:lang w:val="en-US" w:eastAsia="zh-CN" w:bidi="ar"/>
              </w:rPr>
            </w:pPr>
            <w:r>
              <w:rPr>
                <w:rFonts w:hint="eastAsia" w:ascii="宋体" w:hAnsi="宋体" w:cs="宋体"/>
                <w:i w:val="0"/>
                <w:color w:val="000000"/>
                <w:kern w:val="0"/>
                <w:sz w:val="18"/>
                <w:szCs w:val="18"/>
                <w:u w:val="none"/>
                <w:lang w:val="en-US" w:eastAsia="zh-CN" w:bidi="ar"/>
              </w:rPr>
              <w:t>19</w:t>
            </w:r>
            <w:r>
              <w:rPr>
                <w:rFonts w:hint="eastAsia" w:ascii="宋体" w:hAnsi="宋体" w:eastAsia="宋体" w:cs="宋体"/>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i w:val="0"/>
                <w:color w:val="000000"/>
                <w:kern w:val="0"/>
                <w:sz w:val="18"/>
                <w:szCs w:val="18"/>
                <w:u w:val="none"/>
                <w:lang w:val="en-US" w:eastAsia="zh-CN" w:bidi="ar"/>
              </w:rPr>
              <w:t>24</w:t>
            </w:r>
            <w:r>
              <w:rPr>
                <w:rFonts w:hint="eastAsia" w:ascii="宋体" w:hAnsi="宋体" w:eastAsia="宋体" w:cs="宋体"/>
                <w:i w:val="0"/>
                <w:color w:val="000000"/>
                <w:kern w:val="0"/>
                <w:sz w:val="18"/>
                <w:szCs w:val="18"/>
                <w:u w:val="none"/>
                <w:lang w:val="en-US" w:eastAsia="zh-CN" w:bidi="ar"/>
              </w:rPr>
              <w:t>.68</w:t>
            </w:r>
          </w:p>
        </w:tc>
        <w:tc>
          <w:tcPr>
            <w:tcW w:w="934" w:type="dxa"/>
            <w:vAlign w:val="center"/>
          </w:tcPr>
          <w:p>
            <w:pPr>
              <w:keepNext w:val="0"/>
              <w:keepLines w:val="0"/>
              <w:widowControl/>
              <w:suppressLineNumbers w:val="0"/>
              <w:jc w:val="righ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816" w:type="dxa"/>
            <w:vAlign w:val="center"/>
          </w:tcPr>
          <w:p>
            <w:pPr>
              <w:jc w:val="cente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嘉兴巨匠防护设备有限公司</w:t>
            </w:r>
          </w:p>
        </w:tc>
        <w:tc>
          <w:tcPr>
            <w:tcW w:w="2182"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海盐恒大都汇华庭人防门供货及安装工程</w:t>
            </w:r>
            <w:r>
              <w:rPr>
                <w:rStyle w:val="20"/>
                <w:lang w:val="en-US" w:eastAsia="zh-CN" w:bidi="ar"/>
              </w:rPr>
              <w:t>款</w:t>
            </w:r>
          </w:p>
        </w:tc>
        <w:tc>
          <w:tcPr>
            <w:tcW w:w="1185" w:type="dxa"/>
            <w:vAlign w:val="center"/>
          </w:tcPr>
          <w:p>
            <w:pPr>
              <w:keepNext w:val="0"/>
              <w:keepLines w:val="0"/>
              <w:widowControl/>
              <w:suppressLineNumbers w:val="0"/>
              <w:jc w:val="right"/>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72.03</w:t>
            </w:r>
          </w:p>
        </w:tc>
        <w:tc>
          <w:tcPr>
            <w:tcW w:w="1928"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门框安装完毕后十日内甲方支付乙方至合同暂定总价的60%</w:t>
            </w: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19.44</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w:t>
            </w: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18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工程用水电</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15.00</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14" w:type="dxa"/>
            <w:gridSpan w:val="5"/>
            <w:vAlign w:val="center"/>
          </w:tcPr>
          <w:p>
            <w:pPr>
              <w:jc w:val="center"/>
              <w:rPr>
                <w:rFonts w:ascii="宋体" w:hAnsi="宋体" w:cs="宋体"/>
                <w:b/>
                <w:bCs/>
                <w:color w:val="auto"/>
                <w:kern w:val="0"/>
                <w:sz w:val="18"/>
                <w:szCs w:val="18"/>
                <w:lang w:bidi="ar"/>
              </w:rPr>
            </w:pPr>
            <w:r>
              <w:rPr>
                <w:rFonts w:hint="eastAsia" w:ascii="宋体" w:hAnsi="宋体" w:cs="宋体"/>
                <w:b/>
                <w:bCs/>
                <w:color w:val="auto"/>
                <w:kern w:val="0"/>
                <w:sz w:val="18"/>
                <w:szCs w:val="18"/>
                <w:lang w:bidi="ar"/>
              </w:rPr>
              <w:t>合计</w:t>
            </w:r>
          </w:p>
        </w:tc>
        <w:tc>
          <w:tcPr>
            <w:tcW w:w="1200" w:type="dxa"/>
            <w:vAlign w:val="center"/>
          </w:tcPr>
          <w:p>
            <w:pPr>
              <w:keepNext w:val="0"/>
              <w:keepLines w:val="0"/>
              <w:widowControl/>
              <w:suppressLineNumbers w:val="0"/>
              <w:jc w:val="right"/>
              <w:textAlignment w:val="center"/>
              <w:rPr>
                <w:rFonts w:hint="eastAsia" w:ascii="宋体" w:hAnsi="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 xml:space="preserve">4,570.78 </w:t>
            </w:r>
          </w:p>
        </w:tc>
        <w:tc>
          <w:tcPr>
            <w:tcW w:w="1020" w:type="dxa"/>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 xml:space="preserve">2,938.37 </w:t>
            </w:r>
          </w:p>
        </w:tc>
        <w:tc>
          <w:tcPr>
            <w:tcW w:w="940" w:type="dxa"/>
            <w:vAlign w:val="center"/>
          </w:tcPr>
          <w:p>
            <w:pPr>
              <w:keepNext w:val="0"/>
              <w:keepLines w:val="0"/>
              <w:widowControl/>
              <w:suppressLineNumbers w:val="0"/>
              <w:jc w:val="right"/>
              <w:textAlignment w:val="center"/>
              <w:rPr>
                <w:rFonts w:hint="default"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1</w:t>
            </w:r>
            <w:r>
              <w:rPr>
                <w:rFonts w:hint="eastAsia" w:ascii="宋体" w:hAnsi="宋体" w:cs="宋体"/>
                <w:b/>
                <w:bCs/>
                <w:i w:val="0"/>
                <w:color w:val="000000"/>
                <w:kern w:val="0"/>
                <w:sz w:val="18"/>
                <w:szCs w:val="18"/>
                <w:u w:val="none"/>
                <w:lang w:val="en-US" w:eastAsia="zh-CN" w:bidi="ar"/>
              </w:rPr>
              <w:t>3</w:t>
            </w:r>
            <w:r>
              <w:rPr>
                <w:rFonts w:hint="eastAsia" w:ascii="宋体" w:hAnsi="宋体" w:eastAsia="宋体" w:cs="宋体"/>
                <w:b/>
                <w:bCs/>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b/>
                <w:bCs/>
                <w:i w:val="0"/>
                <w:color w:val="000000"/>
                <w:kern w:val="0"/>
                <w:sz w:val="18"/>
                <w:szCs w:val="18"/>
                <w:u w:val="none"/>
                <w:lang w:val="en-US" w:eastAsia="zh-CN" w:bidi="ar"/>
              </w:rPr>
              <w:t>2,7</w:t>
            </w:r>
            <w:r>
              <w:rPr>
                <w:rFonts w:hint="eastAsia" w:ascii="宋体" w:hAnsi="宋体" w:cs="宋体"/>
                <w:b/>
                <w:bCs/>
                <w:i w:val="0"/>
                <w:color w:val="000000"/>
                <w:kern w:val="0"/>
                <w:sz w:val="18"/>
                <w:szCs w:val="18"/>
                <w:u w:val="none"/>
                <w:lang w:val="en-US" w:eastAsia="zh-CN" w:bidi="ar"/>
              </w:rPr>
              <w:t>33</w:t>
            </w:r>
            <w:r>
              <w:rPr>
                <w:rFonts w:hint="eastAsia" w:ascii="宋体" w:hAnsi="宋体" w:eastAsia="宋体" w:cs="宋体"/>
                <w:b/>
                <w:bCs/>
                <w:i w:val="0"/>
                <w:color w:val="000000"/>
                <w:kern w:val="0"/>
                <w:sz w:val="18"/>
                <w:szCs w:val="18"/>
                <w:u w:val="none"/>
                <w:lang w:val="en-US" w:eastAsia="zh-CN" w:bidi="ar"/>
              </w:rPr>
              <w:t xml:space="preserve">.86 </w:t>
            </w:r>
          </w:p>
        </w:tc>
        <w:tc>
          <w:tcPr>
            <w:tcW w:w="934" w:type="dxa"/>
            <w:vAlign w:val="center"/>
          </w:tcPr>
          <w:p>
            <w:pPr>
              <w:keepNext w:val="0"/>
              <w:keepLines w:val="0"/>
              <w:widowControl/>
              <w:suppressLineNumbers w:val="0"/>
              <w:jc w:val="right"/>
              <w:textAlignment w:val="center"/>
              <w:rPr>
                <w:rFonts w:hint="default" w:ascii="宋体" w:hAnsi="宋体" w:eastAsia="宋体" w:cs="宋体"/>
                <w:b/>
                <w:bCs/>
                <w:color w:val="auto"/>
                <w:kern w:val="0"/>
                <w:sz w:val="18"/>
                <w:szCs w:val="18"/>
                <w:lang w:val="en-US" w:eastAsia="zh-CN" w:bidi="ar"/>
              </w:rPr>
            </w:pPr>
            <w:r>
              <w:rPr>
                <w:rFonts w:hint="eastAsia" w:ascii="宋体" w:hAnsi="宋体" w:cs="宋体"/>
                <w:b/>
                <w:bCs/>
                <w:i w:val="0"/>
                <w:color w:val="000000"/>
                <w:kern w:val="0"/>
                <w:sz w:val="18"/>
                <w:szCs w:val="18"/>
                <w:u w:val="none"/>
                <w:lang w:val="en-US" w:eastAsia="zh-CN" w:bidi="ar"/>
              </w:rPr>
              <w:t>12</w:t>
            </w:r>
            <w:r>
              <w:rPr>
                <w:rFonts w:hint="eastAsia" w:ascii="宋体" w:hAnsi="宋体" w:eastAsia="宋体" w:cs="宋体"/>
                <w:b/>
                <w:bCs/>
                <w:i w:val="0"/>
                <w:color w:val="000000"/>
                <w:kern w:val="0"/>
                <w:sz w:val="18"/>
                <w:szCs w:val="18"/>
                <w:u w:val="none"/>
                <w:lang w:val="en-US" w:eastAsia="zh-CN" w:bidi="ar"/>
              </w:rPr>
              <w:t>%</w:t>
            </w:r>
          </w:p>
        </w:tc>
        <w:tc>
          <w:tcPr>
            <w:tcW w:w="816" w:type="dxa"/>
            <w:vAlign w:val="center"/>
          </w:tcPr>
          <w:p>
            <w:pPr>
              <w:jc w:val="center"/>
              <w:rPr>
                <w:b/>
                <w:bCs/>
                <w:color w:val="auto"/>
                <w:sz w:val="18"/>
                <w:szCs w:val="18"/>
              </w:rPr>
            </w:pPr>
          </w:p>
        </w:tc>
      </w:tr>
    </w:tbl>
    <w:p>
      <w:pPr>
        <w:spacing w:before="160" w:beforeLines="50" w:line="360" w:lineRule="auto"/>
        <w:rPr>
          <w:rFonts w:ascii="宋体" w:hAnsi="宋体"/>
          <w:b/>
          <w:bCs/>
          <w:color w:val="000000"/>
          <w:sz w:val="24"/>
          <w:lang w:bidi="zh-CN"/>
        </w:rPr>
      </w:pPr>
    </w:p>
    <w:p>
      <w:pPr>
        <w:spacing w:before="160" w:beforeLines="50" w:line="360" w:lineRule="auto"/>
        <w:ind w:left="420" w:leftChars="200" w:firstLine="480" w:firstLineChars="200"/>
        <w:rPr>
          <w:rFonts w:ascii="宋体" w:hAnsi="宋体"/>
          <w:color w:val="000000"/>
          <w:sz w:val="24"/>
          <w:lang w:bidi="zh-CN"/>
        </w:rPr>
      </w:pPr>
    </w:p>
    <w:p/>
    <w:p/>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832F58"/>
    <w:rsid w:val="00941F33"/>
    <w:rsid w:val="0096261F"/>
    <w:rsid w:val="00AE2987"/>
    <w:rsid w:val="00BA0515"/>
    <w:rsid w:val="00C54F78"/>
    <w:rsid w:val="00CD1AC5"/>
    <w:rsid w:val="01163A68"/>
    <w:rsid w:val="012E62A8"/>
    <w:rsid w:val="016C1FEB"/>
    <w:rsid w:val="01945F7E"/>
    <w:rsid w:val="02BB3A0D"/>
    <w:rsid w:val="02C03493"/>
    <w:rsid w:val="04143CD3"/>
    <w:rsid w:val="0426169C"/>
    <w:rsid w:val="04793CD9"/>
    <w:rsid w:val="04982717"/>
    <w:rsid w:val="05192168"/>
    <w:rsid w:val="052C3419"/>
    <w:rsid w:val="05825AF4"/>
    <w:rsid w:val="05C6164A"/>
    <w:rsid w:val="060324FF"/>
    <w:rsid w:val="063D1761"/>
    <w:rsid w:val="073C36EB"/>
    <w:rsid w:val="07437089"/>
    <w:rsid w:val="07B33843"/>
    <w:rsid w:val="07BB5526"/>
    <w:rsid w:val="07E03F89"/>
    <w:rsid w:val="08090DD1"/>
    <w:rsid w:val="080E118F"/>
    <w:rsid w:val="0813699A"/>
    <w:rsid w:val="08A1767F"/>
    <w:rsid w:val="08EE1EC1"/>
    <w:rsid w:val="09D532CF"/>
    <w:rsid w:val="09D73592"/>
    <w:rsid w:val="0A62663F"/>
    <w:rsid w:val="0B221C1C"/>
    <w:rsid w:val="0BF57AE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B13D06"/>
    <w:rsid w:val="112F3416"/>
    <w:rsid w:val="114C5971"/>
    <w:rsid w:val="115D7E53"/>
    <w:rsid w:val="115F65B3"/>
    <w:rsid w:val="118F615A"/>
    <w:rsid w:val="11960DBA"/>
    <w:rsid w:val="11C4795C"/>
    <w:rsid w:val="11D367FA"/>
    <w:rsid w:val="12076B34"/>
    <w:rsid w:val="120968B1"/>
    <w:rsid w:val="1360764C"/>
    <w:rsid w:val="136E61C0"/>
    <w:rsid w:val="14182DF5"/>
    <w:rsid w:val="14974BD9"/>
    <w:rsid w:val="14F66EEA"/>
    <w:rsid w:val="15614126"/>
    <w:rsid w:val="157C74F2"/>
    <w:rsid w:val="161D13A8"/>
    <w:rsid w:val="164C73CF"/>
    <w:rsid w:val="16616814"/>
    <w:rsid w:val="16623118"/>
    <w:rsid w:val="177F06B4"/>
    <w:rsid w:val="178873E1"/>
    <w:rsid w:val="17C81BDF"/>
    <w:rsid w:val="1828439F"/>
    <w:rsid w:val="18A616A2"/>
    <w:rsid w:val="18CB1101"/>
    <w:rsid w:val="18DB706C"/>
    <w:rsid w:val="18DD5BF6"/>
    <w:rsid w:val="1A8B5D6E"/>
    <w:rsid w:val="1ABC5E28"/>
    <w:rsid w:val="1AF42078"/>
    <w:rsid w:val="1B0D7BC6"/>
    <w:rsid w:val="1B10755C"/>
    <w:rsid w:val="1B880285"/>
    <w:rsid w:val="1B891E56"/>
    <w:rsid w:val="1BB46048"/>
    <w:rsid w:val="1BB52C68"/>
    <w:rsid w:val="1C17389B"/>
    <w:rsid w:val="1C326BC8"/>
    <w:rsid w:val="1C407F46"/>
    <w:rsid w:val="1C486267"/>
    <w:rsid w:val="1C4A17AC"/>
    <w:rsid w:val="1CA0086B"/>
    <w:rsid w:val="1CBB4B6F"/>
    <w:rsid w:val="1CF37E49"/>
    <w:rsid w:val="1D6F2C99"/>
    <w:rsid w:val="1E153492"/>
    <w:rsid w:val="1E245472"/>
    <w:rsid w:val="1EDB1FC0"/>
    <w:rsid w:val="1EF517A9"/>
    <w:rsid w:val="1F054931"/>
    <w:rsid w:val="1F1F1C8A"/>
    <w:rsid w:val="1F203415"/>
    <w:rsid w:val="20263578"/>
    <w:rsid w:val="20441E4E"/>
    <w:rsid w:val="20530D16"/>
    <w:rsid w:val="20613C70"/>
    <w:rsid w:val="209E4029"/>
    <w:rsid w:val="20B53007"/>
    <w:rsid w:val="20E23D80"/>
    <w:rsid w:val="212127AC"/>
    <w:rsid w:val="21885471"/>
    <w:rsid w:val="21B273F8"/>
    <w:rsid w:val="21F07492"/>
    <w:rsid w:val="22082310"/>
    <w:rsid w:val="227B234B"/>
    <w:rsid w:val="23861822"/>
    <w:rsid w:val="243775D1"/>
    <w:rsid w:val="25590CC6"/>
    <w:rsid w:val="26E3788F"/>
    <w:rsid w:val="27B60B08"/>
    <w:rsid w:val="281A5806"/>
    <w:rsid w:val="28480EB0"/>
    <w:rsid w:val="284E68E3"/>
    <w:rsid w:val="28640873"/>
    <w:rsid w:val="28E87E2A"/>
    <w:rsid w:val="29C402B8"/>
    <w:rsid w:val="29D52A29"/>
    <w:rsid w:val="29DA64DC"/>
    <w:rsid w:val="2A54266C"/>
    <w:rsid w:val="2A74116F"/>
    <w:rsid w:val="2A9918BD"/>
    <w:rsid w:val="2AD9736D"/>
    <w:rsid w:val="2B7A32EB"/>
    <w:rsid w:val="2BEA0ECF"/>
    <w:rsid w:val="2BFB4837"/>
    <w:rsid w:val="2C476DD5"/>
    <w:rsid w:val="2C807CCD"/>
    <w:rsid w:val="2D1A7413"/>
    <w:rsid w:val="2D1E3A31"/>
    <w:rsid w:val="2D21471A"/>
    <w:rsid w:val="2D387553"/>
    <w:rsid w:val="2D6F3360"/>
    <w:rsid w:val="2D81517D"/>
    <w:rsid w:val="2DDC0A76"/>
    <w:rsid w:val="2DE728DD"/>
    <w:rsid w:val="2E571F41"/>
    <w:rsid w:val="2E790945"/>
    <w:rsid w:val="2E940617"/>
    <w:rsid w:val="2EBD178D"/>
    <w:rsid w:val="2F0040C5"/>
    <w:rsid w:val="2F220792"/>
    <w:rsid w:val="2F403413"/>
    <w:rsid w:val="2F582AD5"/>
    <w:rsid w:val="2FAC40F3"/>
    <w:rsid w:val="2FD30D25"/>
    <w:rsid w:val="303463A1"/>
    <w:rsid w:val="304D153D"/>
    <w:rsid w:val="306A70A1"/>
    <w:rsid w:val="306C41C0"/>
    <w:rsid w:val="30C3422A"/>
    <w:rsid w:val="311B0F59"/>
    <w:rsid w:val="312D01C3"/>
    <w:rsid w:val="31BB4517"/>
    <w:rsid w:val="322311E0"/>
    <w:rsid w:val="327A155A"/>
    <w:rsid w:val="32C62F35"/>
    <w:rsid w:val="33451765"/>
    <w:rsid w:val="33980BDF"/>
    <w:rsid w:val="339E5258"/>
    <w:rsid w:val="33EA2F53"/>
    <w:rsid w:val="33F75332"/>
    <w:rsid w:val="34147C21"/>
    <w:rsid w:val="34F05F6C"/>
    <w:rsid w:val="34F3216E"/>
    <w:rsid w:val="354E5505"/>
    <w:rsid w:val="35826B17"/>
    <w:rsid w:val="366720DC"/>
    <w:rsid w:val="36BF7984"/>
    <w:rsid w:val="382868C3"/>
    <w:rsid w:val="38446A30"/>
    <w:rsid w:val="384B622B"/>
    <w:rsid w:val="38547711"/>
    <w:rsid w:val="38993115"/>
    <w:rsid w:val="38D7138E"/>
    <w:rsid w:val="392B7FAD"/>
    <w:rsid w:val="39665CBC"/>
    <w:rsid w:val="39F6178A"/>
    <w:rsid w:val="3A3B3B7E"/>
    <w:rsid w:val="3A886F15"/>
    <w:rsid w:val="3BEE2B81"/>
    <w:rsid w:val="3C637C4A"/>
    <w:rsid w:val="3CA92709"/>
    <w:rsid w:val="3CB453D8"/>
    <w:rsid w:val="3CCE2AA4"/>
    <w:rsid w:val="3D5A682E"/>
    <w:rsid w:val="3D8F7151"/>
    <w:rsid w:val="3D9E70F1"/>
    <w:rsid w:val="3E4C1445"/>
    <w:rsid w:val="3ED330A1"/>
    <w:rsid w:val="3F1C0F37"/>
    <w:rsid w:val="3F1C1468"/>
    <w:rsid w:val="407961B2"/>
    <w:rsid w:val="40C41A7D"/>
    <w:rsid w:val="40F52FEA"/>
    <w:rsid w:val="41196A5D"/>
    <w:rsid w:val="419B0366"/>
    <w:rsid w:val="41A20F3E"/>
    <w:rsid w:val="41D1723F"/>
    <w:rsid w:val="41D6199A"/>
    <w:rsid w:val="422A4AF3"/>
    <w:rsid w:val="42784D90"/>
    <w:rsid w:val="428665CC"/>
    <w:rsid w:val="437C7673"/>
    <w:rsid w:val="43904493"/>
    <w:rsid w:val="43F30D3B"/>
    <w:rsid w:val="4411131C"/>
    <w:rsid w:val="462547D7"/>
    <w:rsid w:val="46375241"/>
    <w:rsid w:val="466923B3"/>
    <w:rsid w:val="46B742FC"/>
    <w:rsid w:val="46EC2819"/>
    <w:rsid w:val="486F33CC"/>
    <w:rsid w:val="49077435"/>
    <w:rsid w:val="49C85499"/>
    <w:rsid w:val="4A5E7F43"/>
    <w:rsid w:val="4A620B9C"/>
    <w:rsid w:val="4B1027F6"/>
    <w:rsid w:val="4B6F306B"/>
    <w:rsid w:val="4B913B08"/>
    <w:rsid w:val="4C582E31"/>
    <w:rsid w:val="4C7934AA"/>
    <w:rsid w:val="4CBF1F60"/>
    <w:rsid w:val="4D6D48AF"/>
    <w:rsid w:val="4E1F51BB"/>
    <w:rsid w:val="4E3E2F42"/>
    <w:rsid w:val="4E4E5BE8"/>
    <w:rsid w:val="4E907951"/>
    <w:rsid w:val="4F232F75"/>
    <w:rsid w:val="4FFD3B3E"/>
    <w:rsid w:val="50597B4D"/>
    <w:rsid w:val="50617A71"/>
    <w:rsid w:val="519F1DBC"/>
    <w:rsid w:val="51A7082B"/>
    <w:rsid w:val="51CF319D"/>
    <w:rsid w:val="521627BF"/>
    <w:rsid w:val="539A5C50"/>
    <w:rsid w:val="5404373C"/>
    <w:rsid w:val="545C1228"/>
    <w:rsid w:val="54BD1A39"/>
    <w:rsid w:val="550C465E"/>
    <w:rsid w:val="55E06EB3"/>
    <w:rsid w:val="566C1DE9"/>
    <w:rsid w:val="569241E4"/>
    <w:rsid w:val="56D05B99"/>
    <w:rsid w:val="57314B69"/>
    <w:rsid w:val="574243D0"/>
    <w:rsid w:val="574C2C28"/>
    <w:rsid w:val="5862367F"/>
    <w:rsid w:val="589E609E"/>
    <w:rsid w:val="58B45E1D"/>
    <w:rsid w:val="598B7CE2"/>
    <w:rsid w:val="59DE52E9"/>
    <w:rsid w:val="59E242C3"/>
    <w:rsid w:val="5A222253"/>
    <w:rsid w:val="5A882028"/>
    <w:rsid w:val="5AE4208F"/>
    <w:rsid w:val="5B28509C"/>
    <w:rsid w:val="5BEA49A8"/>
    <w:rsid w:val="5C4641C7"/>
    <w:rsid w:val="5C98681A"/>
    <w:rsid w:val="5CFA5AD1"/>
    <w:rsid w:val="5D9745B4"/>
    <w:rsid w:val="5DA14F29"/>
    <w:rsid w:val="5DAF5772"/>
    <w:rsid w:val="5EC23788"/>
    <w:rsid w:val="5EFC0D42"/>
    <w:rsid w:val="5F6B30E4"/>
    <w:rsid w:val="5F9C6582"/>
    <w:rsid w:val="600B1D62"/>
    <w:rsid w:val="60140B5D"/>
    <w:rsid w:val="602757D8"/>
    <w:rsid w:val="605665CB"/>
    <w:rsid w:val="60E45E98"/>
    <w:rsid w:val="612705DF"/>
    <w:rsid w:val="616C3692"/>
    <w:rsid w:val="62705BD4"/>
    <w:rsid w:val="62737BC1"/>
    <w:rsid w:val="63144E40"/>
    <w:rsid w:val="6340157E"/>
    <w:rsid w:val="634F23CD"/>
    <w:rsid w:val="63D41790"/>
    <w:rsid w:val="63E6307C"/>
    <w:rsid w:val="640C0059"/>
    <w:rsid w:val="652916C1"/>
    <w:rsid w:val="654C23AD"/>
    <w:rsid w:val="65DD489E"/>
    <w:rsid w:val="65E91381"/>
    <w:rsid w:val="661B4AFF"/>
    <w:rsid w:val="662F355B"/>
    <w:rsid w:val="66631303"/>
    <w:rsid w:val="66EC598E"/>
    <w:rsid w:val="67964DE3"/>
    <w:rsid w:val="67C33A99"/>
    <w:rsid w:val="67E06EB8"/>
    <w:rsid w:val="68282526"/>
    <w:rsid w:val="686C4AB9"/>
    <w:rsid w:val="68942509"/>
    <w:rsid w:val="694407AC"/>
    <w:rsid w:val="694532CE"/>
    <w:rsid w:val="69485802"/>
    <w:rsid w:val="69C016D5"/>
    <w:rsid w:val="69C061DC"/>
    <w:rsid w:val="6A0F6480"/>
    <w:rsid w:val="6A610905"/>
    <w:rsid w:val="6A7F4972"/>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1228D1"/>
    <w:rsid w:val="704F2583"/>
    <w:rsid w:val="70A94824"/>
    <w:rsid w:val="70BB53BE"/>
    <w:rsid w:val="70FB6712"/>
    <w:rsid w:val="71181A94"/>
    <w:rsid w:val="72342875"/>
    <w:rsid w:val="724F71D6"/>
    <w:rsid w:val="72AF0C18"/>
    <w:rsid w:val="72EB203A"/>
    <w:rsid w:val="73D50563"/>
    <w:rsid w:val="73F773CD"/>
    <w:rsid w:val="7414318F"/>
    <w:rsid w:val="742D7562"/>
    <w:rsid w:val="7586575E"/>
    <w:rsid w:val="761B4740"/>
    <w:rsid w:val="762C1DE4"/>
    <w:rsid w:val="76C604BF"/>
    <w:rsid w:val="770A1D34"/>
    <w:rsid w:val="78270C46"/>
    <w:rsid w:val="782A4291"/>
    <w:rsid w:val="78BE45B0"/>
    <w:rsid w:val="78C119E7"/>
    <w:rsid w:val="79133741"/>
    <w:rsid w:val="7A396FD1"/>
    <w:rsid w:val="7ADF41E9"/>
    <w:rsid w:val="7B586819"/>
    <w:rsid w:val="7C081C35"/>
    <w:rsid w:val="7C510C71"/>
    <w:rsid w:val="7CBD524E"/>
    <w:rsid w:val="7CD16FBB"/>
    <w:rsid w:val="7D180F56"/>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1384</Words>
  <Characters>7889</Characters>
  <Lines>65</Lines>
  <Paragraphs>18</Paragraphs>
  <TotalTime>5</TotalTime>
  <ScaleCrop>false</ScaleCrop>
  <LinksUpToDate>false</LinksUpToDate>
  <CharactersWithSpaces>9255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三十四度北</cp:lastModifiedBy>
  <dcterms:modified xsi:type="dcterms:W3CDTF">2021-02-03T06:31:41Z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