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关于海盐恒大都汇华庭项目</w:t>
      </w:r>
      <w:r>
        <w:rPr>
          <w:rFonts w:ascii="Arial" w:hAnsi="Arial" w:cs="Arial"/>
          <w:b/>
          <w:bCs/>
          <w:sz w:val="36"/>
          <w:szCs w:val="36"/>
        </w:rPr>
        <w:t>202</w:t>
      </w:r>
      <w:r>
        <w:rPr>
          <w:rFonts w:hint="eastAsia" w:ascii="Arial" w:hAnsi="Arial" w:cs="Arial"/>
          <w:b/>
          <w:bCs/>
          <w:sz w:val="36"/>
          <w:szCs w:val="36"/>
        </w:rPr>
        <w:t>1</w:t>
      </w:r>
      <w:r>
        <w:rPr>
          <w:rFonts w:hint="eastAsia" w:ascii="宋体" w:hAnsi="宋体" w:cs="宋体"/>
          <w:b/>
          <w:bCs/>
          <w:sz w:val="36"/>
          <w:szCs w:val="36"/>
        </w:rPr>
        <w:t>年</w:t>
      </w:r>
      <w:r>
        <w:rPr>
          <w:rFonts w:hint="eastAsia" w:ascii="Arial" w:hAnsi="Arial" w:cs="Arial"/>
          <w:b/>
          <w:bCs/>
          <w:sz w:val="36"/>
          <w:szCs w:val="36"/>
          <w:lang w:val="en-US" w:eastAsia="zh-CN"/>
        </w:rPr>
        <w:t>7</w:t>
      </w:r>
      <w:r>
        <w:rPr>
          <w:rFonts w:hint="eastAsia" w:ascii="宋体" w:hAnsi="宋体" w:cs="宋体"/>
          <w:b/>
          <w:bCs/>
          <w:sz w:val="36"/>
          <w:szCs w:val="36"/>
        </w:rPr>
        <w:t>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海盐丰涛置业有限公司（以下简称项目公司）于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lang w:val="en-US" w:eastAsia="zh-CN"/>
        </w:rPr>
        <w:t>7</w:t>
      </w:r>
      <w:r>
        <w:rPr>
          <w:rFonts w:ascii="宋体" w:hAnsi="宋体"/>
          <w:sz w:val="24"/>
          <w:szCs w:val="24"/>
        </w:rPr>
        <w:t>月</w:t>
      </w:r>
      <w:r>
        <w:rPr>
          <w:rFonts w:hint="eastAsia" w:ascii="宋体" w:hAnsi="宋体"/>
          <w:sz w:val="24"/>
          <w:szCs w:val="24"/>
          <w:lang w:val="en-US" w:eastAsia="zh-CN"/>
        </w:rPr>
        <w:t>6</w:t>
      </w:r>
      <w:r>
        <w:rPr>
          <w:rFonts w:ascii="宋体" w:hAnsi="宋体"/>
          <w:sz w:val="24"/>
          <w:szCs w:val="24"/>
        </w:rPr>
        <w:t>日</w:t>
      </w:r>
      <w:r>
        <w:rPr>
          <w:rFonts w:hint="eastAsia" w:ascii="宋体" w:hAnsi="宋体"/>
          <w:sz w:val="24"/>
          <w:szCs w:val="24"/>
        </w:rPr>
        <w:t>提交了《海盐恒大都汇华庭2021年</w:t>
      </w:r>
      <w:r>
        <w:rPr>
          <w:rFonts w:hint="eastAsia" w:ascii="宋体" w:hAnsi="宋体"/>
          <w:sz w:val="24"/>
          <w:szCs w:val="24"/>
          <w:lang w:val="en-US" w:eastAsia="zh-CN"/>
        </w:rPr>
        <w:t>7</w:t>
      </w:r>
      <w:r>
        <w:rPr>
          <w:rFonts w:hint="eastAsia" w:ascii="宋体" w:hAnsi="宋体"/>
          <w:sz w:val="24"/>
          <w:szCs w:val="24"/>
        </w:rPr>
        <w:t>月支付计划》</w:t>
      </w:r>
      <w:r>
        <w:rPr>
          <w:rFonts w:hint="eastAsia" w:ascii="Arial" w:hAnsi="Arial" w:cs="Arial" w:eastAsiaTheme="minorEastAsia"/>
          <w:sz w:val="24"/>
          <w:szCs w:val="24"/>
        </w:rPr>
        <w:t>，</w:t>
      </w:r>
      <w:r>
        <w:rPr>
          <w:rFonts w:hint="eastAsia" w:ascii="宋体" w:hAnsi="宋体"/>
          <w:sz w:val="24"/>
          <w:szCs w:val="24"/>
        </w:rPr>
        <w:t>我司对项目公司申报的资金计划进行了审核，审核结果如下：</w:t>
      </w:r>
    </w:p>
    <w:p>
      <w:pPr>
        <w:numPr>
          <w:ilvl w:val="0"/>
          <w:numId w:val="1"/>
        </w:numPr>
        <w:spacing w:before="156" w:beforeLines="50" w:after="156" w:afterLines="50" w:line="360" w:lineRule="auto"/>
        <w:ind w:firstLine="120" w:firstLineChars="50"/>
        <w:rPr>
          <w:rFonts w:ascii="宋体" w:hAnsi="宋体"/>
          <w:b/>
          <w:sz w:val="24"/>
          <w:szCs w:val="24"/>
        </w:rPr>
      </w:pPr>
      <w:r>
        <w:rPr>
          <w:rFonts w:hint="eastAsia" w:ascii="宋体" w:hAnsi="宋体"/>
          <w:b/>
          <w:sz w:val="24"/>
          <w:szCs w:val="24"/>
        </w:rPr>
        <w:t>海盐恒大都汇华庭项目2021年</w:t>
      </w:r>
      <w:r>
        <w:rPr>
          <w:rFonts w:hint="eastAsia" w:ascii="宋体" w:hAnsi="宋体"/>
          <w:b/>
          <w:sz w:val="24"/>
          <w:szCs w:val="24"/>
          <w:lang w:val="en-US" w:eastAsia="zh-CN"/>
        </w:rPr>
        <w:t>7</w:t>
      </w:r>
      <w:r>
        <w:rPr>
          <w:rFonts w:hint="eastAsia" w:ascii="宋体" w:hAnsi="宋体"/>
          <w:b/>
          <w:sz w:val="24"/>
          <w:szCs w:val="24"/>
        </w:rPr>
        <w:t>月资金汇总</w:t>
      </w:r>
    </w:p>
    <w:p>
      <w:p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项目公司2021年</w:t>
      </w:r>
      <w:r>
        <w:rPr>
          <w:rFonts w:hint="eastAsia" w:ascii="宋体" w:hAnsi="宋体" w:eastAsia="宋体" w:cs="宋体"/>
          <w:sz w:val="24"/>
          <w:szCs w:val="24"/>
          <w:lang w:val="en-US" w:eastAsia="zh-CN"/>
        </w:rPr>
        <w:t>7</w:t>
      </w:r>
      <w:r>
        <w:rPr>
          <w:rFonts w:hint="eastAsia" w:ascii="宋体" w:hAnsi="宋体" w:eastAsia="宋体" w:cs="宋体"/>
          <w:sz w:val="24"/>
          <w:szCs w:val="24"/>
        </w:rPr>
        <w:t>月</w:t>
      </w:r>
      <w:r>
        <w:rPr>
          <w:rFonts w:hint="eastAsia" w:ascii="宋体" w:hAnsi="宋体" w:eastAsia="宋体" w:cs="宋体"/>
          <w:sz w:val="24"/>
          <w:szCs w:val="24"/>
          <w:lang w:val="en-US" w:eastAsia="zh-CN"/>
        </w:rPr>
        <w:t>6</w:t>
      </w:r>
      <w:r>
        <w:rPr>
          <w:rFonts w:hint="eastAsia" w:ascii="宋体" w:hAnsi="宋体" w:eastAsia="宋体" w:cs="宋体"/>
          <w:sz w:val="24"/>
          <w:szCs w:val="24"/>
        </w:rPr>
        <w:t>日提交的2021年</w:t>
      </w:r>
      <w:r>
        <w:rPr>
          <w:rFonts w:hint="eastAsia" w:ascii="宋体" w:hAnsi="宋体" w:eastAsia="宋体" w:cs="宋体"/>
          <w:sz w:val="24"/>
          <w:szCs w:val="24"/>
          <w:lang w:val="en-US" w:eastAsia="zh-CN"/>
        </w:rPr>
        <w:t>7</w:t>
      </w:r>
      <w:r>
        <w:rPr>
          <w:rFonts w:hint="eastAsia" w:ascii="宋体" w:hAnsi="宋体" w:eastAsia="宋体" w:cs="宋体"/>
          <w:sz w:val="24"/>
          <w:szCs w:val="24"/>
        </w:rPr>
        <w:t>月资金支出计划，合计</w:t>
      </w:r>
      <w:r>
        <w:rPr>
          <w:rFonts w:hint="eastAsia" w:ascii="宋体" w:hAnsi="宋体" w:eastAsia="宋体" w:cs="宋体"/>
          <w:i w:val="0"/>
          <w:iCs w:val="0"/>
          <w:color w:val="000000"/>
          <w:kern w:val="0"/>
          <w:sz w:val="24"/>
          <w:szCs w:val="24"/>
          <w:u w:val="none"/>
          <w:lang w:val="en-US" w:eastAsia="zh-CN" w:bidi="ar"/>
        </w:rPr>
        <w:t>4,723.22</w:t>
      </w:r>
      <w:r>
        <w:rPr>
          <w:rFonts w:hint="eastAsia" w:ascii="宋体" w:hAnsi="宋体" w:eastAsia="宋体" w:cs="宋体"/>
          <w:sz w:val="24"/>
          <w:szCs w:val="24"/>
        </w:rPr>
        <w:t>万元。根据尽调报告中的目标成本分类方式，我司对资金计划中的支付项进行整理、分类，其中：前期费用支出约</w:t>
      </w:r>
      <w:r>
        <w:rPr>
          <w:rFonts w:hint="eastAsia" w:ascii="宋体" w:hAnsi="宋体" w:eastAsia="宋体" w:cs="宋体"/>
          <w:i w:val="0"/>
          <w:iCs w:val="0"/>
          <w:color w:val="000000"/>
          <w:kern w:val="0"/>
          <w:sz w:val="24"/>
          <w:szCs w:val="24"/>
          <w:u w:val="none"/>
          <w:lang w:val="en-US" w:eastAsia="zh-CN" w:bidi="ar"/>
        </w:rPr>
        <w:t>24.15</w:t>
      </w:r>
      <w:r>
        <w:rPr>
          <w:rFonts w:hint="eastAsia" w:ascii="宋体" w:hAnsi="宋体" w:eastAsia="宋体" w:cs="宋体"/>
          <w:sz w:val="24"/>
          <w:szCs w:val="24"/>
        </w:rPr>
        <w:t>万元，工程费用支出</w:t>
      </w:r>
      <w:r>
        <w:rPr>
          <w:rFonts w:hint="eastAsia" w:ascii="宋体" w:hAnsi="宋体" w:eastAsia="宋体" w:cs="宋体"/>
          <w:i w:val="0"/>
          <w:iCs w:val="0"/>
          <w:color w:val="000000"/>
          <w:kern w:val="0"/>
          <w:sz w:val="24"/>
          <w:szCs w:val="24"/>
          <w:u w:val="none"/>
          <w:lang w:val="en-US" w:eastAsia="zh-CN" w:bidi="ar"/>
        </w:rPr>
        <w:t>2,450.48</w:t>
      </w:r>
      <w:r>
        <w:rPr>
          <w:rFonts w:hint="eastAsia" w:ascii="宋体" w:hAnsi="宋体" w:eastAsia="宋体" w:cs="宋体"/>
          <w:sz w:val="24"/>
          <w:szCs w:val="24"/>
        </w:rPr>
        <w:t>万元，管理费支出</w:t>
      </w:r>
      <w:r>
        <w:rPr>
          <w:rFonts w:hint="eastAsia" w:ascii="宋体" w:hAnsi="宋体" w:eastAsia="宋体" w:cs="宋体"/>
          <w:i w:val="0"/>
          <w:iCs w:val="0"/>
          <w:color w:val="000000"/>
          <w:kern w:val="0"/>
          <w:sz w:val="24"/>
          <w:szCs w:val="24"/>
          <w:u w:val="none"/>
          <w:lang w:val="en-US" w:eastAsia="zh-CN" w:bidi="ar"/>
        </w:rPr>
        <w:t>35.00</w:t>
      </w:r>
      <w:r>
        <w:rPr>
          <w:rFonts w:hint="eastAsia" w:ascii="宋体" w:hAnsi="宋体" w:eastAsia="宋体" w:cs="宋体"/>
          <w:sz w:val="24"/>
          <w:szCs w:val="24"/>
        </w:rPr>
        <w:t>万元,营销费支出</w:t>
      </w: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23.59</w:t>
      </w:r>
      <w:r>
        <w:rPr>
          <w:rFonts w:hint="eastAsia" w:ascii="宋体" w:hAnsi="宋体" w:eastAsia="宋体" w:cs="宋体"/>
          <w:sz w:val="24"/>
          <w:szCs w:val="24"/>
        </w:rPr>
        <w:t>万元，财务费用支出</w:t>
      </w:r>
      <w:r>
        <w:rPr>
          <w:rFonts w:hint="eastAsia" w:ascii="宋体" w:hAnsi="宋体" w:eastAsia="宋体" w:cs="宋体"/>
          <w:i w:val="0"/>
          <w:iCs w:val="0"/>
          <w:color w:val="000000"/>
          <w:kern w:val="0"/>
          <w:sz w:val="24"/>
          <w:szCs w:val="24"/>
          <w:u w:val="none"/>
          <w:lang w:val="en-US" w:eastAsia="zh-CN" w:bidi="ar"/>
        </w:rPr>
        <w:t>490.00</w:t>
      </w:r>
      <w:r>
        <w:rPr>
          <w:rFonts w:hint="eastAsia" w:ascii="宋体" w:hAnsi="宋体" w:eastAsia="宋体" w:cs="宋体"/>
          <w:sz w:val="24"/>
          <w:szCs w:val="24"/>
        </w:rPr>
        <w:t>万元，其他支出</w:t>
      </w:r>
      <w:r>
        <w:rPr>
          <w:rFonts w:hint="eastAsia" w:ascii="宋体" w:hAnsi="宋体" w:cs="宋体"/>
          <w:sz w:val="24"/>
          <w:szCs w:val="24"/>
          <w:lang w:val="en-US" w:eastAsia="zh-CN"/>
        </w:rPr>
        <w:t>800.00万元，其中退息差500.00万元，不可预见费</w:t>
      </w:r>
      <w:r>
        <w:rPr>
          <w:rFonts w:hint="eastAsia" w:ascii="宋体" w:hAnsi="宋体" w:eastAsia="宋体" w:cs="宋体"/>
          <w:color w:val="000000"/>
          <w:kern w:val="0"/>
          <w:sz w:val="24"/>
          <w:szCs w:val="24"/>
          <w:lang w:bidi="ar"/>
        </w:rPr>
        <w:t>3</w:t>
      </w:r>
      <w:r>
        <w:rPr>
          <w:rFonts w:hint="eastAsia" w:ascii="宋体" w:hAnsi="宋体" w:cs="宋体"/>
          <w:color w:val="000000"/>
          <w:kern w:val="0"/>
          <w:sz w:val="24"/>
          <w:szCs w:val="24"/>
          <w:lang w:val="en-US" w:eastAsia="zh-CN" w:bidi="ar"/>
        </w:rPr>
        <w:t>0</w:t>
      </w:r>
      <w:r>
        <w:rPr>
          <w:rFonts w:hint="eastAsia" w:ascii="宋体" w:hAnsi="宋体" w:eastAsia="宋体" w:cs="宋体"/>
          <w:color w:val="000000"/>
          <w:kern w:val="0"/>
          <w:sz w:val="24"/>
          <w:szCs w:val="24"/>
          <w:lang w:bidi="ar"/>
        </w:rPr>
        <w:t>0.00</w:t>
      </w:r>
      <w:r>
        <w:rPr>
          <w:rFonts w:hint="eastAsia" w:ascii="宋体" w:hAnsi="宋体" w:eastAsia="宋体" w:cs="宋体"/>
          <w:sz w:val="24"/>
          <w:szCs w:val="24"/>
        </w:rPr>
        <w:t>万元。</w:t>
      </w:r>
    </w:p>
    <w:tbl>
      <w:tblPr>
        <w:tblStyle w:val="11"/>
        <w:tblpPr w:leftFromText="180" w:rightFromText="180" w:vertAnchor="text" w:horzAnchor="page" w:tblpX="1462" w:tblpY="248"/>
        <w:tblOverlap w:val="never"/>
        <w:tblW w:w="9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5"/>
        <w:gridCol w:w="1485"/>
        <w:gridCol w:w="1575"/>
        <w:gridCol w:w="1800"/>
        <w:gridCol w:w="1665"/>
        <w:gridCol w:w="1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trPr>
        <w:tc>
          <w:tcPr>
            <w:tcW w:w="9475" w:type="dxa"/>
            <w:gridSpan w:val="6"/>
            <w:shd w:val="clear" w:color="auto" w:fill="CCC0D9"/>
          </w:tcPr>
          <w:p>
            <w:pPr>
              <w:spacing w:line="360" w:lineRule="auto"/>
              <w:jc w:val="center"/>
              <w:rPr>
                <w:rFonts w:ascii="宋体" w:hAnsi="宋体"/>
                <w:b/>
                <w:bCs/>
                <w:sz w:val="24"/>
                <w:szCs w:val="24"/>
              </w:rPr>
            </w:pPr>
            <w:bookmarkStart w:id="0" w:name="_Hlk16606321"/>
            <w:r>
              <w:rPr>
                <w:rFonts w:hint="eastAsia" w:ascii="宋体" w:hAnsi="宋体"/>
                <w:b/>
                <w:bCs/>
                <w:sz w:val="24"/>
                <w:szCs w:val="24"/>
              </w:rPr>
              <w:t>中航信托·天垣3号恒大嘉兴海盐项目</w:t>
            </w:r>
          </w:p>
          <w:p>
            <w:pPr>
              <w:spacing w:line="360" w:lineRule="auto"/>
              <w:jc w:val="center"/>
              <w:rPr>
                <w:rFonts w:ascii="宋体" w:hAnsi="宋体"/>
                <w:b/>
                <w:bCs/>
                <w:sz w:val="24"/>
                <w:szCs w:val="24"/>
              </w:rPr>
            </w:pPr>
            <w:r>
              <w:rPr>
                <w:rFonts w:hint="eastAsia" w:ascii="宋体" w:hAnsi="宋体"/>
                <w:b/>
                <w:bCs/>
                <w:sz w:val="24"/>
                <w:szCs w:val="24"/>
              </w:rPr>
              <w:t>股权投资集合资金信托计划</w:t>
            </w:r>
          </w:p>
          <w:p>
            <w:pPr>
              <w:spacing w:line="360" w:lineRule="auto"/>
              <w:jc w:val="center"/>
              <w:rPr>
                <w:rFonts w:hint="eastAsia" w:ascii="宋体" w:hAnsi="宋体"/>
                <w:b/>
                <w:bCs/>
                <w:sz w:val="24"/>
                <w:szCs w:val="24"/>
              </w:rPr>
            </w:pPr>
            <w:r>
              <w:rPr>
                <w:rFonts w:hint="eastAsia" w:ascii="宋体" w:hAnsi="宋体"/>
                <w:b/>
                <w:bCs/>
                <w:sz w:val="24"/>
                <w:szCs w:val="24"/>
              </w:rPr>
              <w:t>-海盐恒大都汇华庭项目</w:t>
            </w:r>
            <w:r>
              <w:rPr>
                <w:rFonts w:hint="eastAsia" w:ascii="宋体" w:hAnsi="宋体"/>
                <w:b/>
                <w:bCs/>
                <w:sz w:val="24"/>
                <w:szCs w:val="24"/>
                <w:lang w:val="en-US" w:eastAsia="zh-CN"/>
              </w:rPr>
              <w:t>7</w:t>
            </w:r>
            <w:r>
              <w:rPr>
                <w:rFonts w:hint="eastAsia" w:ascii="宋体" w:hAnsi="宋体"/>
                <w:b/>
                <w:bCs/>
                <w:sz w:val="24"/>
                <w:szCs w:val="24"/>
              </w:rPr>
              <w:t>月度资金使用计划（2021年</w:t>
            </w:r>
            <w:r>
              <w:rPr>
                <w:rFonts w:hint="eastAsia" w:ascii="宋体" w:hAnsi="宋体"/>
                <w:b/>
                <w:bCs/>
                <w:sz w:val="24"/>
                <w:szCs w:val="24"/>
                <w:lang w:val="en-US" w:eastAsia="zh-CN"/>
              </w:rPr>
              <w:t>7</w:t>
            </w:r>
            <w:r>
              <w:rPr>
                <w:rFonts w:hint="eastAsia" w:ascii="宋体" w:hAnsi="宋体"/>
                <w:b/>
                <w:bCs/>
                <w:sz w:val="24"/>
                <w:szCs w:val="24"/>
              </w:rPr>
              <w:t>月份）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9475" w:type="dxa"/>
            <w:gridSpan w:val="6"/>
            <w:shd w:val="clear" w:color="auto" w:fill="CCC0D9"/>
          </w:tcPr>
          <w:p>
            <w:pPr>
              <w:spacing w:line="360" w:lineRule="auto"/>
              <w:rPr>
                <w:rFonts w:hint="eastAsia" w:ascii="宋体" w:hAnsi="宋体"/>
                <w:b/>
                <w:bCs/>
                <w:sz w:val="24"/>
                <w:szCs w:val="24"/>
              </w:rPr>
            </w:pPr>
            <w:r>
              <w:rPr>
                <w:rFonts w:hint="eastAsia" w:ascii="宋体" w:hAnsi="宋体"/>
                <w:b/>
                <w:bCs/>
                <w:sz w:val="24"/>
                <w:szCs w:val="24"/>
              </w:rPr>
              <w:t>编制：海盐丰涛置业有限公司                            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255" w:type="dxa"/>
            <w:shd w:val="clear" w:color="auto" w:fill="DCD8C2"/>
            <w:vAlign w:val="center"/>
          </w:tcPr>
          <w:p>
            <w:pPr>
              <w:spacing w:line="360" w:lineRule="auto"/>
              <w:jc w:val="center"/>
              <w:rPr>
                <w:rFonts w:hint="eastAsia" w:ascii="宋体" w:hAnsi="宋体" w:eastAsia="宋体"/>
                <w:b/>
                <w:bCs/>
                <w:sz w:val="24"/>
                <w:szCs w:val="24"/>
              </w:rPr>
            </w:pPr>
            <w:r>
              <w:rPr>
                <w:rFonts w:hint="eastAsia" w:ascii="宋体" w:hAnsi="宋体" w:eastAsia="宋体"/>
                <w:b/>
                <w:bCs/>
                <w:sz w:val="24"/>
                <w:szCs w:val="24"/>
              </w:rPr>
              <w:t>资金类别</w:t>
            </w:r>
          </w:p>
        </w:tc>
        <w:tc>
          <w:tcPr>
            <w:tcW w:w="148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目标成本</w:t>
            </w:r>
          </w:p>
        </w:tc>
        <w:tc>
          <w:tcPr>
            <w:tcW w:w="157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合同金额</w:t>
            </w:r>
          </w:p>
        </w:tc>
        <w:tc>
          <w:tcPr>
            <w:tcW w:w="1800"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已签订合同占目标成本比例</w:t>
            </w:r>
          </w:p>
        </w:tc>
        <w:tc>
          <w:tcPr>
            <w:tcW w:w="166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累计已付款</w:t>
            </w:r>
          </w:p>
        </w:tc>
        <w:tc>
          <w:tcPr>
            <w:tcW w:w="1695" w:type="dxa"/>
            <w:shd w:val="clear" w:color="auto" w:fill="DCD8C2"/>
            <w:vAlign w:val="center"/>
          </w:tcPr>
          <w:p>
            <w:pPr>
              <w:keepNext w:val="0"/>
              <w:keepLines w:val="0"/>
              <w:widowControl/>
              <w:suppressLineNumbers w:val="0"/>
              <w:jc w:val="center"/>
              <w:textAlignment w:val="top"/>
              <w:rPr>
                <w:rFonts w:hint="eastAsia" w:ascii="宋体" w:hAnsi="宋体" w:eastAsia="宋体"/>
                <w:b/>
                <w:bCs/>
                <w:sz w:val="24"/>
                <w:szCs w:val="24"/>
              </w:rPr>
            </w:pPr>
            <w:r>
              <w:rPr>
                <w:rFonts w:hint="eastAsia" w:ascii="宋体" w:hAnsi="宋体" w:eastAsia="宋体" w:cs="宋体"/>
                <w:b/>
                <w:bCs/>
                <w:i w:val="0"/>
                <w:iCs w:val="0"/>
                <w:color w:val="000000"/>
                <w:kern w:val="0"/>
                <w:sz w:val="24"/>
                <w:szCs w:val="24"/>
                <w:u w:val="none"/>
                <w:lang w:val="en-US" w:eastAsia="zh-CN" w:bidi="ar"/>
              </w:rPr>
              <w:t>本月申请支付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55" w:type="dxa"/>
          </w:tcPr>
          <w:p>
            <w:pPr>
              <w:spacing w:line="360" w:lineRule="auto"/>
              <w:jc w:val="center"/>
              <w:rPr>
                <w:rFonts w:ascii="宋体" w:hAnsi="宋体"/>
                <w:sz w:val="24"/>
                <w:szCs w:val="24"/>
              </w:rPr>
            </w:pPr>
            <w:r>
              <w:rPr>
                <w:rFonts w:hint="eastAsia" w:ascii="宋体" w:hAnsi="宋体"/>
                <w:sz w:val="24"/>
                <w:szCs w:val="24"/>
                <w:lang w:val="en-US" w:eastAsia="zh-CN"/>
              </w:rPr>
              <w:t>土地</w:t>
            </w:r>
            <w:r>
              <w:rPr>
                <w:rFonts w:hint="eastAsia" w:ascii="宋体" w:hAnsi="宋体"/>
                <w:sz w:val="24"/>
                <w:szCs w:val="24"/>
              </w:rPr>
              <w:t>费用</w:t>
            </w:r>
          </w:p>
        </w:tc>
        <w:tc>
          <w:tcPr>
            <w:tcW w:w="1485"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 xml:space="preserve">53,061.00 </w:t>
            </w:r>
          </w:p>
        </w:tc>
        <w:tc>
          <w:tcPr>
            <w:tcW w:w="1575"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 xml:space="preserve">52,556.69 </w:t>
            </w:r>
          </w:p>
        </w:tc>
        <w:tc>
          <w:tcPr>
            <w:tcW w:w="1800" w:type="dxa"/>
            <w:vAlign w:val="center"/>
          </w:tcPr>
          <w:p>
            <w:pPr>
              <w:keepNext w:val="0"/>
              <w:keepLines w:val="0"/>
              <w:widowControl/>
              <w:suppressLineNumbers w:val="0"/>
              <w:jc w:val="right"/>
              <w:textAlignment w:val="center"/>
              <w:rPr>
                <w:rFonts w:ascii="宋体" w:hAnsi="宋体" w:cs="宋体"/>
                <w:color w:val="000000"/>
                <w:sz w:val="24"/>
                <w:szCs w:val="24"/>
              </w:rPr>
            </w:pPr>
            <w:r>
              <w:rPr>
                <w:rFonts w:hint="eastAsia" w:ascii="宋体" w:hAnsi="宋体" w:eastAsia="宋体" w:cs="宋体"/>
                <w:i w:val="0"/>
                <w:iCs w:val="0"/>
                <w:color w:val="000000"/>
                <w:kern w:val="0"/>
                <w:sz w:val="24"/>
                <w:szCs w:val="24"/>
                <w:u w:val="none"/>
                <w:lang w:val="en-US" w:eastAsia="zh-CN" w:bidi="ar"/>
              </w:rPr>
              <w:t>99.05%</w:t>
            </w:r>
          </w:p>
        </w:tc>
        <w:tc>
          <w:tcPr>
            <w:tcW w:w="166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 xml:space="preserve">52,556.69 </w:t>
            </w:r>
          </w:p>
        </w:tc>
        <w:tc>
          <w:tcPr>
            <w:tcW w:w="169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55" w:type="dxa"/>
            <w:vAlign w:val="top"/>
          </w:tcPr>
          <w:p>
            <w:pPr>
              <w:spacing w:line="360" w:lineRule="auto"/>
              <w:jc w:val="center"/>
              <w:rPr>
                <w:rFonts w:hint="eastAsia" w:ascii="宋体" w:hAnsi="宋体" w:eastAsia="宋体" w:cs="Times New Roman"/>
                <w:kern w:val="2"/>
                <w:sz w:val="24"/>
                <w:szCs w:val="24"/>
                <w:lang w:val="en-US" w:eastAsia="zh-CN" w:bidi="ar-SA"/>
              </w:rPr>
            </w:pPr>
            <w:r>
              <w:rPr>
                <w:rFonts w:hint="eastAsia" w:ascii="宋体" w:hAnsi="宋体"/>
                <w:sz w:val="24"/>
                <w:szCs w:val="24"/>
              </w:rPr>
              <w:t>前期费用</w:t>
            </w:r>
          </w:p>
        </w:tc>
        <w:tc>
          <w:tcPr>
            <w:tcW w:w="1485" w:type="dxa"/>
            <w:vAlign w:val="center"/>
          </w:tcPr>
          <w:p>
            <w:pPr>
              <w:keepNext w:val="0"/>
              <w:keepLines w:val="0"/>
              <w:widowControl/>
              <w:suppressLineNumbers w:val="0"/>
              <w:jc w:val="right"/>
              <w:textAlignment w:val="center"/>
              <w:rPr>
                <w:rFonts w:hint="eastAsia" w:ascii="宋体" w:hAnsi="宋体"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6,442.00 </w:t>
            </w:r>
          </w:p>
        </w:tc>
        <w:tc>
          <w:tcPr>
            <w:tcW w:w="1575" w:type="dxa"/>
            <w:vAlign w:val="center"/>
          </w:tcPr>
          <w:p>
            <w:pPr>
              <w:keepNext w:val="0"/>
              <w:keepLines w:val="0"/>
              <w:widowControl/>
              <w:suppressLineNumbers w:val="0"/>
              <w:jc w:val="right"/>
              <w:textAlignment w:val="center"/>
              <w:rPr>
                <w:rFonts w:hint="eastAsia" w:ascii="宋体" w:hAnsi="宋体" w:eastAsia="宋体" w:cs="Times New Roman"/>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 xml:space="preserve">2,521.58 </w:t>
            </w:r>
          </w:p>
        </w:tc>
        <w:tc>
          <w:tcPr>
            <w:tcW w:w="1800" w:type="dxa"/>
            <w:vAlign w:val="center"/>
          </w:tcPr>
          <w:p>
            <w:pPr>
              <w:keepNext w:val="0"/>
              <w:keepLines w:val="0"/>
              <w:widowControl/>
              <w:suppressLineNumbers w:val="0"/>
              <w:jc w:val="right"/>
              <w:textAlignment w:val="center"/>
              <w:rPr>
                <w:rFonts w:hint="eastAsia" w:ascii="宋体" w:hAnsi="宋体" w:eastAsia="宋体" w:cs="宋体"/>
                <w:color w:val="000000"/>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39.14%</w:t>
            </w:r>
          </w:p>
        </w:tc>
        <w:tc>
          <w:tcPr>
            <w:tcW w:w="166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 xml:space="preserve">784.17 </w:t>
            </w:r>
          </w:p>
        </w:tc>
        <w:tc>
          <w:tcPr>
            <w:tcW w:w="169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24.15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55" w:type="dxa"/>
          </w:tcPr>
          <w:p>
            <w:pPr>
              <w:spacing w:line="360" w:lineRule="auto"/>
              <w:jc w:val="center"/>
              <w:rPr>
                <w:rFonts w:ascii="宋体" w:hAnsi="宋体"/>
                <w:sz w:val="24"/>
                <w:szCs w:val="24"/>
              </w:rPr>
            </w:pPr>
            <w:r>
              <w:rPr>
                <w:rFonts w:hint="eastAsia" w:ascii="宋体" w:hAnsi="宋体"/>
                <w:sz w:val="24"/>
                <w:szCs w:val="24"/>
              </w:rPr>
              <w:t>工程费用</w:t>
            </w:r>
          </w:p>
        </w:tc>
        <w:tc>
          <w:tcPr>
            <w:tcW w:w="1485"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 xml:space="preserve">39,084.00 </w:t>
            </w:r>
          </w:p>
        </w:tc>
        <w:tc>
          <w:tcPr>
            <w:tcW w:w="1575"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 xml:space="preserve">39,690.96 </w:t>
            </w:r>
          </w:p>
        </w:tc>
        <w:tc>
          <w:tcPr>
            <w:tcW w:w="180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101.55%</w:t>
            </w:r>
          </w:p>
        </w:tc>
        <w:tc>
          <w:tcPr>
            <w:tcW w:w="166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 xml:space="preserve">5,415.94 </w:t>
            </w:r>
          </w:p>
        </w:tc>
        <w:tc>
          <w:tcPr>
            <w:tcW w:w="169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2,450.48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55" w:type="dxa"/>
          </w:tcPr>
          <w:p>
            <w:pPr>
              <w:spacing w:line="360" w:lineRule="auto"/>
              <w:jc w:val="center"/>
              <w:rPr>
                <w:rFonts w:ascii="宋体" w:hAnsi="宋体"/>
                <w:sz w:val="24"/>
                <w:szCs w:val="24"/>
              </w:rPr>
            </w:pPr>
            <w:r>
              <w:rPr>
                <w:rFonts w:hint="eastAsia" w:ascii="宋体" w:hAnsi="宋体"/>
                <w:sz w:val="24"/>
                <w:szCs w:val="24"/>
              </w:rPr>
              <w:t>管理费用</w:t>
            </w:r>
          </w:p>
        </w:tc>
        <w:tc>
          <w:tcPr>
            <w:tcW w:w="1485"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 xml:space="preserve">2,505.33 </w:t>
            </w:r>
          </w:p>
        </w:tc>
        <w:tc>
          <w:tcPr>
            <w:tcW w:w="1575"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 xml:space="preserve">1,525.79 </w:t>
            </w:r>
          </w:p>
        </w:tc>
        <w:tc>
          <w:tcPr>
            <w:tcW w:w="180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60.90%</w:t>
            </w:r>
          </w:p>
        </w:tc>
        <w:tc>
          <w:tcPr>
            <w:tcW w:w="166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 xml:space="preserve">172.48 </w:t>
            </w:r>
          </w:p>
        </w:tc>
        <w:tc>
          <w:tcPr>
            <w:tcW w:w="169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35.00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55" w:type="dxa"/>
          </w:tcPr>
          <w:p>
            <w:pPr>
              <w:spacing w:line="360" w:lineRule="auto"/>
              <w:jc w:val="center"/>
              <w:rPr>
                <w:rFonts w:ascii="宋体" w:hAnsi="宋体"/>
                <w:sz w:val="24"/>
                <w:szCs w:val="24"/>
              </w:rPr>
            </w:pPr>
            <w:r>
              <w:rPr>
                <w:rFonts w:hint="eastAsia" w:ascii="宋体" w:hAnsi="宋体"/>
                <w:sz w:val="24"/>
                <w:szCs w:val="24"/>
              </w:rPr>
              <w:t>营销费用</w:t>
            </w:r>
          </w:p>
        </w:tc>
        <w:tc>
          <w:tcPr>
            <w:tcW w:w="1485"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 xml:space="preserve">3,757.99 </w:t>
            </w:r>
          </w:p>
        </w:tc>
        <w:tc>
          <w:tcPr>
            <w:tcW w:w="1575"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 xml:space="preserve">1,613.89 </w:t>
            </w:r>
          </w:p>
        </w:tc>
        <w:tc>
          <w:tcPr>
            <w:tcW w:w="1800" w:type="dxa"/>
            <w:vAlign w:val="center"/>
          </w:tcPr>
          <w:p>
            <w:pPr>
              <w:keepNext w:val="0"/>
              <w:keepLines w:val="0"/>
              <w:widowControl/>
              <w:suppressLineNumbers w:val="0"/>
              <w:jc w:val="right"/>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42.95%</w:t>
            </w:r>
          </w:p>
        </w:tc>
        <w:tc>
          <w:tcPr>
            <w:tcW w:w="166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 xml:space="preserve">199.66 </w:t>
            </w:r>
          </w:p>
        </w:tc>
        <w:tc>
          <w:tcPr>
            <w:tcW w:w="169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cs="宋体"/>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 xml:space="preserve">23.59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55" w:type="dxa"/>
          </w:tcPr>
          <w:p>
            <w:pPr>
              <w:spacing w:line="360" w:lineRule="auto"/>
              <w:jc w:val="center"/>
              <w:rPr>
                <w:rFonts w:ascii="宋体" w:hAnsi="宋体"/>
                <w:sz w:val="24"/>
                <w:szCs w:val="24"/>
              </w:rPr>
            </w:pPr>
            <w:r>
              <w:rPr>
                <w:rFonts w:hint="eastAsia" w:ascii="宋体" w:hAnsi="宋体"/>
                <w:sz w:val="24"/>
                <w:szCs w:val="24"/>
              </w:rPr>
              <w:t>财务费用</w:t>
            </w:r>
          </w:p>
        </w:tc>
        <w:tc>
          <w:tcPr>
            <w:tcW w:w="1485"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w:t>
            </w:r>
          </w:p>
        </w:tc>
        <w:tc>
          <w:tcPr>
            <w:tcW w:w="1575" w:type="dxa"/>
            <w:vAlign w:val="center"/>
          </w:tcPr>
          <w:p>
            <w:pPr>
              <w:keepNext w:val="0"/>
              <w:keepLines w:val="0"/>
              <w:widowControl/>
              <w:suppressLineNumbers w:val="0"/>
              <w:jc w:val="center"/>
              <w:textAlignment w:val="top"/>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w:t>
            </w:r>
          </w:p>
        </w:tc>
        <w:tc>
          <w:tcPr>
            <w:tcW w:w="1800" w:type="dxa"/>
            <w:vAlign w:val="center"/>
          </w:tcPr>
          <w:p>
            <w:pPr>
              <w:keepNext w:val="0"/>
              <w:keepLines w:val="0"/>
              <w:widowControl/>
              <w:suppressLineNumbers w:val="0"/>
              <w:jc w:val="center"/>
              <w:textAlignment w:val="top"/>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w:t>
            </w:r>
          </w:p>
        </w:tc>
        <w:tc>
          <w:tcPr>
            <w:tcW w:w="166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 xml:space="preserve">0.96 </w:t>
            </w:r>
          </w:p>
        </w:tc>
        <w:tc>
          <w:tcPr>
            <w:tcW w:w="169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55" w:type="dxa"/>
          </w:tcPr>
          <w:p>
            <w:pPr>
              <w:spacing w:line="360" w:lineRule="auto"/>
              <w:jc w:val="center"/>
              <w:rPr>
                <w:rFonts w:hint="default" w:ascii="宋体" w:hAnsi="宋体" w:eastAsia="宋体"/>
                <w:sz w:val="24"/>
                <w:szCs w:val="24"/>
                <w:lang w:val="en-US" w:eastAsia="zh-CN"/>
              </w:rPr>
            </w:pPr>
            <w:r>
              <w:rPr>
                <w:rFonts w:hint="eastAsia" w:ascii="宋体" w:hAnsi="宋体"/>
                <w:sz w:val="24"/>
                <w:szCs w:val="24"/>
                <w:lang w:val="en-US" w:eastAsia="zh-CN"/>
              </w:rPr>
              <w:t>税费</w:t>
            </w:r>
          </w:p>
        </w:tc>
        <w:tc>
          <w:tcPr>
            <w:tcW w:w="148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10,589.50 </w:t>
            </w:r>
          </w:p>
        </w:tc>
        <w:tc>
          <w:tcPr>
            <w:tcW w:w="1575" w:type="dxa"/>
            <w:vAlign w:val="top"/>
          </w:tcPr>
          <w:p>
            <w:pPr>
              <w:keepNext w:val="0"/>
              <w:keepLines w:val="0"/>
              <w:widowControl/>
              <w:suppressLineNumbers w:val="0"/>
              <w:jc w:val="center"/>
              <w:textAlignment w:val="top"/>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w:t>
            </w:r>
          </w:p>
        </w:tc>
        <w:tc>
          <w:tcPr>
            <w:tcW w:w="1800" w:type="dxa"/>
            <w:vAlign w:val="top"/>
          </w:tcPr>
          <w:p>
            <w:pPr>
              <w:keepNext w:val="0"/>
              <w:keepLines w:val="0"/>
              <w:widowControl/>
              <w:suppressLineNumbers w:val="0"/>
              <w:jc w:val="center"/>
              <w:textAlignment w:val="top"/>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w:t>
            </w:r>
          </w:p>
        </w:tc>
        <w:tc>
          <w:tcPr>
            <w:tcW w:w="166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 xml:space="preserve">1,309.16 </w:t>
            </w:r>
          </w:p>
        </w:tc>
        <w:tc>
          <w:tcPr>
            <w:tcW w:w="169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4"/>
                <w:szCs w:val="24"/>
                <w:u w:val="none"/>
                <w:lang w:val="en-US" w:eastAsia="zh-CN" w:bidi="ar"/>
              </w:rPr>
              <w:t xml:space="preserve">490.00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55" w:type="dxa"/>
          </w:tcPr>
          <w:p>
            <w:pPr>
              <w:spacing w:line="360" w:lineRule="auto"/>
              <w:jc w:val="center"/>
              <w:rPr>
                <w:rFonts w:ascii="宋体" w:hAnsi="宋体"/>
                <w:sz w:val="24"/>
                <w:szCs w:val="24"/>
              </w:rPr>
            </w:pPr>
            <w:r>
              <w:rPr>
                <w:rFonts w:hint="eastAsia" w:ascii="宋体" w:hAnsi="宋体"/>
                <w:sz w:val="24"/>
                <w:szCs w:val="24"/>
              </w:rPr>
              <w:t>其他费用</w:t>
            </w:r>
          </w:p>
        </w:tc>
        <w:tc>
          <w:tcPr>
            <w:tcW w:w="1485"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w:t>
            </w:r>
          </w:p>
        </w:tc>
        <w:tc>
          <w:tcPr>
            <w:tcW w:w="1575" w:type="dxa"/>
            <w:vAlign w:val="top"/>
          </w:tcPr>
          <w:p>
            <w:pPr>
              <w:keepNext w:val="0"/>
              <w:keepLines w:val="0"/>
              <w:widowControl/>
              <w:suppressLineNumbers w:val="0"/>
              <w:jc w:val="center"/>
              <w:textAlignment w:val="top"/>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w:t>
            </w:r>
          </w:p>
        </w:tc>
        <w:tc>
          <w:tcPr>
            <w:tcW w:w="1800" w:type="dxa"/>
            <w:vAlign w:val="top"/>
          </w:tcPr>
          <w:p>
            <w:pPr>
              <w:keepNext w:val="0"/>
              <w:keepLines w:val="0"/>
              <w:widowControl/>
              <w:suppressLineNumbers w:val="0"/>
              <w:jc w:val="center"/>
              <w:textAlignment w:val="top"/>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w:t>
            </w:r>
          </w:p>
        </w:tc>
        <w:tc>
          <w:tcPr>
            <w:tcW w:w="166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eastAsia="宋体" w:cs="宋体"/>
                <w:i w:val="0"/>
                <w:iCs w:val="0"/>
                <w:color w:val="000000"/>
                <w:kern w:val="0"/>
                <w:sz w:val="22"/>
                <w:szCs w:val="22"/>
                <w:u w:val="none"/>
                <w:lang w:val="en-US" w:eastAsia="zh-CN" w:bidi="ar"/>
              </w:rPr>
              <w:t xml:space="preserve">1,035.93 </w:t>
            </w:r>
          </w:p>
        </w:tc>
        <w:tc>
          <w:tcPr>
            <w:tcW w:w="1695" w:type="dxa"/>
            <w:vAlign w:val="center"/>
          </w:tcPr>
          <w:p>
            <w:pPr>
              <w:keepNext w:val="0"/>
              <w:keepLines w:val="0"/>
              <w:widowControl/>
              <w:suppressLineNumbers w:val="0"/>
              <w:jc w:val="right"/>
              <w:textAlignment w:val="center"/>
              <w:rPr>
                <w:rFonts w:hint="eastAsia" w:ascii="宋体" w:hAnsi="宋体" w:cs="宋体"/>
                <w:color w:val="000000"/>
                <w:kern w:val="0"/>
                <w:sz w:val="24"/>
                <w:szCs w:val="24"/>
                <w:lang w:bidi="ar"/>
              </w:rPr>
            </w:pPr>
            <w:r>
              <w:rPr>
                <w:rFonts w:hint="eastAsia" w:ascii="宋体" w:hAnsi="宋体" w:cs="宋体"/>
                <w:i w:val="0"/>
                <w:iCs w:val="0"/>
                <w:color w:val="000000"/>
                <w:kern w:val="0"/>
                <w:sz w:val="24"/>
                <w:szCs w:val="24"/>
                <w:u w:val="none"/>
                <w:lang w:val="en-US" w:eastAsia="zh-CN" w:bidi="ar"/>
              </w:rPr>
              <w:t>8</w:t>
            </w:r>
            <w:r>
              <w:rPr>
                <w:rFonts w:hint="eastAsia" w:ascii="宋体" w:hAnsi="宋体" w:eastAsia="宋体" w:cs="宋体"/>
                <w:i w:val="0"/>
                <w:iCs w:val="0"/>
                <w:color w:val="000000"/>
                <w:kern w:val="0"/>
                <w:sz w:val="24"/>
                <w:szCs w:val="24"/>
                <w:u w:val="none"/>
                <w:lang w:val="en-US" w:eastAsia="zh-CN" w:bidi="ar"/>
              </w:rPr>
              <w:t xml:space="preserve">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255" w:type="dxa"/>
          </w:tcPr>
          <w:p>
            <w:pPr>
              <w:spacing w:line="360" w:lineRule="auto"/>
              <w:jc w:val="center"/>
              <w:rPr>
                <w:rFonts w:ascii="宋体" w:hAnsi="宋体"/>
                <w:b/>
                <w:bCs/>
                <w:sz w:val="24"/>
                <w:szCs w:val="24"/>
              </w:rPr>
            </w:pPr>
            <w:r>
              <w:rPr>
                <w:rFonts w:hint="eastAsia" w:ascii="宋体" w:hAnsi="宋体"/>
                <w:b/>
                <w:bCs/>
                <w:sz w:val="24"/>
                <w:szCs w:val="24"/>
              </w:rPr>
              <w:t>总计</w:t>
            </w:r>
          </w:p>
        </w:tc>
        <w:tc>
          <w:tcPr>
            <w:tcW w:w="1485" w:type="dxa"/>
            <w:vAlign w:val="center"/>
          </w:tcPr>
          <w:p>
            <w:pPr>
              <w:keepNext w:val="0"/>
              <w:keepLines w:val="0"/>
              <w:widowControl/>
              <w:suppressLineNumbers w:val="0"/>
              <w:jc w:val="right"/>
              <w:textAlignment w:val="center"/>
              <w:rPr>
                <w:rFonts w:ascii="宋体" w:hAnsi="宋体"/>
                <w:b/>
                <w:bCs/>
                <w:sz w:val="24"/>
                <w:szCs w:val="24"/>
              </w:rPr>
            </w:pPr>
            <w:r>
              <w:rPr>
                <w:rFonts w:hint="eastAsia" w:ascii="宋体" w:hAnsi="宋体" w:eastAsia="宋体" w:cs="宋体"/>
                <w:b/>
                <w:bCs/>
                <w:i w:val="0"/>
                <w:iCs w:val="0"/>
                <w:color w:val="000000"/>
                <w:kern w:val="0"/>
                <w:sz w:val="24"/>
                <w:szCs w:val="24"/>
                <w:u w:val="none"/>
                <w:lang w:val="en-US" w:eastAsia="zh-CN" w:bidi="ar"/>
              </w:rPr>
              <w:t xml:space="preserve">115,439.82 </w:t>
            </w:r>
          </w:p>
        </w:tc>
        <w:tc>
          <w:tcPr>
            <w:tcW w:w="1575" w:type="dxa"/>
            <w:vAlign w:val="center"/>
          </w:tcPr>
          <w:p>
            <w:pPr>
              <w:keepNext w:val="0"/>
              <w:keepLines w:val="0"/>
              <w:widowControl/>
              <w:suppressLineNumbers w:val="0"/>
              <w:jc w:val="right"/>
              <w:textAlignment w:val="center"/>
              <w:rPr>
                <w:rFonts w:ascii="宋体" w:hAnsi="宋体"/>
                <w:b/>
                <w:bCs/>
                <w:sz w:val="24"/>
                <w:szCs w:val="24"/>
              </w:rPr>
            </w:pPr>
            <w:r>
              <w:rPr>
                <w:rFonts w:hint="eastAsia" w:ascii="宋体" w:hAnsi="宋体" w:eastAsia="宋体" w:cs="宋体"/>
                <w:b/>
                <w:bCs/>
                <w:i w:val="0"/>
                <w:iCs w:val="0"/>
                <w:color w:val="000000"/>
                <w:kern w:val="0"/>
                <w:sz w:val="24"/>
                <w:szCs w:val="24"/>
                <w:u w:val="none"/>
                <w:lang w:val="en-US" w:eastAsia="zh-CN" w:bidi="ar"/>
              </w:rPr>
              <w:t xml:space="preserve">97,908.91 </w:t>
            </w:r>
          </w:p>
        </w:tc>
        <w:tc>
          <w:tcPr>
            <w:tcW w:w="1800" w:type="dxa"/>
            <w:vAlign w:val="center"/>
          </w:tcPr>
          <w:p>
            <w:pPr>
              <w:keepNext w:val="0"/>
              <w:keepLines w:val="0"/>
              <w:widowControl/>
              <w:suppressLineNumbers w:val="0"/>
              <w:jc w:val="right"/>
              <w:textAlignment w:val="center"/>
              <w:rPr>
                <w:rFonts w:ascii="宋体" w:hAnsi="宋体" w:cs="宋体"/>
                <w:b/>
                <w:bCs/>
                <w:color w:val="000000"/>
                <w:sz w:val="24"/>
                <w:szCs w:val="24"/>
              </w:rPr>
            </w:pPr>
            <w:r>
              <w:rPr>
                <w:rFonts w:hint="eastAsia" w:ascii="宋体" w:hAnsi="宋体" w:eastAsia="宋体" w:cs="宋体"/>
                <w:b/>
                <w:bCs/>
                <w:i w:val="0"/>
                <w:iCs w:val="0"/>
                <w:color w:val="000000"/>
                <w:kern w:val="0"/>
                <w:sz w:val="24"/>
                <w:szCs w:val="24"/>
                <w:u w:val="none"/>
                <w:lang w:val="en-US" w:eastAsia="zh-CN" w:bidi="ar"/>
              </w:rPr>
              <w:t>84.81%</w:t>
            </w:r>
          </w:p>
        </w:tc>
        <w:tc>
          <w:tcPr>
            <w:tcW w:w="1665" w:type="dxa"/>
            <w:vAlign w:val="center"/>
          </w:tcPr>
          <w:p>
            <w:pPr>
              <w:keepNext w:val="0"/>
              <w:keepLines w:val="0"/>
              <w:widowControl/>
              <w:suppressLineNumbers w:val="0"/>
              <w:jc w:val="right"/>
              <w:textAlignment w:val="center"/>
              <w:rPr>
                <w:rFonts w:hint="eastAsia" w:ascii="宋体" w:hAnsi="宋体" w:cs="宋体"/>
                <w:b/>
                <w:bCs/>
                <w:color w:val="000000"/>
                <w:kern w:val="0"/>
                <w:sz w:val="24"/>
                <w:szCs w:val="24"/>
                <w:lang w:bidi="ar"/>
              </w:rPr>
            </w:pPr>
            <w:r>
              <w:rPr>
                <w:rFonts w:hint="eastAsia" w:ascii="宋体" w:hAnsi="宋体" w:eastAsia="宋体" w:cs="宋体"/>
                <w:b/>
                <w:bCs/>
                <w:i w:val="0"/>
                <w:iCs w:val="0"/>
                <w:color w:val="000000"/>
                <w:kern w:val="0"/>
                <w:sz w:val="22"/>
                <w:szCs w:val="22"/>
                <w:u w:val="none"/>
                <w:lang w:val="en-US" w:eastAsia="zh-CN" w:bidi="ar"/>
              </w:rPr>
              <w:t xml:space="preserve">61,474.99 </w:t>
            </w:r>
          </w:p>
        </w:tc>
        <w:tc>
          <w:tcPr>
            <w:tcW w:w="1695" w:type="dxa"/>
            <w:vAlign w:val="center"/>
          </w:tcPr>
          <w:p>
            <w:pPr>
              <w:keepNext w:val="0"/>
              <w:keepLines w:val="0"/>
              <w:widowControl/>
              <w:suppressLineNumbers w:val="0"/>
              <w:jc w:val="right"/>
              <w:textAlignment w:val="center"/>
              <w:rPr>
                <w:rFonts w:hint="eastAsia" w:ascii="宋体" w:hAnsi="宋体" w:cs="宋体"/>
                <w:b/>
                <w:bCs/>
                <w:color w:val="000000"/>
                <w:kern w:val="0"/>
                <w:sz w:val="24"/>
                <w:szCs w:val="24"/>
                <w:lang w:bidi="ar"/>
              </w:rPr>
            </w:pPr>
            <w:r>
              <w:rPr>
                <w:rFonts w:hint="eastAsia" w:ascii="宋体" w:hAnsi="宋体" w:eastAsia="宋体" w:cs="宋体"/>
                <w:b/>
                <w:bCs/>
                <w:i w:val="0"/>
                <w:iCs w:val="0"/>
                <w:color w:val="000000"/>
                <w:kern w:val="0"/>
                <w:sz w:val="24"/>
                <w:szCs w:val="24"/>
                <w:u w:val="none"/>
                <w:lang w:val="en-US" w:eastAsia="zh-CN" w:bidi="ar"/>
              </w:rPr>
              <w:t xml:space="preserve">4,723.22 </w:t>
            </w:r>
          </w:p>
        </w:tc>
      </w:tr>
      <w:bookmarkEnd w:id="0"/>
    </w:tbl>
    <w:p>
      <w:pPr>
        <w:spacing w:before="156" w:beforeLines="50" w:after="156" w:afterLines="50" w:line="360" w:lineRule="auto"/>
        <w:ind w:firstLine="480" w:firstLineChars="200"/>
        <w:rPr>
          <w:rFonts w:hint="eastAsia" w:ascii="宋体" w:hAnsi="宋体" w:eastAsia="宋体" w:cs="宋体"/>
          <w:sz w:val="24"/>
          <w:szCs w:val="24"/>
        </w:rPr>
      </w:pPr>
    </w:p>
    <w:p>
      <w:pPr>
        <w:pStyle w:val="10"/>
        <w:spacing w:after="0"/>
        <w:ind w:left="540" w:hanging="540" w:hangingChars="300"/>
        <w:rPr>
          <w:rFonts w:hint="eastAsia" w:ascii="Arial" w:hAnsi="Arial" w:eastAsia="宋体" w:cs="Arial"/>
          <w:bCs/>
          <w:sz w:val="18"/>
          <w:szCs w:val="18"/>
          <w:lang w:val="en-US" w:eastAsia="zh-CN"/>
        </w:rPr>
      </w:pPr>
      <w:r>
        <w:rPr>
          <w:rFonts w:hint="eastAsia" w:ascii="Arial" w:hAnsi="Arial" w:cs="Arial"/>
          <w:bCs/>
          <w:sz w:val="18"/>
          <w:szCs w:val="18"/>
        </w:rPr>
        <w:t>注：</w:t>
      </w:r>
      <w:r>
        <w:rPr>
          <w:rFonts w:hint="eastAsia" w:ascii="Arial" w:hAnsi="Arial" w:cs="Arial"/>
          <w:bCs/>
          <w:sz w:val="18"/>
          <w:szCs w:val="18"/>
          <w:lang w:val="en-US" w:eastAsia="zh-CN"/>
        </w:rPr>
        <w:t xml:space="preserve"> </w:t>
      </w:r>
      <w:r>
        <w:rPr>
          <w:rFonts w:hint="eastAsia" w:ascii="Arial" w:hAnsi="Arial" w:cs="Arial"/>
          <w:bCs/>
          <w:sz w:val="18"/>
          <w:szCs w:val="18"/>
        </w:rPr>
        <w:t>1、上表采用电算化连续计算得出，由于计算数据均按四舍五入保留两位小数或取整，故可能出现个别加总不完全相等的情况；</w:t>
      </w:r>
      <w:r>
        <w:rPr>
          <w:rFonts w:hint="eastAsia" w:ascii="Arial" w:hAnsi="Arial" w:cs="Arial"/>
          <w:bCs/>
          <w:sz w:val="18"/>
          <w:szCs w:val="18"/>
          <w:lang w:val="en-US" w:eastAsia="zh-CN"/>
        </w:rPr>
        <w:t xml:space="preserve"> </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rPr>
        <w:t>项目公司目标成本来源于信托尽调报告，待取得首董会批准的目标成本测算后将进行修正；</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lang w:val="en-US" w:eastAsia="zh-CN"/>
        </w:rPr>
        <w:t>土地成本及土地合同：（1）土地款、（2）土地契税和印花税、（3）市政配套费；</w:t>
      </w:r>
    </w:p>
    <w:p>
      <w:pPr>
        <w:pStyle w:val="10"/>
        <w:numPr>
          <w:ilvl w:val="0"/>
          <w:numId w:val="2"/>
        </w:numPr>
        <w:spacing w:after="0"/>
        <w:ind w:firstLine="180"/>
        <w:rPr>
          <w:rFonts w:ascii="Arial" w:hAnsi="Arial" w:cs="Arial"/>
          <w:bCs/>
          <w:sz w:val="18"/>
          <w:szCs w:val="18"/>
        </w:rPr>
      </w:pPr>
      <w:r>
        <w:rPr>
          <w:rFonts w:hint="default" w:ascii="Arial" w:hAnsi="Arial" w:eastAsia="宋体" w:cs="Arial"/>
          <w:sz w:val="18"/>
          <w:szCs w:val="18"/>
        </w:rPr>
        <w:t>工程费用</w:t>
      </w:r>
      <w:r>
        <w:rPr>
          <w:rFonts w:hint="eastAsia" w:ascii="Arial" w:hAnsi="Arial" w:cs="Arial"/>
          <w:bCs/>
          <w:sz w:val="18"/>
          <w:szCs w:val="18"/>
        </w:rPr>
        <w:t>成本包括：（1）建安工程款、（2）</w:t>
      </w:r>
      <w:r>
        <w:rPr>
          <w:rFonts w:hint="eastAsia" w:ascii="Arial" w:hAnsi="Arial" w:cs="Arial"/>
          <w:color w:val="000000"/>
          <w:kern w:val="0"/>
          <w:sz w:val="18"/>
          <w:szCs w:val="18"/>
          <w:lang w:bidi="ar"/>
        </w:rPr>
        <w:t>基础设施工程款、（3）公共配套设施工程款</w:t>
      </w:r>
      <w:r>
        <w:rPr>
          <w:rFonts w:hint="eastAsia" w:ascii="Arial" w:hAnsi="Arial" w:cs="Arial"/>
          <w:color w:val="000000"/>
          <w:kern w:val="0"/>
          <w:sz w:val="18"/>
          <w:szCs w:val="18"/>
          <w:lang w:eastAsia="zh-CN" w:bidi="ar"/>
        </w:rPr>
        <w:t>；</w:t>
      </w:r>
    </w:p>
    <w:p>
      <w:pPr>
        <w:pStyle w:val="10"/>
        <w:numPr>
          <w:ilvl w:val="0"/>
          <w:numId w:val="2"/>
        </w:numPr>
        <w:spacing w:after="0"/>
        <w:ind w:firstLine="180"/>
        <w:rPr>
          <w:rFonts w:ascii="Arial" w:hAnsi="Arial" w:cs="Arial"/>
          <w:bCs/>
          <w:sz w:val="18"/>
          <w:szCs w:val="18"/>
        </w:rPr>
      </w:pPr>
      <w:r>
        <w:rPr>
          <w:rFonts w:hint="eastAsia" w:ascii="Arial" w:hAnsi="Arial" w:cs="Arial"/>
          <w:bCs/>
          <w:sz w:val="18"/>
          <w:szCs w:val="18"/>
          <w:lang w:val="en-US" w:eastAsia="zh-CN"/>
        </w:rPr>
        <w:t>税费包括：增值税加及附加、所得税；</w:t>
      </w:r>
    </w:p>
    <w:p>
      <w:pPr>
        <w:pStyle w:val="10"/>
        <w:numPr>
          <w:ilvl w:val="0"/>
          <w:numId w:val="2"/>
        </w:numPr>
        <w:spacing w:after="0"/>
        <w:ind w:firstLine="180"/>
        <w:rPr>
          <w:rFonts w:ascii="Arial" w:hAnsi="Arial" w:cs="Times New Roman"/>
          <w:bCs/>
          <w:sz w:val="18"/>
          <w:szCs w:val="24"/>
        </w:rPr>
      </w:pPr>
      <w:r>
        <w:rPr>
          <w:rFonts w:hint="eastAsia" w:ascii="Arial" w:hAnsi="Arial" w:cs="Arial"/>
          <w:bCs/>
          <w:sz w:val="18"/>
          <w:szCs w:val="18"/>
          <w:lang w:val="en-US" w:eastAsia="zh-CN"/>
        </w:rPr>
        <w:t>其他包括：缴纳保证金。</w:t>
      </w:r>
    </w:p>
    <w:p>
      <w:pPr>
        <w:pStyle w:val="10"/>
        <w:spacing w:after="0" w:line="360" w:lineRule="auto"/>
        <w:ind w:firstLine="480" w:firstLineChars="200"/>
        <w:rPr>
          <w:rFonts w:ascii="宋体" w:hAnsi="宋体" w:cs="宋体"/>
          <w:b/>
          <w:sz w:val="24"/>
        </w:rPr>
      </w:pPr>
      <w:r>
        <w:rPr>
          <w:rFonts w:hint="default" w:ascii="宋体" w:hAnsi="宋体" w:eastAsia="宋体" w:cs="宋体"/>
          <w:kern w:val="2"/>
          <w:sz w:val="24"/>
          <w:szCs w:val="24"/>
          <w:lang w:val="en-US" w:eastAsia="zh-CN" w:bidi="ar-SA"/>
        </w:rPr>
        <w:t>根据《</w:t>
      </w:r>
      <w:r>
        <w:rPr>
          <w:rFonts w:hint="eastAsia" w:ascii="宋体" w:hAnsi="宋体" w:eastAsia="宋体" w:cs="宋体"/>
          <w:kern w:val="2"/>
          <w:sz w:val="24"/>
          <w:szCs w:val="24"/>
          <w:lang w:val="en-US" w:eastAsia="zh-CN" w:bidi="ar-SA"/>
        </w:rPr>
        <w:t>7</w:t>
      </w:r>
      <w:r>
        <w:rPr>
          <w:rFonts w:hint="default" w:ascii="宋体" w:hAnsi="宋体" w:eastAsia="宋体" w:cs="宋体"/>
          <w:kern w:val="2"/>
          <w:sz w:val="24"/>
          <w:szCs w:val="24"/>
          <w:lang w:val="en-US" w:eastAsia="zh-CN" w:bidi="ar-SA"/>
        </w:rPr>
        <w:t>月份月度资金使用计划》显示，</w:t>
      </w:r>
      <w:r>
        <w:rPr>
          <w:rFonts w:hint="eastAsia" w:ascii="宋体" w:hAnsi="宋体" w:eastAsia="宋体" w:cs="宋体"/>
          <w:kern w:val="2"/>
          <w:sz w:val="24"/>
          <w:szCs w:val="24"/>
          <w:lang w:val="en-US" w:eastAsia="zh-CN" w:bidi="ar-SA"/>
        </w:rPr>
        <w:t>工程</w:t>
      </w:r>
      <w:r>
        <w:rPr>
          <w:rFonts w:hint="default" w:ascii="宋体" w:hAnsi="宋体" w:eastAsia="宋体" w:cs="宋体"/>
          <w:kern w:val="2"/>
          <w:sz w:val="24"/>
          <w:szCs w:val="24"/>
          <w:lang w:val="en-US" w:eastAsia="zh-CN" w:bidi="ar-SA"/>
        </w:rPr>
        <w:t>费用已签订合同金额超出目标成本</w:t>
      </w:r>
      <w:r>
        <w:rPr>
          <w:rFonts w:hint="eastAsia" w:ascii="宋体" w:hAnsi="宋体" w:eastAsia="宋体" w:cs="宋体"/>
          <w:kern w:val="2"/>
          <w:sz w:val="24"/>
          <w:szCs w:val="24"/>
          <w:lang w:val="en-US" w:eastAsia="zh-CN" w:bidi="ar-SA"/>
        </w:rPr>
        <w:t>1.55</w:t>
      </w:r>
      <w:r>
        <w:rPr>
          <w:rFonts w:hint="default" w:ascii="宋体" w:hAnsi="宋体" w:eastAsia="宋体" w:cs="宋体"/>
          <w:kern w:val="2"/>
          <w:sz w:val="24"/>
          <w:szCs w:val="24"/>
          <w:lang w:val="en-US" w:eastAsia="zh-CN" w:bidi="ar-SA"/>
        </w:rPr>
        <w:t>%，主要原因是</w:t>
      </w:r>
      <w:r>
        <w:rPr>
          <w:rFonts w:hint="eastAsia" w:ascii="宋体" w:hAnsi="宋体" w:eastAsia="宋体" w:cs="宋体"/>
          <w:kern w:val="2"/>
          <w:sz w:val="24"/>
          <w:szCs w:val="24"/>
          <w:lang w:val="en-US" w:eastAsia="zh-CN" w:bidi="ar-SA"/>
        </w:rPr>
        <w:t>项目公司对前期费用合同签订与尽调报告中目标成本分类不一致，所以</w:t>
      </w:r>
      <w:r>
        <w:rPr>
          <w:rFonts w:hint="default" w:ascii="宋体" w:hAnsi="宋体" w:eastAsia="宋体" w:cs="宋体"/>
          <w:kern w:val="2"/>
          <w:sz w:val="24"/>
          <w:szCs w:val="24"/>
          <w:lang w:val="en-US" w:eastAsia="zh-CN" w:bidi="ar-SA"/>
        </w:rPr>
        <w:t>存在差异，</w:t>
      </w:r>
      <w:r>
        <w:rPr>
          <w:rFonts w:hint="eastAsia" w:ascii="宋体" w:hAnsi="宋体" w:eastAsia="宋体" w:cs="宋体"/>
          <w:kern w:val="2"/>
          <w:sz w:val="24"/>
          <w:szCs w:val="24"/>
          <w:lang w:val="en-US" w:eastAsia="zh-CN" w:bidi="ar-SA"/>
        </w:rPr>
        <w:t>但合同签订总金额未超过目标成本总金额。</w:t>
      </w:r>
    </w:p>
    <w:p>
      <w:pPr>
        <w:pStyle w:val="10"/>
        <w:spacing w:after="0" w:line="360" w:lineRule="auto"/>
        <w:ind w:firstLine="482" w:firstLineChars="200"/>
        <w:rPr>
          <w:rFonts w:ascii="宋体" w:hAnsi="宋体" w:cs="宋体"/>
          <w:b/>
          <w:sz w:val="24"/>
        </w:rPr>
      </w:pPr>
    </w:p>
    <w:p>
      <w:pPr>
        <w:spacing w:before="156" w:beforeLines="50" w:after="156" w:afterLines="50" w:line="360" w:lineRule="auto"/>
        <w:ind w:firstLine="482" w:firstLineChars="200"/>
        <w:rPr>
          <w:rFonts w:ascii="宋体" w:hAnsi="宋体" w:cs="宋体"/>
          <w:b/>
          <w:sz w:val="24"/>
          <w:szCs w:val="24"/>
        </w:rPr>
      </w:pPr>
      <w:r>
        <w:rPr>
          <w:rFonts w:hint="eastAsia" w:ascii="宋体" w:hAnsi="宋体"/>
          <w:b/>
          <w:sz w:val="24"/>
          <w:szCs w:val="24"/>
          <w:lang w:bidi="zh-CN"/>
        </w:rPr>
        <w:t>二、</w:t>
      </w:r>
      <w:r>
        <w:rPr>
          <w:rFonts w:hint="eastAsia" w:ascii="宋体" w:hAnsi="宋体" w:cs="宋体"/>
          <w:b/>
          <w:sz w:val="24"/>
          <w:szCs w:val="24"/>
          <w:lang w:val="en-US" w:eastAsia="zh-CN"/>
        </w:rPr>
        <w:t>6</w:t>
      </w:r>
      <w:r>
        <w:rPr>
          <w:rFonts w:hint="eastAsia" w:ascii="宋体" w:hAnsi="宋体" w:cs="宋体"/>
          <w:b/>
          <w:sz w:val="24"/>
          <w:szCs w:val="24"/>
        </w:rPr>
        <w:t>月份资</w:t>
      </w:r>
      <w:r>
        <w:rPr>
          <w:rFonts w:ascii="宋体" w:hAnsi="宋体" w:cs="宋体"/>
          <w:b/>
          <w:sz w:val="24"/>
          <w:szCs w:val="24"/>
        </w:rPr>
        <w:t>金计划使用情况</w:t>
      </w:r>
    </w:p>
    <w:p>
      <w:p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项目公司2021年</w:t>
      </w:r>
      <w:r>
        <w:rPr>
          <w:rFonts w:hint="eastAsia" w:ascii="宋体" w:hAnsi="宋体" w:eastAsia="宋体" w:cs="宋体"/>
          <w:sz w:val="24"/>
          <w:szCs w:val="24"/>
          <w:lang w:val="en-US" w:eastAsia="zh-CN"/>
        </w:rPr>
        <w:t>6</w:t>
      </w:r>
      <w:r>
        <w:rPr>
          <w:rFonts w:hint="eastAsia" w:ascii="宋体" w:hAnsi="宋体" w:eastAsia="宋体" w:cs="宋体"/>
          <w:sz w:val="24"/>
          <w:szCs w:val="24"/>
        </w:rPr>
        <w:t>月资金支出计划</w:t>
      </w:r>
      <w:r>
        <w:rPr>
          <w:rFonts w:hint="eastAsia" w:ascii="宋体" w:hAnsi="宋体" w:eastAsia="宋体" w:cs="宋体"/>
          <w:color w:val="000000"/>
          <w:kern w:val="0"/>
          <w:sz w:val="24"/>
          <w:szCs w:val="24"/>
          <w:lang w:bidi="ar"/>
        </w:rPr>
        <w:t>5</w:t>
      </w:r>
      <w:r>
        <w:rPr>
          <w:rFonts w:hint="eastAsia" w:ascii="宋体" w:hAnsi="宋体" w:eastAsia="宋体" w:cs="宋体"/>
          <w:color w:val="000000"/>
          <w:kern w:val="0"/>
          <w:sz w:val="24"/>
          <w:szCs w:val="24"/>
          <w:lang w:val="en-US" w:eastAsia="zh-CN" w:bidi="ar"/>
        </w:rPr>
        <w:t>,</w:t>
      </w:r>
      <w:r>
        <w:rPr>
          <w:rFonts w:hint="eastAsia" w:ascii="宋体" w:hAnsi="宋体" w:eastAsia="宋体" w:cs="宋体"/>
          <w:color w:val="000000"/>
          <w:kern w:val="0"/>
          <w:sz w:val="24"/>
          <w:szCs w:val="24"/>
          <w:lang w:bidi="ar"/>
        </w:rPr>
        <w:t>650.06</w:t>
      </w:r>
      <w:r>
        <w:rPr>
          <w:rFonts w:hint="eastAsia" w:ascii="宋体" w:hAnsi="宋体" w:eastAsia="宋体" w:cs="宋体"/>
          <w:sz w:val="24"/>
          <w:szCs w:val="24"/>
        </w:rPr>
        <w:t>万元</w:t>
      </w:r>
      <w:r>
        <w:rPr>
          <w:rFonts w:hint="eastAsia" w:ascii="宋体" w:hAnsi="宋体" w:eastAsia="宋体" w:cs="宋体"/>
          <w:bCs/>
          <w:sz w:val="24"/>
          <w:szCs w:val="24"/>
        </w:rPr>
        <w:t>，</w:t>
      </w:r>
      <w:r>
        <w:rPr>
          <w:rFonts w:hint="eastAsia" w:ascii="宋体" w:hAnsi="宋体" w:eastAsia="宋体" w:cs="宋体"/>
          <w:sz w:val="24"/>
          <w:szCs w:val="24"/>
        </w:rPr>
        <w:t>实际资金支付</w:t>
      </w:r>
      <w:r>
        <w:rPr>
          <w:rFonts w:hint="eastAsia" w:ascii="宋体" w:hAnsi="宋体" w:cs="宋体"/>
          <w:color w:val="000000"/>
          <w:kern w:val="0"/>
          <w:sz w:val="24"/>
          <w:szCs w:val="24"/>
          <w:lang w:val="en-US" w:eastAsia="zh-CN" w:bidi="ar"/>
        </w:rPr>
        <w:t>6</w:t>
      </w:r>
      <w:r>
        <w:rPr>
          <w:rFonts w:hint="eastAsia" w:ascii="宋体" w:hAnsi="宋体" w:eastAsia="宋体" w:cs="宋体"/>
          <w:color w:val="000000"/>
          <w:kern w:val="0"/>
          <w:sz w:val="24"/>
          <w:szCs w:val="24"/>
          <w:lang w:bidi="ar"/>
        </w:rPr>
        <w:t>,</w:t>
      </w:r>
      <w:r>
        <w:rPr>
          <w:rFonts w:hint="eastAsia" w:ascii="宋体" w:hAnsi="宋体" w:cs="宋体"/>
          <w:color w:val="000000"/>
          <w:kern w:val="0"/>
          <w:sz w:val="24"/>
          <w:szCs w:val="24"/>
          <w:lang w:val="en-US" w:eastAsia="zh-CN" w:bidi="ar"/>
        </w:rPr>
        <w:t>418</w:t>
      </w:r>
      <w:r>
        <w:rPr>
          <w:rFonts w:hint="eastAsia" w:ascii="宋体" w:hAnsi="宋体" w:eastAsia="宋体" w:cs="宋体"/>
          <w:color w:val="000000"/>
          <w:kern w:val="0"/>
          <w:sz w:val="24"/>
          <w:szCs w:val="24"/>
          <w:lang w:bidi="ar"/>
        </w:rPr>
        <w:t>.</w:t>
      </w:r>
      <w:r>
        <w:rPr>
          <w:rFonts w:hint="eastAsia" w:ascii="宋体" w:hAnsi="宋体" w:cs="宋体"/>
          <w:color w:val="000000"/>
          <w:kern w:val="0"/>
          <w:sz w:val="24"/>
          <w:szCs w:val="24"/>
          <w:lang w:val="en-US" w:eastAsia="zh-CN" w:bidi="ar"/>
        </w:rPr>
        <w:t>04</w:t>
      </w:r>
      <w:r>
        <w:rPr>
          <w:rFonts w:hint="eastAsia" w:ascii="宋体" w:hAnsi="宋体" w:eastAsia="宋体" w:cs="宋体"/>
          <w:sz w:val="24"/>
          <w:szCs w:val="24"/>
        </w:rPr>
        <w:t>万元，其中：工程费用支出</w:t>
      </w:r>
      <w:r>
        <w:rPr>
          <w:rFonts w:hint="eastAsia" w:ascii="宋体" w:hAnsi="宋体" w:eastAsia="宋体" w:cs="宋体"/>
          <w:i w:val="0"/>
          <w:iCs w:val="0"/>
          <w:color w:val="000000"/>
          <w:kern w:val="0"/>
          <w:sz w:val="24"/>
          <w:szCs w:val="24"/>
          <w:u w:val="none"/>
          <w:lang w:val="en-US" w:eastAsia="zh-CN" w:bidi="ar"/>
        </w:rPr>
        <w:t>2,690.17</w:t>
      </w:r>
      <w:r>
        <w:rPr>
          <w:rFonts w:hint="eastAsia" w:ascii="宋体" w:hAnsi="宋体" w:eastAsia="宋体" w:cs="宋体"/>
          <w:sz w:val="24"/>
          <w:szCs w:val="24"/>
        </w:rPr>
        <w:t>万元；管理费用支出</w:t>
      </w:r>
      <w:r>
        <w:rPr>
          <w:rFonts w:hint="eastAsia" w:ascii="宋体" w:hAnsi="宋体" w:eastAsia="宋体" w:cs="宋体"/>
          <w:i w:val="0"/>
          <w:iCs w:val="0"/>
          <w:color w:val="000000"/>
          <w:kern w:val="0"/>
          <w:sz w:val="24"/>
          <w:szCs w:val="24"/>
          <w:u w:val="none"/>
          <w:lang w:val="en-US" w:eastAsia="zh-CN" w:bidi="ar"/>
        </w:rPr>
        <w:t>10.31</w:t>
      </w:r>
      <w:r>
        <w:rPr>
          <w:rFonts w:hint="eastAsia" w:ascii="宋体" w:hAnsi="宋体" w:eastAsia="宋体" w:cs="宋体"/>
          <w:sz w:val="24"/>
          <w:szCs w:val="24"/>
        </w:rPr>
        <w:t>万元；财务费用支出</w:t>
      </w:r>
      <w:r>
        <w:rPr>
          <w:rFonts w:hint="eastAsia" w:ascii="宋体" w:hAnsi="宋体" w:eastAsia="宋体" w:cs="宋体"/>
          <w:i w:val="0"/>
          <w:iCs w:val="0"/>
          <w:color w:val="000000"/>
          <w:kern w:val="0"/>
          <w:sz w:val="24"/>
          <w:szCs w:val="24"/>
          <w:u w:val="none"/>
          <w:lang w:val="en-US" w:eastAsia="zh-CN" w:bidi="ar"/>
        </w:rPr>
        <w:t>542.13</w:t>
      </w:r>
      <w:r>
        <w:rPr>
          <w:rFonts w:hint="eastAsia" w:ascii="宋体" w:hAnsi="宋体" w:eastAsia="宋体" w:cs="宋体"/>
          <w:color w:val="000000"/>
          <w:kern w:val="0"/>
          <w:sz w:val="24"/>
          <w:szCs w:val="24"/>
          <w:lang w:bidi="ar"/>
        </w:rPr>
        <w:t xml:space="preserve"> </w:t>
      </w:r>
      <w:r>
        <w:rPr>
          <w:rFonts w:hint="eastAsia" w:ascii="宋体" w:hAnsi="宋体" w:eastAsia="宋体" w:cs="宋体"/>
          <w:sz w:val="24"/>
          <w:szCs w:val="24"/>
        </w:rPr>
        <w:t>万元；营销费用</w:t>
      </w:r>
      <w:r>
        <w:rPr>
          <w:rFonts w:hint="eastAsia" w:ascii="宋体" w:hAnsi="宋体" w:eastAsia="宋体" w:cs="宋体"/>
          <w:i w:val="0"/>
          <w:iCs w:val="0"/>
          <w:color w:val="000000"/>
          <w:kern w:val="0"/>
          <w:sz w:val="24"/>
          <w:szCs w:val="24"/>
          <w:u w:val="none"/>
          <w:lang w:val="en-US" w:eastAsia="zh-CN" w:bidi="ar"/>
        </w:rPr>
        <w:t>28.43</w:t>
      </w:r>
      <w:r>
        <w:rPr>
          <w:rFonts w:hint="eastAsia" w:ascii="宋体" w:hAnsi="宋体" w:eastAsia="宋体" w:cs="宋体"/>
          <w:sz w:val="24"/>
          <w:szCs w:val="24"/>
        </w:rPr>
        <w:t>万元，其他费用</w:t>
      </w:r>
      <w:r>
        <w:rPr>
          <w:rFonts w:hint="eastAsia" w:ascii="宋体" w:hAnsi="宋体" w:cs="宋体"/>
          <w:color w:val="000000"/>
          <w:kern w:val="0"/>
          <w:sz w:val="24"/>
          <w:szCs w:val="24"/>
          <w:lang w:val="en-US" w:eastAsia="zh-CN" w:bidi="ar"/>
        </w:rPr>
        <w:t>7</w:t>
      </w:r>
      <w:r>
        <w:rPr>
          <w:rFonts w:hint="eastAsia" w:ascii="宋体" w:hAnsi="宋体" w:eastAsia="宋体" w:cs="宋体"/>
          <w:sz w:val="24"/>
          <w:szCs w:val="24"/>
        </w:rPr>
        <w:t>万元，往来款</w:t>
      </w:r>
      <w:r>
        <w:rPr>
          <w:rFonts w:hint="eastAsia" w:ascii="宋体" w:hAnsi="宋体" w:eastAsia="宋体" w:cs="宋体"/>
          <w:i w:val="0"/>
          <w:iCs w:val="0"/>
          <w:color w:val="000000"/>
          <w:kern w:val="0"/>
          <w:sz w:val="24"/>
          <w:szCs w:val="24"/>
          <w:u w:val="none"/>
          <w:lang w:val="en-US" w:eastAsia="zh-CN" w:bidi="ar"/>
        </w:rPr>
        <w:t>3,140.00</w:t>
      </w:r>
      <w:r>
        <w:rPr>
          <w:rFonts w:hint="eastAsia" w:ascii="宋体" w:hAnsi="宋体" w:eastAsia="宋体" w:cs="宋体"/>
          <w:color w:val="000000"/>
          <w:kern w:val="0"/>
          <w:sz w:val="24"/>
          <w:szCs w:val="24"/>
          <w:lang w:bidi="ar"/>
        </w:rPr>
        <w:t xml:space="preserve"> 万元</w:t>
      </w:r>
      <w:r>
        <w:rPr>
          <w:rFonts w:hint="eastAsia" w:ascii="宋体" w:hAnsi="宋体" w:eastAsia="宋体" w:cs="宋体"/>
          <w:sz w:val="24"/>
          <w:szCs w:val="24"/>
        </w:rPr>
        <w:t>。</w:t>
      </w:r>
      <w:r>
        <w:rPr>
          <w:rFonts w:hint="eastAsia" w:ascii="宋体" w:hAnsi="宋体" w:cs="宋体"/>
          <w:sz w:val="24"/>
          <w:szCs w:val="24"/>
          <w:lang w:val="en-US" w:eastAsia="zh-CN"/>
        </w:rPr>
        <w:t>6</w:t>
      </w:r>
      <w:r>
        <w:rPr>
          <w:rFonts w:hint="eastAsia" w:ascii="宋体" w:hAnsi="宋体" w:eastAsia="宋体" w:cs="宋体"/>
          <w:sz w:val="24"/>
          <w:szCs w:val="24"/>
          <w:lang w:bidi="zh-CN"/>
        </w:rPr>
        <w:t>月份资金计划金额与执行情况对比如下表所示：</w:t>
      </w:r>
    </w:p>
    <w:p>
      <w:pPr>
        <w:pStyle w:val="10"/>
        <w:spacing w:after="0" w:line="480" w:lineRule="auto"/>
        <w:ind w:firstLine="0" w:firstLineChars="0"/>
        <w:jc w:val="center"/>
        <w:rPr>
          <w:rFonts w:ascii="宋体" w:hAnsi="宋体" w:cs="宋体"/>
          <w:sz w:val="24"/>
          <w:lang w:bidi="ar"/>
        </w:rPr>
      </w:pPr>
      <w:r>
        <w:rPr>
          <w:rFonts w:hint="eastAsia" w:ascii="宋体" w:hAnsi="宋体" w:cs="宋体"/>
          <w:sz w:val="24"/>
          <w:lang w:val="en-US" w:eastAsia="zh-CN" w:bidi="ar"/>
        </w:rPr>
        <w:t>6</w:t>
      </w:r>
      <w:r>
        <w:rPr>
          <w:rFonts w:ascii="宋体" w:hAnsi="宋体" w:cs="宋体"/>
          <w:sz w:val="24"/>
          <w:lang w:bidi="ar"/>
        </w:rPr>
        <w:t>月份资金计划</w:t>
      </w:r>
      <w:r>
        <w:rPr>
          <w:rFonts w:hint="eastAsia" w:ascii="宋体" w:hAnsi="宋体" w:cs="宋体"/>
          <w:sz w:val="24"/>
          <w:lang w:bidi="ar"/>
        </w:rPr>
        <w:t>金额与执行情况对比表</w:t>
      </w:r>
    </w:p>
    <w:tbl>
      <w:tblPr>
        <w:tblStyle w:val="11"/>
        <w:tblW w:w="102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520"/>
        <w:gridCol w:w="1740"/>
        <w:gridCol w:w="1650"/>
        <w:gridCol w:w="4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blHeader/>
          <w:jc w:val="center"/>
        </w:trPr>
        <w:tc>
          <w:tcPr>
            <w:tcW w:w="1241"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资金</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类别</w:t>
            </w:r>
          </w:p>
        </w:tc>
        <w:tc>
          <w:tcPr>
            <w:tcW w:w="152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val="en-US" w:eastAsia="zh-CN" w:bidi="ar"/>
              </w:rPr>
              <w:t>6</w:t>
            </w:r>
            <w:r>
              <w:rPr>
                <w:rFonts w:ascii="宋体" w:hAnsi="宋体" w:cs="宋体"/>
                <w:b/>
                <w:bCs/>
                <w:kern w:val="0"/>
                <w:sz w:val="22"/>
                <w:lang w:bidi="ar"/>
              </w:rPr>
              <w:t>月份资金计划</w:t>
            </w:r>
            <w:r>
              <w:rPr>
                <w:rFonts w:hint="eastAsia" w:ascii="宋体" w:hAnsi="宋体" w:cs="宋体"/>
                <w:b/>
                <w:bCs/>
                <w:kern w:val="0"/>
                <w:sz w:val="22"/>
                <w:lang w:bidi="ar"/>
              </w:rPr>
              <w:t>申请金额（万元）</w:t>
            </w:r>
          </w:p>
        </w:tc>
        <w:tc>
          <w:tcPr>
            <w:tcW w:w="174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val="en-US" w:eastAsia="zh-CN" w:bidi="ar"/>
              </w:rPr>
              <w:t>6</w:t>
            </w:r>
            <w:r>
              <w:rPr>
                <w:rFonts w:ascii="宋体" w:hAnsi="宋体" w:cs="宋体"/>
                <w:b/>
                <w:bCs/>
                <w:kern w:val="0"/>
                <w:sz w:val="22"/>
                <w:lang w:bidi="ar"/>
              </w:rPr>
              <w:t>月份资金计划</w:t>
            </w:r>
            <w:r>
              <w:rPr>
                <w:rFonts w:hint="eastAsia" w:ascii="宋体" w:hAnsi="宋体" w:cs="宋体"/>
                <w:b/>
                <w:bCs/>
                <w:kern w:val="0"/>
                <w:sz w:val="22"/>
                <w:lang w:bidi="ar"/>
              </w:rPr>
              <w:t>执行金额</w:t>
            </w:r>
          </w:p>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（万元）</w:t>
            </w:r>
          </w:p>
        </w:tc>
        <w:tc>
          <w:tcPr>
            <w:tcW w:w="1650"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月度计划资金使用率</w:t>
            </w:r>
          </w:p>
        </w:tc>
        <w:tc>
          <w:tcPr>
            <w:tcW w:w="4138" w:type="dxa"/>
            <w:shd w:val="clear" w:color="auto" w:fill="B2A1C7"/>
            <w:vAlign w:val="center"/>
          </w:tcPr>
          <w:p>
            <w:pPr>
              <w:widowControl/>
              <w:jc w:val="center"/>
              <w:textAlignment w:val="top"/>
              <w:rPr>
                <w:rFonts w:ascii="宋体" w:hAnsi="宋体" w:cs="宋体"/>
                <w:b/>
                <w:bCs/>
                <w:kern w:val="0"/>
                <w:sz w:val="22"/>
                <w:lang w:bidi="ar"/>
              </w:rPr>
            </w:pPr>
            <w:r>
              <w:rPr>
                <w:rFonts w:hint="eastAsia" w:ascii="宋体" w:hAnsi="宋体" w:cs="宋体"/>
                <w:b/>
                <w:bCs/>
                <w:kern w:val="0"/>
                <w:sz w:val="22"/>
                <w:lang w:bidi="ar"/>
              </w:rPr>
              <w:t>支出说明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0" w:hRule="exac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前期费用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369.84</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0.00</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0.00%</w:t>
            </w:r>
          </w:p>
        </w:tc>
        <w:tc>
          <w:tcPr>
            <w:tcW w:w="4138" w:type="dxa"/>
            <w:vAlign w:val="center"/>
          </w:tcPr>
          <w:p>
            <w:pPr>
              <w:keepNext w:val="0"/>
              <w:keepLines w:val="0"/>
              <w:widowControl/>
              <w:suppressLineNumbers w:val="0"/>
              <w:jc w:val="center"/>
              <w:textAlignment w:val="center"/>
              <w:rPr>
                <w:rFonts w:hint="eastAsia" w:ascii="宋体" w:hAnsi="宋体" w:eastAsia="宋体" w:cs="宋体"/>
                <w:kern w:val="0"/>
                <w:sz w:val="24"/>
                <w:szCs w:val="24"/>
                <w:lang w:val="en-US" w:eastAsia="zh-CN" w:bidi="ar"/>
              </w:rPr>
            </w:pPr>
            <w:r>
              <w:rPr>
                <w:rFonts w:hint="eastAsia" w:ascii="宋体" w:hAnsi="宋体" w:cs="宋体"/>
                <w:kern w:val="0"/>
                <w:sz w:val="24"/>
                <w:szCs w:val="24"/>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exac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工程费用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3,415.73</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2,690.17</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78.76%</w:t>
            </w:r>
          </w:p>
        </w:tc>
        <w:tc>
          <w:tcPr>
            <w:tcW w:w="4138"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工程总包进度款、材料款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exac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管理费用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32.00</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10.31</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32.21%</w:t>
            </w:r>
          </w:p>
        </w:tc>
        <w:tc>
          <w:tcPr>
            <w:tcW w:w="4138"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工资、社保公积金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1" w:hRule="exac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营销费用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1,072.49</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28.43</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2.65%</w:t>
            </w:r>
          </w:p>
        </w:tc>
        <w:tc>
          <w:tcPr>
            <w:tcW w:w="4138"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房车宝服务费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0" w:hRule="exact"/>
          <w:jc w:val="center"/>
        </w:trPr>
        <w:tc>
          <w:tcPr>
            <w:tcW w:w="1241" w:type="dxa"/>
            <w:vAlign w:val="center"/>
          </w:tcPr>
          <w:p>
            <w:pPr>
              <w:widowControl/>
              <w:jc w:val="center"/>
              <w:textAlignment w:val="center"/>
              <w:rPr>
                <w:rFonts w:ascii="宋体" w:hAnsi="宋体" w:cs="宋体"/>
                <w:kern w:val="0"/>
                <w:sz w:val="24"/>
                <w:szCs w:val="24"/>
                <w:lang w:bidi="ar"/>
              </w:rPr>
            </w:pPr>
            <w:r>
              <w:rPr>
                <w:rFonts w:hint="eastAsia" w:ascii="宋体" w:hAnsi="宋体" w:cs="宋体"/>
                <w:color w:val="000000"/>
                <w:kern w:val="0"/>
                <w:sz w:val="24"/>
                <w:szCs w:val="24"/>
                <w:lang w:bidi="ar"/>
              </w:rPr>
              <w:t>财务费用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400.00</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542.13</w:t>
            </w:r>
          </w:p>
        </w:tc>
        <w:tc>
          <w:tcPr>
            <w:tcW w:w="165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135.53%</w:t>
            </w:r>
          </w:p>
        </w:tc>
        <w:tc>
          <w:tcPr>
            <w:tcW w:w="4138"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税费、手续费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0" w:hRule="exact"/>
          <w:jc w:val="center"/>
        </w:trPr>
        <w:tc>
          <w:tcPr>
            <w:tcW w:w="1241" w:type="dxa"/>
            <w:vAlign w:val="center"/>
          </w:tcPr>
          <w:p>
            <w:pPr>
              <w:widowControl/>
              <w:jc w:val="center"/>
              <w:textAlignment w:val="center"/>
              <w:rPr>
                <w:rFonts w:ascii="宋体" w:hAnsi="宋体"/>
                <w:sz w:val="24"/>
                <w:szCs w:val="24"/>
              </w:rPr>
            </w:pPr>
            <w:r>
              <w:rPr>
                <w:rFonts w:hint="eastAsia" w:ascii="宋体" w:hAnsi="宋体" w:cs="宋体"/>
                <w:color w:val="000000"/>
                <w:kern w:val="0"/>
                <w:sz w:val="24"/>
                <w:szCs w:val="24"/>
                <w:lang w:bidi="ar"/>
              </w:rPr>
              <w:t>其他费用</w:t>
            </w:r>
          </w:p>
        </w:tc>
        <w:tc>
          <w:tcPr>
            <w:tcW w:w="152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360.00</w:t>
            </w:r>
          </w:p>
        </w:tc>
        <w:tc>
          <w:tcPr>
            <w:tcW w:w="1740" w:type="dxa"/>
            <w:vAlign w:val="center"/>
          </w:tcPr>
          <w:p>
            <w:pPr>
              <w:keepNext w:val="0"/>
              <w:keepLines w:val="0"/>
              <w:widowControl/>
              <w:suppressLineNumbers w:val="0"/>
              <w:jc w:val="center"/>
              <w:textAlignment w:val="center"/>
              <w:rPr>
                <w:rFonts w:ascii="宋体" w:hAnsi="宋体"/>
                <w:sz w:val="24"/>
                <w:szCs w:val="24"/>
              </w:rPr>
            </w:pPr>
            <w:r>
              <w:rPr>
                <w:rFonts w:hint="eastAsia" w:ascii="宋体" w:hAnsi="宋体" w:eastAsia="宋体" w:cs="宋体"/>
                <w:i w:val="0"/>
                <w:iCs w:val="0"/>
                <w:color w:val="000000"/>
                <w:kern w:val="0"/>
                <w:sz w:val="24"/>
                <w:szCs w:val="24"/>
                <w:u w:val="none"/>
                <w:lang w:val="en-US" w:eastAsia="zh-CN" w:bidi="ar"/>
              </w:rPr>
              <w:t>7.00</w:t>
            </w:r>
          </w:p>
        </w:tc>
        <w:tc>
          <w:tcPr>
            <w:tcW w:w="1650"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1.94%</w:t>
            </w:r>
          </w:p>
        </w:tc>
        <w:tc>
          <w:tcPr>
            <w:tcW w:w="4138" w:type="dxa"/>
            <w:vAlign w:val="center"/>
          </w:tcPr>
          <w:p>
            <w:pPr>
              <w:keepNext w:val="0"/>
              <w:keepLines w:val="0"/>
              <w:widowControl/>
              <w:suppressLineNumbers w:val="0"/>
              <w:jc w:val="center"/>
              <w:textAlignment w:val="center"/>
              <w:rPr>
                <w:rFonts w:ascii="宋体" w:hAnsi="宋体" w:cs="宋体"/>
                <w:kern w:val="0"/>
                <w:sz w:val="24"/>
                <w:szCs w:val="24"/>
                <w:lang w:bidi="ar"/>
              </w:rPr>
            </w:pPr>
            <w:r>
              <w:rPr>
                <w:rFonts w:hint="eastAsia" w:ascii="宋体" w:hAnsi="宋体" w:eastAsia="宋体" w:cs="宋体"/>
                <w:i w:val="0"/>
                <w:iCs w:val="0"/>
                <w:color w:val="000000"/>
                <w:kern w:val="0"/>
                <w:sz w:val="24"/>
                <w:szCs w:val="24"/>
                <w:u w:val="none"/>
                <w:lang w:val="en-US" w:eastAsia="zh-CN" w:bidi="ar"/>
              </w:rPr>
              <w:t>退筹金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241" w:type="dxa"/>
            <w:vAlign w:val="center"/>
          </w:tcPr>
          <w:p>
            <w:pPr>
              <w:widowControl/>
              <w:jc w:val="center"/>
              <w:textAlignment w:val="center"/>
              <w:rPr>
                <w:rFonts w:ascii="宋体" w:hAnsi="宋体" w:cs="宋体"/>
                <w:b/>
                <w:kern w:val="0"/>
                <w:sz w:val="24"/>
                <w:szCs w:val="24"/>
                <w:lang w:bidi="ar"/>
              </w:rPr>
            </w:pPr>
            <w:r>
              <w:rPr>
                <w:rFonts w:hint="eastAsia" w:ascii="宋体" w:hAnsi="宋体" w:cs="宋体"/>
                <w:color w:val="000000"/>
                <w:kern w:val="0"/>
                <w:sz w:val="24"/>
                <w:szCs w:val="24"/>
                <w:lang w:bidi="ar"/>
              </w:rPr>
              <w:t>往来款</w:t>
            </w:r>
          </w:p>
        </w:tc>
        <w:tc>
          <w:tcPr>
            <w:tcW w:w="1520" w:type="dxa"/>
            <w:vAlign w:val="center"/>
          </w:tcPr>
          <w:p>
            <w:pPr>
              <w:keepNext w:val="0"/>
              <w:keepLines w:val="0"/>
              <w:widowControl/>
              <w:suppressLineNumbers w:val="0"/>
              <w:jc w:val="center"/>
              <w:textAlignment w:val="center"/>
              <w:rPr>
                <w:rFonts w:ascii="宋体" w:hAnsi="宋体" w:cs="宋体"/>
                <w:b/>
                <w:bCs/>
                <w:kern w:val="0"/>
                <w:sz w:val="24"/>
                <w:szCs w:val="24"/>
                <w:lang w:bidi="ar"/>
              </w:rPr>
            </w:pPr>
            <w:r>
              <w:rPr>
                <w:rFonts w:hint="eastAsia" w:ascii="宋体" w:hAnsi="宋体" w:eastAsia="宋体" w:cs="宋体"/>
                <w:i w:val="0"/>
                <w:iCs w:val="0"/>
                <w:color w:val="000000"/>
                <w:kern w:val="0"/>
                <w:sz w:val="24"/>
                <w:szCs w:val="24"/>
                <w:u w:val="none"/>
                <w:lang w:val="en-US" w:eastAsia="zh-CN" w:bidi="ar"/>
              </w:rPr>
              <w:t>0.00</w:t>
            </w:r>
          </w:p>
        </w:tc>
        <w:tc>
          <w:tcPr>
            <w:tcW w:w="1740" w:type="dxa"/>
            <w:vAlign w:val="center"/>
          </w:tcPr>
          <w:p>
            <w:pPr>
              <w:keepNext w:val="0"/>
              <w:keepLines w:val="0"/>
              <w:widowControl/>
              <w:suppressLineNumbers w:val="0"/>
              <w:jc w:val="center"/>
              <w:textAlignment w:val="center"/>
              <w:rPr>
                <w:rFonts w:ascii="宋体" w:hAnsi="宋体"/>
                <w:b/>
                <w:bCs/>
                <w:sz w:val="24"/>
                <w:szCs w:val="24"/>
              </w:rPr>
            </w:pPr>
            <w:r>
              <w:rPr>
                <w:rFonts w:hint="eastAsia" w:ascii="宋体" w:hAnsi="宋体" w:eastAsia="宋体" w:cs="宋体"/>
                <w:i w:val="0"/>
                <w:iCs w:val="0"/>
                <w:color w:val="000000"/>
                <w:kern w:val="0"/>
                <w:sz w:val="24"/>
                <w:szCs w:val="24"/>
                <w:u w:val="none"/>
                <w:lang w:val="en-US" w:eastAsia="zh-CN" w:bidi="ar"/>
              </w:rPr>
              <w:t>3,140.00</w:t>
            </w:r>
          </w:p>
        </w:tc>
        <w:tc>
          <w:tcPr>
            <w:tcW w:w="1650" w:type="dxa"/>
            <w:vAlign w:val="center"/>
          </w:tcPr>
          <w:p>
            <w:pPr>
              <w:keepNext w:val="0"/>
              <w:keepLines w:val="0"/>
              <w:widowControl/>
              <w:suppressLineNumbers w:val="0"/>
              <w:jc w:val="center"/>
              <w:textAlignment w:val="center"/>
              <w:rPr>
                <w:rFonts w:ascii="宋体" w:hAnsi="宋体" w:cs="宋体"/>
                <w:b/>
                <w:kern w:val="0"/>
                <w:sz w:val="24"/>
                <w:szCs w:val="24"/>
                <w:lang w:bidi="ar"/>
              </w:rPr>
            </w:pPr>
            <w:r>
              <w:rPr>
                <w:rFonts w:hint="eastAsia" w:ascii="宋体" w:hAnsi="宋体" w:eastAsia="宋体" w:cs="宋体"/>
                <w:i w:val="0"/>
                <w:iCs w:val="0"/>
                <w:color w:val="000000"/>
                <w:kern w:val="0"/>
                <w:sz w:val="24"/>
                <w:szCs w:val="24"/>
                <w:u w:val="none"/>
                <w:lang w:val="en-US" w:eastAsia="zh-CN" w:bidi="ar"/>
              </w:rPr>
              <w:t>-</w:t>
            </w:r>
          </w:p>
        </w:tc>
        <w:tc>
          <w:tcPr>
            <w:tcW w:w="4138" w:type="dxa"/>
            <w:vAlign w:val="center"/>
          </w:tcPr>
          <w:p>
            <w:pPr>
              <w:keepNext w:val="0"/>
              <w:keepLines w:val="0"/>
              <w:widowControl/>
              <w:suppressLineNumbers w:val="0"/>
              <w:jc w:val="center"/>
              <w:textAlignment w:val="center"/>
              <w:rPr>
                <w:rFonts w:ascii="宋体" w:hAnsi="宋体" w:cs="宋体"/>
                <w:b/>
                <w:kern w:val="0"/>
                <w:sz w:val="24"/>
                <w:szCs w:val="24"/>
                <w:lang w:bidi="ar"/>
              </w:rPr>
            </w:pPr>
            <w:r>
              <w:rPr>
                <w:rFonts w:hint="eastAsia" w:ascii="宋体" w:hAnsi="宋体" w:eastAsia="宋体" w:cs="宋体"/>
                <w:i w:val="0"/>
                <w:iCs w:val="0"/>
                <w:color w:val="000000"/>
                <w:kern w:val="0"/>
                <w:sz w:val="24"/>
                <w:szCs w:val="24"/>
                <w:u w:val="none"/>
                <w:lang w:val="en-US" w:eastAsia="zh-CN" w:bidi="ar"/>
              </w:rPr>
              <w:t>工程款账内盘活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jc w:val="center"/>
        </w:trPr>
        <w:tc>
          <w:tcPr>
            <w:tcW w:w="1241" w:type="dxa"/>
            <w:vAlign w:val="center"/>
          </w:tcPr>
          <w:p>
            <w:pPr>
              <w:widowControl/>
              <w:jc w:val="center"/>
              <w:textAlignment w:val="center"/>
              <w:rPr>
                <w:rFonts w:ascii="宋体" w:hAnsi="宋体" w:cs="宋体"/>
                <w:b/>
                <w:kern w:val="0"/>
                <w:sz w:val="24"/>
                <w:szCs w:val="24"/>
                <w:lang w:bidi="ar"/>
              </w:rPr>
            </w:pPr>
            <w:r>
              <w:rPr>
                <w:rFonts w:hint="eastAsia" w:ascii="宋体" w:hAnsi="宋体" w:cs="宋体"/>
                <w:b/>
                <w:bCs/>
                <w:color w:val="000000"/>
                <w:kern w:val="0"/>
                <w:sz w:val="24"/>
                <w:szCs w:val="24"/>
                <w:lang w:bidi="ar"/>
              </w:rPr>
              <w:t>合计</w:t>
            </w:r>
          </w:p>
        </w:tc>
        <w:tc>
          <w:tcPr>
            <w:tcW w:w="1520" w:type="dxa"/>
            <w:vAlign w:val="center"/>
          </w:tcPr>
          <w:p>
            <w:pPr>
              <w:keepNext w:val="0"/>
              <w:keepLines w:val="0"/>
              <w:widowControl/>
              <w:suppressLineNumbers w:val="0"/>
              <w:jc w:val="center"/>
              <w:textAlignment w:val="center"/>
              <w:rPr>
                <w:rFonts w:ascii="宋体" w:hAnsi="宋体" w:cs="宋体"/>
                <w:b/>
                <w:bCs/>
                <w:kern w:val="0"/>
                <w:sz w:val="24"/>
                <w:szCs w:val="24"/>
                <w:lang w:bidi="ar"/>
              </w:rPr>
            </w:pPr>
            <w:r>
              <w:rPr>
                <w:rFonts w:hint="eastAsia" w:ascii="宋体" w:hAnsi="宋体" w:eastAsia="宋体" w:cs="宋体"/>
                <w:b/>
                <w:bCs/>
                <w:i w:val="0"/>
                <w:iCs w:val="0"/>
                <w:color w:val="000000"/>
                <w:kern w:val="0"/>
                <w:sz w:val="24"/>
                <w:szCs w:val="24"/>
                <w:u w:val="none"/>
                <w:lang w:val="en-US" w:eastAsia="zh-CN" w:bidi="ar"/>
              </w:rPr>
              <w:t>5,650.06</w:t>
            </w:r>
          </w:p>
        </w:tc>
        <w:tc>
          <w:tcPr>
            <w:tcW w:w="1740" w:type="dxa"/>
            <w:vAlign w:val="center"/>
          </w:tcPr>
          <w:p>
            <w:pPr>
              <w:keepNext w:val="0"/>
              <w:keepLines w:val="0"/>
              <w:widowControl/>
              <w:suppressLineNumbers w:val="0"/>
              <w:jc w:val="center"/>
              <w:textAlignment w:val="center"/>
              <w:rPr>
                <w:rFonts w:ascii="宋体" w:hAnsi="宋体"/>
                <w:b/>
                <w:bCs/>
                <w:sz w:val="24"/>
                <w:szCs w:val="24"/>
              </w:rPr>
            </w:pPr>
            <w:r>
              <w:rPr>
                <w:rFonts w:hint="eastAsia" w:ascii="宋体" w:hAnsi="宋体" w:eastAsia="宋体" w:cs="宋体"/>
                <w:b/>
                <w:bCs/>
                <w:i w:val="0"/>
                <w:iCs w:val="0"/>
                <w:color w:val="000000"/>
                <w:kern w:val="0"/>
                <w:sz w:val="24"/>
                <w:szCs w:val="24"/>
                <w:u w:val="none"/>
                <w:lang w:val="en-US" w:eastAsia="zh-CN" w:bidi="ar"/>
              </w:rPr>
              <w:t>6,418.04</w:t>
            </w:r>
          </w:p>
        </w:tc>
        <w:tc>
          <w:tcPr>
            <w:tcW w:w="1650" w:type="dxa"/>
            <w:vAlign w:val="center"/>
          </w:tcPr>
          <w:p>
            <w:pPr>
              <w:keepNext w:val="0"/>
              <w:keepLines w:val="0"/>
              <w:widowControl/>
              <w:suppressLineNumbers w:val="0"/>
              <w:jc w:val="center"/>
              <w:textAlignment w:val="center"/>
              <w:rPr>
                <w:rFonts w:ascii="宋体" w:hAnsi="宋体" w:cs="宋体"/>
                <w:b/>
                <w:bCs/>
                <w:color w:val="000000"/>
                <w:kern w:val="0"/>
                <w:sz w:val="24"/>
                <w:szCs w:val="24"/>
                <w:lang w:bidi="ar"/>
              </w:rPr>
            </w:pPr>
            <w:r>
              <w:rPr>
                <w:rFonts w:hint="eastAsia" w:ascii="宋体" w:hAnsi="宋体" w:eastAsia="宋体" w:cs="宋体"/>
                <w:b/>
                <w:bCs/>
                <w:i w:val="0"/>
                <w:iCs w:val="0"/>
                <w:color w:val="000000"/>
                <w:kern w:val="0"/>
                <w:sz w:val="24"/>
                <w:szCs w:val="24"/>
                <w:u w:val="none"/>
                <w:lang w:val="en-US" w:eastAsia="zh-CN" w:bidi="ar"/>
              </w:rPr>
              <w:t>113.59%</w:t>
            </w:r>
          </w:p>
        </w:tc>
        <w:tc>
          <w:tcPr>
            <w:tcW w:w="4138" w:type="dxa"/>
            <w:vAlign w:val="center"/>
          </w:tcPr>
          <w:p>
            <w:pPr>
              <w:jc w:val="center"/>
              <w:rPr>
                <w:rFonts w:ascii="宋体" w:hAnsi="宋体" w:cs="宋体"/>
                <w:b/>
                <w:bCs/>
                <w:kern w:val="0"/>
                <w:sz w:val="24"/>
                <w:szCs w:val="24"/>
                <w:lang w:bidi="ar"/>
              </w:rPr>
            </w:pPr>
          </w:p>
        </w:tc>
      </w:tr>
    </w:tbl>
    <w:p>
      <w:pPr>
        <w:pStyle w:val="10"/>
        <w:spacing w:after="156" w:afterLines="50"/>
        <w:ind w:firstLine="0" w:firstLineChars="0"/>
        <w:rPr>
          <w:rFonts w:ascii="宋体" w:hAnsi="宋体" w:cs="宋体"/>
          <w:b/>
          <w:sz w:val="24"/>
        </w:rPr>
      </w:pPr>
      <w:r>
        <w:rPr>
          <w:rFonts w:hint="eastAsia" w:ascii="宋体" w:hAnsi="宋体" w:cs="Arial"/>
          <w:bCs/>
          <w:sz w:val="15"/>
          <w:szCs w:val="13"/>
        </w:rPr>
        <w:t>注：上表采用电算化连续计算得出，由于计算数据均按四舍五入保留两位小数或取整，故可能出现个别加总不完全相等的情况。</w:t>
      </w:r>
    </w:p>
    <w:p>
      <w:pPr>
        <w:spacing w:before="156" w:beforeLines="50" w:after="156" w:afterLines="50" w:line="360" w:lineRule="auto"/>
        <w:ind w:left="225" w:firstLine="480" w:firstLineChars="200"/>
        <w:rPr>
          <w:rFonts w:ascii="宋体" w:hAnsi="宋体" w:cs="宋体"/>
          <w:b/>
          <w:sz w:val="24"/>
        </w:rPr>
      </w:pPr>
      <w:r>
        <w:rPr>
          <w:rFonts w:hint="eastAsia" w:ascii="宋体" w:hAnsi="宋体"/>
          <w:bCs/>
          <w:sz w:val="24"/>
          <w:szCs w:val="24"/>
          <w:lang w:bidi="zh-CN"/>
        </w:rPr>
        <w:t>根据《</w:t>
      </w:r>
      <w:r>
        <w:rPr>
          <w:rFonts w:hint="eastAsia" w:ascii="宋体" w:hAnsi="宋体"/>
          <w:bCs/>
          <w:sz w:val="24"/>
          <w:szCs w:val="24"/>
          <w:lang w:val="en-US" w:bidi="zh-CN"/>
        </w:rPr>
        <w:t>6</w:t>
      </w:r>
      <w:r>
        <w:rPr>
          <w:rFonts w:hint="eastAsia" w:ascii="宋体" w:hAnsi="宋体"/>
          <w:bCs/>
          <w:sz w:val="24"/>
          <w:szCs w:val="24"/>
          <w:lang w:bidi="zh-CN"/>
        </w:rPr>
        <w:t>月份资金计划金额与执行情况对比表》显示，除往来款（</w:t>
      </w:r>
      <w:r>
        <w:rPr>
          <w:rFonts w:hint="eastAsia" w:ascii="宋体" w:hAnsi="宋体" w:eastAsia="宋体" w:cs="宋体"/>
          <w:i w:val="0"/>
          <w:iCs w:val="0"/>
          <w:color w:val="000000"/>
          <w:kern w:val="0"/>
          <w:sz w:val="24"/>
          <w:szCs w:val="24"/>
          <w:u w:val="none"/>
          <w:lang w:val="en-US" w:eastAsia="zh-CN" w:bidi="ar"/>
        </w:rPr>
        <w:t>工程款账内盘活</w:t>
      </w:r>
      <w:r>
        <w:rPr>
          <w:rFonts w:hint="eastAsia" w:ascii="宋体" w:hAnsi="宋体"/>
          <w:bCs/>
          <w:sz w:val="24"/>
          <w:szCs w:val="24"/>
          <w:lang w:bidi="zh-CN"/>
        </w:rPr>
        <w:t>）和</w:t>
      </w:r>
      <w:r>
        <w:rPr>
          <w:rFonts w:hint="eastAsia" w:ascii="宋体" w:hAnsi="宋体"/>
          <w:bCs/>
          <w:sz w:val="24"/>
          <w:szCs w:val="24"/>
          <w:lang w:val="en-US" w:bidi="zh-CN"/>
        </w:rPr>
        <w:t>财务</w:t>
      </w:r>
      <w:r>
        <w:rPr>
          <w:rFonts w:hint="eastAsia" w:ascii="宋体" w:hAnsi="宋体"/>
          <w:bCs/>
          <w:sz w:val="24"/>
          <w:szCs w:val="24"/>
          <w:lang w:bidi="zh-CN"/>
        </w:rPr>
        <w:t>费用（</w:t>
      </w:r>
      <w:r>
        <w:rPr>
          <w:rFonts w:hint="eastAsia" w:ascii="宋体" w:hAnsi="宋体"/>
          <w:bCs/>
          <w:sz w:val="24"/>
          <w:szCs w:val="24"/>
          <w:lang w:val="en-US" w:bidi="zh-CN"/>
        </w:rPr>
        <w:t>主要为税费</w:t>
      </w:r>
      <w:r>
        <w:rPr>
          <w:rFonts w:hint="eastAsia" w:ascii="宋体" w:hAnsi="宋体"/>
          <w:bCs/>
          <w:sz w:val="24"/>
          <w:szCs w:val="24"/>
          <w:lang w:bidi="zh-CN"/>
        </w:rPr>
        <w:t>）</w:t>
      </w:r>
      <w:r>
        <w:rPr>
          <w:rFonts w:hint="eastAsia" w:ascii="宋体" w:hAnsi="宋体"/>
          <w:bCs/>
          <w:sz w:val="24"/>
          <w:szCs w:val="24"/>
          <w:lang w:val="en-US" w:bidi="zh-CN"/>
        </w:rPr>
        <w:t>超支</w:t>
      </w:r>
      <w:r>
        <w:rPr>
          <w:rFonts w:hint="eastAsia" w:ascii="宋体" w:hAnsi="宋体"/>
          <w:bCs/>
          <w:sz w:val="24"/>
          <w:szCs w:val="24"/>
          <w:lang w:bidi="zh-CN"/>
        </w:rPr>
        <w:t>外，实际支付符合项目公司的资金计划。</w:t>
      </w:r>
    </w:p>
    <w:p>
      <w:pPr>
        <w:pStyle w:val="10"/>
        <w:spacing w:after="0" w:line="360" w:lineRule="auto"/>
        <w:ind w:firstLine="482" w:firstLineChars="200"/>
        <w:rPr>
          <w:rFonts w:ascii="宋体" w:hAnsi="宋体" w:cs="宋体"/>
          <w:b/>
          <w:sz w:val="24"/>
        </w:rPr>
      </w:pPr>
    </w:p>
    <w:p>
      <w:pPr>
        <w:pStyle w:val="10"/>
        <w:spacing w:after="0" w:line="360" w:lineRule="auto"/>
        <w:ind w:firstLine="482" w:firstLineChars="200"/>
        <w:rPr>
          <w:rFonts w:ascii="宋体" w:hAnsi="宋体" w:cs="宋体"/>
          <w:b/>
          <w:sz w:val="24"/>
        </w:rPr>
      </w:pPr>
      <w:r>
        <w:rPr>
          <w:rFonts w:hint="eastAsia" w:ascii="宋体" w:hAnsi="宋体" w:cs="宋体"/>
          <w:b/>
          <w:sz w:val="24"/>
        </w:rPr>
        <w:t>三、</w:t>
      </w:r>
      <w:r>
        <w:rPr>
          <w:rFonts w:ascii="宋体" w:hAnsi="宋体"/>
          <w:b/>
          <w:sz w:val="24"/>
          <w:lang w:val="zh-CN" w:bidi="zh-CN"/>
        </w:rPr>
        <w:t>付款情况</w:t>
      </w:r>
      <w:r>
        <w:rPr>
          <w:rFonts w:hint="eastAsia" w:ascii="宋体" w:hAnsi="宋体"/>
          <w:b/>
          <w:sz w:val="24"/>
          <w:lang w:bidi="zh-CN"/>
        </w:rPr>
        <w:t>审核说明</w:t>
      </w:r>
    </w:p>
    <w:p>
      <w:pPr>
        <w:numPr>
          <w:ilvl w:val="0"/>
          <w:numId w:val="3"/>
        </w:numPr>
        <w:spacing w:before="156" w:beforeLines="50" w:after="156" w:afterLines="50" w:line="360" w:lineRule="auto"/>
        <w:rPr>
          <w:rFonts w:ascii="宋体" w:hAnsi="宋体"/>
          <w:bCs/>
          <w:sz w:val="24"/>
          <w:szCs w:val="24"/>
          <w:lang w:bidi="zh-CN"/>
        </w:rPr>
      </w:pPr>
      <w:r>
        <w:rPr>
          <w:rFonts w:hint="eastAsia" w:ascii="宋体" w:hAnsi="宋体"/>
          <w:b/>
          <w:sz w:val="24"/>
          <w:szCs w:val="24"/>
          <w:lang w:bidi="zh-CN"/>
        </w:rPr>
        <w:t>前期费用支出计划说明</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eastAsia="宋体" w:cs="宋体"/>
          <w:bCs/>
          <w:sz w:val="24"/>
          <w:szCs w:val="24"/>
          <w:lang w:bidi="zh-CN"/>
        </w:rPr>
        <w:t>项目公司在2021年</w:t>
      </w:r>
      <w:r>
        <w:rPr>
          <w:rFonts w:hint="eastAsia" w:ascii="宋体" w:hAnsi="宋体" w:eastAsia="宋体" w:cs="宋体"/>
          <w:bCs/>
          <w:sz w:val="24"/>
          <w:szCs w:val="24"/>
          <w:lang w:val="en-US" w:bidi="zh-CN"/>
        </w:rPr>
        <w:t>7</w:t>
      </w:r>
      <w:r>
        <w:rPr>
          <w:rFonts w:hint="eastAsia" w:ascii="宋体" w:hAnsi="宋体" w:eastAsia="宋体" w:cs="宋体"/>
          <w:bCs/>
          <w:sz w:val="24"/>
          <w:szCs w:val="24"/>
          <w:lang w:bidi="zh-CN"/>
        </w:rPr>
        <w:t>月前期费用计划支出金额共计</w:t>
      </w:r>
      <w:r>
        <w:rPr>
          <w:rFonts w:hint="eastAsia" w:ascii="宋体" w:hAnsi="宋体" w:eastAsia="宋体" w:cs="宋体"/>
          <w:bCs/>
          <w:sz w:val="24"/>
          <w:szCs w:val="24"/>
          <w:lang w:val="en-US" w:eastAsia="zh-CN" w:bidi="zh-CN"/>
        </w:rPr>
        <w:t>24.15</w:t>
      </w:r>
      <w:r>
        <w:rPr>
          <w:rFonts w:hint="eastAsia" w:ascii="宋体" w:hAnsi="宋体" w:eastAsia="宋体" w:cs="宋体"/>
          <w:bCs/>
          <w:sz w:val="24"/>
          <w:szCs w:val="24"/>
          <w:lang w:bidi="zh-CN"/>
        </w:rPr>
        <w:t>万元，具体分析如下：</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eastAsia="宋体" w:cs="宋体"/>
          <w:bCs/>
          <w:sz w:val="24"/>
          <w:szCs w:val="24"/>
          <w:lang w:bidi="zh-CN"/>
        </w:rPr>
        <w:t>（</w:t>
      </w:r>
      <w:r>
        <w:rPr>
          <w:rFonts w:hint="eastAsia" w:ascii="宋体" w:hAnsi="宋体" w:eastAsia="宋体" w:cs="宋体"/>
          <w:bCs/>
          <w:sz w:val="24"/>
          <w:szCs w:val="24"/>
          <w:lang w:val="en-US" w:bidi="zh-CN"/>
        </w:rPr>
        <w:t>1</w:t>
      </w:r>
      <w:r>
        <w:rPr>
          <w:rFonts w:hint="eastAsia" w:ascii="宋体" w:hAnsi="宋体" w:eastAsia="宋体" w:cs="宋体"/>
          <w:bCs/>
          <w:sz w:val="24"/>
          <w:szCs w:val="24"/>
          <w:lang w:bidi="zh-CN"/>
        </w:rPr>
        <w:t>）项目公司依据与浙江省建筑科学设计研究院有限公司签订的《绿色建筑咨询合同》，合同总价为14.6</w:t>
      </w:r>
      <w:r>
        <w:rPr>
          <w:rFonts w:hint="eastAsia" w:ascii="宋体" w:hAnsi="宋体" w:cs="宋体"/>
          <w:bCs/>
          <w:sz w:val="24"/>
          <w:szCs w:val="24"/>
          <w:lang w:val="en-US" w:bidi="zh-CN"/>
        </w:rPr>
        <w:t>0</w:t>
      </w:r>
      <w:r>
        <w:rPr>
          <w:rFonts w:hint="eastAsia" w:ascii="宋体" w:hAnsi="宋体" w:eastAsia="宋体" w:cs="宋体"/>
          <w:bCs/>
          <w:sz w:val="24"/>
          <w:szCs w:val="24"/>
          <w:lang w:bidi="zh-CN"/>
        </w:rPr>
        <w:t>万元。截至6月3</w:t>
      </w:r>
      <w:r>
        <w:rPr>
          <w:rFonts w:hint="eastAsia" w:ascii="宋体" w:hAnsi="宋体" w:cs="宋体"/>
          <w:bCs/>
          <w:sz w:val="24"/>
          <w:szCs w:val="24"/>
          <w:lang w:val="en-US" w:bidi="zh-CN"/>
        </w:rPr>
        <w:t>0</w:t>
      </w:r>
      <w:r>
        <w:rPr>
          <w:rFonts w:hint="eastAsia" w:ascii="宋体" w:hAnsi="宋体" w:eastAsia="宋体" w:cs="宋体"/>
          <w:bCs/>
          <w:sz w:val="24"/>
          <w:szCs w:val="24"/>
          <w:lang w:bidi="zh-CN"/>
        </w:rPr>
        <w:t>日，项目公司累计已付0</w:t>
      </w:r>
      <w:r>
        <w:rPr>
          <w:rFonts w:hint="eastAsia" w:ascii="宋体" w:hAnsi="宋体" w:cs="宋体"/>
          <w:bCs/>
          <w:sz w:val="24"/>
          <w:szCs w:val="24"/>
          <w:lang w:val="en-US" w:bidi="zh-CN"/>
        </w:rPr>
        <w:t>.00</w:t>
      </w:r>
      <w:r>
        <w:rPr>
          <w:rFonts w:hint="eastAsia" w:ascii="宋体" w:hAnsi="宋体" w:eastAsia="宋体" w:cs="宋体"/>
          <w:bCs/>
          <w:sz w:val="24"/>
          <w:szCs w:val="24"/>
          <w:lang w:bidi="zh-CN"/>
        </w:rPr>
        <w:t>万元，本月预计支付绿建二星设计标识评审14.6</w:t>
      </w:r>
      <w:r>
        <w:rPr>
          <w:rFonts w:hint="eastAsia" w:ascii="宋体" w:hAnsi="宋体" w:cs="宋体"/>
          <w:bCs/>
          <w:sz w:val="24"/>
          <w:szCs w:val="24"/>
          <w:lang w:val="en-US" w:bidi="zh-CN"/>
        </w:rPr>
        <w:t>0</w:t>
      </w:r>
      <w:r>
        <w:rPr>
          <w:rFonts w:hint="eastAsia" w:ascii="宋体" w:hAnsi="宋体" w:eastAsia="宋体" w:cs="宋体"/>
          <w:bCs/>
          <w:sz w:val="24"/>
          <w:szCs w:val="24"/>
          <w:lang w:bidi="zh-CN"/>
        </w:rPr>
        <w:t>万元。本月支付完成后，项目公司累计支付合同金额占合同总价的</w:t>
      </w:r>
      <w:r>
        <w:rPr>
          <w:rFonts w:hint="eastAsia" w:ascii="宋体" w:hAnsi="宋体" w:cs="宋体"/>
          <w:bCs/>
          <w:sz w:val="24"/>
          <w:szCs w:val="24"/>
          <w:lang w:val="en-US" w:bidi="zh-CN"/>
        </w:rPr>
        <w:t>100%</w:t>
      </w:r>
      <w:r>
        <w:rPr>
          <w:rFonts w:hint="eastAsia" w:ascii="宋体" w:hAnsi="宋体" w:eastAsia="宋体" w:cs="宋体"/>
          <w:bCs/>
          <w:sz w:val="24"/>
          <w:szCs w:val="24"/>
          <w:lang w:bidi="zh-CN"/>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bCs/>
          <w:sz w:val="24"/>
          <w:szCs w:val="24"/>
          <w:lang w:bidi="zh-CN"/>
        </w:rPr>
      </w:pPr>
      <w:r>
        <w:rPr>
          <w:rFonts w:hint="eastAsia" w:ascii="宋体" w:hAnsi="宋体" w:eastAsia="宋体" w:cs="宋体"/>
          <w:bCs/>
          <w:sz w:val="24"/>
          <w:szCs w:val="24"/>
          <w:lang w:bidi="zh-CN"/>
        </w:rPr>
        <w:t>（</w:t>
      </w:r>
      <w:r>
        <w:rPr>
          <w:rFonts w:hint="eastAsia" w:ascii="宋体" w:hAnsi="宋体" w:eastAsia="宋体" w:cs="宋体"/>
          <w:bCs/>
          <w:sz w:val="24"/>
          <w:szCs w:val="24"/>
          <w:lang w:val="en-US" w:bidi="zh-CN"/>
        </w:rPr>
        <w:t>2</w:t>
      </w:r>
      <w:r>
        <w:rPr>
          <w:rFonts w:hint="eastAsia" w:ascii="宋体" w:hAnsi="宋体" w:eastAsia="宋体" w:cs="宋体"/>
          <w:bCs/>
          <w:sz w:val="24"/>
          <w:szCs w:val="24"/>
          <w:lang w:bidi="zh-CN"/>
        </w:rPr>
        <w:t>）预计7月项目方计划支付水土保持补偿费8.95万元，经核查，该合同尚未签订，此金额为项目公司预估金额，实际支付时，我司会严格审核付款资料据实支付。</w:t>
      </w:r>
    </w:p>
    <w:p>
      <w:pPr>
        <w:numPr>
          <w:ilvl w:val="0"/>
          <w:numId w:val="0"/>
        </w:numPr>
        <w:spacing w:before="156" w:beforeLines="50" w:after="156" w:afterLines="50" w:line="360" w:lineRule="auto"/>
        <w:ind w:firstLine="480" w:firstLineChars="200"/>
        <w:rPr>
          <w:rFonts w:ascii="宋体" w:hAnsi="宋体" w:cs="宋体"/>
          <w:sz w:val="24"/>
          <w:szCs w:val="24"/>
        </w:rPr>
      </w:pPr>
      <w:r>
        <w:rPr>
          <w:rFonts w:hint="eastAsia" w:ascii="宋体" w:hAnsi="宋体" w:eastAsia="宋体" w:cs="宋体"/>
          <w:bCs/>
          <w:sz w:val="24"/>
          <w:szCs w:val="24"/>
          <w:lang w:bidi="zh-CN"/>
        </w:rPr>
        <w:t>（</w:t>
      </w:r>
      <w:r>
        <w:rPr>
          <w:rFonts w:hint="eastAsia" w:ascii="宋体" w:hAnsi="宋体" w:eastAsia="宋体" w:cs="宋体"/>
          <w:bCs/>
          <w:sz w:val="24"/>
          <w:szCs w:val="24"/>
          <w:lang w:val="en-US" w:bidi="zh-CN"/>
        </w:rPr>
        <w:t>3</w:t>
      </w:r>
      <w:r>
        <w:rPr>
          <w:rFonts w:hint="eastAsia" w:ascii="宋体" w:hAnsi="宋体" w:eastAsia="宋体" w:cs="宋体"/>
          <w:bCs/>
          <w:sz w:val="24"/>
          <w:szCs w:val="24"/>
          <w:lang w:bidi="zh-CN"/>
        </w:rPr>
        <w:t>）预计7月项目方向嘉兴智联环保技术服务有限公司计划支付噪声检测费0.6</w:t>
      </w:r>
      <w:r>
        <w:rPr>
          <w:rFonts w:hint="eastAsia" w:ascii="宋体" w:hAnsi="宋体" w:cs="宋体"/>
          <w:bCs/>
          <w:sz w:val="24"/>
          <w:szCs w:val="24"/>
          <w:lang w:val="en-US" w:bidi="zh-CN"/>
        </w:rPr>
        <w:t>0</w:t>
      </w:r>
      <w:r>
        <w:rPr>
          <w:rFonts w:hint="eastAsia" w:ascii="宋体" w:hAnsi="宋体" w:eastAsia="宋体" w:cs="宋体"/>
          <w:bCs/>
          <w:sz w:val="24"/>
          <w:szCs w:val="24"/>
          <w:lang w:bidi="zh-CN"/>
        </w:rPr>
        <w:t>万元，经核查，该合同尚未签订，此金额为项目公司预估金额，实际支付时，我司会严格审核付款资料据实支付。</w:t>
      </w:r>
    </w:p>
    <w:p>
      <w:pPr>
        <w:numPr>
          <w:ilvl w:val="255"/>
          <w:numId w:val="0"/>
        </w:numPr>
        <w:spacing w:before="156" w:beforeLines="50" w:after="156" w:afterLines="50" w:line="360" w:lineRule="auto"/>
        <w:ind w:firstLine="480" w:firstLineChars="200"/>
        <w:jc w:val="left"/>
        <w:rPr>
          <w:rFonts w:ascii="宋体" w:hAnsi="宋体" w:cs="宋体"/>
          <w:sz w:val="24"/>
          <w:szCs w:val="24"/>
        </w:rPr>
      </w:pPr>
      <w:r>
        <w:rPr>
          <w:rFonts w:hint="eastAsia" w:ascii="宋体" w:hAnsi="宋体" w:cs="宋体"/>
          <w:sz w:val="24"/>
          <w:szCs w:val="24"/>
          <w:lang w:bidi="zh-CN"/>
        </w:rPr>
        <w:t>经审核，我司认为资金计划表中的金额为预估金额，对于</w:t>
      </w:r>
      <w:r>
        <w:rPr>
          <w:rFonts w:hint="eastAsia" w:ascii="宋体" w:hAnsi="宋体" w:cs="宋体"/>
          <w:sz w:val="24"/>
          <w:szCs w:val="24"/>
        </w:rPr>
        <w:t>未签订合同的款项，需待合同签订后根据合同条款确定是否合理</w:t>
      </w:r>
      <w:r>
        <w:rPr>
          <w:rFonts w:hint="eastAsia" w:ascii="宋体" w:hAnsi="宋体" w:cs="宋体"/>
          <w:sz w:val="24"/>
          <w:szCs w:val="24"/>
          <w:lang w:bidi="zh-CN"/>
        </w:rPr>
        <w:t>，后期我司会对合同签订严格把控，实际支付时，我司会对付款申请、发票、流程、工程合同、现场签证等依据进行审核、计算：</w:t>
      </w:r>
      <w:r>
        <w:rPr>
          <w:rFonts w:hint="eastAsia" w:ascii="宋体" w:hAnsi="宋体" w:cs="宋体"/>
          <w:sz w:val="24"/>
          <w:szCs w:val="24"/>
        </w:rPr>
        <w:t>对于行政单位事业性收费，</w:t>
      </w:r>
      <w:r>
        <w:rPr>
          <w:rFonts w:hint="eastAsia" w:ascii="宋体" w:hAnsi="宋体" w:cs="宋体"/>
          <w:sz w:val="24"/>
          <w:szCs w:val="24"/>
          <w:lang w:bidi="zh-CN"/>
        </w:rPr>
        <w:t>我司会在后期</w:t>
      </w:r>
      <w:r>
        <w:rPr>
          <w:rFonts w:hint="eastAsia" w:ascii="宋体" w:hAnsi="宋体" w:cs="宋体"/>
          <w:sz w:val="24"/>
          <w:szCs w:val="24"/>
        </w:rPr>
        <w:t>申请相关款项</w:t>
      </w:r>
      <w:r>
        <w:rPr>
          <w:rFonts w:hint="eastAsia" w:ascii="宋体" w:hAnsi="宋体" w:cs="宋体"/>
          <w:sz w:val="24"/>
          <w:szCs w:val="24"/>
          <w:lang w:bidi="zh-CN"/>
        </w:rPr>
        <w:t>支付时，对付款申请、票据、流程、通知等依据进行审核，</w:t>
      </w:r>
      <w:r>
        <w:rPr>
          <w:rFonts w:hint="eastAsia" w:ascii="宋体" w:hAnsi="宋体" w:cs="宋体"/>
          <w:sz w:val="24"/>
          <w:szCs w:val="24"/>
        </w:rPr>
        <w:t>严格把控，确保资金支付合理、合规。</w:t>
      </w:r>
    </w:p>
    <w:p>
      <w:pPr>
        <w:numPr>
          <w:ilvl w:val="0"/>
          <w:numId w:val="3"/>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工程款资金支出计划说明</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bCs/>
          <w:sz w:val="24"/>
          <w:szCs w:val="24"/>
          <w:lang w:bidi="zh-CN"/>
        </w:rPr>
        <w:t>项目公司在2021年</w:t>
      </w:r>
      <w:r>
        <w:rPr>
          <w:rFonts w:hint="eastAsia" w:ascii="宋体" w:hAnsi="宋体" w:cs="宋体"/>
          <w:bCs/>
          <w:sz w:val="24"/>
          <w:szCs w:val="24"/>
          <w:lang w:val="en-US" w:bidi="zh-CN"/>
        </w:rPr>
        <w:t>7</w:t>
      </w:r>
      <w:r>
        <w:rPr>
          <w:rFonts w:hint="eastAsia" w:ascii="宋体" w:hAnsi="宋体" w:cs="宋体"/>
          <w:bCs/>
          <w:sz w:val="24"/>
          <w:szCs w:val="24"/>
          <w:lang w:bidi="zh-CN"/>
        </w:rPr>
        <w:t>月工程款计划支出金额共计</w:t>
      </w:r>
      <w:r>
        <w:rPr>
          <w:rFonts w:hint="eastAsia" w:ascii="宋体" w:hAnsi="宋体" w:eastAsia="宋体" w:cs="宋体"/>
          <w:i w:val="0"/>
          <w:iCs w:val="0"/>
          <w:color w:val="000000"/>
          <w:kern w:val="0"/>
          <w:sz w:val="24"/>
          <w:szCs w:val="24"/>
          <w:u w:val="none"/>
          <w:lang w:val="en-US" w:eastAsia="zh-CN" w:bidi="ar"/>
        </w:rPr>
        <w:t>2,450.48</w:t>
      </w:r>
      <w:r>
        <w:rPr>
          <w:rFonts w:hint="eastAsia" w:ascii="宋体" w:hAnsi="宋体" w:cs="宋体"/>
          <w:bCs/>
          <w:sz w:val="24"/>
          <w:szCs w:val="24"/>
          <w:lang w:bidi="zh-CN"/>
        </w:rPr>
        <w:t>万元，工程支出明细详见附件，</w:t>
      </w:r>
      <w:r>
        <w:rPr>
          <w:rFonts w:hint="eastAsia" w:ascii="宋体" w:hAnsi="宋体" w:cs="宋体"/>
          <w:sz w:val="24"/>
          <w:szCs w:val="24"/>
        </w:rPr>
        <w:t>具体分析如下：</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项目公司依据与西安高科幕墙门窗有限公司签订的《海盐恒大都汇华庭售楼处、商业外立面幕墙工程施工合同》补充协议（1-赶工奖），合同总价为18.9</w:t>
      </w:r>
      <w:r>
        <w:rPr>
          <w:rFonts w:hint="eastAsia" w:ascii="宋体" w:hAnsi="宋体" w:cs="宋体"/>
          <w:sz w:val="24"/>
          <w:szCs w:val="24"/>
          <w:lang w:val="en-US" w:eastAsia="zh-CN"/>
        </w:rPr>
        <w:t>1</w:t>
      </w:r>
      <w:r>
        <w:rPr>
          <w:rFonts w:hint="eastAsia" w:ascii="宋体" w:hAnsi="宋体" w:cs="宋体"/>
          <w:sz w:val="24"/>
          <w:szCs w:val="24"/>
        </w:rPr>
        <w:t>万元。截至6月30日，项目公司累计已付0</w:t>
      </w:r>
      <w:r>
        <w:rPr>
          <w:rFonts w:hint="eastAsia" w:ascii="宋体" w:hAnsi="宋体" w:cs="宋体"/>
          <w:sz w:val="24"/>
          <w:szCs w:val="24"/>
          <w:lang w:val="en-US" w:eastAsia="zh-CN"/>
        </w:rPr>
        <w:t>.00</w:t>
      </w:r>
      <w:r>
        <w:rPr>
          <w:rFonts w:hint="eastAsia" w:ascii="宋体" w:hAnsi="宋体" w:cs="宋体"/>
          <w:sz w:val="24"/>
          <w:szCs w:val="24"/>
        </w:rPr>
        <w:t>万元，本月预计支付海盐恒大都汇华庭售楼处、商业外立面幕墙工程施工合同赶工奖18.91万元。本月支付完成后，项目公司累计支付合同金额占合同总价的</w:t>
      </w:r>
      <w:r>
        <w:rPr>
          <w:rFonts w:hint="eastAsia" w:ascii="宋体" w:hAnsi="宋体" w:cs="宋体"/>
          <w:sz w:val="24"/>
          <w:szCs w:val="24"/>
          <w:lang w:val="en-US" w:eastAsia="zh-CN"/>
        </w:rPr>
        <w:t>100%</w:t>
      </w:r>
      <w:r>
        <w:rPr>
          <w:rFonts w:hint="eastAsia" w:ascii="宋体" w:hAnsi="宋体" w:cs="宋体"/>
          <w:sz w:val="24"/>
          <w:szCs w:val="24"/>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cs="宋体"/>
          <w:sz w:val="24"/>
          <w:szCs w:val="24"/>
        </w:rPr>
        <w:t>项目公司依据与上海继昱建设工程有限公司签订的《海盐恒大都汇华庭项目展示区售楼处、临时样板房、商业消防工程施工合同》补充协议（1-赶工奖），合同总价为1.9</w:t>
      </w:r>
      <w:r>
        <w:rPr>
          <w:rFonts w:hint="eastAsia" w:ascii="宋体" w:hAnsi="宋体" w:cs="宋体"/>
          <w:sz w:val="24"/>
          <w:szCs w:val="24"/>
          <w:lang w:val="en-US" w:eastAsia="zh-CN"/>
        </w:rPr>
        <w:t>7</w:t>
      </w:r>
      <w:r>
        <w:rPr>
          <w:rFonts w:hint="eastAsia" w:ascii="宋体" w:hAnsi="宋体" w:cs="宋体"/>
          <w:sz w:val="24"/>
          <w:szCs w:val="24"/>
        </w:rPr>
        <w:t>万元。截至6月3</w:t>
      </w:r>
      <w:r>
        <w:rPr>
          <w:rFonts w:hint="eastAsia" w:ascii="宋体" w:hAnsi="宋体" w:cs="宋体"/>
          <w:sz w:val="24"/>
          <w:szCs w:val="24"/>
          <w:lang w:val="en-US" w:eastAsia="zh-CN"/>
        </w:rPr>
        <w:t>0</w:t>
      </w:r>
      <w:r>
        <w:rPr>
          <w:rFonts w:hint="eastAsia" w:ascii="宋体" w:hAnsi="宋体" w:cs="宋体"/>
          <w:sz w:val="24"/>
          <w:szCs w:val="24"/>
        </w:rPr>
        <w:t>日，项目公司累计已付0</w:t>
      </w:r>
      <w:r>
        <w:rPr>
          <w:rFonts w:hint="eastAsia" w:ascii="宋体" w:hAnsi="宋体" w:cs="宋体"/>
          <w:sz w:val="24"/>
          <w:szCs w:val="24"/>
          <w:lang w:val="en-US" w:eastAsia="zh-CN"/>
        </w:rPr>
        <w:t>.00</w:t>
      </w:r>
      <w:r>
        <w:rPr>
          <w:rFonts w:hint="eastAsia" w:ascii="宋体" w:hAnsi="宋体" w:cs="宋体"/>
          <w:sz w:val="24"/>
          <w:szCs w:val="24"/>
        </w:rPr>
        <w:t>万元，本月预计支付海盐恒大都汇华庭项目展示区售楼处、临时样板房、商业消防工程施工合同赶工奖1.97万元。本月支付完成后，项目公司累计支付合同金额占合同总价的</w:t>
      </w:r>
      <w:r>
        <w:rPr>
          <w:rFonts w:hint="eastAsia" w:ascii="宋体" w:hAnsi="宋体" w:cs="宋体"/>
          <w:sz w:val="24"/>
          <w:szCs w:val="24"/>
          <w:lang w:val="en-US" w:eastAsia="zh-CN"/>
        </w:rPr>
        <w:t>100%</w:t>
      </w:r>
      <w:r>
        <w:rPr>
          <w:rFonts w:hint="eastAsia" w:ascii="宋体" w:hAnsi="宋体" w:cs="宋体"/>
          <w:sz w:val="24"/>
          <w:szCs w:val="24"/>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hint="eastAsia" w:ascii="宋体" w:hAnsi="宋体" w:eastAsia="宋体" w:cs="宋体"/>
          <w:sz w:val="24"/>
          <w:szCs w:val="24"/>
        </w:rPr>
        <w:t>项目公司依据与江苏省苏中建设集团股份有限公司签订的《海盐恒大都汇华庭项目主体及配套建设工程施工合同》（1-赶工奖框架协议）及补充协议（2-赶工奖），合同总价为57.6</w:t>
      </w:r>
      <w:r>
        <w:rPr>
          <w:rFonts w:hint="eastAsia" w:ascii="宋体" w:hAnsi="宋体" w:eastAsia="宋体" w:cs="宋体"/>
          <w:sz w:val="24"/>
          <w:szCs w:val="24"/>
          <w:lang w:val="en-US" w:eastAsia="zh-CN"/>
        </w:rPr>
        <w:t>2</w:t>
      </w:r>
      <w:r>
        <w:rPr>
          <w:rFonts w:hint="eastAsia" w:ascii="宋体" w:hAnsi="宋体" w:eastAsia="宋体" w:cs="宋体"/>
          <w:sz w:val="24"/>
          <w:szCs w:val="24"/>
        </w:rPr>
        <w:t>万元。截至6月3</w:t>
      </w:r>
      <w:r>
        <w:rPr>
          <w:rFonts w:hint="eastAsia" w:ascii="宋体" w:hAnsi="宋体" w:eastAsia="宋体" w:cs="宋体"/>
          <w:sz w:val="24"/>
          <w:szCs w:val="24"/>
          <w:lang w:val="en-US" w:eastAsia="zh-CN"/>
        </w:rPr>
        <w:t>0</w:t>
      </w:r>
      <w:r>
        <w:rPr>
          <w:rFonts w:hint="eastAsia" w:ascii="宋体" w:hAnsi="宋体" w:eastAsia="宋体" w:cs="宋体"/>
          <w:sz w:val="24"/>
          <w:szCs w:val="24"/>
        </w:rPr>
        <w:t>日，项目公司累计已付0</w:t>
      </w:r>
      <w:r>
        <w:rPr>
          <w:rFonts w:hint="eastAsia" w:ascii="宋体" w:hAnsi="宋体" w:cs="宋体"/>
          <w:sz w:val="24"/>
          <w:szCs w:val="24"/>
          <w:lang w:val="en-US" w:eastAsia="zh-CN"/>
        </w:rPr>
        <w:t>.00</w:t>
      </w:r>
      <w:r>
        <w:rPr>
          <w:rFonts w:hint="eastAsia" w:ascii="宋体" w:hAnsi="宋体" w:eastAsia="宋体" w:cs="宋体"/>
          <w:sz w:val="24"/>
          <w:szCs w:val="24"/>
        </w:rPr>
        <w:t>万元，本月预计支付海盐都汇华庭项目总包单位赶工奖57.6</w:t>
      </w:r>
      <w:r>
        <w:rPr>
          <w:rFonts w:hint="eastAsia" w:ascii="宋体" w:hAnsi="宋体" w:eastAsia="宋体" w:cs="宋体"/>
          <w:sz w:val="24"/>
          <w:szCs w:val="24"/>
          <w:lang w:val="en-US" w:eastAsia="zh-CN"/>
        </w:rPr>
        <w:t>2</w:t>
      </w:r>
      <w:r>
        <w:rPr>
          <w:rFonts w:hint="eastAsia" w:ascii="宋体" w:hAnsi="宋体" w:eastAsia="宋体" w:cs="宋体"/>
          <w:sz w:val="24"/>
          <w:szCs w:val="24"/>
        </w:rPr>
        <w:t>万元。本月支付完成后，项目公司累计支付合同金额占合同总价的1</w:t>
      </w:r>
      <w:r>
        <w:rPr>
          <w:rFonts w:hint="eastAsia" w:ascii="宋体" w:hAnsi="宋体" w:eastAsia="宋体" w:cs="宋体"/>
          <w:sz w:val="24"/>
          <w:szCs w:val="24"/>
          <w:lang w:val="en-US" w:eastAsia="zh-CN"/>
        </w:rPr>
        <w:t>00%</w:t>
      </w:r>
      <w:r>
        <w:rPr>
          <w:rFonts w:hint="eastAsia" w:ascii="宋体" w:hAnsi="宋体" w:eastAsia="宋体" w:cs="宋体"/>
          <w:sz w:val="24"/>
          <w:szCs w:val="24"/>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hint="eastAsia" w:ascii="宋体" w:hAnsi="宋体" w:eastAsia="宋体" w:cs="宋体"/>
          <w:sz w:val="24"/>
          <w:szCs w:val="24"/>
        </w:rPr>
        <w:t>项目公司依据与江苏省苏中建设集团股份有限公司签订的《海盐恒大都汇华庭项目主体及配套建设工程施工合同》，合同总价为21</w:t>
      </w:r>
      <w:r>
        <w:rPr>
          <w:rFonts w:hint="eastAsia" w:ascii="宋体" w:hAnsi="宋体" w:cs="宋体"/>
          <w:sz w:val="24"/>
          <w:szCs w:val="24"/>
          <w:lang w:val="en-US" w:eastAsia="zh-CN"/>
        </w:rPr>
        <w:t>,</w:t>
      </w:r>
      <w:r>
        <w:rPr>
          <w:rFonts w:hint="eastAsia" w:ascii="宋体" w:hAnsi="宋体" w:eastAsia="宋体" w:cs="宋体"/>
          <w:sz w:val="24"/>
          <w:szCs w:val="24"/>
        </w:rPr>
        <w:t>500</w:t>
      </w:r>
      <w:r>
        <w:rPr>
          <w:rFonts w:hint="eastAsia" w:ascii="宋体" w:hAnsi="宋体" w:cs="宋体"/>
          <w:sz w:val="24"/>
          <w:szCs w:val="24"/>
          <w:lang w:val="en-US" w:eastAsia="zh-CN"/>
        </w:rPr>
        <w:t>.00</w:t>
      </w:r>
      <w:r>
        <w:rPr>
          <w:rFonts w:hint="eastAsia" w:ascii="宋体" w:hAnsi="宋体" w:eastAsia="宋体" w:cs="宋体"/>
          <w:sz w:val="24"/>
          <w:szCs w:val="24"/>
        </w:rPr>
        <w:t>万元。截至6月3</w:t>
      </w:r>
      <w:r>
        <w:rPr>
          <w:rFonts w:hint="eastAsia" w:ascii="宋体" w:hAnsi="宋体" w:eastAsia="宋体" w:cs="宋体"/>
          <w:sz w:val="24"/>
          <w:szCs w:val="24"/>
          <w:lang w:val="en-US" w:eastAsia="zh-CN"/>
        </w:rPr>
        <w:t>0</w:t>
      </w:r>
      <w:r>
        <w:rPr>
          <w:rFonts w:hint="eastAsia" w:ascii="宋体" w:hAnsi="宋体" w:eastAsia="宋体" w:cs="宋体"/>
          <w:sz w:val="24"/>
          <w:szCs w:val="24"/>
        </w:rPr>
        <w:t>日，项目公司累计已开商承、现金支付合计7</w:t>
      </w:r>
      <w:r>
        <w:rPr>
          <w:rFonts w:hint="eastAsia" w:ascii="宋体" w:hAnsi="宋体" w:cs="宋体"/>
          <w:sz w:val="24"/>
          <w:szCs w:val="24"/>
          <w:lang w:val="en-US" w:eastAsia="zh-CN"/>
        </w:rPr>
        <w:t>,</w:t>
      </w:r>
      <w:r>
        <w:rPr>
          <w:rFonts w:hint="eastAsia" w:ascii="宋体" w:hAnsi="宋体" w:eastAsia="宋体" w:cs="宋体"/>
          <w:sz w:val="24"/>
          <w:szCs w:val="24"/>
        </w:rPr>
        <w:t>581.35万元，本月预计支付海盐都汇华庭项目总包单位进度款1923.44万元。本月支付完成后，项目公司累计支付合同金额占合同总价的44</w:t>
      </w:r>
      <w:r>
        <w:rPr>
          <w:rFonts w:hint="eastAsia" w:ascii="宋体" w:hAnsi="宋体" w:eastAsia="宋体" w:cs="宋体"/>
          <w:sz w:val="24"/>
          <w:szCs w:val="24"/>
          <w:lang w:val="en-US" w:eastAsia="zh-CN"/>
        </w:rPr>
        <w:t>.</w:t>
      </w:r>
      <w:r>
        <w:rPr>
          <w:rFonts w:hint="eastAsia" w:ascii="宋体" w:hAnsi="宋体" w:eastAsia="宋体" w:cs="宋体"/>
          <w:sz w:val="24"/>
          <w:szCs w:val="24"/>
        </w:rPr>
        <w:t>21</w:t>
      </w:r>
      <w:r>
        <w:rPr>
          <w:rFonts w:hint="eastAsia" w:ascii="宋体" w:hAnsi="宋体" w:eastAsia="宋体" w:cs="宋体"/>
          <w:sz w:val="24"/>
          <w:szCs w:val="24"/>
          <w:lang w:val="en-US" w:eastAsia="zh-CN"/>
        </w:rPr>
        <w:t>%</w:t>
      </w:r>
      <w:r>
        <w:rPr>
          <w:rFonts w:hint="eastAsia" w:ascii="宋体" w:hAnsi="宋体" w:eastAsia="宋体" w:cs="宋体"/>
          <w:sz w:val="24"/>
          <w:szCs w:val="24"/>
        </w:rPr>
        <w:t>。实际支付时，我司会严格审核付款资料，并按合同条款进行支付。</w:t>
      </w:r>
    </w:p>
    <w:p>
      <w:pPr>
        <w:numPr>
          <w:ilvl w:val="255"/>
          <w:numId w:val="0"/>
        </w:num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5</w:t>
      </w:r>
      <w:r>
        <w:rPr>
          <w:rFonts w:hint="eastAsia" w:ascii="宋体" w:hAnsi="宋体" w:eastAsia="宋体" w:cs="宋体"/>
          <w:sz w:val="24"/>
          <w:szCs w:val="24"/>
          <w:lang w:eastAsia="zh-CN"/>
        </w:rPr>
        <w:t>）</w:t>
      </w:r>
      <w:r>
        <w:rPr>
          <w:rFonts w:hint="eastAsia" w:ascii="宋体" w:hAnsi="宋体" w:eastAsia="宋体" w:cs="宋体"/>
          <w:sz w:val="24"/>
          <w:szCs w:val="24"/>
        </w:rPr>
        <w:t>预计7月项目方向广州恒大材料设备有限公司计划支付项目材料费100</w:t>
      </w:r>
      <w:r>
        <w:rPr>
          <w:rFonts w:hint="eastAsia" w:ascii="宋体" w:hAnsi="宋体" w:cs="宋体"/>
          <w:sz w:val="24"/>
          <w:szCs w:val="24"/>
          <w:lang w:val="en-US" w:eastAsia="zh-CN"/>
        </w:rPr>
        <w:t>.00</w:t>
      </w:r>
      <w:r>
        <w:rPr>
          <w:rFonts w:hint="eastAsia" w:ascii="宋体" w:hAnsi="宋体" w:eastAsia="宋体" w:cs="宋体"/>
          <w:sz w:val="24"/>
          <w:szCs w:val="24"/>
        </w:rPr>
        <w:t>万元，经核查，该合同尚未签订，此金额为项目公司预估金额，实际支付时，我司会严格审核付款资料据实支付。</w:t>
      </w:r>
    </w:p>
    <w:p>
      <w:pPr>
        <w:numPr>
          <w:ilvl w:val="255"/>
          <w:numId w:val="0"/>
        </w:num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w:t>
      </w:r>
      <w:r>
        <w:rPr>
          <w:rFonts w:hint="eastAsia" w:ascii="宋体" w:hAnsi="宋体" w:eastAsia="宋体" w:cs="宋体"/>
          <w:sz w:val="24"/>
          <w:szCs w:val="24"/>
        </w:rPr>
        <w:t>预计7月项目方向恒大园林集团有限公司计划支付项目园林款100</w:t>
      </w:r>
      <w:r>
        <w:rPr>
          <w:rFonts w:hint="eastAsia" w:ascii="宋体" w:hAnsi="宋体" w:cs="宋体"/>
          <w:sz w:val="24"/>
          <w:szCs w:val="24"/>
          <w:lang w:val="en-US" w:eastAsia="zh-CN"/>
        </w:rPr>
        <w:t>.00</w:t>
      </w:r>
      <w:r>
        <w:rPr>
          <w:rFonts w:hint="eastAsia" w:ascii="宋体" w:hAnsi="宋体" w:eastAsia="宋体" w:cs="宋体"/>
          <w:sz w:val="24"/>
          <w:szCs w:val="24"/>
        </w:rPr>
        <w:t>万元，经核查，该合同尚未签订，此金额为项目公司预估金额，实际支付时，我司会严格审核付款资料据实支付。</w:t>
      </w:r>
    </w:p>
    <w:p>
      <w:pPr>
        <w:numPr>
          <w:ilvl w:val="255"/>
          <w:numId w:val="0"/>
        </w:numPr>
        <w:spacing w:before="156" w:beforeLines="50" w:after="156" w:afterLines="50"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rPr>
        <w:t>预计7月项目方向深圳恒大材料设备有限公司计划支付项目材料费200</w:t>
      </w:r>
      <w:r>
        <w:rPr>
          <w:rFonts w:hint="eastAsia" w:ascii="宋体" w:hAnsi="宋体" w:cs="宋体"/>
          <w:sz w:val="24"/>
          <w:szCs w:val="24"/>
          <w:lang w:val="en-US" w:eastAsia="zh-CN"/>
        </w:rPr>
        <w:t>.00</w:t>
      </w:r>
      <w:r>
        <w:rPr>
          <w:rFonts w:hint="eastAsia" w:ascii="宋体" w:hAnsi="宋体" w:eastAsia="宋体" w:cs="宋体"/>
          <w:sz w:val="24"/>
          <w:szCs w:val="24"/>
        </w:rPr>
        <w:t>万元，经核查，该合同尚未签订，此金额为项目公司预估金额，实际支付时，我司会严格审核付款资料据实支付。</w:t>
      </w:r>
    </w:p>
    <w:p>
      <w:pPr>
        <w:numPr>
          <w:ilvl w:val="0"/>
          <w:numId w:val="0"/>
        </w:numPr>
        <w:spacing w:before="156" w:beforeLines="50" w:after="156" w:afterLines="50" w:line="360" w:lineRule="auto"/>
        <w:ind w:firstLine="480" w:firstLineChars="200"/>
        <w:rPr>
          <w:rFonts w:ascii="宋体" w:hAnsi="宋体" w:cs="宋体"/>
          <w:sz w:val="24"/>
          <w:szCs w:val="24"/>
          <w:lang w:bidi="zh-CN"/>
        </w:rPr>
      </w:pPr>
      <w:r>
        <w:rPr>
          <w:rFonts w:hint="eastAsia" w:ascii="宋体" w:hAnsi="宋体" w:cs="宋体"/>
          <w:sz w:val="24"/>
          <w:szCs w:val="24"/>
          <w:lang w:bidi="zh-CN"/>
        </w:rPr>
        <w:t>预计支付工程电费、水费、材料款</w:t>
      </w:r>
      <w:r>
        <w:rPr>
          <w:rFonts w:hint="eastAsia" w:ascii="宋体" w:hAnsi="宋体" w:cs="宋体"/>
          <w:sz w:val="24"/>
          <w:szCs w:val="24"/>
          <w:lang w:val="en-US" w:bidi="zh-CN"/>
        </w:rPr>
        <w:t>48</w:t>
      </w:r>
      <w:r>
        <w:rPr>
          <w:rFonts w:hint="eastAsia" w:ascii="宋体" w:hAnsi="宋体" w:cs="宋体"/>
          <w:sz w:val="24"/>
          <w:szCs w:val="24"/>
          <w:lang w:bidi="zh-CN"/>
        </w:rPr>
        <w:t>.</w:t>
      </w:r>
      <w:r>
        <w:rPr>
          <w:rFonts w:hint="eastAsia" w:ascii="宋体" w:hAnsi="宋体" w:cs="宋体"/>
          <w:sz w:val="24"/>
          <w:szCs w:val="24"/>
          <w:lang w:val="en-US" w:bidi="zh-CN"/>
        </w:rPr>
        <w:t>55</w:t>
      </w:r>
      <w:r>
        <w:rPr>
          <w:rFonts w:hint="eastAsia" w:ascii="宋体" w:hAnsi="宋体" w:cs="宋体"/>
          <w:sz w:val="24"/>
          <w:szCs w:val="24"/>
          <w:lang w:bidi="zh-CN"/>
        </w:rPr>
        <w:t>万元。</w:t>
      </w:r>
      <w:r>
        <w:rPr>
          <w:rFonts w:hint="eastAsia" w:ascii="宋体" w:hAnsi="宋体" w:cs="宋体"/>
          <w:sz w:val="24"/>
          <w:szCs w:val="24"/>
        </w:rPr>
        <w:t>实际支付时，</w:t>
      </w:r>
      <w:r>
        <w:rPr>
          <w:rFonts w:hint="eastAsia" w:ascii="宋体" w:hAnsi="宋体" w:cs="宋体"/>
          <w:sz w:val="24"/>
          <w:szCs w:val="24"/>
          <w:lang w:bidi="zh-CN"/>
        </w:rPr>
        <w:t>我司会依据发票对实际支付金额把控，并按合同条款严格审核后执行。</w:t>
      </w:r>
    </w:p>
    <w:p>
      <w:pPr>
        <w:numPr>
          <w:ilvl w:val="255"/>
          <w:numId w:val="0"/>
        </w:numPr>
        <w:spacing w:before="156" w:beforeLines="50" w:after="156" w:afterLines="50" w:line="360" w:lineRule="auto"/>
        <w:ind w:firstLine="480" w:firstLineChars="200"/>
        <w:jc w:val="left"/>
        <w:rPr>
          <w:rFonts w:ascii="宋体" w:hAnsi="宋体" w:cs="宋体"/>
          <w:sz w:val="24"/>
          <w:szCs w:val="24"/>
          <w:lang w:bidi="zh-CN"/>
        </w:rPr>
      </w:pPr>
      <w:r>
        <w:rPr>
          <w:rFonts w:hint="eastAsia" w:ascii="宋体" w:hAnsi="宋体" w:cs="宋体"/>
          <w:sz w:val="24"/>
          <w:szCs w:val="24"/>
          <w:lang w:bidi="zh-CN"/>
        </w:rPr>
        <w:t>经审核，我司认为以上合同付款符合合同约定，实际支付时，我司会对付款申请、流程、工程合同、现场签证等依据进行审核、计算，确保资金支付合理、合规；支付的材料款为项目公司预估金额；后期我司会对合同签订严格把控，实际支付时，我司会</w:t>
      </w:r>
      <w:r>
        <w:rPr>
          <w:rFonts w:hint="eastAsia" w:ascii="宋体" w:hAnsi="宋体" w:cs="宋体"/>
          <w:sz w:val="24"/>
          <w:szCs w:val="24"/>
        </w:rPr>
        <w:t>严格按照相关合同付款条款严格执行，</w:t>
      </w:r>
      <w:r>
        <w:rPr>
          <w:rFonts w:hint="eastAsia" w:ascii="宋体" w:hAnsi="宋体" w:cs="宋体"/>
          <w:sz w:val="24"/>
          <w:szCs w:val="24"/>
          <w:lang w:bidi="zh-CN"/>
        </w:rPr>
        <w:t>确保资金支付合理、合规。</w:t>
      </w:r>
    </w:p>
    <w:p>
      <w:pPr>
        <w:numPr>
          <w:ilvl w:val="0"/>
          <w:numId w:val="3"/>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项目公司在2020年</w:t>
      </w:r>
      <w:r>
        <w:rPr>
          <w:rFonts w:hint="eastAsia" w:ascii="宋体" w:hAnsi="宋体"/>
          <w:sz w:val="24"/>
          <w:szCs w:val="24"/>
          <w:lang w:val="en-US" w:eastAsia="zh-CN"/>
        </w:rPr>
        <w:t>7</w:t>
      </w:r>
      <w:r>
        <w:rPr>
          <w:rFonts w:hint="eastAsia" w:ascii="宋体" w:hAnsi="宋体"/>
          <w:sz w:val="24"/>
          <w:szCs w:val="24"/>
        </w:rPr>
        <w:t>月的管理费用支出金额共计3</w:t>
      </w:r>
      <w:r>
        <w:rPr>
          <w:rFonts w:hint="eastAsia" w:ascii="宋体" w:hAnsi="宋体"/>
          <w:sz w:val="24"/>
          <w:szCs w:val="24"/>
          <w:lang w:val="en-US" w:eastAsia="zh-CN"/>
        </w:rPr>
        <w:t>5</w:t>
      </w:r>
      <w:r>
        <w:rPr>
          <w:rFonts w:hint="eastAsia" w:ascii="宋体" w:hAnsi="宋体"/>
          <w:sz w:val="24"/>
          <w:szCs w:val="24"/>
        </w:rPr>
        <w:t>.00万元，具体分析如下：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预计本期支付工资、社保费用3</w:t>
      </w:r>
      <w:r>
        <w:rPr>
          <w:rFonts w:hint="eastAsia" w:ascii="宋体" w:hAnsi="宋体"/>
          <w:sz w:val="24"/>
          <w:szCs w:val="24"/>
          <w:lang w:val="en-US" w:eastAsia="zh-CN"/>
        </w:rPr>
        <w:t>5</w:t>
      </w:r>
      <w:r>
        <w:rPr>
          <w:rFonts w:hint="eastAsia" w:ascii="宋体" w:hAnsi="宋体"/>
          <w:sz w:val="24"/>
          <w:szCs w:val="24"/>
        </w:rPr>
        <w:t>.00万元。</w:t>
      </w:r>
    </w:p>
    <w:p>
      <w:pPr>
        <w:numPr>
          <w:ilvl w:val="255"/>
          <w:numId w:val="0"/>
        </w:numPr>
        <w:spacing w:before="156" w:beforeLines="50" w:after="156" w:afterLines="50" w:line="360" w:lineRule="auto"/>
        <w:ind w:firstLine="480" w:firstLineChars="200"/>
        <w:jc w:val="left"/>
        <w:rPr>
          <w:rFonts w:ascii="宋体" w:hAnsi="宋体"/>
          <w:sz w:val="24"/>
          <w:szCs w:val="24"/>
        </w:rPr>
      </w:pPr>
      <w:r>
        <w:rPr>
          <w:rFonts w:hint="eastAsia" w:ascii="宋体" w:hAnsi="宋体"/>
          <w:sz w:val="24"/>
          <w:szCs w:val="24"/>
          <w:lang w:bidi="zh-CN"/>
        </w:rPr>
        <w:t>经审核，我司认为</w:t>
      </w:r>
      <w:r>
        <w:rPr>
          <w:rFonts w:hint="eastAsia" w:ascii="宋体" w:hAnsi="宋体"/>
          <w:sz w:val="24"/>
          <w:szCs w:val="24"/>
          <w:lang w:val="en-US" w:bidi="zh-CN"/>
        </w:rPr>
        <w:t>7</w:t>
      </w:r>
      <w:r>
        <w:rPr>
          <w:rFonts w:hint="eastAsia" w:ascii="宋体" w:hAnsi="宋体"/>
          <w:sz w:val="24"/>
          <w:szCs w:val="24"/>
          <w:lang w:bidi="zh-CN"/>
        </w:rPr>
        <w:t>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，实际支付时，我司会对付款申请、发票、流程、协议等依据进行审核，确保资金支付合理、合规。</w:t>
      </w:r>
    </w:p>
    <w:p>
      <w:pPr>
        <w:numPr>
          <w:ilvl w:val="0"/>
          <w:numId w:val="3"/>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营销费用资金支出计划说明</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rPr>
        <w:t>项目公司在2020年</w:t>
      </w:r>
      <w:r>
        <w:rPr>
          <w:rFonts w:hint="eastAsia" w:ascii="宋体" w:hAnsi="宋体"/>
          <w:sz w:val="24"/>
          <w:szCs w:val="24"/>
          <w:lang w:val="en-US" w:eastAsia="zh-CN"/>
        </w:rPr>
        <w:t>7</w:t>
      </w:r>
      <w:r>
        <w:rPr>
          <w:rFonts w:hint="eastAsia" w:ascii="宋体" w:hAnsi="宋体"/>
          <w:sz w:val="24"/>
          <w:szCs w:val="24"/>
        </w:rPr>
        <w:t>月的营销费用支出金额共</w:t>
      </w:r>
      <w:r>
        <w:rPr>
          <w:rFonts w:hint="eastAsia" w:ascii="宋体" w:hAnsi="宋体"/>
          <w:sz w:val="24"/>
          <w:szCs w:val="24"/>
          <w:lang w:val="en-US" w:eastAsia="zh-CN"/>
        </w:rPr>
        <w:t>923</w:t>
      </w:r>
      <w:r>
        <w:rPr>
          <w:rFonts w:hint="eastAsia" w:ascii="宋体" w:hAnsi="宋体"/>
          <w:sz w:val="24"/>
          <w:szCs w:val="24"/>
        </w:rPr>
        <w:t>.</w:t>
      </w:r>
      <w:r>
        <w:rPr>
          <w:rFonts w:hint="eastAsia" w:ascii="宋体" w:hAnsi="宋体"/>
          <w:sz w:val="24"/>
          <w:szCs w:val="24"/>
          <w:lang w:val="en-US" w:eastAsia="zh-CN"/>
        </w:rPr>
        <w:t>5</w:t>
      </w:r>
      <w:r>
        <w:rPr>
          <w:rFonts w:hint="eastAsia" w:ascii="宋体" w:hAnsi="宋体"/>
          <w:sz w:val="24"/>
          <w:szCs w:val="24"/>
        </w:rPr>
        <w:t>9万元，具体分析如下 ：</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1</w:t>
      </w:r>
      <w:r>
        <w:rPr>
          <w:rFonts w:hint="eastAsia" w:ascii="宋体" w:hAnsi="宋体"/>
          <w:sz w:val="24"/>
          <w:szCs w:val="24"/>
          <w:lang w:eastAsia="zh-CN"/>
        </w:rPr>
        <w:t>）</w:t>
      </w:r>
      <w:r>
        <w:rPr>
          <w:rFonts w:hint="eastAsia" w:ascii="宋体" w:hAnsi="宋体"/>
          <w:sz w:val="24"/>
          <w:szCs w:val="24"/>
        </w:rPr>
        <w:t>项目公司依据与上海鹤琢广告有限公司签订的《海盐恒大都汇华庭项目全案广告代理合同》，合同总价为</w:t>
      </w:r>
      <w:r>
        <w:rPr>
          <w:rFonts w:hint="eastAsia" w:ascii="宋体" w:hAnsi="宋体"/>
          <w:sz w:val="24"/>
          <w:szCs w:val="24"/>
          <w:lang w:val="en-US" w:eastAsia="zh-CN"/>
        </w:rPr>
        <w:t>90</w:t>
      </w:r>
      <w:r>
        <w:rPr>
          <w:rFonts w:hint="eastAsia" w:ascii="宋体" w:hAnsi="宋体"/>
          <w:sz w:val="24"/>
          <w:szCs w:val="24"/>
        </w:rPr>
        <w:t>万元。截至6月3</w:t>
      </w:r>
      <w:r>
        <w:rPr>
          <w:rFonts w:hint="eastAsia" w:ascii="宋体" w:hAnsi="宋体"/>
          <w:sz w:val="24"/>
          <w:szCs w:val="24"/>
          <w:lang w:val="en-US" w:eastAsia="zh-CN"/>
        </w:rPr>
        <w:t>0</w:t>
      </w:r>
      <w:r>
        <w:rPr>
          <w:rFonts w:hint="eastAsia" w:ascii="宋体" w:hAnsi="宋体"/>
          <w:sz w:val="24"/>
          <w:szCs w:val="24"/>
        </w:rPr>
        <w:t>日，项目公司累计已付32.3</w:t>
      </w:r>
      <w:r>
        <w:rPr>
          <w:rFonts w:hint="eastAsia" w:ascii="宋体" w:hAnsi="宋体"/>
          <w:sz w:val="24"/>
          <w:szCs w:val="24"/>
          <w:lang w:val="en-US" w:eastAsia="zh-CN"/>
        </w:rPr>
        <w:t>0</w:t>
      </w:r>
      <w:r>
        <w:rPr>
          <w:rFonts w:hint="eastAsia" w:ascii="宋体" w:hAnsi="宋体"/>
          <w:sz w:val="24"/>
          <w:szCs w:val="24"/>
        </w:rPr>
        <w:t>万元，本月预计支付2020年10月-2021年2月全案广告公司月费42.1</w:t>
      </w:r>
      <w:r>
        <w:rPr>
          <w:rFonts w:hint="eastAsia" w:ascii="宋体" w:hAnsi="宋体"/>
          <w:sz w:val="24"/>
          <w:szCs w:val="24"/>
          <w:lang w:val="en-US" w:eastAsia="zh-CN"/>
        </w:rPr>
        <w:t>0</w:t>
      </w:r>
      <w:r>
        <w:rPr>
          <w:rFonts w:hint="eastAsia" w:ascii="宋体" w:hAnsi="宋体"/>
          <w:sz w:val="24"/>
          <w:szCs w:val="24"/>
        </w:rPr>
        <w:t>万元。本月支付完成后，项目公司累计支付合同金额占合同总价的82</w:t>
      </w:r>
      <w:r>
        <w:rPr>
          <w:rFonts w:hint="eastAsia" w:ascii="宋体" w:hAnsi="宋体"/>
          <w:sz w:val="24"/>
          <w:szCs w:val="24"/>
          <w:lang w:val="en-US" w:eastAsia="zh-CN"/>
        </w:rPr>
        <w:t>.</w:t>
      </w:r>
      <w:r>
        <w:rPr>
          <w:rFonts w:hint="eastAsia" w:ascii="宋体" w:hAnsi="宋体"/>
          <w:sz w:val="24"/>
          <w:szCs w:val="24"/>
        </w:rPr>
        <w:t>66</w:t>
      </w:r>
      <w:r>
        <w:rPr>
          <w:rFonts w:hint="eastAsia" w:ascii="宋体" w:hAnsi="宋体"/>
          <w:sz w:val="24"/>
          <w:szCs w:val="24"/>
          <w:lang w:val="en-US" w:eastAsia="zh-CN"/>
        </w:rPr>
        <w:t>%</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2</w:t>
      </w:r>
      <w:r>
        <w:rPr>
          <w:rFonts w:hint="eastAsia" w:ascii="宋体" w:hAnsi="宋体"/>
          <w:sz w:val="24"/>
          <w:szCs w:val="24"/>
          <w:lang w:eastAsia="zh-CN"/>
        </w:rPr>
        <w:t>）</w:t>
      </w:r>
      <w:bookmarkStart w:id="1" w:name="_GoBack"/>
      <w:bookmarkEnd w:id="1"/>
      <w:r>
        <w:rPr>
          <w:rFonts w:hint="eastAsia" w:ascii="宋体" w:hAnsi="宋体"/>
          <w:sz w:val="24"/>
          <w:szCs w:val="24"/>
        </w:rPr>
        <w:t>项目公司依据与南京长岛建设工程有限公司签订的《海盐恒大都汇华庭临时样板房室内装修工程施工合同》，合同总价为13.93万元。截至6月3</w:t>
      </w:r>
      <w:r>
        <w:rPr>
          <w:rFonts w:hint="eastAsia" w:ascii="宋体" w:hAnsi="宋体"/>
          <w:sz w:val="24"/>
          <w:szCs w:val="24"/>
          <w:lang w:val="en-US" w:eastAsia="zh-CN"/>
        </w:rPr>
        <w:t>0</w:t>
      </w:r>
      <w:r>
        <w:rPr>
          <w:rFonts w:hint="eastAsia" w:ascii="宋体" w:hAnsi="宋体"/>
          <w:sz w:val="24"/>
          <w:szCs w:val="24"/>
        </w:rPr>
        <w:t>日，项目公司累计已付0万元，本月预计支付海盐恒大都汇华庭临时样板房装修工程备料款6.96万元。本月支付完成后，项目公司累计支付合同金额占合同总价的</w:t>
      </w:r>
      <w:r>
        <w:rPr>
          <w:rFonts w:hint="eastAsia" w:ascii="宋体" w:hAnsi="宋体"/>
          <w:sz w:val="24"/>
          <w:szCs w:val="24"/>
          <w:lang w:val="en-US" w:eastAsia="zh-CN"/>
        </w:rPr>
        <w:t>50%</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rPr>
        <w:t>项目公司依据与上海迪探节能科技有限公司签订的《海盐恒大都汇华庭售楼处、商业、临时样板房铝合金门窗安装工程施工合同》，合同总价为3.97万元。截至6月3</w:t>
      </w:r>
      <w:r>
        <w:rPr>
          <w:rFonts w:hint="eastAsia" w:ascii="宋体" w:hAnsi="宋体"/>
          <w:sz w:val="24"/>
          <w:szCs w:val="24"/>
          <w:lang w:val="en-US" w:eastAsia="zh-CN"/>
        </w:rPr>
        <w:t>0</w:t>
      </w:r>
      <w:r>
        <w:rPr>
          <w:rFonts w:hint="eastAsia" w:ascii="宋体" w:hAnsi="宋体"/>
          <w:sz w:val="24"/>
          <w:szCs w:val="24"/>
        </w:rPr>
        <w:t>日，项目公司累计已付0</w:t>
      </w:r>
      <w:r>
        <w:rPr>
          <w:rFonts w:hint="eastAsia" w:ascii="宋体" w:hAnsi="宋体"/>
          <w:sz w:val="24"/>
          <w:szCs w:val="24"/>
          <w:lang w:val="en-US" w:eastAsia="zh-CN"/>
        </w:rPr>
        <w:t>.00</w:t>
      </w:r>
      <w:r>
        <w:rPr>
          <w:rFonts w:hint="eastAsia" w:ascii="宋体" w:hAnsi="宋体"/>
          <w:sz w:val="24"/>
          <w:szCs w:val="24"/>
        </w:rPr>
        <w:t>万元，本月预计支付海盐恒大都汇华庭售楼处、商业、临时样板房铝合金门窗安装工程进度款3.17万元。本月支付完成后，项目公司累计支付合同金额占合同总价的</w:t>
      </w:r>
      <w:r>
        <w:rPr>
          <w:rFonts w:hint="eastAsia" w:ascii="宋体" w:hAnsi="宋体"/>
          <w:sz w:val="24"/>
          <w:szCs w:val="24"/>
          <w:lang w:val="en-US" w:eastAsia="zh-CN"/>
        </w:rPr>
        <w:t>80%</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项目公司依据与江苏宏洁智慧科技有限公司签订的《海盐恒大都汇华庭项目临时展示区亮化工程施工合同》，合同总价为29</w:t>
      </w:r>
      <w:r>
        <w:rPr>
          <w:rFonts w:hint="eastAsia" w:ascii="宋体" w:hAnsi="宋体"/>
          <w:sz w:val="24"/>
          <w:szCs w:val="24"/>
          <w:lang w:val="en-US" w:eastAsia="zh-CN"/>
        </w:rPr>
        <w:t>.00</w:t>
      </w:r>
      <w:r>
        <w:rPr>
          <w:rFonts w:hint="eastAsia" w:ascii="宋体" w:hAnsi="宋体"/>
          <w:sz w:val="24"/>
          <w:szCs w:val="24"/>
        </w:rPr>
        <w:t>万元。截至6月3</w:t>
      </w:r>
      <w:r>
        <w:rPr>
          <w:rFonts w:hint="eastAsia" w:ascii="宋体" w:hAnsi="宋体"/>
          <w:sz w:val="24"/>
          <w:szCs w:val="24"/>
          <w:lang w:val="en-US" w:eastAsia="zh-CN"/>
        </w:rPr>
        <w:t>0</w:t>
      </w:r>
      <w:r>
        <w:rPr>
          <w:rFonts w:hint="eastAsia" w:ascii="宋体" w:hAnsi="宋体"/>
          <w:sz w:val="24"/>
          <w:szCs w:val="24"/>
        </w:rPr>
        <w:t>日，项目公司累计开商承22.33万元，本月预计支付海盐恒大都汇华庭项目临时展示区亮化工程施工合同结算款</w:t>
      </w:r>
      <w:r>
        <w:rPr>
          <w:rFonts w:hint="eastAsia" w:ascii="宋体" w:hAnsi="宋体"/>
          <w:sz w:val="24"/>
          <w:szCs w:val="24"/>
          <w:lang w:val="en-US" w:eastAsia="zh-CN"/>
        </w:rPr>
        <w:t>4.93</w:t>
      </w:r>
      <w:r>
        <w:rPr>
          <w:rFonts w:hint="eastAsia" w:ascii="宋体" w:hAnsi="宋体"/>
          <w:sz w:val="24"/>
          <w:szCs w:val="24"/>
        </w:rPr>
        <w:t>万元。本月支付完成后，项目公司累计支付合同金额占合同总价的94</w:t>
      </w:r>
      <w:r>
        <w:rPr>
          <w:rFonts w:hint="eastAsia" w:ascii="宋体" w:hAnsi="宋体"/>
          <w:sz w:val="24"/>
          <w:szCs w:val="24"/>
          <w:lang w:val="en-US" w:eastAsia="zh-CN"/>
        </w:rPr>
        <w:t>%</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w:t>
      </w:r>
      <w:r>
        <w:rPr>
          <w:rFonts w:hint="eastAsia" w:ascii="宋体" w:hAnsi="宋体"/>
          <w:sz w:val="24"/>
          <w:szCs w:val="24"/>
        </w:rPr>
        <w:t>项目公司依据与南京唯启广告传媒有限公司签订的《海盐恒大都汇华庭展示区导视系统及精神堡垒制作安装工程施工合同，合同总价为15.03万元。截至6月30日，项目公司累计已开商承11.58万元，本月预计支付海盐恒大都汇华庭展示区导视系统及精神堡垒制作安装工程施工合同结算款2.55万元。本月支付完成后，项目公司累计支付合同金额占合同总价的93</w:t>
      </w:r>
      <w:r>
        <w:rPr>
          <w:rFonts w:hint="eastAsia" w:ascii="宋体" w:hAnsi="宋体"/>
          <w:sz w:val="24"/>
          <w:szCs w:val="24"/>
          <w:lang w:val="en-US" w:eastAsia="zh-CN"/>
        </w:rPr>
        <w:t>.</w:t>
      </w:r>
      <w:r>
        <w:rPr>
          <w:rFonts w:hint="eastAsia" w:ascii="宋体" w:hAnsi="宋体"/>
          <w:sz w:val="24"/>
          <w:szCs w:val="24"/>
        </w:rPr>
        <w:t>98</w:t>
      </w:r>
      <w:r>
        <w:rPr>
          <w:rFonts w:hint="eastAsia" w:ascii="宋体" w:hAnsi="宋体"/>
          <w:sz w:val="24"/>
          <w:szCs w:val="24"/>
          <w:lang w:val="en-US" w:eastAsia="zh-CN"/>
        </w:rPr>
        <w:t>%</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6</w:t>
      </w:r>
      <w:r>
        <w:rPr>
          <w:rFonts w:hint="eastAsia" w:ascii="宋体" w:hAnsi="宋体"/>
          <w:sz w:val="24"/>
          <w:szCs w:val="24"/>
          <w:lang w:eastAsia="zh-CN"/>
        </w:rPr>
        <w:t>）</w:t>
      </w:r>
      <w:r>
        <w:rPr>
          <w:rFonts w:hint="eastAsia" w:ascii="宋体" w:hAnsi="宋体"/>
          <w:sz w:val="24"/>
          <w:szCs w:val="24"/>
        </w:rPr>
        <w:t>项目公司依据与上海迪探节能科技有限公司签订的《海盐恒大都汇华庭售楼处、商业、临时样板房铝合金门窗购销合同，合同总价为22.51万元。截至6月3</w:t>
      </w:r>
      <w:r>
        <w:rPr>
          <w:rFonts w:hint="eastAsia" w:ascii="宋体" w:hAnsi="宋体"/>
          <w:sz w:val="24"/>
          <w:szCs w:val="24"/>
          <w:lang w:val="en-US" w:eastAsia="zh-CN"/>
        </w:rPr>
        <w:t>0</w:t>
      </w:r>
      <w:r>
        <w:rPr>
          <w:rFonts w:hint="eastAsia" w:ascii="宋体" w:hAnsi="宋体"/>
          <w:sz w:val="24"/>
          <w:szCs w:val="24"/>
        </w:rPr>
        <w:t>日，项目公司累计已付0</w:t>
      </w:r>
      <w:r>
        <w:rPr>
          <w:rFonts w:hint="eastAsia" w:ascii="宋体" w:hAnsi="宋体"/>
          <w:sz w:val="24"/>
          <w:szCs w:val="24"/>
          <w:lang w:val="en-US" w:eastAsia="zh-CN"/>
        </w:rPr>
        <w:t>.00</w:t>
      </w:r>
      <w:r>
        <w:rPr>
          <w:rFonts w:hint="eastAsia" w:ascii="宋体" w:hAnsi="宋体"/>
          <w:sz w:val="24"/>
          <w:szCs w:val="24"/>
        </w:rPr>
        <w:t>万元，本月预计支付海盐恒大都汇华庭售楼处、商业、临时样板房铝合金门窗购销合同进度款18.01万元。本月支付完成后，项目公司累计支付合同金额占合同总价的8</w:t>
      </w:r>
      <w:r>
        <w:rPr>
          <w:rFonts w:hint="eastAsia" w:ascii="宋体" w:hAnsi="宋体"/>
          <w:sz w:val="24"/>
          <w:szCs w:val="24"/>
          <w:lang w:val="en-US" w:eastAsia="zh-CN"/>
        </w:rPr>
        <w:t>0%</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sz w:val="24"/>
          <w:szCs w:val="24"/>
        </w:rPr>
      </w:pPr>
      <w:r>
        <w:rPr>
          <w:rFonts w:hint="eastAsia" w:ascii="宋体" w:hAnsi="宋体"/>
          <w:sz w:val="24"/>
          <w:szCs w:val="24"/>
          <w:lang w:eastAsia="zh-CN"/>
        </w:rPr>
        <w:t>（</w:t>
      </w:r>
      <w:r>
        <w:rPr>
          <w:rFonts w:hint="eastAsia" w:ascii="宋体" w:hAnsi="宋体"/>
          <w:sz w:val="24"/>
          <w:szCs w:val="24"/>
          <w:lang w:val="en-US" w:eastAsia="zh-CN"/>
        </w:rPr>
        <w:t>7</w:t>
      </w:r>
      <w:r>
        <w:rPr>
          <w:rFonts w:hint="eastAsia" w:ascii="宋体" w:hAnsi="宋体"/>
          <w:sz w:val="24"/>
          <w:szCs w:val="24"/>
          <w:lang w:eastAsia="zh-CN"/>
        </w:rPr>
        <w:t>）</w:t>
      </w:r>
      <w:r>
        <w:rPr>
          <w:rFonts w:hint="eastAsia" w:ascii="宋体" w:hAnsi="宋体"/>
          <w:sz w:val="24"/>
          <w:szCs w:val="24"/>
        </w:rPr>
        <w:t>项目公司依据与浙江尚都建设有限公司签订的《海盐恒大都汇华庭项目土石方工程施工合同，合同总价为1060.7</w:t>
      </w:r>
      <w:r>
        <w:rPr>
          <w:rFonts w:hint="eastAsia" w:ascii="宋体" w:hAnsi="宋体"/>
          <w:sz w:val="24"/>
          <w:szCs w:val="24"/>
          <w:lang w:val="en-US" w:eastAsia="zh-CN"/>
        </w:rPr>
        <w:t>0</w:t>
      </w:r>
      <w:r>
        <w:rPr>
          <w:rFonts w:hint="eastAsia" w:ascii="宋体" w:hAnsi="宋体"/>
          <w:sz w:val="24"/>
          <w:szCs w:val="24"/>
        </w:rPr>
        <w:t>万元。截至6月3</w:t>
      </w:r>
      <w:r>
        <w:rPr>
          <w:rFonts w:hint="eastAsia" w:ascii="宋体" w:hAnsi="宋体"/>
          <w:sz w:val="24"/>
          <w:szCs w:val="24"/>
          <w:lang w:val="en-US" w:eastAsia="zh-CN"/>
        </w:rPr>
        <w:t>0</w:t>
      </w:r>
      <w:r>
        <w:rPr>
          <w:rFonts w:hint="eastAsia" w:ascii="宋体" w:hAnsi="宋体"/>
          <w:sz w:val="24"/>
          <w:szCs w:val="24"/>
        </w:rPr>
        <w:t>日，项目公司累计已开商承、现金支付合计258.55万元，本月预计支付海盐都汇华庭项目土方单位进度款</w:t>
      </w:r>
      <w:r>
        <w:rPr>
          <w:rFonts w:hint="eastAsia" w:ascii="宋体" w:hAnsi="宋体"/>
          <w:sz w:val="24"/>
          <w:szCs w:val="24"/>
          <w:lang w:val="en-US" w:eastAsia="zh-CN"/>
        </w:rPr>
        <w:t>10</w:t>
      </w:r>
      <w:r>
        <w:rPr>
          <w:rFonts w:hint="eastAsia" w:ascii="宋体" w:hAnsi="宋体"/>
          <w:sz w:val="24"/>
          <w:szCs w:val="24"/>
        </w:rPr>
        <w:t>4.78万元。本月支付完成后，项目公司累计支付合同金额占合同总价的34</w:t>
      </w:r>
      <w:r>
        <w:rPr>
          <w:rFonts w:hint="eastAsia" w:ascii="宋体" w:hAnsi="宋体"/>
          <w:sz w:val="24"/>
          <w:szCs w:val="24"/>
          <w:lang w:val="en-US" w:eastAsia="zh-CN"/>
        </w:rPr>
        <w:t>.</w:t>
      </w:r>
      <w:r>
        <w:rPr>
          <w:rFonts w:hint="eastAsia" w:ascii="宋体" w:hAnsi="宋体"/>
          <w:sz w:val="24"/>
          <w:szCs w:val="24"/>
        </w:rPr>
        <w:t>25</w:t>
      </w:r>
      <w:r>
        <w:rPr>
          <w:rFonts w:hint="eastAsia" w:ascii="宋体" w:hAnsi="宋体"/>
          <w:sz w:val="24"/>
          <w:szCs w:val="24"/>
          <w:lang w:val="en-US" w:eastAsia="zh-CN"/>
        </w:rPr>
        <w:t>%</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hint="eastAsia" w:ascii="宋体" w:hAnsi="宋体" w:eastAsia="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8</w:t>
      </w:r>
      <w:r>
        <w:rPr>
          <w:rFonts w:hint="eastAsia" w:ascii="宋体" w:hAnsi="宋体"/>
          <w:sz w:val="24"/>
          <w:szCs w:val="24"/>
          <w:lang w:eastAsia="zh-CN"/>
        </w:rPr>
        <w:t>）</w:t>
      </w:r>
      <w:r>
        <w:rPr>
          <w:rFonts w:hint="eastAsia" w:ascii="宋体" w:hAnsi="宋体"/>
          <w:sz w:val="24"/>
          <w:szCs w:val="24"/>
        </w:rPr>
        <w:t>项目公司依据与房车宝信息技术（深圳）有限公司</w:t>
      </w:r>
      <w:r>
        <w:rPr>
          <w:rFonts w:hint="eastAsia" w:ascii="宋体" w:hAnsi="宋体"/>
          <w:sz w:val="24"/>
          <w:szCs w:val="24"/>
          <w:lang w:val="en-US" w:eastAsia="zh-CN"/>
        </w:rPr>
        <w:t>签订的《房车宝营销服务合作协议》，</w:t>
      </w:r>
      <w:r>
        <w:rPr>
          <w:rFonts w:hint="eastAsia" w:ascii="宋体" w:hAnsi="宋体"/>
          <w:sz w:val="24"/>
          <w:szCs w:val="24"/>
        </w:rPr>
        <w:t>合同总价为服务费=成交总价* 3.2 %</w:t>
      </w:r>
      <w:r>
        <w:rPr>
          <w:rFonts w:hint="eastAsia" w:ascii="宋体" w:hAnsi="宋体"/>
          <w:sz w:val="24"/>
          <w:szCs w:val="24"/>
          <w:lang w:val="en-US" w:eastAsia="zh-CN"/>
        </w:rPr>
        <w:t>,预计7月支付服务费500.00万元。</w:t>
      </w:r>
      <w:r>
        <w:rPr>
          <w:rFonts w:hint="eastAsia" w:ascii="宋体" w:hAnsi="宋体"/>
          <w:sz w:val="24"/>
          <w:szCs w:val="24"/>
        </w:rPr>
        <w:t>实际支付时，我司会严格审核付款资料，并按合同条款进行支付。</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lang w:bidi="zh-CN"/>
        </w:rPr>
      </w:pPr>
      <w:r>
        <w:rPr>
          <w:rFonts w:hint="eastAsia" w:ascii="宋体" w:hAnsi="宋体"/>
          <w:sz w:val="24"/>
          <w:szCs w:val="24"/>
        </w:rPr>
        <w:t>预计在</w:t>
      </w:r>
      <w:r>
        <w:rPr>
          <w:rFonts w:hint="eastAsia" w:ascii="宋体" w:hAnsi="宋体"/>
          <w:sz w:val="24"/>
          <w:szCs w:val="24"/>
          <w:lang w:val="en-US" w:eastAsia="zh-CN"/>
        </w:rPr>
        <w:t>7</w:t>
      </w:r>
      <w:r>
        <w:rPr>
          <w:rFonts w:hint="eastAsia" w:ascii="宋体" w:hAnsi="宋体"/>
          <w:sz w:val="24"/>
          <w:szCs w:val="24"/>
        </w:rPr>
        <w:t>月支付其他包装费、活动费、物料费</w:t>
      </w:r>
      <w:r>
        <w:rPr>
          <w:rFonts w:hint="eastAsia" w:ascii="宋体" w:hAnsi="宋体"/>
          <w:sz w:val="24"/>
          <w:szCs w:val="24"/>
          <w:lang w:eastAsia="zh-CN"/>
        </w:rPr>
        <w:t>、</w:t>
      </w:r>
      <w:r>
        <w:rPr>
          <w:rFonts w:hint="eastAsia" w:ascii="宋体" w:hAnsi="宋体"/>
          <w:sz w:val="24"/>
          <w:szCs w:val="24"/>
          <w:lang w:val="en-US" w:eastAsia="zh-CN"/>
        </w:rPr>
        <w:t>广宣费</w:t>
      </w:r>
      <w:r>
        <w:rPr>
          <w:rFonts w:hint="eastAsia" w:ascii="宋体" w:hAnsi="宋体"/>
          <w:sz w:val="24"/>
          <w:szCs w:val="24"/>
        </w:rPr>
        <w:t>等2</w:t>
      </w:r>
      <w:r>
        <w:rPr>
          <w:rFonts w:hint="eastAsia" w:ascii="宋体" w:hAnsi="宋体"/>
          <w:sz w:val="24"/>
          <w:szCs w:val="24"/>
          <w:lang w:val="en-US" w:eastAsia="zh-CN"/>
        </w:rPr>
        <w:t>41</w:t>
      </w:r>
      <w:r>
        <w:rPr>
          <w:rFonts w:hint="eastAsia" w:ascii="宋体" w:hAnsi="宋体"/>
          <w:sz w:val="24"/>
          <w:szCs w:val="24"/>
        </w:rPr>
        <w:t>.</w:t>
      </w:r>
      <w:r>
        <w:rPr>
          <w:rFonts w:hint="eastAsia" w:ascii="宋体" w:hAnsi="宋体"/>
          <w:sz w:val="24"/>
          <w:szCs w:val="24"/>
          <w:lang w:val="en-US" w:eastAsia="zh-CN"/>
        </w:rPr>
        <w:t>08</w:t>
      </w:r>
      <w:r>
        <w:rPr>
          <w:rFonts w:hint="eastAsia" w:ascii="宋体" w:hAnsi="宋体"/>
          <w:sz w:val="24"/>
          <w:szCs w:val="24"/>
        </w:rPr>
        <w:t>万元,</w:t>
      </w:r>
      <w:r>
        <w:rPr>
          <w:rFonts w:hint="eastAsia" w:ascii="宋体" w:hAnsi="宋体"/>
          <w:sz w:val="24"/>
          <w:szCs w:val="24"/>
          <w:lang w:bidi="zh-CN"/>
        </w:rPr>
        <w:t>我司会对付款申请、发票、流程、协议等依据进行审核，确保资金支付合理、合规。</w:t>
      </w:r>
    </w:p>
    <w:p>
      <w:pPr>
        <w:numPr>
          <w:ilvl w:val="255"/>
          <w:numId w:val="0"/>
        </w:numPr>
        <w:spacing w:before="156" w:beforeLines="50" w:after="156" w:afterLines="50" w:line="360" w:lineRule="auto"/>
        <w:ind w:firstLine="480" w:firstLineChars="200"/>
        <w:jc w:val="left"/>
        <w:rPr>
          <w:rFonts w:ascii="宋体" w:hAnsi="宋体"/>
          <w:sz w:val="24"/>
          <w:szCs w:val="24"/>
          <w:lang w:bidi="zh-CN"/>
        </w:rPr>
      </w:pPr>
      <w:r>
        <w:rPr>
          <w:rFonts w:hint="eastAsia" w:ascii="宋体" w:hAnsi="宋体"/>
          <w:bCs/>
          <w:sz w:val="24"/>
          <w:szCs w:val="24"/>
          <w:lang w:bidi="zh-CN"/>
        </w:rPr>
        <w:t>经审核，营销费用中已签订合同部分的计划资金支付均符合合同的规定付款时间，未签订合同的需待合同签订后根据合同条款确定是否合理。</w:t>
      </w:r>
      <w:r>
        <w:rPr>
          <w:rFonts w:hint="eastAsia" w:ascii="宋体" w:hAnsi="宋体"/>
          <w:sz w:val="24"/>
          <w:szCs w:val="24"/>
          <w:lang w:bidi="zh-CN"/>
        </w:rPr>
        <w:t>后期我司会对合同签订严格把控，实际支付时，我司会对付款申请、发票、流程、合同等依据进行审核、计算，</w:t>
      </w:r>
      <w:r>
        <w:rPr>
          <w:rFonts w:ascii="宋体" w:hAnsi="宋体"/>
          <w:sz w:val="24"/>
          <w:szCs w:val="24"/>
        </w:rPr>
        <w:t>严格把控，确保资金支付合理、合规</w:t>
      </w:r>
      <w:r>
        <w:rPr>
          <w:rFonts w:hint="eastAsia" w:ascii="宋体" w:hAnsi="宋体"/>
          <w:sz w:val="24"/>
          <w:szCs w:val="24"/>
        </w:rPr>
        <w:t>。</w:t>
      </w:r>
    </w:p>
    <w:p>
      <w:pPr>
        <w:numPr>
          <w:ilvl w:val="0"/>
          <w:numId w:val="3"/>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财务费用支出计划说明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项目公司在2021年</w:t>
      </w:r>
      <w:r>
        <w:rPr>
          <w:rFonts w:hint="eastAsia" w:ascii="宋体" w:hAnsi="宋体"/>
          <w:sz w:val="24"/>
          <w:szCs w:val="24"/>
          <w:lang w:val="en-US" w:bidi="zh-CN"/>
        </w:rPr>
        <w:t>7</w:t>
      </w:r>
      <w:r>
        <w:rPr>
          <w:rFonts w:hint="eastAsia" w:ascii="宋体" w:hAnsi="宋体"/>
          <w:sz w:val="24"/>
          <w:szCs w:val="24"/>
          <w:lang w:bidi="zh-CN"/>
        </w:rPr>
        <w:t>月预估支付税金4</w:t>
      </w:r>
      <w:r>
        <w:rPr>
          <w:rFonts w:hint="eastAsia" w:ascii="宋体" w:hAnsi="宋体"/>
          <w:sz w:val="24"/>
          <w:szCs w:val="24"/>
          <w:lang w:val="en-US" w:bidi="zh-CN"/>
        </w:rPr>
        <w:t>90</w:t>
      </w:r>
      <w:r>
        <w:rPr>
          <w:rFonts w:hint="eastAsia" w:ascii="宋体" w:hAnsi="宋体"/>
          <w:sz w:val="24"/>
          <w:szCs w:val="24"/>
          <w:lang w:bidi="zh-CN"/>
        </w:rPr>
        <w:t>.00万元，实际支付时，我司将严格按当月实际需缴纳的税款执行。</w:t>
      </w:r>
    </w:p>
    <w:p>
      <w:pPr>
        <w:numPr>
          <w:ilvl w:val="0"/>
          <w:numId w:val="3"/>
        </w:numPr>
        <w:spacing w:before="156" w:beforeLines="50" w:after="156" w:afterLines="50" w:line="360" w:lineRule="auto"/>
        <w:rPr>
          <w:rFonts w:ascii="宋体" w:hAnsi="宋体"/>
          <w:b/>
          <w:sz w:val="24"/>
          <w:szCs w:val="24"/>
          <w:lang w:bidi="zh-CN"/>
        </w:rPr>
      </w:pPr>
      <w:r>
        <w:rPr>
          <w:rFonts w:hint="eastAsia" w:ascii="宋体" w:hAnsi="宋体"/>
          <w:b/>
          <w:sz w:val="24"/>
          <w:szCs w:val="24"/>
          <w:lang w:bidi="zh-CN"/>
        </w:rPr>
        <w:t>其他费用计划说明</w:t>
      </w:r>
    </w:p>
    <w:p>
      <w:pPr>
        <w:keepNext w:val="0"/>
        <w:keepLines w:val="0"/>
        <w:pageBreakBefore w:val="0"/>
        <w:widowControl w:val="0"/>
        <w:numPr>
          <w:ilvl w:val="255"/>
          <w:numId w:val="0"/>
        </w:numPr>
        <w:kinsoku/>
        <w:wordWrap/>
        <w:overflowPunct/>
        <w:topLinePunct w:val="0"/>
        <w:autoSpaceDE/>
        <w:autoSpaceDN/>
        <w:bidi w:val="0"/>
        <w:adjustRightInd/>
        <w:snapToGrid/>
        <w:spacing w:before="156" w:beforeLines="50" w:after="156" w:afterLines="50" w:line="360" w:lineRule="auto"/>
        <w:ind w:firstLine="480" w:firstLineChars="200"/>
        <w:textAlignment w:val="auto"/>
        <w:rPr>
          <w:rFonts w:ascii="宋体" w:hAnsi="宋体"/>
          <w:sz w:val="24"/>
          <w:szCs w:val="24"/>
          <w:lang w:bidi="zh-CN"/>
        </w:rPr>
      </w:pPr>
      <w:r>
        <w:rPr>
          <w:rFonts w:hint="eastAsia" w:ascii="宋体" w:hAnsi="宋体"/>
          <w:sz w:val="24"/>
          <w:szCs w:val="24"/>
          <w:lang w:bidi="zh-CN"/>
        </w:rPr>
        <w:t>项目公司在2021年</w:t>
      </w:r>
      <w:r>
        <w:rPr>
          <w:rFonts w:hint="eastAsia" w:ascii="宋体" w:hAnsi="宋体"/>
          <w:sz w:val="24"/>
          <w:szCs w:val="24"/>
          <w:lang w:val="en-US" w:bidi="zh-CN"/>
        </w:rPr>
        <w:t>7</w:t>
      </w:r>
      <w:r>
        <w:rPr>
          <w:rFonts w:hint="eastAsia" w:ascii="宋体" w:hAnsi="宋体"/>
          <w:sz w:val="24"/>
          <w:szCs w:val="24"/>
          <w:lang w:bidi="zh-CN"/>
        </w:rPr>
        <w:t>月预计</w:t>
      </w:r>
      <w:r>
        <w:rPr>
          <w:rFonts w:hint="eastAsia" w:ascii="宋体" w:hAnsi="宋体"/>
          <w:sz w:val="24"/>
          <w:szCs w:val="24"/>
          <w:lang w:val="en-US" w:bidi="zh-CN"/>
        </w:rPr>
        <w:t>支付</w:t>
      </w:r>
      <w:r>
        <w:rPr>
          <w:rFonts w:hint="eastAsia" w:ascii="宋体" w:hAnsi="宋体"/>
          <w:sz w:val="24"/>
          <w:szCs w:val="24"/>
          <w:lang w:bidi="zh-CN"/>
        </w:rPr>
        <w:t>其他</w:t>
      </w:r>
      <w:r>
        <w:rPr>
          <w:rFonts w:hint="eastAsia" w:ascii="宋体" w:hAnsi="宋体"/>
          <w:sz w:val="24"/>
          <w:szCs w:val="24"/>
          <w:lang w:val="en-US" w:bidi="zh-CN"/>
        </w:rPr>
        <w:t>费用800.00万元。其中，</w:t>
      </w:r>
      <w:r>
        <w:rPr>
          <w:rFonts w:hint="eastAsia" w:ascii="宋体" w:hAnsi="宋体"/>
          <w:sz w:val="24"/>
          <w:szCs w:val="24"/>
          <w:lang w:val="en-US" w:eastAsia="zh-CN"/>
        </w:rPr>
        <w:t>预计支付其他</w:t>
      </w:r>
      <w:r>
        <w:rPr>
          <w:rFonts w:hint="eastAsia" w:ascii="宋体" w:hAnsi="宋体"/>
          <w:sz w:val="24"/>
          <w:szCs w:val="24"/>
          <w:lang w:bidi="zh-CN"/>
        </w:rPr>
        <w:t>不可预见费用300.00万元；</w:t>
      </w:r>
      <w:r>
        <w:rPr>
          <w:rFonts w:hint="eastAsia" w:ascii="宋体" w:hAnsi="宋体"/>
          <w:sz w:val="24"/>
          <w:szCs w:val="24"/>
          <w:lang w:eastAsia="zh-CN"/>
        </w:rPr>
        <w:t>预计向各客户计划支付息差500</w:t>
      </w:r>
      <w:r>
        <w:rPr>
          <w:rFonts w:hint="eastAsia" w:ascii="宋体" w:hAnsi="宋体"/>
          <w:sz w:val="24"/>
          <w:szCs w:val="24"/>
          <w:lang w:val="en-US" w:eastAsia="zh-CN"/>
        </w:rPr>
        <w:t>.00</w:t>
      </w:r>
      <w:r>
        <w:rPr>
          <w:rFonts w:hint="eastAsia" w:ascii="宋体" w:hAnsi="宋体"/>
          <w:sz w:val="24"/>
          <w:szCs w:val="24"/>
          <w:lang w:eastAsia="zh-CN"/>
        </w:rPr>
        <w:t>万元，经核查，</w:t>
      </w:r>
      <w:r>
        <w:rPr>
          <w:rFonts w:hint="eastAsia" w:ascii="宋体" w:hAnsi="宋体"/>
          <w:sz w:val="24"/>
          <w:szCs w:val="24"/>
          <w:lang w:val="en-US" w:eastAsia="zh-CN"/>
        </w:rPr>
        <w:t>该息差协议签署用印时已通过贵司内部同意</w:t>
      </w:r>
      <w:r>
        <w:rPr>
          <w:rFonts w:hint="eastAsia" w:ascii="宋体" w:hAnsi="宋体"/>
          <w:sz w:val="24"/>
          <w:szCs w:val="24"/>
          <w:lang w:eastAsia="zh-CN"/>
        </w:rPr>
        <w:t>，此</w:t>
      </w:r>
      <w:r>
        <w:rPr>
          <w:rFonts w:hint="eastAsia" w:ascii="宋体" w:hAnsi="宋体"/>
          <w:sz w:val="24"/>
          <w:szCs w:val="24"/>
          <w:lang w:val="en-US" w:eastAsia="zh-CN"/>
        </w:rPr>
        <w:t>次付款</w:t>
      </w:r>
      <w:r>
        <w:rPr>
          <w:rFonts w:hint="eastAsia" w:ascii="宋体" w:hAnsi="宋体"/>
          <w:sz w:val="24"/>
          <w:szCs w:val="24"/>
          <w:lang w:eastAsia="zh-CN"/>
        </w:rPr>
        <w:t>金额为项目公司预估金额，实际支付时，我司会严格审核付款资料据实支付。</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经审核，其他费用中退</w:t>
      </w:r>
      <w:r>
        <w:rPr>
          <w:rFonts w:hint="eastAsia" w:ascii="宋体" w:hAnsi="宋体"/>
          <w:sz w:val="24"/>
          <w:szCs w:val="24"/>
          <w:lang w:val="en-US" w:bidi="zh-CN"/>
        </w:rPr>
        <w:t>息差</w:t>
      </w:r>
      <w:r>
        <w:rPr>
          <w:rFonts w:hint="eastAsia" w:ascii="宋体" w:hAnsi="宋体"/>
          <w:sz w:val="24"/>
          <w:szCs w:val="24"/>
          <w:lang w:bidi="zh-CN"/>
        </w:rPr>
        <w:t>、不可预见费为预估金额，实际支付时我司会根据协议约定进行审核，并报贵司审批通过后进行支付。我司会对付款申请、发票、流程、相关合同、现场签证等依据进行审核，</w:t>
      </w:r>
      <w:r>
        <w:rPr>
          <w:rFonts w:ascii="宋体" w:hAnsi="宋体"/>
          <w:sz w:val="24"/>
          <w:szCs w:val="24"/>
        </w:rPr>
        <w:t>严格把控，</w:t>
      </w:r>
      <w:r>
        <w:rPr>
          <w:rFonts w:hint="eastAsia" w:ascii="宋体" w:hAnsi="宋体"/>
          <w:sz w:val="24"/>
          <w:szCs w:val="24"/>
          <w:lang w:bidi="zh-CN"/>
        </w:rPr>
        <w:t>确保资金支付合理、合规。</w:t>
      </w:r>
    </w:p>
    <w:p>
      <w:pPr>
        <w:spacing w:before="156" w:beforeLines="50" w:after="156" w:afterLines="50" w:line="360" w:lineRule="auto"/>
        <w:ind w:firstLine="241" w:firstLineChars="100"/>
        <w:rPr>
          <w:rFonts w:ascii="宋体" w:hAnsi="宋体"/>
          <w:b/>
          <w:bCs/>
          <w:sz w:val="24"/>
          <w:szCs w:val="24"/>
          <w:lang w:bidi="zh-CN"/>
        </w:rPr>
      </w:pPr>
      <w:r>
        <w:rPr>
          <w:rFonts w:hint="eastAsia" w:ascii="宋体" w:hAnsi="宋体"/>
          <w:b/>
          <w:bCs/>
          <w:sz w:val="24"/>
          <w:szCs w:val="24"/>
          <w:lang w:bidi="zh-CN"/>
        </w:rPr>
        <w:t>四、结论：</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本次海盐丰涛置业有限公司申报的</w:t>
      </w:r>
      <w:r>
        <w:rPr>
          <w:rFonts w:hint="eastAsia" w:ascii="宋体" w:hAnsi="宋体"/>
          <w:bCs/>
          <w:sz w:val="24"/>
          <w:szCs w:val="24"/>
          <w:lang w:val="en-US" w:bidi="zh-CN"/>
        </w:rPr>
        <w:t>7</w:t>
      </w:r>
      <w:r>
        <w:rPr>
          <w:rFonts w:ascii="宋体" w:hAnsi="宋体"/>
          <w:bCs/>
          <w:sz w:val="24"/>
          <w:szCs w:val="24"/>
          <w:lang w:bidi="zh-CN"/>
        </w:rPr>
        <w:t>月资金计</w:t>
      </w:r>
      <w:r>
        <w:rPr>
          <w:rFonts w:hint="eastAsia" w:ascii="宋体" w:hAnsi="宋体"/>
          <w:bCs/>
          <w:sz w:val="24"/>
          <w:szCs w:val="24"/>
          <w:lang w:bidi="zh-CN"/>
        </w:rPr>
        <w:t>划</w:t>
      </w:r>
      <w:r>
        <w:rPr>
          <w:rFonts w:ascii="宋体" w:hAnsi="宋体"/>
          <w:bCs/>
          <w:sz w:val="24"/>
          <w:szCs w:val="24"/>
          <w:lang w:bidi="zh-CN"/>
        </w:rPr>
        <w:t>包含</w:t>
      </w:r>
      <w:r>
        <w:rPr>
          <w:rFonts w:hint="eastAsia" w:ascii="宋体" w:hAnsi="宋体"/>
          <w:bCs/>
          <w:sz w:val="24"/>
          <w:szCs w:val="24"/>
          <w:lang w:bidi="zh-CN"/>
        </w:rPr>
        <w:t>六</w:t>
      </w:r>
      <w:r>
        <w:rPr>
          <w:rFonts w:ascii="宋体" w:hAnsi="宋体"/>
          <w:bCs/>
          <w:sz w:val="24"/>
          <w:szCs w:val="24"/>
          <w:lang w:bidi="zh-CN"/>
        </w:rPr>
        <w:t>大</w:t>
      </w:r>
      <w:r>
        <w:rPr>
          <w:rFonts w:hint="eastAsia" w:ascii="宋体" w:hAnsi="宋体"/>
          <w:bCs/>
          <w:sz w:val="24"/>
          <w:szCs w:val="24"/>
          <w:lang w:bidi="zh-CN"/>
        </w:rPr>
        <w:t>项目</w:t>
      </w:r>
      <w:r>
        <w:rPr>
          <w:rFonts w:ascii="宋体" w:hAnsi="宋体"/>
          <w:bCs/>
          <w:sz w:val="24"/>
          <w:szCs w:val="24"/>
          <w:lang w:bidi="zh-CN"/>
        </w:rPr>
        <w:t>，分别为</w:t>
      </w:r>
      <w:r>
        <w:rPr>
          <w:rFonts w:hint="eastAsia" w:ascii="宋体" w:hAnsi="宋体"/>
          <w:bCs/>
          <w:sz w:val="24"/>
          <w:szCs w:val="24"/>
          <w:lang w:bidi="zh-CN"/>
        </w:rPr>
        <w:t>前期费用</w:t>
      </w:r>
      <w:r>
        <w:rPr>
          <w:rFonts w:ascii="宋体" w:hAnsi="宋体"/>
          <w:bCs/>
          <w:sz w:val="24"/>
          <w:szCs w:val="24"/>
          <w:lang w:bidi="zh-CN"/>
        </w:rPr>
        <w:t>、</w:t>
      </w:r>
      <w:r>
        <w:rPr>
          <w:rFonts w:hint="eastAsia" w:ascii="宋体" w:hAnsi="宋体"/>
          <w:bCs/>
          <w:sz w:val="24"/>
          <w:szCs w:val="24"/>
          <w:lang w:bidi="zh-CN"/>
        </w:rPr>
        <w:t>工程款</w:t>
      </w:r>
      <w:r>
        <w:rPr>
          <w:rFonts w:ascii="宋体" w:hAnsi="宋体"/>
          <w:bCs/>
          <w:sz w:val="24"/>
          <w:szCs w:val="24"/>
          <w:lang w:bidi="zh-CN"/>
        </w:rPr>
        <w:t>、</w:t>
      </w:r>
      <w:r>
        <w:rPr>
          <w:rFonts w:hint="eastAsia" w:ascii="宋体" w:hAnsi="宋体"/>
          <w:bCs/>
          <w:sz w:val="24"/>
          <w:szCs w:val="24"/>
          <w:lang w:bidi="zh-CN"/>
        </w:rPr>
        <w:t>管理费用、营销费用、</w:t>
      </w:r>
      <w:r>
        <w:rPr>
          <w:rFonts w:hint="eastAsia" w:ascii="宋体" w:hAnsi="宋体"/>
          <w:bCs/>
          <w:sz w:val="24"/>
          <w:szCs w:val="24"/>
          <w:lang w:val="en-US" w:bidi="zh-CN"/>
        </w:rPr>
        <w:t>税费、</w:t>
      </w:r>
      <w:r>
        <w:rPr>
          <w:rFonts w:hint="eastAsia" w:ascii="宋体" w:hAnsi="宋体"/>
          <w:bCs/>
          <w:sz w:val="24"/>
          <w:szCs w:val="24"/>
          <w:lang w:bidi="zh-CN"/>
        </w:rPr>
        <w:t>其他费用，分类方式为项目公司各部门提供，与目标成本分类不符，但费用明细与现场实际情况基本吻合，资金计划编制基本合理。我司重新整理、统计了项目公司的资金计划，对上述费用的类别进行了调整，对费用明细进行审核分析，拟同意项目公司</w:t>
      </w:r>
      <w:r>
        <w:rPr>
          <w:rFonts w:hint="eastAsia" w:ascii="宋体" w:hAnsi="宋体"/>
          <w:bCs/>
          <w:sz w:val="24"/>
          <w:szCs w:val="24"/>
          <w:lang w:val="en-US" w:bidi="zh-CN"/>
        </w:rPr>
        <w:t>7</w:t>
      </w:r>
      <w:r>
        <w:rPr>
          <w:rFonts w:ascii="宋体" w:hAnsi="宋体"/>
          <w:bCs/>
          <w:sz w:val="24"/>
          <w:szCs w:val="24"/>
          <w:lang w:bidi="zh-CN"/>
        </w:rPr>
        <w:t>月</w:t>
      </w:r>
      <w:r>
        <w:rPr>
          <w:rFonts w:hint="eastAsia" w:ascii="宋体" w:hAnsi="宋体"/>
          <w:bCs/>
          <w:sz w:val="24"/>
          <w:szCs w:val="24"/>
          <w:lang w:bidi="zh-CN"/>
        </w:rPr>
        <w:t>份资金计划，并以此作为付款的依据。待实际支付时，我司人员将对相关付款资料的合理、合规性一一核实，对于其中单笔支付超1,000</w:t>
      </w:r>
      <w:r>
        <w:rPr>
          <w:rFonts w:hint="eastAsia" w:ascii="宋体" w:hAnsi="宋体"/>
          <w:bCs/>
          <w:sz w:val="24"/>
          <w:szCs w:val="24"/>
          <w:lang w:val="en-US" w:bidi="zh-CN"/>
        </w:rPr>
        <w:t>.00</w:t>
      </w:r>
      <w:r>
        <w:rPr>
          <w:rFonts w:hint="eastAsia" w:ascii="宋体" w:hAnsi="宋体"/>
          <w:bCs/>
          <w:sz w:val="24"/>
          <w:szCs w:val="24"/>
          <w:lang w:bidi="zh-CN"/>
        </w:rPr>
        <w:t>万的，上报贵司，经审批后，据实支付，请审批。</w:t>
      </w:r>
    </w:p>
    <w:p>
      <w:pPr>
        <w:spacing w:line="360" w:lineRule="auto"/>
        <w:rPr>
          <w:rFonts w:ascii="宋体" w:hAnsi="宋体"/>
          <w:b/>
          <w:sz w:val="24"/>
          <w:lang w:bidi="zh-CN"/>
        </w:rPr>
      </w:pPr>
      <w:r>
        <w:rPr>
          <w:rFonts w:hint="eastAsia" w:ascii="宋体" w:hAnsi="宋体"/>
          <w:b/>
          <w:sz w:val="24"/>
          <w:lang w:bidi="zh-CN"/>
        </w:rPr>
        <w:t xml:space="preserve">                                          </w:t>
      </w:r>
    </w:p>
    <w:p>
      <w:pPr>
        <w:spacing w:line="360" w:lineRule="auto"/>
        <w:rPr>
          <w:rFonts w:ascii="宋体" w:hAnsi="宋体"/>
          <w:b/>
          <w:sz w:val="24"/>
          <w:lang w:bidi="zh-CN"/>
        </w:rPr>
      </w:pPr>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北京康信君安资产管理有限公司</w:t>
      </w:r>
    </w:p>
    <w:p>
      <w:pPr>
        <w:spacing w:line="360" w:lineRule="auto"/>
        <w:ind w:firstLine="5060" w:firstLineChars="2100"/>
        <w:jc w:val="right"/>
        <w:rPr>
          <w:rFonts w:ascii="宋体" w:hAnsi="宋体"/>
          <w:b/>
          <w:sz w:val="24"/>
          <w:lang w:bidi="zh-CN"/>
        </w:rPr>
      </w:pPr>
      <w:r>
        <w:rPr>
          <w:rFonts w:hint="eastAsia" w:ascii="宋体" w:hAnsi="宋体"/>
          <w:b/>
          <w:sz w:val="24"/>
          <w:lang w:bidi="zh-CN"/>
        </w:rPr>
        <w:t xml:space="preserve"> </w:t>
      </w:r>
      <w:r>
        <w:rPr>
          <w:rFonts w:ascii="宋体" w:hAnsi="宋体"/>
          <w:b/>
          <w:sz w:val="24"/>
          <w:lang w:bidi="zh-CN"/>
        </w:rPr>
        <w:t xml:space="preserve">           </w:t>
      </w:r>
      <w:r>
        <w:rPr>
          <w:rFonts w:hint="eastAsia" w:ascii="宋体" w:hAnsi="宋体"/>
          <w:b/>
          <w:sz w:val="24"/>
          <w:lang w:bidi="zh-CN"/>
        </w:rPr>
        <w:t>海盐恒大都汇华庭项目组</w:t>
      </w:r>
    </w:p>
    <w:p>
      <w:pPr>
        <w:spacing w:line="360" w:lineRule="auto"/>
        <w:ind w:firstLine="5060" w:firstLineChars="2100"/>
        <w:jc w:val="right"/>
      </w:pPr>
      <w:r>
        <w:rPr>
          <w:rFonts w:hint="eastAsia" w:ascii="宋体" w:hAnsi="宋体"/>
          <w:b/>
          <w:sz w:val="24"/>
          <w:lang w:bidi="zh-CN"/>
        </w:rPr>
        <w:t>2021年</w:t>
      </w:r>
      <w:r>
        <w:rPr>
          <w:rFonts w:hint="eastAsia" w:ascii="宋体" w:hAnsi="宋体"/>
          <w:b/>
          <w:sz w:val="24"/>
          <w:lang w:val="en-US" w:bidi="zh-CN"/>
        </w:rPr>
        <w:t>7</w:t>
      </w:r>
      <w:r>
        <w:rPr>
          <w:rFonts w:hint="eastAsia" w:ascii="宋体" w:hAnsi="宋体"/>
          <w:b/>
          <w:sz w:val="24"/>
          <w:lang w:bidi="zh-CN"/>
        </w:rPr>
        <w:t>月</w:t>
      </w:r>
      <w:r>
        <w:rPr>
          <w:rFonts w:hint="eastAsia" w:ascii="宋体" w:hAnsi="宋体"/>
          <w:b/>
          <w:sz w:val="24"/>
          <w:lang w:val="en-US" w:bidi="zh-CN"/>
        </w:rPr>
        <w:t>7日</w:t>
      </w:r>
    </w:p>
    <w:sectPr>
      <w:headerReference r:id="rId3" w:type="default"/>
      <w:footerReference r:id="rId4" w:type="default"/>
      <w:pgSz w:w="11906" w:h="16838"/>
      <w:pgMar w:top="1134" w:right="1134" w:bottom="1134" w:left="1134" w:header="851" w:footer="992" w:gutter="0"/>
      <w:cols w:space="0" w:num="1"/>
      <w:docGrid w:type="lines" w:linePitch="32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drawing>
        <wp:inline distT="0" distB="0" distL="0" distR="0">
          <wp:extent cx="5922645" cy="407670"/>
          <wp:effectExtent l="0" t="0" r="1905" b="11430"/>
          <wp:docPr id="6" name="图片 3" descr="E:\！！！张津夷\工作\08公司宣传\公司VI设计&amp;名片\20200907康信君安报告封面\康信君安信纸20200906-简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descr="E:\！！！张津夷\工作\08公司宣传\公司VI设计&amp;名片\20200907康信君安报告封面\康信君安信纸20200906-简4.png"/>
                  <pic:cNvPicPr>
                    <a:picLocks noChangeAspect="1" noChangeArrowheads="1"/>
                  </pic:cNvPicPr>
                </pic:nvPicPr>
                <pic:blipFill>
                  <a:blip r:embed="rId1"/>
                  <a:srcRect/>
                  <a:stretch>
                    <a:fillRect/>
                  </a:stretch>
                </pic:blipFill>
                <pic:spPr>
                  <a:xfrm>
                    <a:off x="0" y="0"/>
                    <a:ext cx="5922645" cy="40767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4B4BFE3"/>
    <w:multiLevelType w:val="singleLevel"/>
    <w:tmpl w:val="F4B4BFE3"/>
    <w:lvl w:ilvl="0" w:tentative="0">
      <w:start w:val="2"/>
      <w:numFmt w:val="decimal"/>
      <w:suff w:val="nothing"/>
      <w:lvlText w:val="%1、"/>
      <w:lvlJc w:val="left"/>
      <w:pPr>
        <w:ind w:left="300" w:firstLine="0"/>
      </w:pPr>
    </w:lvl>
  </w:abstractNum>
  <w:abstractNum w:abstractNumId="1">
    <w:nsid w:val="F5433900"/>
    <w:multiLevelType w:val="singleLevel"/>
    <w:tmpl w:val="F5433900"/>
    <w:lvl w:ilvl="0" w:tentative="0">
      <w:start w:val="1"/>
      <w:numFmt w:val="chineseCounting"/>
      <w:suff w:val="nothing"/>
      <w:lvlText w:val="（%1）"/>
      <w:lvlJc w:val="left"/>
      <w:pPr>
        <w:ind w:left="225" w:firstLine="0"/>
      </w:pPr>
      <w:rPr>
        <w:rFonts w:hint="eastAsia"/>
      </w:rPr>
    </w:lvl>
  </w:abstractNum>
  <w:abstractNum w:abstractNumId="2">
    <w:nsid w:val="1F5288DA"/>
    <w:multiLevelType w:val="singleLevel"/>
    <w:tmpl w:val="1F5288D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HorizontalSpacing w:val="105"/>
  <w:drawingGridVerticalSpacing w:val="32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106140"/>
    <w:rsid w:val="00172A27"/>
    <w:rsid w:val="00306D0C"/>
    <w:rsid w:val="003976F5"/>
    <w:rsid w:val="00425E47"/>
    <w:rsid w:val="0048705F"/>
    <w:rsid w:val="00490DAF"/>
    <w:rsid w:val="00544FDE"/>
    <w:rsid w:val="00616666"/>
    <w:rsid w:val="00626167"/>
    <w:rsid w:val="006338FB"/>
    <w:rsid w:val="006A6305"/>
    <w:rsid w:val="007A757B"/>
    <w:rsid w:val="007D2684"/>
    <w:rsid w:val="00832F58"/>
    <w:rsid w:val="00941F33"/>
    <w:rsid w:val="0096261F"/>
    <w:rsid w:val="00A9040E"/>
    <w:rsid w:val="00AE2987"/>
    <w:rsid w:val="00BA0515"/>
    <w:rsid w:val="00BE2D1B"/>
    <w:rsid w:val="00C54F78"/>
    <w:rsid w:val="00CD1AC5"/>
    <w:rsid w:val="00DC3F22"/>
    <w:rsid w:val="00F8214C"/>
    <w:rsid w:val="01163A68"/>
    <w:rsid w:val="012E62A8"/>
    <w:rsid w:val="01641A03"/>
    <w:rsid w:val="016C1FEB"/>
    <w:rsid w:val="01945F7E"/>
    <w:rsid w:val="024730D1"/>
    <w:rsid w:val="027720DC"/>
    <w:rsid w:val="02BB3A0D"/>
    <w:rsid w:val="02C03493"/>
    <w:rsid w:val="03AD64B4"/>
    <w:rsid w:val="04143CD3"/>
    <w:rsid w:val="0426169C"/>
    <w:rsid w:val="04793CD9"/>
    <w:rsid w:val="04982717"/>
    <w:rsid w:val="04BA2CE8"/>
    <w:rsid w:val="05192168"/>
    <w:rsid w:val="052C3419"/>
    <w:rsid w:val="05825AF4"/>
    <w:rsid w:val="05C6164A"/>
    <w:rsid w:val="060324FF"/>
    <w:rsid w:val="063D1761"/>
    <w:rsid w:val="06530328"/>
    <w:rsid w:val="073C36EB"/>
    <w:rsid w:val="07437089"/>
    <w:rsid w:val="07B33843"/>
    <w:rsid w:val="07BB5526"/>
    <w:rsid w:val="07E03F89"/>
    <w:rsid w:val="08090DD1"/>
    <w:rsid w:val="080E118F"/>
    <w:rsid w:val="0813699A"/>
    <w:rsid w:val="08A1767F"/>
    <w:rsid w:val="08EE1EC1"/>
    <w:rsid w:val="09030636"/>
    <w:rsid w:val="09400AF6"/>
    <w:rsid w:val="09BD60C1"/>
    <w:rsid w:val="09D532CF"/>
    <w:rsid w:val="09D73592"/>
    <w:rsid w:val="0A2D161F"/>
    <w:rsid w:val="0A5A5752"/>
    <w:rsid w:val="0A62663F"/>
    <w:rsid w:val="0B221C1C"/>
    <w:rsid w:val="0BE12BB8"/>
    <w:rsid w:val="0BF57AE1"/>
    <w:rsid w:val="0C437FB1"/>
    <w:rsid w:val="0C4C545E"/>
    <w:rsid w:val="0C75716C"/>
    <w:rsid w:val="0CD91B2C"/>
    <w:rsid w:val="0CD969FB"/>
    <w:rsid w:val="0D5C5BF7"/>
    <w:rsid w:val="0DD3578C"/>
    <w:rsid w:val="0DEB56BA"/>
    <w:rsid w:val="0E067F70"/>
    <w:rsid w:val="0E222314"/>
    <w:rsid w:val="0E69116A"/>
    <w:rsid w:val="0F1562FF"/>
    <w:rsid w:val="0F8A55AA"/>
    <w:rsid w:val="0FD710E1"/>
    <w:rsid w:val="0FEA6922"/>
    <w:rsid w:val="0FFD659A"/>
    <w:rsid w:val="106F0205"/>
    <w:rsid w:val="107B53A8"/>
    <w:rsid w:val="10A04E56"/>
    <w:rsid w:val="10B13D06"/>
    <w:rsid w:val="112F3416"/>
    <w:rsid w:val="114C5971"/>
    <w:rsid w:val="115D7E53"/>
    <w:rsid w:val="115F65B3"/>
    <w:rsid w:val="118F615A"/>
    <w:rsid w:val="11960DBA"/>
    <w:rsid w:val="11C4795C"/>
    <w:rsid w:val="11D367FA"/>
    <w:rsid w:val="11EB0E0A"/>
    <w:rsid w:val="12076B34"/>
    <w:rsid w:val="120968B1"/>
    <w:rsid w:val="128A10E7"/>
    <w:rsid w:val="1360764C"/>
    <w:rsid w:val="136E61C0"/>
    <w:rsid w:val="14182DF5"/>
    <w:rsid w:val="14974BD9"/>
    <w:rsid w:val="14F66EEA"/>
    <w:rsid w:val="15614126"/>
    <w:rsid w:val="157C74F2"/>
    <w:rsid w:val="15864C34"/>
    <w:rsid w:val="15F21A78"/>
    <w:rsid w:val="160639F9"/>
    <w:rsid w:val="161D13A8"/>
    <w:rsid w:val="164C73CF"/>
    <w:rsid w:val="16616814"/>
    <w:rsid w:val="16623118"/>
    <w:rsid w:val="16F009CE"/>
    <w:rsid w:val="177F06B4"/>
    <w:rsid w:val="178873E1"/>
    <w:rsid w:val="17C81BDF"/>
    <w:rsid w:val="1828439F"/>
    <w:rsid w:val="18A616A2"/>
    <w:rsid w:val="18CB1101"/>
    <w:rsid w:val="18DB706C"/>
    <w:rsid w:val="18DD5BF6"/>
    <w:rsid w:val="1A8B5D6E"/>
    <w:rsid w:val="1ABC5E28"/>
    <w:rsid w:val="1AF42078"/>
    <w:rsid w:val="1B0D7BC6"/>
    <w:rsid w:val="1B10755C"/>
    <w:rsid w:val="1B2A75D8"/>
    <w:rsid w:val="1B880285"/>
    <w:rsid w:val="1B891E56"/>
    <w:rsid w:val="1BB46048"/>
    <w:rsid w:val="1BB52C68"/>
    <w:rsid w:val="1C17389B"/>
    <w:rsid w:val="1C326BC8"/>
    <w:rsid w:val="1C3A5AF1"/>
    <w:rsid w:val="1C407F46"/>
    <w:rsid w:val="1C486267"/>
    <w:rsid w:val="1C4A17AC"/>
    <w:rsid w:val="1CA0086B"/>
    <w:rsid w:val="1CBB4B6F"/>
    <w:rsid w:val="1CF37E49"/>
    <w:rsid w:val="1D44677E"/>
    <w:rsid w:val="1D55306F"/>
    <w:rsid w:val="1D6F2C99"/>
    <w:rsid w:val="1DEC5DE2"/>
    <w:rsid w:val="1E153492"/>
    <w:rsid w:val="1E245472"/>
    <w:rsid w:val="1ED0676D"/>
    <w:rsid w:val="1EDB1FC0"/>
    <w:rsid w:val="1EF517A9"/>
    <w:rsid w:val="1F054931"/>
    <w:rsid w:val="1F1F1C8A"/>
    <w:rsid w:val="1F203415"/>
    <w:rsid w:val="1F531026"/>
    <w:rsid w:val="20263578"/>
    <w:rsid w:val="20441E4E"/>
    <w:rsid w:val="20464E96"/>
    <w:rsid w:val="20530D16"/>
    <w:rsid w:val="20613C70"/>
    <w:rsid w:val="209E4029"/>
    <w:rsid w:val="20B53007"/>
    <w:rsid w:val="20E23D80"/>
    <w:rsid w:val="212127AC"/>
    <w:rsid w:val="21885471"/>
    <w:rsid w:val="21B273F8"/>
    <w:rsid w:val="21F07492"/>
    <w:rsid w:val="22082310"/>
    <w:rsid w:val="227B234B"/>
    <w:rsid w:val="234E7025"/>
    <w:rsid w:val="23861822"/>
    <w:rsid w:val="23DD36FE"/>
    <w:rsid w:val="243775D1"/>
    <w:rsid w:val="25425407"/>
    <w:rsid w:val="25590CC6"/>
    <w:rsid w:val="26E3788F"/>
    <w:rsid w:val="27B60B08"/>
    <w:rsid w:val="281A5806"/>
    <w:rsid w:val="28480EB0"/>
    <w:rsid w:val="284E68E3"/>
    <w:rsid w:val="28640873"/>
    <w:rsid w:val="28E8263E"/>
    <w:rsid w:val="28E87E2A"/>
    <w:rsid w:val="29C402B8"/>
    <w:rsid w:val="29D52A29"/>
    <w:rsid w:val="29DA64DC"/>
    <w:rsid w:val="2A54266C"/>
    <w:rsid w:val="2A74116F"/>
    <w:rsid w:val="2A9918BD"/>
    <w:rsid w:val="2AD9736D"/>
    <w:rsid w:val="2AE217AC"/>
    <w:rsid w:val="2B7A32EB"/>
    <w:rsid w:val="2BEA0ECF"/>
    <w:rsid w:val="2BFB4837"/>
    <w:rsid w:val="2C476DD5"/>
    <w:rsid w:val="2C4E36D6"/>
    <w:rsid w:val="2C7D1611"/>
    <w:rsid w:val="2C807CCD"/>
    <w:rsid w:val="2D1A7413"/>
    <w:rsid w:val="2D1E3A31"/>
    <w:rsid w:val="2D21471A"/>
    <w:rsid w:val="2D387553"/>
    <w:rsid w:val="2D56593C"/>
    <w:rsid w:val="2D6F3360"/>
    <w:rsid w:val="2D81517D"/>
    <w:rsid w:val="2DDC0A76"/>
    <w:rsid w:val="2DE728DD"/>
    <w:rsid w:val="2E571F41"/>
    <w:rsid w:val="2E790945"/>
    <w:rsid w:val="2E940617"/>
    <w:rsid w:val="2EBD178D"/>
    <w:rsid w:val="2F0040C5"/>
    <w:rsid w:val="2F220792"/>
    <w:rsid w:val="2F403413"/>
    <w:rsid w:val="2F582AD5"/>
    <w:rsid w:val="2FAC40F3"/>
    <w:rsid w:val="2FC27FE7"/>
    <w:rsid w:val="2FD30D25"/>
    <w:rsid w:val="2FDF1F52"/>
    <w:rsid w:val="303463A1"/>
    <w:rsid w:val="304D153D"/>
    <w:rsid w:val="306A70A1"/>
    <w:rsid w:val="306C41C0"/>
    <w:rsid w:val="30C3422A"/>
    <w:rsid w:val="311B0F59"/>
    <w:rsid w:val="312D01C3"/>
    <w:rsid w:val="31861769"/>
    <w:rsid w:val="31BB4517"/>
    <w:rsid w:val="322311E0"/>
    <w:rsid w:val="327A155A"/>
    <w:rsid w:val="32C62F35"/>
    <w:rsid w:val="33451765"/>
    <w:rsid w:val="33742833"/>
    <w:rsid w:val="33980BDF"/>
    <w:rsid w:val="339E5258"/>
    <w:rsid w:val="33DF7B6E"/>
    <w:rsid w:val="33EA2F53"/>
    <w:rsid w:val="33F75332"/>
    <w:rsid w:val="34147C21"/>
    <w:rsid w:val="34F05F6C"/>
    <w:rsid w:val="34F3216E"/>
    <w:rsid w:val="354E5505"/>
    <w:rsid w:val="357D7107"/>
    <w:rsid w:val="35826B17"/>
    <w:rsid w:val="366720DC"/>
    <w:rsid w:val="36BF7984"/>
    <w:rsid w:val="382868C3"/>
    <w:rsid w:val="38446A30"/>
    <w:rsid w:val="384B622B"/>
    <w:rsid w:val="38547711"/>
    <w:rsid w:val="38993115"/>
    <w:rsid w:val="38D7138E"/>
    <w:rsid w:val="392B7FAD"/>
    <w:rsid w:val="39665CBC"/>
    <w:rsid w:val="39986FAE"/>
    <w:rsid w:val="39F6178A"/>
    <w:rsid w:val="3A205B6A"/>
    <w:rsid w:val="3A3B3B7E"/>
    <w:rsid w:val="3A886F15"/>
    <w:rsid w:val="3AEC508E"/>
    <w:rsid w:val="3BEE2B81"/>
    <w:rsid w:val="3C637C4A"/>
    <w:rsid w:val="3CA92709"/>
    <w:rsid w:val="3CB453D8"/>
    <w:rsid w:val="3CCE2AA4"/>
    <w:rsid w:val="3CF2620F"/>
    <w:rsid w:val="3D5A682E"/>
    <w:rsid w:val="3D8F7151"/>
    <w:rsid w:val="3D9E70F1"/>
    <w:rsid w:val="3E4C1445"/>
    <w:rsid w:val="3ED330A1"/>
    <w:rsid w:val="3F13360B"/>
    <w:rsid w:val="3F1C0F37"/>
    <w:rsid w:val="3F1C1468"/>
    <w:rsid w:val="3F5F7390"/>
    <w:rsid w:val="40784462"/>
    <w:rsid w:val="407961B2"/>
    <w:rsid w:val="40A257C4"/>
    <w:rsid w:val="40C41A7D"/>
    <w:rsid w:val="40C76781"/>
    <w:rsid w:val="40F52FEA"/>
    <w:rsid w:val="41196A5D"/>
    <w:rsid w:val="417740C2"/>
    <w:rsid w:val="419B0366"/>
    <w:rsid w:val="41A20F3E"/>
    <w:rsid w:val="41D1723F"/>
    <w:rsid w:val="41D6199A"/>
    <w:rsid w:val="422A4AF3"/>
    <w:rsid w:val="422A528C"/>
    <w:rsid w:val="42784D90"/>
    <w:rsid w:val="428665CC"/>
    <w:rsid w:val="437C7673"/>
    <w:rsid w:val="43904493"/>
    <w:rsid w:val="43F30D3B"/>
    <w:rsid w:val="4411131C"/>
    <w:rsid w:val="462547D7"/>
    <w:rsid w:val="46375241"/>
    <w:rsid w:val="466923B3"/>
    <w:rsid w:val="46B742FC"/>
    <w:rsid w:val="46EC2819"/>
    <w:rsid w:val="486F33CC"/>
    <w:rsid w:val="49077435"/>
    <w:rsid w:val="49295D16"/>
    <w:rsid w:val="49C85499"/>
    <w:rsid w:val="4A5E7F43"/>
    <w:rsid w:val="4A620B9C"/>
    <w:rsid w:val="4B1027F6"/>
    <w:rsid w:val="4B6F306B"/>
    <w:rsid w:val="4B7B4432"/>
    <w:rsid w:val="4B913B08"/>
    <w:rsid w:val="4C582E31"/>
    <w:rsid w:val="4C611B28"/>
    <w:rsid w:val="4C7934AA"/>
    <w:rsid w:val="4CBF1F60"/>
    <w:rsid w:val="4CD83A8D"/>
    <w:rsid w:val="4D6D48AF"/>
    <w:rsid w:val="4E1F51BB"/>
    <w:rsid w:val="4E3E2F42"/>
    <w:rsid w:val="4E4E5BE8"/>
    <w:rsid w:val="4E907951"/>
    <w:rsid w:val="4F232F75"/>
    <w:rsid w:val="4FFD3B3E"/>
    <w:rsid w:val="50597B4D"/>
    <w:rsid w:val="50617A71"/>
    <w:rsid w:val="519F1DBC"/>
    <w:rsid w:val="51A7082B"/>
    <w:rsid w:val="51CF319D"/>
    <w:rsid w:val="521627BF"/>
    <w:rsid w:val="5285390F"/>
    <w:rsid w:val="53127964"/>
    <w:rsid w:val="539A5C50"/>
    <w:rsid w:val="539B3C6B"/>
    <w:rsid w:val="5404373C"/>
    <w:rsid w:val="545C1228"/>
    <w:rsid w:val="54BD1A39"/>
    <w:rsid w:val="550C465E"/>
    <w:rsid w:val="55A00EB8"/>
    <w:rsid w:val="55E06EB3"/>
    <w:rsid w:val="566C1DE9"/>
    <w:rsid w:val="569241E4"/>
    <w:rsid w:val="56AC52CA"/>
    <w:rsid w:val="56D05B99"/>
    <w:rsid w:val="57314B69"/>
    <w:rsid w:val="574243D0"/>
    <w:rsid w:val="574C2C28"/>
    <w:rsid w:val="57631717"/>
    <w:rsid w:val="581200F9"/>
    <w:rsid w:val="5862367F"/>
    <w:rsid w:val="58806385"/>
    <w:rsid w:val="589E609E"/>
    <w:rsid w:val="58B45E1D"/>
    <w:rsid w:val="598B7CE2"/>
    <w:rsid w:val="59DE52E9"/>
    <w:rsid w:val="59E242C3"/>
    <w:rsid w:val="5A222253"/>
    <w:rsid w:val="5A882028"/>
    <w:rsid w:val="5AE4208F"/>
    <w:rsid w:val="5B28509C"/>
    <w:rsid w:val="5BA85E0B"/>
    <w:rsid w:val="5BEA49A8"/>
    <w:rsid w:val="5C4641C7"/>
    <w:rsid w:val="5C95773D"/>
    <w:rsid w:val="5C98681A"/>
    <w:rsid w:val="5CFA5AD1"/>
    <w:rsid w:val="5D9745B4"/>
    <w:rsid w:val="5DA14F29"/>
    <w:rsid w:val="5DAF5772"/>
    <w:rsid w:val="5EC23788"/>
    <w:rsid w:val="5EFC0D42"/>
    <w:rsid w:val="5F6B30E4"/>
    <w:rsid w:val="5F9C6582"/>
    <w:rsid w:val="600B1D62"/>
    <w:rsid w:val="60140B5D"/>
    <w:rsid w:val="602757D8"/>
    <w:rsid w:val="605665CB"/>
    <w:rsid w:val="60AE3CA6"/>
    <w:rsid w:val="60E45E98"/>
    <w:rsid w:val="612705DF"/>
    <w:rsid w:val="616C3692"/>
    <w:rsid w:val="622D07A0"/>
    <w:rsid w:val="62705BD4"/>
    <w:rsid w:val="62737BC1"/>
    <w:rsid w:val="62BC2720"/>
    <w:rsid w:val="63144E40"/>
    <w:rsid w:val="6340157E"/>
    <w:rsid w:val="634F23CD"/>
    <w:rsid w:val="638C6190"/>
    <w:rsid w:val="63D41790"/>
    <w:rsid w:val="63E6307C"/>
    <w:rsid w:val="640C0059"/>
    <w:rsid w:val="64E36423"/>
    <w:rsid w:val="64FB764E"/>
    <w:rsid w:val="652916C1"/>
    <w:rsid w:val="654C23AD"/>
    <w:rsid w:val="65DD489E"/>
    <w:rsid w:val="65E91381"/>
    <w:rsid w:val="661B4AFF"/>
    <w:rsid w:val="662F355B"/>
    <w:rsid w:val="66631303"/>
    <w:rsid w:val="66EC598E"/>
    <w:rsid w:val="67964DE3"/>
    <w:rsid w:val="67C33A99"/>
    <w:rsid w:val="67E06EB8"/>
    <w:rsid w:val="68282526"/>
    <w:rsid w:val="686C4AB9"/>
    <w:rsid w:val="68942509"/>
    <w:rsid w:val="68FD6FCE"/>
    <w:rsid w:val="692A27DC"/>
    <w:rsid w:val="694407AC"/>
    <w:rsid w:val="694532CE"/>
    <w:rsid w:val="69485802"/>
    <w:rsid w:val="69C016D5"/>
    <w:rsid w:val="69C061DC"/>
    <w:rsid w:val="6A0F6480"/>
    <w:rsid w:val="6A610905"/>
    <w:rsid w:val="6A7F4972"/>
    <w:rsid w:val="6A9C1950"/>
    <w:rsid w:val="6AD54014"/>
    <w:rsid w:val="6B7111AC"/>
    <w:rsid w:val="6C1B04CA"/>
    <w:rsid w:val="6C6D619B"/>
    <w:rsid w:val="6C6F5300"/>
    <w:rsid w:val="6C71204B"/>
    <w:rsid w:val="6C9C7B61"/>
    <w:rsid w:val="6DC47296"/>
    <w:rsid w:val="6E005869"/>
    <w:rsid w:val="6E4468E8"/>
    <w:rsid w:val="6EAD51A2"/>
    <w:rsid w:val="6F946345"/>
    <w:rsid w:val="6FA15D0F"/>
    <w:rsid w:val="6FAA4F1A"/>
    <w:rsid w:val="6FC22C5E"/>
    <w:rsid w:val="6FF05C39"/>
    <w:rsid w:val="700D2B16"/>
    <w:rsid w:val="701228D1"/>
    <w:rsid w:val="704F2583"/>
    <w:rsid w:val="70A94824"/>
    <w:rsid w:val="70BB53BE"/>
    <w:rsid w:val="70FB6712"/>
    <w:rsid w:val="71181A94"/>
    <w:rsid w:val="718C5960"/>
    <w:rsid w:val="72342875"/>
    <w:rsid w:val="724F71D6"/>
    <w:rsid w:val="72AF0C18"/>
    <w:rsid w:val="72EB203A"/>
    <w:rsid w:val="73D50563"/>
    <w:rsid w:val="73F773CD"/>
    <w:rsid w:val="7414318F"/>
    <w:rsid w:val="742D7562"/>
    <w:rsid w:val="74627B3E"/>
    <w:rsid w:val="7586575E"/>
    <w:rsid w:val="761B4740"/>
    <w:rsid w:val="762C1DE4"/>
    <w:rsid w:val="76C604BF"/>
    <w:rsid w:val="770A1D34"/>
    <w:rsid w:val="78270C46"/>
    <w:rsid w:val="782A4291"/>
    <w:rsid w:val="78BE45B0"/>
    <w:rsid w:val="78C119E7"/>
    <w:rsid w:val="79133741"/>
    <w:rsid w:val="79BA3045"/>
    <w:rsid w:val="7A396FD1"/>
    <w:rsid w:val="7ADF41E9"/>
    <w:rsid w:val="7B586819"/>
    <w:rsid w:val="7BE32B99"/>
    <w:rsid w:val="7C081C35"/>
    <w:rsid w:val="7C510C71"/>
    <w:rsid w:val="7CBD524E"/>
    <w:rsid w:val="7CD16FBB"/>
    <w:rsid w:val="7CF869E4"/>
    <w:rsid w:val="7D180F56"/>
    <w:rsid w:val="7D7C6D59"/>
    <w:rsid w:val="7D8F5F9C"/>
    <w:rsid w:val="7E03360F"/>
    <w:rsid w:val="7E4A2337"/>
    <w:rsid w:val="7F1F29E1"/>
    <w:rsid w:val="7F380AE0"/>
    <w:rsid w:val="7F3D6387"/>
    <w:rsid w:val="7F522792"/>
    <w:rsid w:val="7F8846B1"/>
    <w:rsid w:val="7FEB70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w:basedOn w:val="1"/>
    <w:semiHidden/>
    <w:unhideWhenUsed/>
    <w:qFormat/>
    <w:uiPriority w:val="99"/>
    <w:pPr>
      <w:spacing w:after="120"/>
    </w:pPr>
  </w:style>
  <w:style w:type="paragraph" w:styleId="6">
    <w:name w:val="Balloon Text"/>
    <w:basedOn w:val="1"/>
    <w:link w:val="16"/>
    <w:qFormat/>
    <w:uiPriority w:val="0"/>
    <w:rPr>
      <w:sz w:val="18"/>
      <w:szCs w:val="18"/>
    </w:rPr>
  </w:style>
  <w:style w:type="paragraph" w:styleId="7">
    <w:name w:val="footer"/>
    <w:basedOn w:val="1"/>
    <w:unhideWhenUsed/>
    <w:qFormat/>
    <w:uiPriority w:val="99"/>
    <w:pPr>
      <w:tabs>
        <w:tab w:val="center" w:pos="4153"/>
        <w:tab w:val="right" w:pos="8306"/>
      </w:tabs>
      <w:snapToGrid w:val="0"/>
      <w:jc w:val="left"/>
    </w:pPr>
    <w:rPr>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annotation subject"/>
    <w:basedOn w:val="4"/>
    <w:next w:val="4"/>
    <w:link w:val="18"/>
    <w:qFormat/>
    <w:uiPriority w:val="0"/>
    <w:rPr>
      <w:b/>
      <w:bCs/>
    </w:rPr>
  </w:style>
  <w:style w:type="paragraph" w:styleId="10">
    <w:name w:val="Body Text First Indent"/>
    <w:basedOn w:val="5"/>
    <w:unhideWhenUsed/>
    <w:qFormat/>
    <w:uiPriority w:val="99"/>
    <w:pPr>
      <w:ind w:firstLine="420" w:firstLineChars="100"/>
    </w:pPr>
    <w:rPr>
      <w:szCs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6"/>
    <w:qFormat/>
    <w:uiPriority w:val="0"/>
    <w:rPr>
      <w:kern w:val="2"/>
      <w:sz w:val="18"/>
      <w:szCs w:val="18"/>
    </w:rPr>
  </w:style>
  <w:style w:type="character" w:customStyle="1" w:styleId="17">
    <w:name w:val="批注文字 字符"/>
    <w:basedOn w:val="13"/>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 w:type="character" w:customStyle="1" w:styleId="19">
    <w:name w:val="bsharetext"/>
    <w:basedOn w:val="13"/>
    <w:qFormat/>
    <w:uiPriority w:val="0"/>
  </w:style>
  <w:style w:type="character" w:customStyle="1" w:styleId="20">
    <w:name w:val="font21"/>
    <w:basedOn w:val="13"/>
    <w:qFormat/>
    <w:uiPriority w:val="0"/>
    <w:rPr>
      <w:rFonts w:hint="eastAsia" w:ascii="宋体" w:hAnsi="宋体" w:eastAsia="宋体" w:cs="宋体"/>
      <w:color w:val="000000"/>
      <w:sz w:val="18"/>
      <w:szCs w:val="18"/>
      <w:u w:val="none"/>
    </w:rPr>
  </w:style>
  <w:style w:type="character" w:customStyle="1" w:styleId="21">
    <w:name w:val="font01"/>
    <w:basedOn w:val="1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Pages>
  <Words>815</Words>
  <Characters>4650</Characters>
  <Lines>38</Lines>
  <Paragraphs>10</Paragraphs>
  <TotalTime>24</TotalTime>
  <ScaleCrop>false</ScaleCrop>
  <LinksUpToDate>false</LinksUpToDate>
  <CharactersWithSpaces>5455</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2020-10-14T02:59:00Z</dcterms:created>
  <dc:creator>郭胜霖</dc:creator>
  <cp:lastModifiedBy>WPS_1559732824</cp:lastModifiedBy>
  <dcterms:modified xsi:type="dcterms:W3CDTF">2021-07-07T03:13:37Z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3F6B149A9DF94CDEA7DB15FC608C5B4D</vt:lpwstr>
  </property>
</Properties>
</file>