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EF" w:rsidRPr="0098371B" w:rsidRDefault="00510F36" w:rsidP="00DB7403">
      <w:pPr>
        <w:jc w:val="center"/>
        <w:rPr>
          <w:rFonts w:ascii="Arial" w:eastAsia="楷体_GB2312" w:hAnsi="Arial" w:cs="Arial"/>
          <w:sz w:val="28"/>
          <w:szCs w:val="28"/>
        </w:rPr>
      </w:pPr>
      <w:r w:rsidRPr="0098371B">
        <w:rPr>
          <w:rFonts w:ascii="Arial" w:eastAsia="楷体_GB2312" w:hAnsi="Arial" w:cs="Arial"/>
          <w:sz w:val="28"/>
          <w:szCs w:val="28"/>
        </w:rPr>
        <w:t>关于</w:t>
      </w:r>
      <w:r w:rsidR="00DA1968" w:rsidRPr="00DA1968">
        <w:rPr>
          <w:rFonts w:ascii="Arial" w:eastAsia="楷体_GB2312" w:hAnsi="Arial" w:cs="Arial" w:hint="eastAsia"/>
          <w:sz w:val="28"/>
          <w:szCs w:val="28"/>
        </w:rPr>
        <w:t>天津市南开区长江道与罗江路交口</w:t>
      </w:r>
      <w:proofErr w:type="gramStart"/>
      <w:r w:rsidR="00DA1968" w:rsidRPr="00DA1968">
        <w:rPr>
          <w:rFonts w:ascii="Arial" w:eastAsia="楷体_GB2312" w:hAnsi="Arial" w:cs="Arial" w:hint="eastAsia"/>
          <w:sz w:val="28"/>
          <w:szCs w:val="28"/>
        </w:rPr>
        <w:t>祥平园</w:t>
      </w:r>
      <w:proofErr w:type="gramEnd"/>
      <w:r w:rsidR="00DA1968" w:rsidRPr="00DA1968">
        <w:rPr>
          <w:rFonts w:ascii="Arial" w:eastAsia="楷体_GB2312" w:hAnsi="Arial" w:cs="Arial"/>
          <w:sz w:val="28"/>
          <w:szCs w:val="28"/>
        </w:rPr>
        <w:t>4-8</w:t>
      </w:r>
      <w:r w:rsidR="00DA1968" w:rsidRPr="00DA1968">
        <w:rPr>
          <w:rFonts w:ascii="Arial" w:eastAsia="楷体_GB2312" w:hAnsi="Arial" w:cs="Arial" w:hint="eastAsia"/>
          <w:sz w:val="28"/>
          <w:szCs w:val="28"/>
        </w:rPr>
        <w:t>号楼住宅、商业及地下车库用房分摊的出让</w:t>
      </w:r>
      <w:r w:rsidR="00DA1968" w:rsidRPr="00DA1968">
        <w:rPr>
          <w:rFonts w:ascii="Arial" w:eastAsia="楷体_GB2312" w:hAnsi="Arial" w:cs="Arial" w:hint="eastAsia"/>
          <w:sz w:val="28"/>
          <w:szCs w:val="28"/>
        </w:rPr>
        <w:t>国有建设用地使用权</w:t>
      </w:r>
      <w:r w:rsidR="00DA1968">
        <w:rPr>
          <w:rFonts w:ascii="Arial" w:eastAsia="楷体_GB2312" w:hAnsi="Arial" w:cs="Arial" w:hint="eastAsia"/>
          <w:sz w:val="28"/>
          <w:szCs w:val="28"/>
        </w:rPr>
        <w:t>土地增值税情况</w:t>
      </w:r>
      <w:r w:rsidRPr="0098371B">
        <w:rPr>
          <w:rFonts w:ascii="Arial" w:eastAsia="楷体_GB2312" w:hAnsi="Arial" w:cs="Arial"/>
          <w:sz w:val="28"/>
          <w:szCs w:val="28"/>
        </w:rPr>
        <w:t>的说明</w:t>
      </w:r>
    </w:p>
    <w:tbl>
      <w:tblPr>
        <w:tblW w:w="5001" w:type="pct"/>
        <w:tblBorders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243"/>
        <w:gridCol w:w="1004"/>
        <w:gridCol w:w="1705"/>
        <w:gridCol w:w="2017"/>
        <w:gridCol w:w="1296"/>
      </w:tblGrid>
      <w:tr w:rsidR="00510F36" w:rsidRPr="0098371B" w:rsidTr="00DB740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0F36" w:rsidRPr="0098371B" w:rsidRDefault="00510F36" w:rsidP="00DB740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估价对象基本情况</w:t>
            </w:r>
          </w:p>
        </w:tc>
      </w:tr>
      <w:tr w:rsidR="00510F36" w:rsidRPr="0098371B" w:rsidTr="00DB7403">
        <w:trPr>
          <w:trHeight w:val="510"/>
        </w:trPr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估价对象</w:t>
            </w:r>
          </w:p>
        </w:tc>
        <w:tc>
          <w:tcPr>
            <w:tcW w:w="294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10F36" w:rsidRPr="0098371B" w:rsidRDefault="00510F36" w:rsidP="00DA196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  <w:r w:rsidR="00DA1968" w:rsidRPr="00DA1968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天津市南开区长江道与罗江路交口</w:t>
            </w:r>
            <w:proofErr w:type="gramStart"/>
            <w:r w:rsidR="00DA1968" w:rsidRPr="00DA1968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祥平园</w:t>
            </w:r>
            <w:proofErr w:type="gramEnd"/>
            <w:r w:rsidR="00DA1968" w:rsidRPr="00DA1968">
              <w:rPr>
                <w:rFonts w:ascii="仿宋_GB2312" w:eastAsia="仿宋_GB2312" w:hAnsi="Arial" w:cs="Arial"/>
                <w:b/>
                <w:bCs/>
                <w:kern w:val="0"/>
                <w:sz w:val="18"/>
                <w:szCs w:val="18"/>
              </w:rPr>
              <w:t>4-8</w:t>
            </w:r>
            <w:r w:rsidR="00DA1968" w:rsidRPr="00DA1968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号楼住宅、商业及地下车库用房分摊的出让国有建设用地使用权</w:t>
            </w:r>
          </w:p>
        </w:tc>
      </w:tr>
      <w:tr w:rsidR="00510F36" w:rsidRPr="0098371B" w:rsidTr="001A39E1">
        <w:trPr>
          <w:trHeight w:val="70"/>
        </w:trPr>
        <w:tc>
          <w:tcPr>
            <w:tcW w:w="739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价值时点</w:t>
            </w:r>
          </w:p>
        </w:tc>
        <w:tc>
          <w:tcPr>
            <w:tcW w:w="2943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2018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年</w:t>
            </w:r>
            <w:r w:rsidR="00DA1968">
              <w:rPr>
                <w:rFonts w:ascii="Arial" w:eastAsia="宋体" w:hAnsi="Arial" w:cs="Arial" w:hint="eastAsia"/>
                <w:b/>
                <w:bCs/>
                <w:kern w:val="0"/>
                <w:sz w:val="18"/>
                <w:szCs w:val="18"/>
              </w:rPr>
              <w:t>4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月</w:t>
            </w:r>
            <w:r w:rsidR="00DA1968">
              <w:rPr>
                <w:rFonts w:ascii="Arial" w:eastAsia="宋体" w:hAnsi="Arial" w:cs="Arial" w:hint="eastAsia"/>
                <w:b/>
                <w:bCs/>
                <w:kern w:val="0"/>
                <w:sz w:val="18"/>
                <w:szCs w:val="18"/>
              </w:rPr>
              <w:t>1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8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  <w:tr w:rsidR="00510F36" w:rsidRPr="0098371B" w:rsidTr="001A39E1">
        <w:trPr>
          <w:trHeight w:val="70"/>
        </w:trPr>
        <w:tc>
          <w:tcPr>
            <w:tcW w:w="739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评估总值</w:t>
            </w:r>
          </w:p>
        </w:tc>
        <w:tc>
          <w:tcPr>
            <w:tcW w:w="2943" w:type="pct"/>
            <w:gridSpan w:val="3"/>
            <w:shd w:val="clear" w:color="auto" w:fill="auto"/>
            <w:vAlign w:val="center"/>
            <w:hideMark/>
          </w:tcPr>
          <w:p w:rsidR="00510F36" w:rsidRPr="0098371B" w:rsidRDefault="00DA1968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18"/>
                <w:szCs w:val="18"/>
              </w:rPr>
              <w:t>103274</w:t>
            </w:r>
          </w:p>
        </w:tc>
      </w:tr>
      <w:tr w:rsidR="00510F36" w:rsidRPr="0098371B" w:rsidTr="001A39E1">
        <w:trPr>
          <w:trHeight w:val="240"/>
        </w:trPr>
        <w:tc>
          <w:tcPr>
            <w:tcW w:w="739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土地抵押价格</w:t>
            </w:r>
          </w:p>
        </w:tc>
        <w:tc>
          <w:tcPr>
            <w:tcW w:w="2943" w:type="pct"/>
            <w:gridSpan w:val="3"/>
            <w:shd w:val="clear" w:color="auto" w:fill="auto"/>
            <w:vAlign w:val="center"/>
            <w:hideMark/>
          </w:tcPr>
          <w:p w:rsidR="00510F36" w:rsidRPr="0098371B" w:rsidRDefault="00DA1968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18"/>
                <w:szCs w:val="18"/>
              </w:rPr>
              <w:t>103274</w:t>
            </w:r>
          </w:p>
        </w:tc>
      </w:tr>
      <w:tr w:rsidR="00DB7403" w:rsidRPr="0098371B" w:rsidTr="00DB7403">
        <w:trPr>
          <w:trHeight w:val="240"/>
        </w:trPr>
        <w:tc>
          <w:tcPr>
            <w:tcW w:w="2057" w:type="pct"/>
            <w:gridSpan w:val="3"/>
            <w:shd w:val="clear" w:color="auto" w:fill="auto"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税（费）种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金额（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万</w:t>
            </w: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元）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税（费）率</w:t>
            </w:r>
          </w:p>
        </w:tc>
      </w:tr>
      <w:tr w:rsidR="00DB7403" w:rsidRPr="0098371B" w:rsidTr="00DB7403">
        <w:trPr>
          <w:trHeight w:val="70"/>
        </w:trPr>
        <w:tc>
          <w:tcPr>
            <w:tcW w:w="2057" w:type="pct"/>
            <w:gridSpan w:val="3"/>
            <w:shd w:val="clear" w:color="auto" w:fill="auto"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土地增值税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12035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开发完成后不动产销售金额</w:t>
            </w:r>
            <w:r w:rsidRPr="0098371B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×税（费）率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B7403" w:rsidRPr="0098371B" w:rsidRDefault="00DB7403" w:rsidP="00510F36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8%</w:t>
            </w:r>
          </w:p>
        </w:tc>
      </w:tr>
      <w:tr w:rsidR="00DB7403" w:rsidRPr="0098371B" w:rsidTr="00DB7403">
        <w:trPr>
          <w:trHeight w:val="70"/>
        </w:trPr>
        <w:tc>
          <w:tcPr>
            <w:tcW w:w="1468" w:type="pct"/>
            <w:gridSpan w:val="2"/>
            <w:vMerge w:val="restart"/>
            <w:shd w:val="clear" w:color="auto" w:fill="auto"/>
            <w:vAlign w:val="center"/>
            <w:hideMark/>
          </w:tcPr>
          <w:p w:rsidR="00DB7403" w:rsidRPr="00DB7403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DB7403"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扣除土地增值税后土地总值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DB7403" w:rsidRPr="00DB7403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DB7403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小写</w:t>
            </w:r>
          </w:p>
        </w:tc>
        <w:tc>
          <w:tcPr>
            <w:tcW w:w="2943" w:type="pct"/>
            <w:gridSpan w:val="3"/>
            <w:shd w:val="clear" w:color="auto" w:fill="auto"/>
            <w:vAlign w:val="center"/>
            <w:hideMark/>
          </w:tcPr>
          <w:p w:rsidR="00DB7403" w:rsidRPr="00DB7403" w:rsidRDefault="00DB7403" w:rsidP="00954A79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 w:rsidRPr="00DB7403"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91239</w:t>
            </w:r>
          </w:p>
        </w:tc>
      </w:tr>
      <w:tr w:rsidR="00DB7403" w:rsidRPr="0098371B" w:rsidTr="00DB7403">
        <w:trPr>
          <w:trHeight w:val="562"/>
        </w:trPr>
        <w:tc>
          <w:tcPr>
            <w:tcW w:w="1468" w:type="pct"/>
            <w:gridSpan w:val="2"/>
            <w:vMerge/>
            <w:shd w:val="clear" w:color="auto" w:fill="auto"/>
            <w:vAlign w:val="center"/>
            <w:hideMark/>
          </w:tcPr>
          <w:p w:rsidR="00DB7403" w:rsidRPr="00DB7403" w:rsidRDefault="00DB7403" w:rsidP="00510F36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DB7403" w:rsidRPr="00DB7403" w:rsidRDefault="00DB7403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DB7403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大写</w:t>
            </w:r>
          </w:p>
        </w:tc>
        <w:tc>
          <w:tcPr>
            <w:tcW w:w="2943" w:type="pct"/>
            <w:gridSpan w:val="3"/>
            <w:shd w:val="clear" w:color="auto" w:fill="auto"/>
            <w:vAlign w:val="center"/>
            <w:hideMark/>
          </w:tcPr>
          <w:p w:rsidR="00DB7403" w:rsidRPr="00DB7403" w:rsidRDefault="00DB7403" w:rsidP="00510F36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 w:rsidRPr="00DB7403"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玖亿壹仟贰佰叁拾玖万元</w:t>
            </w:r>
          </w:p>
        </w:tc>
      </w:tr>
    </w:tbl>
    <w:p w:rsidR="00954A79" w:rsidRPr="0098371B" w:rsidRDefault="00954A79" w:rsidP="00954A79">
      <w:pPr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</w:p>
    <w:sectPr w:rsidR="00954A79" w:rsidRPr="0098371B" w:rsidSect="00D34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14" w:rsidRDefault="00D73814" w:rsidP="0098371B">
      <w:r>
        <w:separator/>
      </w:r>
    </w:p>
  </w:endnote>
  <w:endnote w:type="continuationSeparator" w:id="0">
    <w:p w:rsidR="00D73814" w:rsidRDefault="00D73814" w:rsidP="0098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14" w:rsidRDefault="00D73814" w:rsidP="0098371B">
      <w:r>
        <w:separator/>
      </w:r>
    </w:p>
  </w:footnote>
  <w:footnote w:type="continuationSeparator" w:id="0">
    <w:p w:rsidR="00D73814" w:rsidRDefault="00D73814" w:rsidP="0098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0F36"/>
    <w:rsid w:val="001A39E1"/>
    <w:rsid w:val="00510F36"/>
    <w:rsid w:val="00576802"/>
    <w:rsid w:val="00954A79"/>
    <w:rsid w:val="0098371B"/>
    <w:rsid w:val="00AA3ABD"/>
    <w:rsid w:val="00D34783"/>
    <w:rsid w:val="00D73814"/>
    <w:rsid w:val="00DA1968"/>
    <w:rsid w:val="00DB7403"/>
    <w:rsid w:val="00F05069"/>
    <w:rsid w:val="00F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7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7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2018-03-26T07:08:00Z</dcterms:created>
  <dcterms:modified xsi:type="dcterms:W3CDTF">2018-04-23T10:22:00Z</dcterms:modified>
</cp:coreProperties>
</file>