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pStyle w:val="2"/>
      </w:pPr>
    </w:p>
    <w:p>
      <w:pPr>
        <w:pStyle w:val="2"/>
      </w:pPr>
    </w:p>
    <w:p>
      <w:pPr>
        <w:pStyle w:val="2"/>
      </w:pPr>
    </w:p>
    <w:p>
      <w:pPr>
        <w:pStyle w:val="2"/>
      </w:pPr>
    </w:p>
    <w:p>
      <w:pPr>
        <w:spacing w:line="480" w:lineRule="auto"/>
        <w:rPr>
          <w:rFonts w:ascii="Arial" w:hAnsi="Arial" w:cs="Arial"/>
          <w:b/>
          <w:sz w:val="36"/>
          <w:szCs w:val="36"/>
        </w:rPr>
      </w:pPr>
    </w:p>
    <w:p>
      <w:pPr>
        <w:spacing w:line="480" w:lineRule="auto"/>
        <w:jc w:val="center"/>
        <w:rPr>
          <w:rFonts w:ascii="Arial" w:hAnsi="Arial" w:cs="Arial"/>
          <w:b/>
          <w:sz w:val="36"/>
          <w:szCs w:val="36"/>
        </w:rPr>
      </w:pPr>
    </w:p>
    <w:p>
      <w:pPr>
        <w:pStyle w:val="2"/>
      </w:pPr>
    </w:p>
    <w:p>
      <w:pPr>
        <w:pStyle w:val="2"/>
      </w:pPr>
    </w:p>
    <w:p>
      <w:pPr>
        <w:pStyle w:val="2"/>
      </w:pPr>
    </w:p>
    <w:p>
      <w:pPr>
        <w:pStyle w:val="2"/>
      </w:pPr>
    </w:p>
    <w:p>
      <w:pPr>
        <w:spacing w:line="480" w:lineRule="auto"/>
        <w:jc w:val="center"/>
        <w:rPr>
          <w:rFonts w:ascii="Arial" w:hAnsi="Arial" w:cs="Arial"/>
          <w:b/>
          <w:sz w:val="36"/>
          <w:szCs w:val="36"/>
        </w:rPr>
      </w:pPr>
      <w:r>
        <w:rPr>
          <w:rFonts w:ascii="Arial" w:hAnsi="Arial" w:cs="Arial"/>
          <w:b/>
          <w:sz w:val="36"/>
          <w:szCs w:val="36"/>
        </w:rPr>
        <w:t>中航信托-天启【2020】201号福州螺洲TOD项目</w:t>
      </w:r>
    </w:p>
    <w:p>
      <w:pPr>
        <w:spacing w:line="360" w:lineRule="auto"/>
        <w:jc w:val="center"/>
        <w:rPr>
          <w:rFonts w:ascii="Arial" w:hAnsi="Arial" w:cs="Arial"/>
          <w:b/>
          <w:sz w:val="36"/>
          <w:szCs w:val="36"/>
        </w:rPr>
      </w:pPr>
      <w:r>
        <w:rPr>
          <w:rFonts w:ascii="Arial" w:hAnsi="Arial" w:cs="Arial"/>
          <w:b/>
          <w:sz w:val="36"/>
          <w:szCs w:val="36"/>
        </w:rPr>
        <w:t>投资集合资金信托计划</w:t>
      </w:r>
    </w:p>
    <w:p>
      <w:pPr>
        <w:jc w:val="center"/>
        <w:rPr>
          <w:rFonts w:ascii="宋体" w:hAnsi="宋体" w:cs="宋体"/>
          <w:b/>
          <w:sz w:val="30"/>
          <w:szCs w:val="30"/>
        </w:rPr>
      </w:pPr>
      <w:r>
        <w:rPr>
          <w:rFonts w:hint="eastAsia" w:ascii="宋体" w:hAnsi="宋体" w:cs="宋体"/>
          <w:b/>
          <w:sz w:val="30"/>
          <w:szCs w:val="30"/>
        </w:rPr>
        <w:t>（中航信托·天启【2020】201号福州螺洲TOD项目）</w:t>
      </w:r>
    </w:p>
    <w:p>
      <w:pPr>
        <w:jc w:val="center"/>
        <w:rPr>
          <w:rFonts w:ascii="宋体" w:hAnsi="宋体"/>
          <w:b/>
          <w:sz w:val="30"/>
          <w:szCs w:val="30"/>
        </w:rPr>
      </w:pPr>
      <w:r>
        <w:rPr>
          <w:rFonts w:hint="eastAsia" w:ascii="宋体" w:hAnsi="宋体"/>
          <w:b/>
          <w:sz w:val="30"/>
          <w:szCs w:val="30"/>
        </w:rPr>
        <w:t>监管月报</w:t>
      </w:r>
    </w:p>
    <w:p>
      <w:pPr>
        <w:jc w:val="center"/>
        <w:rPr>
          <w:rFonts w:ascii="宋体" w:hAnsi="宋体"/>
          <w:b/>
          <w:sz w:val="30"/>
          <w:szCs w:val="30"/>
        </w:rPr>
      </w:pPr>
      <w:r>
        <w:rPr>
          <w:rFonts w:hint="eastAsia" w:ascii="宋体" w:hAnsi="宋体"/>
          <w:b/>
          <w:sz w:val="30"/>
          <w:szCs w:val="30"/>
        </w:rPr>
        <w:t>第14</w:t>
      </w:r>
      <w:r>
        <w:rPr>
          <w:rFonts w:ascii="宋体" w:hAnsi="宋体"/>
          <w:b/>
          <w:sz w:val="30"/>
          <w:szCs w:val="30"/>
        </w:rPr>
        <w:t>期</w:t>
      </w:r>
    </w:p>
    <w:p>
      <w:pPr>
        <w:spacing w:line="360" w:lineRule="auto"/>
        <w:jc w:val="center"/>
        <w:rPr>
          <w:rFonts w:ascii="宋体" w:hAnsi="宋体"/>
          <w:b/>
          <w:sz w:val="30"/>
          <w:szCs w:val="30"/>
        </w:rPr>
      </w:pPr>
      <w:r>
        <w:rPr>
          <w:rFonts w:hint="eastAsia" w:ascii="宋体" w:hAnsi="宋体"/>
          <w:b/>
          <w:sz w:val="30"/>
          <w:szCs w:val="30"/>
        </w:rPr>
        <w:t>（</w:t>
      </w:r>
      <w:r>
        <w:rPr>
          <w:rFonts w:ascii="宋体" w:hAnsi="宋体"/>
          <w:b/>
          <w:sz w:val="30"/>
          <w:szCs w:val="30"/>
        </w:rPr>
        <w:t xml:space="preserve"> 20</w:t>
      </w:r>
      <w:r>
        <w:rPr>
          <w:rFonts w:hint="eastAsia" w:ascii="宋体" w:hAnsi="宋体"/>
          <w:b/>
          <w:sz w:val="30"/>
          <w:szCs w:val="30"/>
        </w:rPr>
        <w:t>21</w:t>
      </w:r>
      <w:r>
        <w:rPr>
          <w:rFonts w:ascii="宋体" w:hAnsi="宋体"/>
          <w:b/>
          <w:sz w:val="30"/>
          <w:szCs w:val="30"/>
        </w:rPr>
        <w:t>年</w:t>
      </w:r>
      <w:r>
        <w:rPr>
          <w:rFonts w:hint="eastAsia" w:ascii="宋体" w:hAnsi="宋体"/>
          <w:b/>
          <w:sz w:val="30"/>
          <w:szCs w:val="30"/>
        </w:rPr>
        <w:t>9</w:t>
      </w:r>
      <w:r>
        <w:rPr>
          <w:rFonts w:ascii="宋体" w:hAnsi="宋体"/>
          <w:b/>
          <w:sz w:val="30"/>
          <w:szCs w:val="30"/>
        </w:rPr>
        <w:t>月）</w:t>
      </w:r>
    </w:p>
    <w:p>
      <w:pPr>
        <w:spacing w:line="360" w:lineRule="auto"/>
        <w:jc w:val="center"/>
        <w:rPr>
          <w:rFonts w:ascii="宋体" w:hAnsi="宋体" w:cs="宋体"/>
          <w:b/>
          <w:sz w:val="30"/>
          <w:szCs w:val="30"/>
        </w:rPr>
      </w:pPr>
      <w:r>
        <w:rPr>
          <w:rFonts w:hint="eastAsia" w:ascii="宋体" w:hAnsi="宋体" w:cs="宋体"/>
          <w:b/>
          <w:sz w:val="30"/>
          <w:szCs w:val="30"/>
        </w:rPr>
        <w:t>编号：14</w:t>
      </w:r>
    </w:p>
    <w:p>
      <w:pPr>
        <w:jc w:val="center"/>
        <w:rPr>
          <w:rFonts w:ascii="Arial" w:hAnsi="Arial" w:cs="Arial"/>
          <w:sz w:val="21"/>
          <w:szCs w:val="21"/>
        </w:rPr>
      </w:pPr>
    </w:p>
    <w:p>
      <w:pPr>
        <w:pStyle w:val="2"/>
      </w:pPr>
    </w:p>
    <w:p>
      <w:pPr>
        <w:jc w:val="center"/>
        <w:rPr>
          <w:rFonts w:ascii="Arial" w:hAnsi="Arial" w:cs="Arial"/>
          <w:sz w:val="21"/>
          <w:szCs w:val="21"/>
        </w:rPr>
      </w:pPr>
    </w:p>
    <w:p>
      <w:pPr>
        <w:jc w:val="center"/>
        <w:rPr>
          <w:rFonts w:ascii="Arial" w:hAnsi="Arial" w:cs="Arial"/>
          <w:sz w:val="21"/>
          <w:szCs w:val="21"/>
        </w:rPr>
      </w:pPr>
    </w:p>
    <w:p>
      <w:pPr>
        <w:spacing w:line="480" w:lineRule="auto"/>
        <w:rPr>
          <w:rFonts w:ascii="Arial" w:hAnsi="Arial" w:cs="Arial"/>
          <w:b/>
          <w:color w:val="000000"/>
          <w:sz w:val="21"/>
          <w:szCs w:val="21"/>
        </w:rPr>
      </w:pPr>
      <w:r>
        <w:rPr>
          <w:rFonts w:ascii="Arial" w:hAnsi="Arial" w:cs="Arial"/>
          <w:b/>
          <w:bCs/>
          <w:sz w:val="21"/>
          <w:szCs w:val="21"/>
        </w:rPr>
        <w:t>编制单位：</w:t>
      </w:r>
      <w:r>
        <w:rPr>
          <w:rFonts w:ascii="Arial" w:hAnsi="Arial" w:cs="Arial"/>
          <w:b/>
          <w:color w:val="000000"/>
          <w:sz w:val="21"/>
          <w:szCs w:val="21"/>
        </w:rPr>
        <w:t>北京康信君安资产管理有限公司</w:t>
      </w:r>
    </w:p>
    <w:p>
      <w:pPr>
        <w:spacing w:line="480" w:lineRule="auto"/>
        <w:rPr>
          <w:rFonts w:ascii="Arial" w:hAnsi="Arial" w:cs="Arial"/>
          <w:b/>
          <w:color w:val="000000"/>
          <w:sz w:val="21"/>
          <w:szCs w:val="21"/>
        </w:rPr>
      </w:pPr>
      <w:r>
        <w:rPr>
          <w:rFonts w:ascii="Arial" w:hAnsi="Arial" w:cs="Arial"/>
          <w:b/>
          <w:bCs/>
          <w:sz w:val="21"/>
          <w:szCs w:val="21"/>
        </w:rPr>
        <w:t>监管人员：</w:t>
      </w:r>
      <w:r>
        <w:rPr>
          <w:rFonts w:ascii="Arial" w:hAnsi="Arial" w:cs="Arial"/>
          <w:b/>
          <w:color w:val="000000"/>
          <w:sz w:val="21"/>
          <w:szCs w:val="21"/>
        </w:rPr>
        <w:t>连世梅</w:t>
      </w:r>
    </w:p>
    <w:p>
      <w:pPr>
        <w:tabs>
          <w:tab w:val="center" w:pos="4819"/>
        </w:tabs>
        <w:spacing w:line="480" w:lineRule="auto"/>
        <w:rPr>
          <w:rFonts w:ascii="Arial" w:hAnsi="Arial" w:cs="Arial"/>
          <w:b/>
          <w:bCs/>
          <w:sz w:val="21"/>
          <w:szCs w:val="21"/>
        </w:rPr>
      </w:pPr>
      <w:r>
        <w:rPr>
          <w:rFonts w:ascii="Arial" w:hAnsi="Arial" w:cs="Arial"/>
          <w:b/>
          <w:bCs/>
          <w:sz w:val="21"/>
          <w:szCs w:val="21"/>
        </w:rPr>
        <w:t>编制时间：2021年</w:t>
      </w:r>
      <w:r>
        <w:rPr>
          <w:rFonts w:hint="eastAsia" w:ascii="Arial" w:hAnsi="Arial" w:cs="Arial"/>
          <w:b/>
          <w:bCs/>
          <w:sz w:val="21"/>
          <w:szCs w:val="21"/>
        </w:rPr>
        <w:t>10</w:t>
      </w:r>
      <w:r>
        <w:rPr>
          <w:rFonts w:ascii="Arial" w:hAnsi="Arial" w:cs="Arial"/>
          <w:b/>
          <w:bCs/>
          <w:sz w:val="21"/>
          <w:szCs w:val="21"/>
        </w:rPr>
        <w:t>月</w:t>
      </w:r>
      <w:r>
        <w:rPr>
          <w:rFonts w:hint="eastAsia" w:ascii="Arial" w:hAnsi="Arial" w:cs="Arial"/>
          <w:b/>
          <w:bCs/>
          <w:sz w:val="21"/>
          <w:szCs w:val="21"/>
        </w:rPr>
        <w:t>1</w:t>
      </w:r>
      <w:r>
        <w:rPr>
          <w:rFonts w:ascii="Arial" w:hAnsi="Arial" w:cs="Arial"/>
          <w:b/>
          <w:bCs/>
          <w:sz w:val="21"/>
          <w:szCs w:val="21"/>
        </w:rPr>
        <w:t>日</w:t>
      </w:r>
      <w:r>
        <w:rPr>
          <w:rFonts w:ascii="Arial" w:hAnsi="Arial" w:cs="Arial"/>
          <w:b/>
          <w:bCs/>
          <w:sz w:val="21"/>
          <w:szCs w:val="21"/>
        </w:rPr>
        <w:tab/>
      </w:r>
    </w:p>
    <w:p>
      <w:pPr>
        <w:jc w:val="center"/>
        <w:rPr>
          <w:rFonts w:ascii="Arial" w:hAnsi="Arial" w:cs="Arial"/>
          <w:b/>
          <w:bCs/>
          <w:sz w:val="21"/>
          <w:szCs w:val="21"/>
        </w:rPr>
      </w:pPr>
    </w:p>
    <w:p>
      <w:pPr>
        <w:spacing w:line="360" w:lineRule="auto"/>
        <w:jc w:val="center"/>
        <w:rPr>
          <w:rFonts w:ascii="Arial" w:hAnsi="Arial" w:cs="Arial"/>
          <w:b/>
          <w:bCs/>
          <w:sz w:val="28"/>
          <w:szCs w:val="28"/>
        </w:rPr>
      </w:pPr>
      <w:r>
        <w:rPr>
          <w:rFonts w:ascii="Arial" w:hAnsi="Arial" w:cs="Arial"/>
          <w:b/>
          <w:bCs/>
          <w:sz w:val="28"/>
          <w:szCs w:val="28"/>
        </w:rPr>
        <w:t>目  录</w:t>
      </w:r>
    </w:p>
    <w:p>
      <w:pPr>
        <w:pStyle w:val="13"/>
        <w:tabs>
          <w:tab w:val="right" w:leader="dot" w:pos="9638"/>
        </w:tabs>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"_Toc2165" </w:instrText>
      </w:r>
      <w:r>
        <w:fldChar w:fldCharType="separate"/>
      </w:r>
      <w:r>
        <w:rPr>
          <w:rFonts w:ascii="Arial" w:hAnsi="Arial" w:cs="Arial"/>
          <w:sz w:val="21"/>
          <w:szCs w:val="21"/>
        </w:rPr>
        <w:t>一、项目基本情况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_Toc2165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"_Toc11052" </w:instrText>
      </w:r>
      <w:r>
        <w:fldChar w:fldCharType="separate"/>
      </w:r>
      <w:r>
        <w:rPr>
          <w:rFonts w:ascii="Arial" w:hAnsi="Arial" w:cs="Arial"/>
          <w:sz w:val="21"/>
          <w:szCs w:val="21"/>
        </w:rPr>
        <w:t>二、信托资金使用情况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_Toc11052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"_Toc20591" </w:instrText>
      </w:r>
      <w:r>
        <w:fldChar w:fldCharType="separate"/>
      </w:r>
      <w:r>
        <w:rPr>
          <w:rFonts w:ascii="Arial" w:hAnsi="Arial" w:cs="Arial"/>
          <w:sz w:val="21"/>
          <w:szCs w:val="21"/>
        </w:rPr>
        <w:t>三、项目证件办理情况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_Toc20591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"_Toc24667" </w:instrText>
      </w:r>
      <w:r>
        <w:fldChar w:fldCharType="separate"/>
      </w:r>
      <w:r>
        <w:rPr>
          <w:rFonts w:ascii="Arial" w:hAnsi="Arial" w:cs="Arial"/>
          <w:sz w:val="21"/>
          <w:szCs w:val="21"/>
        </w:rPr>
        <w:t>四、项目开发建设情况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_Toc24667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"_Toc31147" </w:instrText>
      </w:r>
      <w:r>
        <w:fldChar w:fldCharType="separate"/>
      </w:r>
      <w:r>
        <w:rPr>
          <w:rFonts w:ascii="Arial" w:hAnsi="Arial" w:cs="Arial"/>
          <w:sz w:val="21"/>
          <w:szCs w:val="21"/>
        </w:rPr>
        <w:t>五、项目合同及成本执行</w:t>
      </w:r>
      <w:bookmarkStart w:id="41" w:name="_GoBack"/>
      <w:bookmarkEnd w:id="41"/>
      <w:r>
        <w:rPr>
          <w:rFonts w:ascii="Arial" w:hAnsi="Arial" w:cs="Arial"/>
          <w:sz w:val="21"/>
          <w:szCs w:val="21"/>
        </w:rPr>
        <w:t>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_Toc31147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"_Toc14833" </w:instrText>
      </w:r>
      <w:r>
        <w:fldChar w:fldCharType="separate"/>
      </w:r>
      <w:r>
        <w:rPr>
          <w:rFonts w:ascii="Arial" w:hAnsi="Arial" w:cs="Arial"/>
          <w:sz w:val="21"/>
          <w:szCs w:val="21"/>
        </w:rPr>
        <w:t>六、项目销售情况统计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_Toc14833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"_Toc24108" </w:instrText>
      </w:r>
      <w:r>
        <w:fldChar w:fldCharType="separate"/>
      </w:r>
      <w:r>
        <w:rPr>
          <w:rFonts w:ascii="Arial" w:hAnsi="Arial" w:cs="Arial"/>
          <w:sz w:val="21"/>
          <w:szCs w:val="21"/>
        </w:rPr>
        <w:t>七、项目银行账户情况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_Toc24108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"_Toc25926" </w:instrText>
      </w:r>
      <w:r>
        <w:fldChar w:fldCharType="separate"/>
      </w:r>
      <w:r>
        <w:rPr>
          <w:rFonts w:ascii="Arial" w:hAnsi="Arial" w:cs="Arial"/>
          <w:sz w:val="21"/>
          <w:szCs w:val="21"/>
        </w:rPr>
        <w:t>八、资金收支情况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_Toc25926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"_Toc19397" </w:instrText>
      </w:r>
      <w:r>
        <w:fldChar w:fldCharType="separate"/>
      </w:r>
      <w:r>
        <w:rPr>
          <w:rFonts w:ascii="Arial" w:hAnsi="Arial" w:cs="Arial"/>
          <w:sz w:val="21"/>
          <w:szCs w:val="21"/>
        </w:rPr>
        <w:t>九、融资情况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_Toc19397 \h </w:instrText>
      </w:r>
      <w:r>
        <w:rPr>
          <w:rFonts w:ascii="Arial" w:hAnsi="Arial" w:cs="Arial"/>
          <w:sz w:val="21"/>
          <w:szCs w:val="21"/>
        </w:rPr>
        <w:fldChar w:fldCharType="separate"/>
      </w:r>
      <w:r>
        <w:rPr>
          <w:rFonts w:ascii="Arial" w:hAnsi="Arial" w:cs="Arial"/>
          <w:sz w:val="21"/>
          <w:szCs w:val="21"/>
        </w:rPr>
        <w:t>15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"_Toc24403" </w:instrText>
      </w:r>
      <w:r>
        <w:fldChar w:fldCharType="separate"/>
      </w:r>
      <w:r>
        <w:rPr>
          <w:rFonts w:ascii="Arial" w:hAnsi="Arial" w:cs="Arial"/>
          <w:sz w:val="21"/>
          <w:szCs w:val="21"/>
        </w:rPr>
        <w:t>十、 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_Toc24403 \h </w:instrText>
      </w:r>
      <w:r>
        <w:rPr>
          <w:rFonts w:ascii="Arial" w:hAnsi="Arial" w:cs="Arial"/>
          <w:sz w:val="21"/>
          <w:szCs w:val="21"/>
        </w:rPr>
        <w:fldChar w:fldCharType="separate"/>
      </w:r>
      <w:r>
        <w:rPr>
          <w:rFonts w:ascii="Arial" w:hAnsi="Arial" w:cs="Arial"/>
          <w:sz w:val="21"/>
          <w:szCs w:val="21"/>
        </w:rPr>
        <w:t>16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"_Toc24629" </w:instrText>
      </w:r>
      <w:r>
        <w:fldChar w:fldCharType="separate"/>
      </w:r>
      <w:r>
        <w:rPr>
          <w:rFonts w:ascii="Arial" w:hAnsi="Arial" w:cs="Arial"/>
          <w:sz w:val="21"/>
          <w:szCs w:val="21"/>
        </w:rPr>
        <w:t>十一、区域市场情况分析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_Toc24629 \h </w:instrText>
      </w:r>
      <w:r>
        <w:rPr>
          <w:rFonts w:ascii="Arial" w:hAnsi="Arial" w:cs="Arial"/>
          <w:sz w:val="21"/>
          <w:szCs w:val="21"/>
        </w:rPr>
        <w:fldChar w:fldCharType="separate"/>
      </w:r>
      <w:r>
        <w:rPr>
          <w:rFonts w:ascii="Arial" w:hAnsi="Arial" w:cs="Arial"/>
          <w:sz w:val="21"/>
          <w:szCs w:val="21"/>
        </w:rPr>
        <w:t>16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"_Toc14559" </w:instrText>
      </w:r>
      <w:r>
        <w:fldChar w:fldCharType="separate"/>
      </w:r>
      <w:r>
        <w:rPr>
          <w:rFonts w:ascii="Arial" w:hAnsi="Arial" w:cs="Arial"/>
          <w:sz w:val="21"/>
          <w:szCs w:val="21"/>
        </w:rPr>
        <w:t>十二、项目公司资金计划执行情况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_Toc14559 \h </w:instrText>
      </w:r>
      <w:r>
        <w:rPr>
          <w:rFonts w:ascii="Arial" w:hAnsi="Arial" w:cs="Arial"/>
          <w:sz w:val="21"/>
          <w:szCs w:val="21"/>
        </w:rPr>
        <w:fldChar w:fldCharType="separate"/>
      </w:r>
      <w:r>
        <w:rPr>
          <w:rFonts w:ascii="Arial" w:hAnsi="Arial" w:cs="Arial"/>
          <w:sz w:val="21"/>
          <w:szCs w:val="21"/>
        </w:rPr>
        <w:t>19</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"_Toc13091" </w:instrText>
      </w:r>
      <w:r>
        <w:fldChar w:fldCharType="separate"/>
      </w:r>
      <w:r>
        <w:rPr>
          <w:rFonts w:ascii="Arial" w:hAnsi="Arial" w:cs="Arial"/>
          <w:sz w:val="21"/>
          <w:szCs w:val="21"/>
        </w:rPr>
        <w:t>十三、项目公司用印情况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_Toc13091 \h </w:instrText>
      </w:r>
      <w:r>
        <w:rPr>
          <w:rFonts w:ascii="Arial" w:hAnsi="Arial" w:cs="Arial"/>
          <w:sz w:val="21"/>
          <w:szCs w:val="21"/>
        </w:rPr>
        <w:fldChar w:fldCharType="separate"/>
      </w:r>
      <w:r>
        <w:rPr>
          <w:rFonts w:ascii="Arial" w:hAnsi="Arial" w:cs="Arial"/>
          <w:sz w:val="21"/>
          <w:szCs w:val="21"/>
        </w:rPr>
        <w:t>19</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"_Toc13572" </w:instrText>
      </w:r>
      <w:r>
        <w:fldChar w:fldCharType="separate"/>
      </w:r>
      <w:r>
        <w:rPr>
          <w:rFonts w:ascii="Arial" w:hAnsi="Arial" w:cs="Arial"/>
          <w:sz w:val="21"/>
          <w:szCs w:val="21"/>
        </w:rPr>
        <w:t>十四、项目公司印章证照外出使用情况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_Toc13572 \h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"_Toc9476" </w:instrText>
      </w:r>
      <w:r>
        <w:fldChar w:fldCharType="separate"/>
      </w:r>
      <w:r>
        <w:rPr>
          <w:rFonts w:ascii="Arial" w:hAnsi="Arial" w:cs="Arial"/>
          <w:sz w:val="21"/>
          <w:szCs w:val="21"/>
        </w:rPr>
        <w:t>十五、项目公司签约情况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_Toc9476 \h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rPr>
          <w:rFonts w:ascii="Arial" w:hAnsi="Arial" w:cs="Arial"/>
          <w:sz w:val="21"/>
          <w:szCs w:val="21"/>
        </w:rPr>
      </w:pPr>
      <w:r>
        <w:fldChar w:fldCharType="begin"/>
      </w:r>
      <w:r>
        <w:instrText xml:space="preserve"> HYPERLINK \l "_Toc23812" </w:instrText>
      </w:r>
      <w:r>
        <w:fldChar w:fldCharType="separate"/>
      </w:r>
      <w:r>
        <w:rPr>
          <w:rFonts w:ascii="Arial" w:hAnsi="Arial" w:cs="Arial"/>
          <w:sz w:val="21"/>
          <w:szCs w:val="21"/>
        </w:rPr>
        <w:t>十六、项目整体运行情况分析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_Toc23812 \h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pPr>
      <w:r>
        <w:fldChar w:fldCharType="begin"/>
      </w:r>
      <w:r>
        <w:instrText xml:space="preserve"> HYPERLINK \l "_Toc8759" </w:instrText>
      </w:r>
      <w:r>
        <w:fldChar w:fldCharType="separate"/>
      </w:r>
      <w:r>
        <w:rPr>
          <w:rFonts w:ascii="Arial" w:hAnsi="Arial" w:cs="Arial"/>
          <w:sz w:val="21"/>
          <w:szCs w:val="21"/>
        </w:rPr>
        <w:t>十七、附件</w:t>
      </w:r>
      <w:r>
        <w:rPr>
          <w:rFonts w:ascii="Arial" w:hAnsi="Arial" w:cs="Arial"/>
          <w:sz w:val="21"/>
          <w:szCs w:val="21"/>
        </w:rPr>
        <w:tab/>
      </w:r>
      <w:r>
        <w:rPr>
          <w:rFonts w:hint="eastAsia" w:ascii="Arial" w:hAnsi="Arial" w:cs="Arial"/>
          <w:sz w:val="21"/>
          <w:szCs w:val="21"/>
        </w:rPr>
        <w:t>2</w:t>
      </w:r>
      <w:r>
        <w:rPr>
          <w:rFonts w:ascii="Arial" w:hAnsi="Arial" w:cs="Arial"/>
          <w:sz w:val="21"/>
          <w:szCs w:val="21"/>
        </w:rPr>
        <w:fldChar w:fldCharType="begin"/>
      </w:r>
      <w:r>
        <w:rPr>
          <w:rFonts w:ascii="Arial" w:hAnsi="Arial" w:cs="Arial"/>
          <w:sz w:val="21"/>
          <w:szCs w:val="21"/>
        </w:rPr>
        <w:instrText xml:space="preserve"> PAGEREF _Toc8759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spacing w:line="360" w:lineRule="auto"/>
        <w:ind w:left="720" w:leftChars="300"/>
        <w:rPr>
          <w:rFonts w:ascii="Arial" w:hAnsi="Arial" w:cs="Arial"/>
          <w:b/>
          <w:bCs/>
          <w:sz w:val="21"/>
          <w:szCs w:val="21"/>
          <w:lang w:val="zh-CN"/>
        </w:rPr>
      </w:pPr>
      <w:r>
        <w:rPr>
          <w:rFonts w:ascii="Arial" w:hAnsi="Arial" w:cs="Arial"/>
          <w:b/>
          <w:bCs/>
          <w:sz w:val="21"/>
          <w:szCs w:val="21"/>
          <w:lang w:val="zh-CN"/>
        </w:rPr>
        <w:fldChar w:fldCharType="end"/>
      </w: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sz w:val="21"/>
          <w:szCs w:val="21"/>
        </w:rPr>
      </w:pPr>
    </w:p>
    <w:p>
      <w:pPr>
        <w:jc w:val="center"/>
        <w:rPr>
          <w:rFonts w:ascii="Arial" w:hAnsi="Arial" w:cs="Arial"/>
          <w:b/>
          <w:bCs/>
          <w:sz w:val="21"/>
          <w:szCs w:val="21"/>
        </w:rPr>
      </w:pPr>
    </w:p>
    <w:p>
      <w:pPr>
        <w:pStyle w:val="17"/>
        <w:spacing w:line="360" w:lineRule="auto"/>
        <w:ind w:firstLine="0" w:firstLineChars="0"/>
        <w:rPr>
          <w:rFonts w:ascii="Arial" w:hAnsi="Arial" w:cs="Arial"/>
          <w:b/>
          <w:bCs/>
          <w:kern w:val="0"/>
          <w:sz w:val="24"/>
        </w:rPr>
      </w:pPr>
      <w:bookmarkStart w:id="0" w:name="_Toc133693353"/>
      <w:r>
        <w:rPr>
          <w:rFonts w:ascii="Arial" w:hAnsi="Arial" w:cs="Arial"/>
          <w:b/>
          <w:bCs/>
          <w:kern w:val="0"/>
          <w:sz w:val="24"/>
        </w:rPr>
        <w:br w:type="page"/>
      </w:r>
    </w:p>
    <w:p>
      <w:pPr>
        <w:pStyle w:val="17"/>
        <w:spacing w:line="360" w:lineRule="auto"/>
        <w:ind w:firstLine="0" w:firstLineChars="0"/>
        <w:rPr>
          <w:rFonts w:ascii="Arial" w:hAnsi="Arial" w:cs="Arial"/>
          <w:b/>
          <w:bCs/>
          <w:kern w:val="0"/>
          <w:sz w:val="24"/>
        </w:rPr>
        <w:sectPr>
          <w:footerReference r:id="rId3" w:type="default"/>
          <w:pgSz w:w="11906" w:h="16838"/>
          <w:pgMar w:top="1134" w:right="1134" w:bottom="1134" w:left="1134" w:header="851" w:footer="992" w:gutter="0"/>
          <w:cols w:space="425" w:num="1"/>
          <w:docGrid w:type="linesAndChars" w:linePitch="326" w:charSpace="0"/>
        </w:sectPr>
      </w:pPr>
    </w:p>
    <w:p>
      <w:pPr>
        <w:pStyle w:val="17"/>
        <w:spacing w:line="360" w:lineRule="auto"/>
        <w:ind w:firstLine="0" w:firstLineChars="0"/>
        <w:rPr>
          <w:rFonts w:ascii="Arial" w:hAnsi="Arial" w:cs="Arial"/>
          <w:b/>
          <w:bCs/>
          <w:sz w:val="24"/>
        </w:rPr>
      </w:pPr>
      <w:r>
        <w:rPr>
          <w:rFonts w:ascii="Arial" w:hAnsi="Arial" w:cs="Arial"/>
          <w:b/>
          <w:bCs/>
          <w:kern w:val="0"/>
          <w:sz w:val="24"/>
        </w:rPr>
        <w:t>中航信托股份有限公司：</w:t>
      </w:r>
      <w:bookmarkEnd w:id="0"/>
      <w:r>
        <w:rPr>
          <w:rFonts w:ascii="Arial" w:hAnsi="Arial" w:cs="Arial"/>
          <w:b/>
          <w:bCs/>
          <w:sz w:val="24"/>
        </w:rPr>
        <w:t xml:space="preserve"> </w:t>
      </w:r>
    </w:p>
    <w:p>
      <w:pPr>
        <w:pStyle w:val="17"/>
        <w:spacing w:line="360" w:lineRule="auto"/>
        <w:ind w:firstLine="480" w:firstLineChars="200"/>
        <w:rPr>
          <w:rFonts w:ascii="Arial" w:hAnsi="Arial" w:cs="Arial"/>
          <w:kern w:val="0"/>
          <w:sz w:val="24"/>
        </w:rPr>
      </w:pPr>
      <w:r>
        <w:rPr>
          <w:rFonts w:ascii="Arial" w:hAnsi="Arial" w:cs="Arial"/>
          <w:kern w:val="0"/>
          <w:sz w:val="24"/>
        </w:rPr>
        <w:t xml:space="preserve">受贵司委托，北京康信君安资产管理有限公司对福州首融房地产开发有限公司开发建设位于福建省福州市仓山区螺洲城峰南侧，轨道交通4号线螺洲车辆段上盖及周边地块出让地“云洲郡”房地产项目提供投后管理监管服务。根据贵司与我司签署的编号为AVICTC2020X0420-3的《中航信托•天启【2020】201号福州螺洲TOD项目投资集合资金信托计划监管服务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7"/>
        <w:spacing w:line="360" w:lineRule="auto"/>
        <w:ind w:firstLine="240"/>
        <w:rPr>
          <w:rFonts w:ascii="Arial" w:hAnsi="Arial" w:cs="Arial"/>
          <w:kern w:val="0"/>
          <w:sz w:val="24"/>
        </w:rPr>
      </w:pPr>
      <w:r>
        <w:rPr>
          <w:rFonts w:ascii="Arial" w:hAnsi="Arial" w:cs="Arial"/>
          <w:kern w:val="0"/>
          <w:sz w:val="24"/>
        </w:rPr>
        <w:t>为方便阅读之目的，本报告中将部分名称简写为：</w:t>
      </w:r>
    </w:p>
    <w:p>
      <w:pPr>
        <w:pStyle w:val="17"/>
        <w:spacing w:line="360" w:lineRule="auto"/>
        <w:ind w:firstLine="240"/>
        <w:rPr>
          <w:rFonts w:ascii="Arial" w:hAnsi="Arial" w:cs="Arial"/>
          <w:kern w:val="0"/>
          <w:sz w:val="24"/>
        </w:rPr>
      </w:pPr>
      <w:r>
        <w:rPr>
          <w:rFonts w:ascii="Arial" w:hAnsi="Arial" w:cs="Arial"/>
          <w:kern w:val="0"/>
          <w:sz w:val="24"/>
        </w:rPr>
        <w:t>•项目公司：</w:t>
      </w:r>
      <w:r>
        <w:rPr>
          <w:rFonts w:ascii="Arial" w:hAnsi="Arial" w:cs="Arial"/>
          <w:bCs/>
          <w:kern w:val="44"/>
          <w:sz w:val="24"/>
        </w:rPr>
        <w:t>福州首融房地产开发有限公司</w:t>
      </w:r>
    </w:p>
    <w:p>
      <w:pPr>
        <w:pStyle w:val="17"/>
        <w:spacing w:line="360" w:lineRule="auto"/>
        <w:ind w:firstLine="240"/>
        <w:rPr>
          <w:rFonts w:ascii="Arial" w:hAnsi="Arial" w:cs="Arial"/>
          <w:kern w:val="0"/>
          <w:sz w:val="24"/>
        </w:rPr>
      </w:pPr>
      <w:r>
        <w:rPr>
          <w:rFonts w:ascii="Arial" w:hAnsi="Arial" w:cs="Arial"/>
          <w:kern w:val="0"/>
          <w:sz w:val="24"/>
        </w:rPr>
        <w:t>•SPV公司：</w:t>
      </w:r>
      <w:r>
        <w:rPr>
          <w:rFonts w:ascii="Arial" w:hAnsi="Arial" w:cs="Arial"/>
          <w:bCs/>
          <w:kern w:val="44"/>
          <w:sz w:val="24"/>
        </w:rPr>
        <w:t>宁德融熙置业有限公司</w:t>
      </w:r>
    </w:p>
    <w:p>
      <w:pPr>
        <w:pStyle w:val="17"/>
        <w:spacing w:line="360" w:lineRule="auto"/>
        <w:ind w:firstLine="240"/>
        <w:rPr>
          <w:rFonts w:ascii="Arial" w:hAnsi="Arial" w:cs="Arial"/>
          <w:kern w:val="0"/>
          <w:sz w:val="24"/>
        </w:rPr>
      </w:pPr>
      <w:r>
        <w:rPr>
          <w:rFonts w:ascii="Arial" w:hAnsi="Arial" w:cs="Arial"/>
          <w:kern w:val="0"/>
          <w:sz w:val="24"/>
        </w:rPr>
        <w:t>•中航信托：中航信托股份有限公司</w:t>
      </w:r>
    </w:p>
    <w:p>
      <w:pPr>
        <w:pStyle w:val="17"/>
        <w:spacing w:line="360" w:lineRule="auto"/>
        <w:ind w:firstLine="240"/>
        <w:rPr>
          <w:rFonts w:ascii="Arial" w:hAnsi="Arial" w:cs="Arial"/>
          <w:sz w:val="24"/>
          <w:lang w:val="zh-CN"/>
        </w:rPr>
      </w:pPr>
      <w:r>
        <w:rPr>
          <w:rFonts w:ascii="Arial" w:hAnsi="Arial" w:cs="Arial"/>
          <w:kern w:val="0"/>
          <w:sz w:val="24"/>
        </w:rPr>
        <w:t>•康信君安：北京康信君安资产管理有限公司</w:t>
      </w:r>
      <w:r>
        <w:rPr>
          <w:rFonts w:ascii="Arial" w:hAnsi="Arial" w:cs="Arial"/>
          <w:sz w:val="24"/>
          <w:lang w:val="zh-CN"/>
        </w:rPr>
        <w:tab/>
      </w:r>
    </w:p>
    <w:p>
      <w:pPr>
        <w:jc w:val="center"/>
        <w:rPr>
          <w:rFonts w:ascii="Arial" w:hAnsi="Arial" w:cs="Arial"/>
          <w:b/>
          <w:bCs/>
          <w:sz w:val="21"/>
          <w:szCs w:val="21"/>
        </w:rPr>
      </w:pPr>
    </w:p>
    <w:p>
      <w:pPr>
        <w:rPr>
          <w:rFonts w:ascii="Arial" w:hAnsi="Arial" w:cs="Arial"/>
          <w:b/>
          <w:bCs/>
          <w:sz w:val="21"/>
          <w:szCs w:val="21"/>
        </w:rPr>
      </w:pPr>
      <w:r>
        <w:rPr>
          <w:rFonts w:ascii="Arial" w:hAnsi="Arial" w:cs="Arial"/>
          <w:b/>
          <w:bCs/>
          <w:sz w:val="21"/>
          <w:szCs w:val="21"/>
        </w:rPr>
        <w:br w:type="page"/>
      </w:r>
    </w:p>
    <w:p>
      <w:pPr>
        <w:jc w:val="center"/>
        <w:rPr>
          <w:rFonts w:ascii="Arial" w:hAnsi="Arial" w:cs="Arial"/>
          <w:b/>
          <w:bCs/>
          <w:sz w:val="28"/>
          <w:szCs w:val="28"/>
        </w:rPr>
      </w:pPr>
      <w:r>
        <w:rPr>
          <w:rFonts w:ascii="Arial" w:hAnsi="Arial" w:cs="Arial"/>
          <w:b/>
          <w:bCs/>
          <w:sz w:val="28"/>
          <w:szCs w:val="28"/>
        </w:rPr>
        <w:t>摘  要</w:t>
      </w:r>
    </w:p>
    <w:p>
      <w:pPr>
        <w:spacing w:line="360" w:lineRule="auto"/>
        <w:jc w:val="both"/>
        <w:rPr>
          <w:rFonts w:ascii="Arial" w:hAnsi="Arial" w:cs="Arial"/>
        </w:rPr>
      </w:pPr>
      <w:r>
        <w:rPr>
          <w:rFonts w:ascii="Arial" w:hAnsi="Arial" w:cs="Arial"/>
        </w:rPr>
        <w:t>（1）项目简况</w:t>
      </w:r>
    </w:p>
    <w:tbl>
      <w:tblPr>
        <w:tblStyle w:val="18"/>
        <w:tblW w:w="9479" w:type="dxa"/>
        <w:jc w:val="center"/>
        <w:tblLayout w:type="fixed"/>
        <w:tblCellMar>
          <w:top w:w="0" w:type="dxa"/>
          <w:left w:w="0" w:type="dxa"/>
          <w:bottom w:w="0" w:type="dxa"/>
          <w:right w:w="0" w:type="dxa"/>
        </w:tblCellMar>
      </w:tblPr>
      <w:tblGrid>
        <w:gridCol w:w="2330"/>
        <w:gridCol w:w="1763"/>
        <w:gridCol w:w="2189"/>
        <w:gridCol w:w="3197"/>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项目名称</w:t>
            </w:r>
          </w:p>
        </w:tc>
        <w:tc>
          <w:tcPr>
            <w:tcW w:w="714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sz w:val="21"/>
                <w:szCs w:val="21"/>
              </w:rPr>
              <w:t>中航信托•天启【2020】201号福州螺洲TOD项目投资集合资金信托计划</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上海业务部</w:t>
            </w: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项目成立日</w:t>
            </w:r>
          </w:p>
        </w:tc>
        <w:tc>
          <w:tcPr>
            <w:tcW w:w="319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630" w:firstLineChars="300"/>
              <w:rPr>
                <w:rFonts w:ascii="Arial" w:hAnsi="Arial" w:cs="Arial"/>
                <w:color w:val="000000"/>
                <w:sz w:val="21"/>
                <w:szCs w:val="21"/>
              </w:rPr>
            </w:pPr>
            <w:r>
              <w:rPr>
                <w:rFonts w:ascii="Arial" w:hAnsi="Arial" w:cs="Arial"/>
                <w:color w:val="000000"/>
                <w:sz w:val="21"/>
                <w:szCs w:val="21"/>
              </w:rPr>
              <w:t>2020年</w:t>
            </w:r>
            <w:r>
              <w:rPr>
                <w:rFonts w:hint="eastAsia" w:ascii="Arial" w:hAnsi="Arial" w:cs="Arial"/>
                <w:color w:val="000000"/>
                <w:sz w:val="21"/>
                <w:szCs w:val="21"/>
              </w:rPr>
              <w:t>8</w:t>
            </w:r>
            <w:r>
              <w:rPr>
                <w:rFonts w:ascii="Arial" w:hAnsi="Arial" w:cs="Arial"/>
                <w:color w:val="000000"/>
                <w:sz w:val="21"/>
                <w:szCs w:val="21"/>
              </w:rPr>
              <w:t>月</w:t>
            </w:r>
            <w:r>
              <w:rPr>
                <w:rFonts w:hint="eastAsia" w:ascii="Arial" w:hAnsi="Arial" w:cs="Arial"/>
                <w:color w:val="000000"/>
                <w:sz w:val="21"/>
                <w:szCs w:val="21"/>
              </w:rPr>
              <w:t>17</w:t>
            </w:r>
            <w:r>
              <w:rPr>
                <w:rFonts w:ascii="Arial" w:hAnsi="Arial" w:cs="Arial"/>
                <w:color w:val="000000"/>
                <w:sz w:val="21"/>
                <w:szCs w:val="21"/>
              </w:rPr>
              <w:t>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r>
              <w:rPr>
                <w:rFonts w:ascii="Arial" w:hAnsi="Arial" w:cs="Arial"/>
                <w:color w:val="000000"/>
                <w:sz w:val="21"/>
                <w:szCs w:val="21"/>
              </w:rPr>
              <w:t>项目总规模（万）</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99,000.00</w:t>
            </w: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截至报告日已投放规模（万）</w:t>
            </w:r>
          </w:p>
        </w:tc>
        <w:tc>
          <w:tcPr>
            <w:tcW w:w="319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hint="eastAsia" w:ascii="Arial" w:hAnsi="Arial" w:cs="Arial"/>
                <w:color w:val="000000"/>
                <w:sz w:val="21"/>
                <w:szCs w:val="21"/>
              </w:rPr>
              <w:t>99</w:t>
            </w:r>
            <w:r>
              <w:rPr>
                <w:rFonts w:ascii="Arial" w:hAnsi="Arial" w:cs="Arial"/>
                <w:color w:val="000000"/>
                <w:sz w:val="21"/>
                <w:szCs w:val="21"/>
              </w:rPr>
              <w:t>,</w:t>
            </w:r>
            <w:r>
              <w:rPr>
                <w:rFonts w:hint="eastAsia" w:ascii="Arial" w:hAnsi="Arial" w:cs="Arial"/>
                <w:color w:val="000000"/>
                <w:sz w:val="21"/>
                <w:szCs w:val="21"/>
              </w:rPr>
              <w:t>0</w:t>
            </w:r>
            <w:r>
              <w:rPr>
                <w:rFonts w:ascii="Arial" w:hAnsi="Arial" w:cs="Arial"/>
                <w:color w:val="000000"/>
                <w:sz w:val="21"/>
                <w:szCs w:val="21"/>
              </w:rPr>
              <w:t>00.00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合作开发商/交易对手</w:t>
            </w:r>
          </w:p>
        </w:tc>
        <w:tc>
          <w:tcPr>
            <w:tcW w:w="714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r>
              <w:rPr>
                <w:rFonts w:ascii="Arial" w:hAnsi="Arial" w:cs="Arial"/>
                <w:color w:val="000000"/>
                <w:sz w:val="21"/>
                <w:szCs w:val="21"/>
              </w:rPr>
              <w:t>融创房地产集团有限公司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交易结构简述</w:t>
            </w:r>
          </w:p>
        </w:tc>
        <w:tc>
          <w:tcPr>
            <w:tcW w:w="714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r>
              <w:rPr>
                <w:rFonts w:ascii="Arial" w:hAnsi="Arial" w:cs="Arial"/>
                <w:color w:val="000000"/>
                <w:sz w:val="21"/>
                <w:szCs w:val="21"/>
              </w:rPr>
              <w:t>中航信托将在信托计划成立后，所募集的信托资金向SPV投入不超过99,000万元，分两阶段，第一阶段增资56,600万元，其中56,000万实缴注册资本金，600万元计入资本公积；第二阶段增资42,400万元，其中7,700万元实缴注册资本金，34,700万元计入资本公积；SPV收到中航信托增资款后五个工作日内缴付信保基金，剩余款项用于偿还福州衡越向SPV提供的股东往来款以及用于标的项目的后续开发建设。</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hint="eastAsia" w:ascii="Arial" w:hAnsi="Arial" w:cs="Arial"/>
                <w:color w:val="000000"/>
                <w:sz w:val="21"/>
                <w:szCs w:val="21"/>
              </w:rPr>
              <w:t>云洲郡</w:t>
            </w: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地址</w:t>
            </w:r>
          </w:p>
        </w:tc>
        <w:tc>
          <w:tcPr>
            <w:tcW w:w="319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福州市仓山区螺洲城峰路南侧、轨道交通4号线螺洲车辆段上盖及周边地块出让地</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项目业态及面积</w:t>
            </w:r>
          </w:p>
        </w:tc>
        <w:tc>
          <w:tcPr>
            <w:tcW w:w="714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20" w:firstLineChars="200"/>
              <w:jc w:val="both"/>
              <w:rPr>
                <w:rFonts w:ascii="Arial" w:hAnsi="Arial" w:cs="Arial"/>
                <w:color w:val="000000"/>
                <w:sz w:val="21"/>
                <w:szCs w:val="21"/>
              </w:rPr>
            </w:pPr>
            <w:r>
              <w:rPr>
                <w:rFonts w:hint="eastAsia" w:ascii="Arial" w:hAnsi="Arial" w:cs="Arial"/>
                <w:color w:val="000000"/>
                <w:sz w:val="21"/>
                <w:szCs w:val="21"/>
                <w:lang w:bidi="ar"/>
              </w:rPr>
              <w:t>根据项目已取得的《建设工程规划许可证》，</w:t>
            </w:r>
            <w:r>
              <w:rPr>
                <w:rFonts w:ascii="Arial" w:hAnsi="Arial" w:cs="Arial"/>
                <w:color w:val="000000"/>
                <w:sz w:val="21"/>
                <w:szCs w:val="21"/>
                <w:lang w:bidi="ar"/>
              </w:rPr>
              <w:t>项目总建筑面积</w:t>
            </w:r>
            <w:r>
              <w:rPr>
                <w:rFonts w:hint="eastAsia" w:ascii="Arial" w:hAnsi="Arial" w:cs="Arial"/>
                <w:color w:val="000000"/>
                <w:sz w:val="21"/>
                <w:szCs w:val="21"/>
                <w:lang w:bidi="ar"/>
              </w:rPr>
              <w:t>405,010.12㎡，其中包括普通</w:t>
            </w:r>
            <w:r>
              <w:rPr>
                <w:rFonts w:ascii="Arial" w:hAnsi="Arial" w:cs="Arial"/>
                <w:color w:val="000000"/>
                <w:sz w:val="21"/>
                <w:szCs w:val="21"/>
                <w:lang w:bidi="ar"/>
              </w:rPr>
              <w:t>住宅224,022.86 ㎡、限价房40,000㎡</w:t>
            </w:r>
            <w:r>
              <w:rPr>
                <w:rFonts w:hint="eastAsia" w:ascii="Arial" w:hAnsi="Arial" w:cs="Arial"/>
                <w:color w:val="000000"/>
                <w:sz w:val="21"/>
                <w:szCs w:val="21"/>
                <w:lang w:bidi="ar"/>
              </w:rPr>
              <w:t>、</w:t>
            </w:r>
            <w:r>
              <w:rPr>
                <w:rFonts w:ascii="Arial" w:hAnsi="Arial" w:cs="Arial"/>
                <w:color w:val="000000"/>
                <w:sz w:val="21"/>
                <w:szCs w:val="21"/>
                <w:lang w:bidi="ar"/>
              </w:rPr>
              <w:t>商业</w:t>
            </w:r>
            <w:r>
              <w:rPr>
                <w:rFonts w:hint="eastAsia" w:ascii="Arial" w:hAnsi="Arial" w:cs="Arial"/>
                <w:color w:val="000000"/>
                <w:sz w:val="21"/>
                <w:szCs w:val="21"/>
                <w:lang w:bidi="ar"/>
              </w:rPr>
              <w:t>9,002.46㎡，公共配套设施等14,793.06㎡，以及3146个地下车位（含其中机械车位1,124个，微型车位117个）。</w:t>
            </w:r>
          </w:p>
        </w:tc>
      </w:tr>
    </w:tbl>
    <w:p>
      <w:pPr>
        <w:spacing w:line="360" w:lineRule="auto"/>
        <w:ind w:firstLine="420" w:firstLineChars="200"/>
        <w:jc w:val="both"/>
        <w:rPr>
          <w:rFonts w:ascii="Arial" w:hAnsi="Arial" w:cs="Arial"/>
          <w:sz w:val="21"/>
          <w:szCs w:val="21"/>
        </w:rPr>
      </w:pPr>
    </w:p>
    <w:p>
      <w:pPr>
        <w:numPr>
          <w:ilvl w:val="0"/>
          <w:numId w:val="1"/>
        </w:numPr>
        <w:spacing w:line="360" w:lineRule="auto"/>
        <w:jc w:val="both"/>
        <w:rPr>
          <w:rFonts w:ascii="Arial" w:hAnsi="Arial" w:cs="Arial"/>
        </w:rPr>
      </w:pPr>
      <w:r>
        <w:rPr>
          <w:rFonts w:ascii="Arial" w:hAnsi="Arial" w:cs="Arial"/>
        </w:rPr>
        <w:t>监管交接情况</w:t>
      </w:r>
    </w:p>
    <w:p>
      <w:pPr>
        <w:spacing w:line="360" w:lineRule="auto"/>
        <w:ind w:firstLine="480" w:firstLineChars="200"/>
        <w:jc w:val="both"/>
        <w:rPr>
          <w:rFonts w:ascii="Arial" w:hAnsi="Arial" w:cs="Arial"/>
        </w:rPr>
      </w:pPr>
      <w:r>
        <w:rPr>
          <w:rFonts w:ascii="Arial" w:hAnsi="Arial" w:cs="Arial"/>
        </w:rPr>
        <w:t>驻场时间:2020年8月07日起，驻场人员：连世梅，联系方式：15851844656</w:t>
      </w:r>
    </w:p>
    <w:tbl>
      <w:tblPr>
        <w:tblStyle w:val="18"/>
        <w:tblW w:w="9318" w:type="dxa"/>
        <w:jc w:val="center"/>
        <w:tblLayout w:type="fixed"/>
        <w:tblCellMar>
          <w:top w:w="0" w:type="dxa"/>
          <w:left w:w="0" w:type="dxa"/>
          <w:bottom w:w="0" w:type="dxa"/>
          <w:right w:w="0" w:type="dxa"/>
        </w:tblCellMar>
      </w:tblPr>
      <w:tblGrid>
        <w:gridCol w:w="2230"/>
        <w:gridCol w:w="1589"/>
        <w:gridCol w:w="2778"/>
        <w:gridCol w:w="2721"/>
        <w:tblGridChange w:id="0">
          <w:tblGrid>
            <w:gridCol w:w="2230"/>
            <w:gridCol w:w="1589"/>
            <w:gridCol w:w="2778"/>
            <w:gridCol w:w="2721"/>
          </w:tblGrid>
        </w:tblGridChange>
      </w:tblGrid>
      <w:tr>
        <w:tblPrEx>
          <w:tblCellMar>
            <w:top w:w="0" w:type="dxa"/>
            <w:left w:w="0" w:type="dxa"/>
            <w:bottom w:w="0" w:type="dxa"/>
            <w:right w:w="0" w:type="dxa"/>
          </w:tblCellMar>
        </w:tblPrEx>
        <w:trPr>
          <w:trHeight w:val="255"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监管内容</w:t>
            </w:r>
          </w:p>
        </w:tc>
        <w:tc>
          <w:tcPr>
            <w:tcW w:w="708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股东会/董事会议案</w:t>
            </w:r>
            <w:r>
              <w:rPr>
                <w:rFonts w:ascii="Arial" w:hAnsi="Arial" w:cs="Arial"/>
                <w:color w:val="000000"/>
                <w:sz w:val="21"/>
                <w:szCs w:val="21"/>
                <w:lang w:bidi="ar"/>
              </w:rPr>
              <w:sym w:font="Wingdings 2" w:char="0052"/>
            </w:r>
            <w:r>
              <w:rPr>
                <w:rFonts w:ascii="Arial" w:hAnsi="Arial" w:cs="Arial"/>
                <w:color w:val="000000"/>
                <w:sz w:val="21"/>
                <w:szCs w:val="21"/>
                <w:lang w:bidi="ar"/>
              </w:rPr>
              <w:t>资金监管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印鉴监管 </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证照监管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账户监管</w:t>
            </w:r>
            <w:r>
              <w:rPr>
                <w:rFonts w:ascii="Arial" w:hAnsi="Arial" w:cs="Arial"/>
                <w:color w:val="000000"/>
                <w:sz w:val="21"/>
                <w:szCs w:val="21"/>
                <w:lang w:bidi="ar"/>
              </w:rPr>
              <w:sym w:font="Wingdings 2" w:char="0052"/>
            </w:r>
          </w:p>
          <w:p>
            <w:pPr>
              <w:textAlignment w:val="center"/>
              <w:rPr>
                <w:rFonts w:ascii="Arial" w:hAnsi="Arial" w:cs="Arial"/>
                <w:color w:val="000000"/>
                <w:sz w:val="21"/>
                <w:szCs w:val="21"/>
              </w:rPr>
            </w:pPr>
            <w:r>
              <w:rPr>
                <w:rFonts w:ascii="Arial" w:hAnsi="Arial" w:cs="Arial"/>
                <w:color w:val="000000"/>
                <w:sz w:val="21"/>
                <w:szCs w:val="21"/>
                <w:lang w:bidi="ar"/>
              </w:rPr>
              <w:t>合同监管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工程监管</w:t>
            </w:r>
            <w:r>
              <w:rPr>
                <w:rFonts w:ascii="Arial" w:hAnsi="Arial" w:cs="Arial"/>
                <w:color w:val="000000"/>
                <w:sz w:val="21"/>
                <w:szCs w:val="21"/>
                <w:lang w:bidi="ar"/>
              </w:rPr>
              <w:sym w:font="Wingdings 2" w:char="0052"/>
            </w:r>
            <w:r>
              <w:rPr>
                <w:rFonts w:ascii="Arial" w:hAnsi="Arial" w:cs="Arial"/>
                <w:color w:val="000000"/>
                <w:sz w:val="21"/>
                <w:szCs w:val="21"/>
                <w:lang w:bidi="ar"/>
              </w:rPr>
              <w:t>成本监管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财务监管</w:t>
            </w:r>
            <w:r>
              <w:rPr>
                <w:rFonts w:ascii="Arial" w:hAnsi="Arial" w:cs="Arial"/>
                <w:color w:val="000000"/>
                <w:sz w:val="21"/>
                <w:szCs w:val="21"/>
                <w:lang w:bidi="ar"/>
              </w:rPr>
              <w:sym w:font="Wingdings 2" w:char="0052"/>
            </w:r>
            <w:r>
              <w:rPr>
                <w:rFonts w:ascii="Arial" w:hAnsi="Arial" w:cs="Arial"/>
                <w:color w:val="000000"/>
                <w:sz w:val="21"/>
                <w:szCs w:val="21"/>
                <w:lang w:bidi="ar"/>
              </w:rPr>
              <w:t>销售进度监管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p>
        </w:tc>
      </w:tr>
      <w:tr>
        <w:tblPrEx>
          <w:tblCellMar>
            <w:top w:w="0" w:type="dxa"/>
            <w:left w:w="0" w:type="dxa"/>
            <w:bottom w:w="0" w:type="dxa"/>
            <w:right w:w="0" w:type="dxa"/>
          </w:tblCellMar>
        </w:tblPrEx>
        <w:trPr>
          <w:trHeight w:val="255"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监管物品</w:t>
            </w:r>
          </w:p>
        </w:tc>
        <w:tc>
          <w:tcPr>
            <w:tcW w:w="436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在管物品</w:t>
            </w:r>
          </w:p>
        </w:tc>
        <w:tc>
          <w:tcPr>
            <w:tcW w:w="272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待管物品/待落实监管事项</w:t>
            </w:r>
          </w:p>
        </w:tc>
      </w:tr>
      <w:tr>
        <w:tblPrEx>
          <w:tblCellMar>
            <w:top w:w="0" w:type="dxa"/>
            <w:left w:w="0" w:type="dxa"/>
            <w:bottom w:w="0" w:type="dxa"/>
            <w:right w:w="0" w:type="dxa"/>
          </w:tblCellMar>
        </w:tblPrEx>
        <w:trPr>
          <w:trHeight w:val="255"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印章</w:t>
            </w:r>
          </w:p>
        </w:tc>
        <w:tc>
          <w:tcPr>
            <w:tcW w:w="1589"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rPr>
              <w:t>福州首融房地产开发有限公司</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公章</w:t>
            </w:r>
          </w:p>
        </w:tc>
        <w:tc>
          <w:tcPr>
            <w:tcW w:w="2721"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财务章</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法人章</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发票章</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rPr>
              <w:t>宁德融熙置业有限公司</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公章</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财务章</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法人章</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发票章</w:t>
            </w:r>
          </w:p>
        </w:tc>
        <w:tc>
          <w:tcPr>
            <w:tcW w:w="2721"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证照</w:t>
            </w:r>
          </w:p>
        </w:tc>
        <w:tc>
          <w:tcPr>
            <w:tcW w:w="1589" w:type="dxa"/>
            <w:vMerge w:val="restart"/>
            <w:tcBorders>
              <w:top w:val="single" w:color="auto" w:sz="4" w:space="0"/>
              <w:left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rPr>
              <w:t>福州首融房地产开发有限公司</w:t>
            </w:r>
          </w:p>
        </w:tc>
        <w:tc>
          <w:tcPr>
            <w:tcW w:w="277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营业执照正</w:t>
            </w:r>
            <w:r>
              <w:rPr>
                <w:rFonts w:hint="eastAsia" w:ascii="Arial" w:hAnsi="Arial" w:cs="Arial"/>
                <w:color w:val="000000"/>
                <w:sz w:val="21"/>
                <w:szCs w:val="21"/>
                <w:lang w:bidi="ar"/>
              </w:rPr>
              <w:t>/副</w:t>
            </w:r>
            <w:r>
              <w:rPr>
                <w:rFonts w:ascii="Arial" w:hAnsi="Arial" w:cs="Arial"/>
                <w:color w:val="000000"/>
                <w:sz w:val="21"/>
                <w:szCs w:val="21"/>
                <w:lang w:bidi="ar"/>
              </w:rPr>
              <w:t>本</w:t>
            </w:r>
          </w:p>
        </w:tc>
        <w:tc>
          <w:tcPr>
            <w:tcW w:w="2721" w:type="dxa"/>
            <w:vMerge w:val="restart"/>
            <w:tcBorders>
              <w:top w:val="single" w:color="auto" w:sz="4" w:space="0"/>
              <w:left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lang w:bidi="ar"/>
              </w:rPr>
              <w:t>建设工程规划许可证因办理</w:t>
            </w:r>
            <w:r>
              <w:rPr>
                <w:rFonts w:hint="eastAsia" w:ascii="Arial" w:hAnsi="Arial" w:cs="Arial"/>
                <w:color w:val="000000"/>
                <w:sz w:val="21"/>
                <w:szCs w:val="21"/>
                <w:lang w:bidi="ar"/>
              </w:rPr>
              <w:t>变更手续，原证照外借</w:t>
            </w:r>
          </w:p>
        </w:tc>
      </w:tr>
      <w:tr>
        <w:tblPrEx>
          <w:tblCellMar>
            <w:top w:w="0" w:type="dxa"/>
            <w:left w:w="0" w:type="dxa"/>
            <w:bottom w:w="0" w:type="dxa"/>
            <w:right w:w="0" w:type="dxa"/>
          </w:tblCellMar>
        </w:tblPrEx>
        <w:trPr>
          <w:trHeight w:val="255" w:hRule="atLeast"/>
          <w:jc w:val="center"/>
        </w:trPr>
        <w:tc>
          <w:tcPr>
            <w:tcW w:w="22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建设用地规划许可证</w:t>
            </w:r>
          </w:p>
        </w:tc>
        <w:tc>
          <w:tcPr>
            <w:tcW w:w="2721" w:type="dxa"/>
            <w:vMerge w:val="continue"/>
            <w:tcBorders>
              <w:left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建筑施工许可证（C区、B1#B2#楼B3#B5#楼及其地下室-电子证照）</w:t>
            </w:r>
          </w:p>
        </w:tc>
        <w:tc>
          <w:tcPr>
            <w:tcW w:w="2721" w:type="dxa"/>
            <w:vMerge w:val="continue"/>
            <w:tcBorders>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rPr>
              <w:t>宁德融熙置业有限公司</w:t>
            </w:r>
          </w:p>
        </w:tc>
        <w:tc>
          <w:tcPr>
            <w:tcW w:w="277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营业执照正本</w:t>
            </w:r>
          </w:p>
        </w:tc>
        <w:tc>
          <w:tcPr>
            <w:tcW w:w="2721" w:type="dxa"/>
            <w:vMerge w:val="restart"/>
            <w:tcBorders>
              <w:top w:val="single" w:color="auto" w:sz="4" w:space="0"/>
              <w:left w:val="single" w:color="auto"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营业执照副本</w:t>
            </w:r>
          </w:p>
        </w:tc>
        <w:tc>
          <w:tcPr>
            <w:tcW w:w="2721"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合同监管</w:t>
            </w:r>
          </w:p>
        </w:tc>
        <w:tc>
          <w:tcPr>
            <w:tcW w:w="4367" w:type="dxa"/>
            <w:gridSpan w:val="2"/>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进场前签署合同全部交接，建立台账，合计2份数，合同金额492.09万，已付金额108.00万</w:t>
            </w:r>
          </w:p>
        </w:tc>
        <w:tc>
          <w:tcPr>
            <w:tcW w:w="2721"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银行账户密钥</w:t>
            </w:r>
          </w:p>
        </w:tc>
        <w:tc>
          <w:tcPr>
            <w:tcW w:w="15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SPV公司</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lang w:bidi="ar"/>
              </w:rPr>
            </w:pPr>
          </w:p>
        </w:tc>
        <w:tc>
          <w:tcPr>
            <w:tcW w:w="2721"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中国建设银行股份有限公司福州金融街支行</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账号：35050188740700001328</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项目公司</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lang w:bidi="ar"/>
              </w:rPr>
            </w:pP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中国建设银行股份有限公司福州城东支行</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账号：35050161000700006536</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lang w:bidi="ar"/>
              </w:rPr>
            </w:pPr>
            <w:r>
              <w:rPr>
                <w:rFonts w:hint="eastAsia" w:ascii="Arial" w:hAnsi="Arial" w:cs="Arial"/>
                <w:color w:val="000000"/>
                <w:sz w:val="21"/>
                <w:szCs w:val="21"/>
                <w:lang w:bidi="ar"/>
              </w:rPr>
              <w:t>兴业银行福州台江支行</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lang w:bidi="ar"/>
              </w:rPr>
            </w:pPr>
            <w:r>
              <w:rPr>
                <w:rFonts w:hint="eastAsia" w:ascii="Arial" w:hAnsi="Arial" w:cs="Arial"/>
                <w:color w:val="000000"/>
                <w:sz w:val="21"/>
                <w:szCs w:val="21"/>
                <w:lang w:bidi="ar"/>
              </w:rPr>
              <w:t>账号：</w:t>
            </w:r>
          </w:p>
          <w:p>
            <w:pPr>
              <w:textAlignment w:val="center"/>
              <w:rPr>
                <w:rFonts w:ascii="Arial" w:hAnsi="Arial" w:cs="Arial"/>
                <w:color w:val="000000"/>
                <w:sz w:val="21"/>
                <w:szCs w:val="21"/>
                <w:lang w:bidi="ar"/>
              </w:rPr>
            </w:pPr>
            <w:r>
              <w:rPr>
                <w:rFonts w:hint="eastAsia" w:ascii="Arial" w:hAnsi="Arial" w:cs="Arial"/>
                <w:color w:val="000000"/>
                <w:sz w:val="21"/>
                <w:szCs w:val="21"/>
                <w:lang w:bidi="ar"/>
              </w:rPr>
              <w:t>117210100100211982</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lang w:bidi="ar"/>
              </w:rPr>
            </w:pPr>
            <w:r>
              <w:rPr>
                <w:rFonts w:hint="eastAsia" w:ascii="Arial" w:hAnsi="Arial" w:cs="Arial"/>
                <w:color w:val="000000"/>
                <w:sz w:val="21"/>
                <w:szCs w:val="21"/>
                <w:lang w:bidi="ar"/>
              </w:rPr>
              <w:t>浙商银行福州分行营业部</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lang w:bidi="ar"/>
              </w:rPr>
            </w:pPr>
            <w:r>
              <w:rPr>
                <w:rFonts w:hint="eastAsia" w:ascii="Arial" w:hAnsi="Arial" w:cs="Arial"/>
                <w:color w:val="000000"/>
                <w:sz w:val="21"/>
                <w:szCs w:val="21"/>
                <w:lang w:bidi="ar"/>
              </w:rPr>
              <w:t>账号：3910000010120100023301</w:t>
            </w:r>
          </w:p>
        </w:tc>
        <w:tc>
          <w:tcPr>
            <w:tcW w:w="2721"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其他物品</w:t>
            </w:r>
          </w:p>
        </w:tc>
        <w:tc>
          <w:tcPr>
            <w:tcW w:w="1589"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SPV公司</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建行复核U盾</w:t>
            </w:r>
          </w:p>
        </w:tc>
        <w:tc>
          <w:tcPr>
            <w:tcW w:w="2721"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基本存款账户信息</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已开立账户余额表</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p>
        </w:tc>
        <w:tc>
          <w:tcPr>
            <w:tcW w:w="15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项目公司共管保险柜钥匙</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1"/>
                <w:szCs w:val="21"/>
              </w:rPr>
            </w:pPr>
          </w:p>
        </w:tc>
        <w:tc>
          <w:tcPr>
            <w:tcW w:w="1589"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项目公司</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股权出质合同</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公司章程</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董事会决议</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股东会决议</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终止协议</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借款协议</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土地拍卖成交确认书</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投资邀请函</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支票</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ascii="Arial" w:hAnsi="Arial" w:cs="Arial"/>
                <w:color w:val="000000"/>
                <w:sz w:val="21"/>
                <w:szCs w:val="21"/>
              </w:rPr>
              <w:t>建行复核U盾</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hint="eastAsia" w:ascii="Arial" w:hAnsi="Arial" w:cs="Arial"/>
                <w:color w:val="000000"/>
                <w:sz w:val="21"/>
                <w:szCs w:val="21"/>
              </w:rPr>
              <w:t>兴业银行复核</w:t>
            </w:r>
            <w:r>
              <w:rPr>
                <w:rFonts w:ascii="Arial" w:hAnsi="Arial" w:cs="Arial"/>
                <w:color w:val="000000"/>
                <w:sz w:val="21"/>
                <w:szCs w:val="21"/>
              </w:rPr>
              <w:t>U盾</w:t>
            </w:r>
          </w:p>
        </w:tc>
        <w:tc>
          <w:tcPr>
            <w:tcW w:w="2721"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r>
        <w:tblPrEx>
          <w:tblCellMar>
            <w:top w:w="0" w:type="dxa"/>
            <w:left w:w="0" w:type="dxa"/>
            <w:bottom w:w="0" w:type="dxa"/>
            <w:right w:w="0" w:type="dxa"/>
          </w:tblCellMar>
        </w:tblPrEx>
        <w:trPr>
          <w:trHeight w:val="255"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21"/>
                <w:szCs w:val="21"/>
              </w:rPr>
            </w:pPr>
          </w:p>
        </w:tc>
        <w:tc>
          <w:tcPr>
            <w:tcW w:w="15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21"/>
                <w:szCs w:val="21"/>
              </w:rPr>
            </w:pPr>
            <w:r>
              <w:rPr>
                <w:rFonts w:hint="eastAsia" w:ascii="Arial" w:hAnsi="Arial" w:cs="Arial"/>
                <w:color w:val="000000"/>
                <w:sz w:val="21"/>
                <w:szCs w:val="21"/>
              </w:rPr>
              <w:t>浙商银行复核U盾</w:t>
            </w:r>
          </w:p>
        </w:tc>
        <w:tc>
          <w:tcPr>
            <w:tcW w:w="2721"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1"/>
                <w:szCs w:val="21"/>
              </w:rPr>
            </w:pPr>
          </w:p>
        </w:tc>
      </w:tr>
    </w:tbl>
    <w:p>
      <w:pPr>
        <w:pStyle w:val="2"/>
        <w:ind w:firstLine="0" w:firstLineChars="0"/>
        <w:rPr>
          <w:rFonts w:ascii="Arial" w:hAnsi="Arial" w:cs="Arial"/>
        </w:rPr>
      </w:pPr>
    </w:p>
    <w:p>
      <w:pPr>
        <w:numPr>
          <w:ilvl w:val="0"/>
          <w:numId w:val="1"/>
        </w:numPr>
        <w:spacing w:line="360" w:lineRule="auto"/>
        <w:jc w:val="both"/>
        <w:rPr>
          <w:rFonts w:ascii="Arial" w:hAnsi="Arial" w:cs="Arial"/>
        </w:rPr>
      </w:pPr>
      <w:r>
        <w:rPr>
          <w:rFonts w:ascii="Arial" w:hAnsi="Arial" w:cs="Arial"/>
        </w:rPr>
        <w:t>项目重要节点跟踪</w:t>
      </w:r>
    </w:p>
    <w:p>
      <w:pPr>
        <w:spacing w:line="360" w:lineRule="auto"/>
        <w:ind w:firstLine="240" w:firstLineChars="100"/>
        <w:jc w:val="both"/>
        <w:rPr>
          <w:rFonts w:ascii="Arial" w:hAnsi="Arial" w:cs="Arial"/>
        </w:rPr>
      </w:pPr>
      <w:r>
        <w:rPr>
          <w:rFonts w:hint="eastAsia" w:ascii="Arial" w:hAnsi="Arial" w:cs="Arial"/>
        </w:rPr>
        <w:t>①项目公司经营计划节点达成情况</w:t>
      </w:r>
    </w:p>
    <w:tbl>
      <w:tblPr>
        <w:tblStyle w:val="18"/>
        <w:tblW w:w="9516" w:type="dxa"/>
        <w:tblInd w:w="96" w:type="dxa"/>
        <w:tblLayout w:type="fixed"/>
        <w:tblCellMar>
          <w:top w:w="0" w:type="dxa"/>
          <w:left w:w="108" w:type="dxa"/>
          <w:bottom w:w="0" w:type="dxa"/>
          <w:right w:w="108" w:type="dxa"/>
        </w:tblCellMar>
      </w:tblPr>
      <w:tblGrid>
        <w:gridCol w:w="621"/>
        <w:gridCol w:w="1944"/>
        <w:gridCol w:w="2052"/>
        <w:gridCol w:w="1081"/>
        <w:gridCol w:w="1888"/>
        <w:gridCol w:w="1930"/>
      </w:tblGrid>
      <w:tr>
        <w:tblPrEx>
          <w:tblCellMar>
            <w:top w:w="0" w:type="dxa"/>
            <w:left w:w="108" w:type="dxa"/>
            <w:bottom w:w="0" w:type="dxa"/>
            <w:right w:w="108" w:type="dxa"/>
          </w:tblCellMar>
        </w:tblPrEx>
        <w:trPr>
          <w:trHeight w:val="591" w:hRule="atLeast"/>
          <w:tblHeader/>
        </w:trPr>
        <w:tc>
          <w:tcPr>
            <w:tcW w:w="62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21"/>
                <w:szCs w:val="21"/>
              </w:rPr>
            </w:pPr>
            <w:r>
              <w:rPr>
                <w:rFonts w:ascii="Arial" w:hAnsi="Arial" w:cs="Arial"/>
                <w:b/>
                <w:bCs/>
                <w:color w:val="000000"/>
                <w:sz w:val="21"/>
                <w:szCs w:val="21"/>
                <w:lang w:bidi="ar"/>
              </w:rPr>
              <w:t>序号</w:t>
            </w:r>
          </w:p>
        </w:tc>
        <w:tc>
          <w:tcPr>
            <w:tcW w:w="1944"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21"/>
                <w:szCs w:val="21"/>
              </w:rPr>
            </w:pPr>
            <w:r>
              <w:rPr>
                <w:rFonts w:ascii="Arial" w:hAnsi="Arial" w:cs="Arial"/>
                <w:b/>
                <w:bCs/>
                <w:color w:val="000000"/>
                <w:sz w:val="21"/>
                <w:szCs w:val="21"/>
                <w:lang w:bidi="ar"/>
              </w:rPr>
              <w:t>时间节点</w:t>
            </w:r>
          </w:p>
        </w:tc>
        <w:tc>
          <w:tcPr>
            <w:tcW w:w="2052" w:type="dxa"/>
            <w:tcBorders>
              <w:top w:val="single" w:color="000000" w:sz="8" w:space="0"/>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
                <w:bCs/>
                <w:color w:val="000000"/>
                <w:sz w:val="21"/>
                <w:szCs w:val="21"/>
              </w:rPr>
            </w:pPr>
            <w:r>
              <w:rPr>
                <w:rFonts w:ascii="Arial" w:hAnsi="Arial" w:cs="Arial"/>
                <w:b/>
                <w:bCs/>
                <w:color w:val="000000"/>
                <w:sz w:val="21"/>
                <w:szCs w:val="21"/>
                <w:lang w:bidi="ar"/>
              </w:rPr>
              <w:t>进度要求/计划</w:t>
            </w:r>
          </w:p>
        </w:tc>
        <w:tc>
          <w:tcPr>
            <w:tcW w:w="1081"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21"/>
                <w:szCs w:val="21"/>
              </w:rPr>
            </w:pPr>
            <w:r>
              <w:rPr>
                <w:rFonts w:ascii="Arial" w:hAnsi="Arial" w:cs="Arial"/>
                <w:b/>
                <w:bCs/>
                <w:color w:val="000000"/>
                <w:sz w:val="21"/>
                <w:szCs w:val="21"/>
                <w:lang w:bidi="ar"/>
              </w:rPr>
              <w:t>A区</w:t>
            </w:r>
            <w:r>
              <w:rPr>
                <w:rFonts w:ascii="Arial" w:hAnsi="Arial" w:cs="Arial"/>
                <w:b/>
                <w:bCs/>
                <w:color w:val="000000"/>
                <w:sz w:val="21"/>
                <w:szCs w:val="21"/>
                <w:lang w:bidi="ar"/>
              </w:rPr>
              <w:br w:type="textWrapping"/>
            </w:r>
            <w:r>
              <w:rPr>
                <w:rFonts w:ascii="Arial" w:hAnsi="Arial" w:cs="Arial"/>
                <w:b/>
                <w:bCs/>
                <w:color w:val="000000"/>
                <w:sz w:val="21"/>
                <w:szCs w:val="21"/>
                <w:lang w:bidi="ar"/>
              </w:rPr>
              <w:t>完成时间</w:t>
            </w:r>
          </w:p>
        </w:tc>
        <w:tc>
          <w:tcPr>
            <w:tcW w:w="1888"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21"/>
                <w:szCs w:val="21"/>
              </w:rPr>
            </w:pPr>
            <w:r>
              <w:rPr>
                <w:rFonts w:ascii="Arial" w:hAnsi="Arial" w:cs="Arial"/>
                <w:b/>
                <w:bCs/>
                <w:color w:val="000000"/>
                <w:sz w:val="21"/>
                <w:szCs w:val="21"/>
                <w:lang w:bidi="ar"/>
              </w:rPr>
              <w:t>B区</w:t>
            </w:r>
            <w:r>
              <w:rPr>
                <w:rFonts w:ascii="Arial" w:hAnsi="Arial" w:cs="Arial"/>
                <w:b/>
                <w:bCs/>
                <w:color w:val="000000"/>
                <w:sz w:val="21"/>
                <w:szCs w:val="21"/>
                <w:lang w:bidi="ar"/>
              </w:rPr>
              <w:br w:type="textWrapping"/>
            </w:r>
            <w:r>
              <w:rPr>
                <w:rFonts w:ascii="Arial" w:hAnsi="Arial" w:cs="Arial"/>
                <w:b/>
                <w:bCs/>
                <w:color w:val="000000"/>
                <w:sz w:val="21"/>
                <w:szCs w:val="21"/>
                <w:lang w:bidi="ar"/>
              </w:rPr>
              <w:t>完成时间</w:t>
            </w:r>
          </w:p>
        </w:tc>
        <w:tc>
          <w:tcPr>
            <w:tcW w:w="1930"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21"/>
                <w:szCs w:val="21"/>
              </w:rPr>
            </w:pPr>
            <w:r>
              <w:rPr>
                <w:rFonts w:ascii="Arial" w:hAnsi="Arial" w:cs="Arial"/>
                <w:b/>
                <w:bCs/>
                <w:color w:val="000000"/>
                <w:sz w:val="21"/>
                <w:szCs w:val="21"/>
                <w:lang w:bidi="ar"/>
              </w:rPr>
              <w:t>C区</w:t>
            </w:r>
            <w:r>
              <w:rPr>
                <w:rFonts w:ascii="Arial" w:hAnsi="Arial" w:cs="Arial"/>
                <w:b/>
                <w:bCs/>
                <w:color w:val="000000"/>
                <w:sz w:val="21"/>
                <w:szCs w:val="21"/>
                <w:lang w:bidi="ar"/>
              </w:rPr>
              <w:br w:type="textWrapping"/>
            </w:r>
            <w:r>
              <w:rPr>
                <w:rFonts w:ascii="Arial" w:hAnsi="Arial" w:cs="Arial"/>
                <w:b/>
                <w:bCs/>
                <w:color w:val="000000"/>
                <w:sz w:val="21"/>
                <w:szCs w:val="21"/>
                <w:lang w:bidi="ar"/>
              </w:rPr>
              <w:t>完成时间</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1</w:t>
            </w:r>
          </w:p>
        </w:tc>
        <w:tc>
          <w:tcPr>
            <w:tcW w:w="1944"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2021年6月21日</w:t>
            </w: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用地规划许可证</w:t>
            </w:r>
          </w:p>
        </w:tc>
        <w:tc>
          <w:tcPr>
            <w:tcW w:w="4899" w:type="dxa"/>
            <w:gridSpan w:val="3"/>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2020年6月8日</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w:t>
            </w:r>
          </w:p>
        </w:tc>
        <w:tc>
          <w:tcPr>
            <w:tcW w:w="1944" w:type="dxa"/>
            <w:vMerge w:val="continue"/>
            <w:tcBorders>
              <w:top w:val="nil"/>
              <w:left w:val="nil"/>
              <w:bottom w:val="single" w:color="000000" w:sz="8" w:space="0"/>
              <w:right w:val="single" w:color="000000" w:sz="8" w:space="0"/>
            </w:tcBorders>
            <w:shd w:val="clear" w:color="auto" w:fill="auto"/>
            <w:vAlign w:val="center"/>
          </w:tcPr>
          <w:p>
            <w:pPr>
              <w:jc w:val="center"/>
              <w:rPr>
                <w:rFonts w:ascii="Arial" w:hAnsi="Arial" w:cs="Arial"/>
                <w:color w:val="000000"/>
                <w:sz w:val="21"/>
                <w:szCs w:val="21"/>
              </w:rPr>
            </w:pP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工程规划许可证</w:t>
            </w:r>
          </w:p>
        </w:tc>
        <w:tc>
          <w:tcPr>
            <w:tcW w:w="4899" w:type="dxa"/>
            <w:gridSpan w:val="3"/>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2021年4月22日</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3</w:t>
            </w:r>
          </w:p>
        </w:tc>
        <w:tc>
          <w:tcPr>
            <w:tcW w:w="1944" w:type="dxa"/>
            <w:vMerge w:val="continue"/>
            <w:tcBorders>
              <w:top w:val="nil"/>
              <w:left w:val="nil"/>
              <w:bottom w:val="single" w:color="000000" w:sz="8" w:space="0"/>
              <w:right w:val="single" w:color="000000" w:sz="8" w:space="0"/>
            </w:tcBorders>
            <w:shd w:val="clear" w:color="auto" w:fill="auto"/>
            <w:vAlign w:val="center"/>
          </w:tcPr>
          <w:p>
            <w:pPr>
              <w:jc w:val="center"/>
              <w:rPr>
                <w:rFonts w:ascii="Arial" w:hAnsi="Arial" w:cs="Arial"/>
                <w:color w:val="000000"/>
                <w:sz w:val="21"/>
                <w:szCs w:val="21"/>
              </w:rPr>
            </w:pP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国有土地使用权证</w:t>
            </w:r>
          </w:p>
        </w:tc>
        <w:tc>
          <w:tcPr>
            <w:tcW w:w="4899" w:type="dxa"/>
            <w:gridSpan w:val="3"/>
            <w:tcBorders>
              <w:top w:val="nil"/>
              <w:left w:val="nil"/>
              <w:bottom w:val="single" w:color="000000" w:sz="8" w:space="0"/>
              <w:right w:val="single" w:color="000000" w:sz="8" w:space="0"/>
            </w:tcBorders>
            <w:shd w:val="clear" w:color="auto" w:fill="auto"/>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highlight w:val="yellow"/>
                <w:lang w:bidi="ar"/>
              </w:rPr>
              <w:t>未完成</w:t>
            </w:r>
          </w:p>
        </w:tc>
      </w:tr>
      <w:tr>
        <w:tblPrEx>
          <w:tblCellMar>
            <w:top w:w="0" w:type="dxa"/>
            <w:left w:w="108" w:type="dxa"/>
            <w:bottom w:w="0" w:type="dxa"/>
            <w:right w:w="108" w:type="dxa"/>
          </w:tblCellMar>
        </w:tblPrEx>
        <w:trPr>
          <w:trHeight w:val="363"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4</w:t>
            </w:r>
          </w:p>
        </w:tc>
        <w:tc>
          <w:tcPr>
            <w:tcW w:w="1944" w:type="dxa"/>
            <w:vMerge w:val="continue"/>
            <w:tcBorders>
              <w:top w:val="nil"/>
              <w:left w:val="nil"/>
              <w:bottom w:val="single" w:color="000000" w:sz="8" w:space="0"/>
              <w:right w:val="single" w:color="000000" w:sz="8" w:space="0"/>
            </w:tcBorders>
            <w:shd w:val="clear" w:color="auto" w:fill="auto"/>
            <w:vAlign w:val="center"/>
          </w:tcPr>
          <w:p>
            <w:pPr>
              <w:jc w:val="center"/>
              <w:rPr>
                <w:rFonts w:ascii="Arial" w:hAnsi="Arial" w:cs="Arial"/>
                <w:color w:val="000000"/>
                <w:sz w:val="21"/>
                <w:szCs w:val="21"/>
              </w:rPr>
            </w:pP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施工许可证</w:t>
            </w:r>
          </w:p>
        </w:tc>
        <w:tc>
          <w:tcPr>
            <w:tcW w:w="1081" w:type="dxa"/>
            <w:tcBorders>
              <w:top w:val="nil"/>
              <w:left w:val="nil"/>
              <w:bottom w:val="single" w:color="000000" w:sz="8" w:space="0"/>
              <w:right w:val="single" w:color="000000" w:sz="8" w:space="0"/>
            </w:tcBorders>
            <w:shd w:val="clear" w:color="auto" w:fill="auto"/>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highlight w:val="yellow"/>
                <w:lang w:bidi="ar"/>
              </w:rPr>
              <w:t>未完成</w:t>
            </w:r>
          </w:p>
        </w:tc>
        <w:tc>
          <w:tcPr>
            <w:tcW w:w="1888" w:type="dxa"/>
            <w:tcBorders>
              <w:top w:val="nil"/>
              <w:left w:val="nil"/>
              <w:bottom w:val="single" w:color="000000" w:sz="8" w:space="0"/>
              <w:right w:val="single" w:color="000000" w:sz="8" w:space="0"/>
            </w:tcBorders>
            <w:shd w:val="clear" w:color="auto" w:fill="auto"/>
            <w:vAlign w:val="center"/>
          </w:tcPr>
          <w:p>
            <w:pPr>
              <w:pStyle w:val="2"/>
              <w:ind w:firstLine="0" w:firstLineChars="0"/>
              <w:jc w:val="center"/>
              <w:rPr>
                <w:rFonts w:ascii="Arial" w:hAnsi="Arial" w:cs="Arial"/>
                <w:color w:val="000000"/>
                <w:szCs w:val="21"/>
                <w:highlight w:val="yellow"/>
                <w:lang w:bidi="ar"/>
              </w:rPr>
            </w:pPr>
            <w:r>
              <w:rPr>
                <w:rFonts w:hint="eastAsia" w:ascii="Arial" w:hAnsi="Arial" w:cs="Arial"/>
                <w:color w:val="000000"/>
                <w:szCs w:val="21"/>
                <w:highlight w:val="yellow"/>
                <w:lang w:bidi="ar"/>
              </w:rPr>
              <w:t>未全部完成</w:t>
            </w:r>
          </w:p>
          <w:p>
            <w:pPr>
              <w:pStyle w:val="2"/>
              <w:ind w:firstLine="0" w:firstLineChars="0"/>
              <w:jc w:val="left"/>
              <w:rPr>
                <w:rFonts w:ascii="Arial" w:hAnsi="Arial" w:cs="Arial"/>
                <w:color w:val="000000"/>
                <w:szCs w:val="21"/>
                <w:lang w:bidi="ar"/>
              </w:rPr>
            </w:pPr>
            <w:r>
              <w:rPr>
                <w:rFonts w:hint="eastAsia" w:ascii="Arial" w:hAnsi="Arial" w:cs="Arial"/>
                <w:color w:val="000000"/>
                <w:szCs w:val="21"/>
                <w:lang w:bidi="ar"/>
              </w:rPr>
              <w:t>2021年8月26日B1-B2、B3/B5楼栋及其地下室</w:t>
            </w:r>
          </w:p>
        </w:tc>
        <w:tc>
          <w:tcPr>
            <w:tcW w:w="1930"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2021年6月24日</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5</w:t>
            </w:r>
          </w:p>
        </w:tc>
        <w:tc>
          <w:tcPr>
            <w:tcW w:w="1944"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开工时间</w:t>
            </w:r>
          </w:p>
        </w:tc>
        <w:tc>
          <w:tcPr>
            <w:tcW w:w="108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未开工</w:t>
            </w:r>
          </w:p>
        </w:tc>
        <w:tc>
          <w:tcPr>
            <w:tcW w:w="1888"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未开工</w:t>
            </w:r>
          </w:p>
        </w:tc>
        <w:tc>
          <w:tcPr>
            <w:tcW w:w="1930"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2021年4月1日</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6</w:t>
            </w:r>
          </w:p>
        </w:tc>
        <w:tc>
          <w:tcPr>
            <w:tcW w:w="1944"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2021年6月30日前</w:t>
            </w: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预售证</w:t>
            </w:r>
          </w:p>
        </w:tc>
        <w:tc>
          <w:tcPr>
            <w:tcW w:w="1081"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888"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930"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hint="eastAsia" w:ascii="宋体" w:hAnsi="宋体" w:cs="宋体"/>
                <w:color w:val="000000"/>
                <w:sz w:val="21"/>
                <w:szCs w:val="21"/>
                <w:highlight w:val="yellow"/>
                <w:lang w:bidi="ar"/>
              </w:rPr>
              <w:t>未完成</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7</w:t>
            </w:r>
          </w:p>
        </w:tc>
        <w:tc>
          <w:tcPr>
            <w:tcW w:w="1944" w:type="dxa"/>
            <w:vMerge w:val="continue"/>
            <w:tcBorders>
              <w:top w:val="nil"/>
              <w:left w:val="nil"/>
              <w:bottom w:val="single" w:color="000000" w:sz="8" w:space="0"/>
              <w:right w:val="single" w:color="000000" w:sz="8" w:space="0"/>
            </w:tcBorders>
            <w:shd w:val="clear" w:color="auto" w:fill="auto"/>
            <w:vAlign w:val="center"/>
          </w:tcPr>
          <w:p>
            <w:pPr>
              <w:jc w:val="center"/>
              <w:rPr>
                <w:rFonts w:ascii="Arial" w:hAnsi="Arial" w:cs="Arial"/>
                <w:color w:val="000000"/>
                <w:sz w:val="21"/>
                <w:szCs w:val="21"/>
              </w:rPr>
            </w:pP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首次开盘</w:t>
            </w:r>
          </w:p>
        </w:tc>
        <w:tc>
          <w:tcPr>
            <w:tcW w:w="4899" w:type="dxa"/>
            <w:gridSpan w:val="3"/>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hint="eastAsia" w:ascii="宋体" w:hAnsi="宋体" w:cs="宋体"/>
                <w:color w:val="000000"/>
                <w:sz w:val="21"/>
                <w:szCs w:val="21"/>
                <w:highlight w:val="yellow"/>
                <w:lang w:bidi="ar"/>
              </w:rPr>
              <w:t>未完成</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8</w:t>
            </w:r>
          </w:p>
        </w:tc>
        <w:tc>
          <w:tcPr>
            <w:tcW w:w="1944"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竣工备案</w:t>
            </w:r>
          </w:p>
        </w:tc>
        <w:tc>
          <w:tcPr>
            <w:tcW w:w="1081"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888"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930"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预计2022/12/31完成</w:t>
            </w:r>
          </w:p>
        </w:tc>
      </w:tr>
      <w:tr>
        <w:tblPrEx>
          <w:tblCellMar>
            <w:top w:w="0" w:type="dxa"/>
            <w:left w:w="108" w:type="dxa"/>
            <w:bottom w:w="0" w:type="dxa"/>
            <w:right w:w="108" w:type="dxa"/>
          </w:tblCellMar>
        </w:tblPrEx>
        <w:trPr>
          <w:trHeight w:val="360" w:hRule="atLeast"/>
        </w:trPr>
        <w:tc>
          <w:tcPr>
            <w:tcW w:w="621"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9</w:t>
            </w:r>
          </w:p>
        </w:tc>
        <w:tc>
          <w:tcPr>
            <w:tcW w:w="1944"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05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交付</w:t>
            </w:r>
          </w:p>
        </w:tc>
        <w:tc>
          <w:tcPr>
            <w:tcW w:w="1081"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888"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930"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预计2023/9/30完成</w:t>
            </w:r>
          </w:p>
        </w:tc>
      </w:tr>
    </w:tbl>
    <w:p>
      <w:pPr>
        <w:rPr>
          <w:rFonts w:ascii="Arial" w:hAnsi="Arial" w:cs="Arial"/>
          <w:sz w:val="18"/>
          <w:szCs w:val="18"/>
        </w:rPr>
      </w:pPr>
      <w:r>
        <w:rPr>
          <w:rFonts w:hint="eastAsia" w:ascii="Arial" w:hAnsi="Arial" w:cs="Arial"/>
          <w:sz w:val="18"/>
          <w:szCs w:val="18"/>
        </w:rPr>
        <w:t>备注：根据首董会议案签批文件，各区域自开工至竣备预计21个月，至交付预计30个月。后续开发计划将随地铁交地时间和顺序调整而调整。</w:t>
      </w:r>
    </w:p>
    <w:p>
      <w:pPr>
        <w:spacing w:line="360" w:lineRule="auto"/>
        <w:ind w:firstLine="240" w:firstLineChars="100"/>
        <w:jc w:val="both"/>
        <w:rPr>
          <w:rFonts w:ascii="Arial" w:hAnsi="Arial" w:cs="Arial"/>
        </w:rPr>
      </w:pPr>
    </w:p>
    <w:p>
      <w:pPr>
        <w:spacing w:line="360" w:lineRule="auto"/>
        <w:ind w:firstLine="240" w:firstLineChars="100"/>
        <w:jc w:val="both"/>
        <w:rPr>
          <w:rFonts w:ascii="Arial" w:hAnsi="Arial" w:cs="Arial"/>
        </w:rPr>
      </w:pPr>
      <w:r>
        <w:rPr>
          <w:rFonts w:hint="eastAsia" w:ascii="Arial" w:hAnsi="Arial" w:cs="Arial"/>
        </w:rPr>
        <w:t>②对赌节点达成情况</w:t>
      </w:r>
    </w:p>
    <w:tbl>
      <w:tblPr>
        <w:tblStyle w:val="19"/>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057"/>
        <w:gridCol w:w="1012"/>
        <w:gridCol w:w="2493"/>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66" w:type="dxa"/>
            <w:vAlign w:val="center"/>
          </w:tcPr>
          <w:p>
            <w:pPr>
              <w:jc w:val="center"/>
              <w:rPr>
                <w:rFonts w:ascii="Arial" w:hAnsi="Arial" w:cs="Arial"/>
                <w:b/>
                <w:bCs/>
                <w:sz w:val="21"/>
                <w:szCs w:val="21"/>
              </w:rPr>
            </w:pPr>
            <w:r>
              <w:rPr>
                <w:rFonts w:hint="eastAsia" w:ascii="Arial" w:hAnsi="Arial" w:cs="Arial"/>
                <w:b/>
                <w:bCs/>
                <w:sz w:val="21"/>
                <w:szCs w:val="21"/>
              </w:rPr>
              <w:t>序号</w:t>
            </w:r>
          </w:p>
        </w:tc>
        <w:tc>
          <w:tcPr>
            <w:tcW w:w="3057" w:type="dxa"/>
            <w:vAlign w:val="center"/>
          </w:tcPr>
          <w:p>
            <w:pPr>
              <w:jc w:val="center"/>
              <w:rPr>
                <w:rFonts w:ascii="Arial" w:hAnsi="Arial" w:cs="Arial"/>
                <w:b/>
                <w:bCs/>
                <w:sz w:val="21"/>
                <w:szCs w:val="21"/>
              </w:rPr>
            </w:pPr>
            <w:r>
              <w:rPr>
                <w:rFonts w:hint="eastAsia" w:ascii="Arial" w:hAnsi="Arial" w:cs="Arial"/>
                <w:b/>
                <w:bCs/>
                <w:sz w:val="21"/>
                <w:szCs w:val="21"/>
              </w:rPr>
              <w:t>时间节点</w:t>
            </w:r>
          </w:p>
        </w:tc>
        <w:tc>
          <w:tcPr>
            <w:tcW w:w="1012" w:type="dxa"/>
            <w:vAlign w:val="center"/>
          </w:tcPr>
          <w:p>
            <w:pPr>
              <w:jc w:val="center"/>
              <w:rPr>
                <w:rFonts w:ascii="Arial" w:hAnsi="Arial" w:cs="Arial"/>
                <w:b/>
                <w:bCs/>
                <w:sz w:val="21"/>
                <w:szCs w:val="21"/>
              </w:rPr>
            </w:pPr>
            <w:r>
              <w:rPr>
                <w:rFonts w:hint="eastAsia" w:ascii="Arial" w:hAnsi="Arial" w:cs="Arial"/>
                <w:b/>
                <w:bCs/>
                <w:sz w:val="21"/>
                <w:szCs w:val="21"/>
              </w:rPr>
              <w:t>对赌要求</w:t>
            </w:r>
          </w:p>
        </w:tc>
        <w:tc>
          <w:tcPr>
            <w:tcW w:w="2493" w:type="dxa"/>
            <w:vAlign w:val="center"/>
          </w:tcPr>
          <w:p>
            <w:pPr>
              <w:jc w:val="center"/>
              <w:rPr>
                <w:rFonts w:ascii="Arial" w:hAnsi="Arial" w:cs="Arial"/>
                <w:b/>
                <w:bCs/>
                <w:sz w:val="21"/>
                <w:szCs w:val="21"/>
              </w:rPr>
            </w:pPr>
            <w:r>
              <w:rPr>
                <w:rFonts w:hint="eastAsia" w:ascii="Arial" w:hAnsi="Arial" w:cs="Arial"/>
                <w:b/>
                <w:bCs/>
                <w:sz w:val="21"/>
                <w:szCs w:val="21"/>
              </w:rPr>
              <w:t>实际达成情况</w:t>
            </w:r>
          </w:p>
        </w:tc>
        <w:tc>
          <w:tcPr>
            <w:tcW w:w="2082" w:type="dxa"/>
            <w:vAlign w:val="center"/>
          </w:tcPr>
          <w:p>
            <w:pPr>
              <w:jc w:val="center"/>
              <w:rPr>
                <w:rFonts w:ascii="Arial" w:hAnsi="Arial" w:cs="Arial"/>
                <w:b/>
                <w:bCs/>
                <w:sz w:val="21"/>
                <w:szCs w:val="21"/>
              </w:rPr>
            </w:pPr>
            <w:r>
              <w:rPr>
                <w:rFonts w:hint="eastAsia" w:ascii="Arial" w:hAnsi="Arial" w:cs="Arial"/>
                <w:b/>
                <w:bCs/>
                <w:sz w:val="21"/>
                <w:szCs w:val="21"/>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66" w:type="dxa"/>
            <w:vAlign w:val="center"/>
          </w:tcPr>
          <w:p>
            <w:pPr>
              <w:jc w:val="center"/>
              <w:rPr>
                <w:rFonts w:ascii="Arial" w:hAnsi="Arial" w:cs="Arial"/>
                <w:sz w:val="21"/>
                <w:szCs w:val="21"/>
              </w:rPr>
            </w:pPr>
            <w:r>
              <w:rPr>
                <w:rFonts w:hint="eastAsia" w:ascii="Arial" w:hAnsi="Arial" w:cs="Arial"/>
                <w:sz w:val="21"/>
                <w:szCs w:val="21"/>
              </w:rPr>
              <w:t>1</w:t>
            </w:r>
          </w:p>
        </w:tc>
        <w:tc>
          <w:tcPr>
            <w:tcW w:w="3057" w:type="dxa"/>
            <w:vAlign w:val="center"/>
          </w:tcPr>
          <w:p>
            <w:pPr>
              <w:jc w:val="center"/>
              <w:rPr>
                <w:rFonts w:ascii="Arial" w:hAnsi="Arial" w:cs="Arial"/>
                <w:sz w:val="21"/>
                <w:szCs w:val="21"/>
              </w:rPr>
            </w:pPr>
            <w:r>
              <w:rPr>
                <w:rFonts w:hint="eastAsia" w:ascii="Arial" w:hAnsi="Arial" w:cs="Arial"/>
                <w:szCs w:val="21"/>
              </w:rPr>
              <w:t>2021年6月30前（3个月宽限期，至9月30日）</w:t>
            </w:r>
          </w:p>
        </w:tc>
        <w:tc>
          <w:tcPr>
            <w:tcW w:w="1012" w:type="dxa"/>
            <w:vAlign w:val="center"/>
          </w:tcPr>
          <w:p>
            <w:pPr>
              <w:jc w:val="center"/>
              <w:rPr>
                <w:rFonts w:ascii="Arial" w:hAnsi="Arial" w:cs="Arial"/>
                <w:sz w:val="21"/>
                <w:szCs w:val="21"/>
              </w:rPr>
            </w:pPr>
            <w:r>
              <w:rPr>
                <w:rFonts w:hint="eastAsia" w:ascii="Arial" w:hAnsi="Arial" w:cs="Arial"/>
                <w:sz w:val="21"/>
                <w:szCs w:val="21"/>
              </w:rPr>
              <w:t>开盘</w:t>
            </w:r>
          </w:p>
        </w:tc>
        <w:tc>
          <w:tcPr>
            <w:tcW w:w="2493" w:type="dxa"/>
            <w:vAlign w:val="center"/>
          </w:tcPr>
          <w:p>
            <w:pPr>
              <w:jc w:val="center"/>
              <w:rPr>
                <w:rFonts w:ascii="Arial" w:hAnsi="Arial" w:cs="Arial"/>
                <w:sz w:val="21"/>
                <w:szCs w:val="21"/>
              </w:rPr>
            </w:pPr>
            <w:r>
              <w:rPr>
                <w:rFonts w:hint="eastAsia" w:ascii="Arial" w:hAnsi="Arial" w:cs="Arial"/>
                <w:szCs w:val="21"/>
              </w:rPr>
              <w:t>未完成</w:t>
            </w:r>
          </w:p>
        </w:tc>
        <w:tc>
          <w:tcPr>
            <w:tcW w:w="2082" w:type="dxa"/>
            <w:vAlign w:val="center"/>
          </w:tcPr>
          <w:p>
            <w:pPr>
              <w:jc w:val="center"/>
              <w:rPr>
                <w:rFonts w:ascii="Arial" w:hAnsi="Arial" w:cs="Arial"/>
                <w:sz w:val="21"/>
                <w:szCs w:val="21"/>
              </w:rPr>
            </w:pPr>
            <w:r>
              <w:rPr>
                <w:rFonts w:hint="eastAsia" w:ascii="Arial" w:hAnsi="Arial" w:cs="Arial"/>
                <w:sz w:val="21"/>
                <w:szCs w:val="21"/>
              </w:rPr>
              <w:t>--</w:t>
            </w:r>
          </w:p>
        </w:tc>
      </w:tr>
    </w:tbl>
    <w:p>
      <w:pPr>
        <w:spacing w:line="360" w:lineRule="auto"/>
        <w:jc w:val="both"/>
        <w:rPr>
          <w:rFonts w:ascii="Arial" w:hAnsi="Arial" w:cs="Arial"/>
          <w:sz w:val="21"/>
          <w:szCs w:val="21"/>
        </w:rPr>
      </w:pPr>
    </w:p>
    <w:p>
      <w:pPr>
        <w:numPr>
          <w:ilvl w:val="0"/>
          <w:numId w:val="1"/>
        </w:numPr>
        <w:spacing w:line="360" w:lineRule="auto"/>
        <w:jc w:val="both"/>
        <w:rPr>
          <w:rFonts w:ascii="Arial" w:hAnsi="Arial" w:cs="Arial"/>
        </w:rPr>
      </w:pPr>
      <w:r>
        <w:rPr>
          <w:rFonts w:ascii="Arial" w:hAnsi="Arial" w:cs="Arial"/>
        </w:rPr>
        <w:t>其他增信或风控措施落实</w:t>
      </w:r>
    </w:p>
    <w:tbl>
      <w:tblPr>
        <w:tblStyle w:val="19"/>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260"/>
        <w:gridCol w:w="1805"/>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46" w:type="dxa"/>
            <w:vAlign w:val="center"/>
          </w:tcPr>
          <w:p>
            <w:pPr>
              <w:spacing w:line="360" w:lineRule="auto"/>
              <w:jc w:val="center"/>
              <w:rPr>
                <w:rFonts w:ascii="Arial" w:hAnsi="Arial" w:cs="Arial"/>
                <w:b/>
                <w:bCs/>
                <w:sz w:val="21"/>
                <w:szCs w:val="21"/>
              </w:rPr>
            </w:pPr>
            <w:r>
              <w:rPr>
                <w:rFonts w:ascii="Arial" w:hAnsi="Arial" w:cs="Arial"/>
                <w:b/>
                <w:bCs/>
                <w:sz w:val="21"/>
                <w:szCs w:val="21"/>
              </w:rPr>
              <w:t>序号</w:t>
            </w:r>
          </w:p>
        </w:tc>
        <w:tc>
          <w:tcPr>
            <w:tcW w:w="1859" w:type="dxa"/>
            <w:vAlign w:val="center"/>
          </w:tcPr>
          <w:p>
            <w:pPr>
              <w:spacing w:line="360" w:lineRule="auto"/>
              <w:jc w:val="center"/>
              <w:rPr>
                <w:rFonts w:ascii="Arial" w:hAnsi="Arial" w:cs="Arial"/>
                <w:b/>
                <w:bCs/>
                <w:sz w:val="21"/>
                <w:szCs w:val="21"/>
              </w:rPr>
            </w:pPr>
            <w:r>
              <w:rPr>
                <w:rFonts w:ascii="Arial" w:hAnsi="Arial" w:cs="Arial"/>
                <w:b/>
                <w:bCs/>
                <w:sz w:val="21"/>
                <w:szCs w:val="21"/>
              </w:rPr>
              <w:t>事项/措施</w:t>
            </w:r>
          </w:p>
        </w:tc>
        <w:tc>
          <w:tcPr>
            <w:tcW w:w="2260" w:type="dxa"/>
            <w:vAlign w:val="center"/>
          </w:tcPr>
          <w:p>
            <w:pPr>
              <w:spacing w:line="360" w:lineRule="auto"/>
              <w:jc w:val="center"/>
              <w:rPr>
                <w:rFonts w:ascii="Arial" w:hAnsi="Arial" w:cs="Arial"/>
                <w:b/>
                <w:bCs/>
                <w:sz w:val="21"/>
                <w:szCs w:val="21"/>
              </w:rPr>
            </w:pPr>
            <w:r>
              <w:rPr>
                <w:rFonts w:ascii="Arial" w:hAnsi="Arial" w:cs="Arial"/>
                <w:b/>
                <w:bCs/>
                <w:sz w:val="21"/>
                <w:szCs w:val="21"/>
              </w:rPr>
              <w:t>办理要求</w:t>
            </w:r>
          </w:p>
        </w:tc>
        <w:tc>
          <w:tcPr>
            <w:tcW w:w="1805" w:type="dxa"/>
            <w:vAlign w:val="center"/>
          </w:tcPr>
          <w:p>
            <w:pPr>
              <w:spacing w:line="360" w:lineRule="auto"/>
              <w:jc w:val="center"/>
              <w:rPr>
                <w:rFonts w:ascii="Arial" w:hAnsi="Arial" w:cs="Arial"/>
                <w:b/>
                <w:bCs/>
                <w:sz w:val="21"/>
                <w:szCs w:val="21"/>
              </w:rPr>
            </w:pPr>
            <w:r>
              <w:rPr>
                <w:rFonts w:ascii="Arial" w:hAnsi="Arial" w:cs="Arial"/>
                <w:b/>
                <w:bCs/>
                <w:sz w:val="21"/>
                <w:szCs w:val="21"/>
              </w:rPr>
              <w:t>目前完成进度</w:t>
            </w:r>
          </w:p>
        </w:tc>
        <w:tc>
          <w:tcPr>
            <w:tcW w:w="2537" w:type="dxa"/>
            <w:vAlign w:val="center"/>
          </w:tcPr>
          <w:p>
            <w:pPr>
              <w:spacing w:line="360" w:lineRule="auto"/>
              <w:jc w:val="center"/>
              <w:rPr>
                <w:rFonts w:ascii="Arial" w:hAnsi="Arial" w:cs="Arial"/>
                <w:b/>
                <w:bCs/>
                <w:sz w:val="21"/>
                <w:szCs w:val="21"/>
              </w:rPr>
            </w:pPr>
            <w:r>
              <w:rPr>
                <w:rFonts w:ascii="Arial" w:hAnsi="Arial" w:cs="Arial"/>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6" w:type="dxa"/>
            <w:vAlign w:val="center"/>
          </w:tcPr>
          <w:p>
            <w:pPr>
              <w:jc w:val="center"/>
              <w:rPr>
                <w:rFonts w:ascii="Arial" w:hAnsi="Arial" w:cs="Arial"/>
                <w:sz w:val="21"/>
                <w:szCs w:val="21"/>
              </w:rPr>
            </w:pPr>
            <w:r>
              <w:rPr>
                <w:rFonts w:ascii="Arial" w:hAnsi="Arial" w:cs="Arial"/>
                <w:sz w:val="21"/>
                <w:szCs w:val="21"/>
              </w:rPr>
              <w:t>1</w:t>
            </w:r>
          </w:p>
        </w:tc>
        <w:tc>
          <w:tcPr>
            <w:tcW w:w="1859" w:type="dxa"/>
            <w:vAlign w:val="center"/>
          </w:tcPr>
          <w:p>
            <w:pPr>
              <w:rPr>
                <w:rFonts w:ascii="Arial" w:hAnsi="Arial" w:cs="Arial"/>
                <w:sz w:val="21"/>
                <w:szCs w:val="21"/>
              </w:rPr>
            </w:pPr>
            <w:r>
              <w:rPr>
                <w:rFonts w:ascii="Arial" w:hAnsi="Arial" w:cs="Arial"/>
                <w:sz w:val="21"/>
                <w:szCs w:val="21"/>
              </w:rPr>
              <w:t>融创方代中航信托持有的SPV公司49%股权质押给中航信托</w:t>
            </w:r>
          </w:p>
        </w:tc>
        <w:tc>
          <w:tcPr>
            <w:tcW w:w="2260" w:type="dxa"/>
            <w:vAlign w:val="center"/>
          </w:tcPr>
          <w:p>
            <w:pPr>
              <w:rPr>
                <w:rFonts w:ascii="Arial" w:hAnsi="Arial" w:cs="Arial"/>
                <w:sz w:val="21"/>
                <w:szCs w:val="21"/>
              </w:rPr>
            </w:pPr>
            <w:r>
              <w:rPr>
                <w:rFonts w:ascii="Arial" w:hAnsi="Arial" w:cs="Arial"/>
                <w:sz w:val="21"/>
                <w:szCs w:val="21"/>
              </w:rPr>
              <w:t>因办理开发贷需要，中航信托持有SPV49%股权需由融创方代持</w:t>
            </w:r>
          </w:p>
        </w:tc>
        <w:tc>
          <w:tcPr>
            <w:tcW w:w="1805" w:type="dxa"/>
            <w:vAlign w:val="center"/>
          </w:tcPr>
          <w:p>
            <w:pPr>
              <w:jc w:val="center"/>
              <w:rPr>
                <w:rFonts w:ascii="Arial" w:hAnsi="Arial" w:cs="Arial"/>
                <w:sz w:val="21"/>
                <w:szCs w:val="21"/>
              </w:rPr>
            </w:pPr>
            <w:r>
              <w:rPr>
                <w:rFonts w:ascii="Arial" w:hAnsi="Arial" w:cs="Arial"/>
                <w:sz w:val="21"/>
                <w:szCs w:val="21"/>
              </w:rPr>
              <w:t>未办理</w:t>
            </w:r>
          </w:p>
        </w:tc>
        <w:tc>
          <w:tcPr>
            <w:tcW w:w="2537" w:type="dxa"/>
            <w:vAlign w:val="center"/>
          </w:tcPr>
          <w:p>
            <w:pPr>
              <w:rPr>
                <w:rFonts w:ascii="Arial" w:hAnsi="Arial" w:cs="Arial"/>
                <w:sz w:val="21"/>
                <w:szCs w:val="21"/>
              </w:rPr>
            </w:pPr>
            <w:r>
              <w:rPr>
                <w:rFonts w:ascii="Arial" w:hAnsi="Arial" w:cs="Arial"/>
                <w:sz w:val="21"/>
                <w:szCs w:val="21"/>
              </w:rPr>
              <w:t>尚未达到开发贷申请条件</w:t>
            </w:r>
          </w:p>
        </w:tc>
      </w:tr>
    </w:tbl>
    <w:p>
      <w:pPr>
        <w:spacing w:line="360" w:lineRule="auto"/>
        <w:jc w:val="both"/>
        <w:rPr>
          <w:rFonts w:ascii="Arial" w:hAnsi="Arial" w:cs="Arial"/>
          <w:sz w:val="21"/>
          <w:szCs w:val="21"/>
        </w:rPr>
      </w:pPr>
    </w:p>
    <w:p>
      <w:pPr>
        <w:numPr>
          <w:ilvl w:val="0"/>
          <w:numId w:val="1"/>
        </w:numPr>
        <w:spacing w:line="360" w:lineRule="auto"/>
        <w:jc w:val="both"/>
        <w:rPr>
          <w:rFonts w:ascii="Arial" w:hAnsi="Arial" w:cs="Arial"/>
        </w:rPr>
      </w:pPr>
      <w:r>
        <w:rPr>
          <w:rFonts w:ascii="Arial" w:hAnsi="Arial" w:cs="Arial"/>
        </w:rPr>
        <w:t>销售情况</w:t>
      </w:r>
    </w:p>
    <w:p>
      <w:pPr>
        <w:pStyle w:val="2"/>
        <w:spacing w:line="360" w:lineRule="auto"/>
        <w:ind w:firstLine="480"/>
        <w:rPr>
          <w:rFonts w:ascii="Arial" w:hAnsi="Arial" w:cs="Arial"/>
          <w:color w:val="000000"/>
          <w:kern w:val="0"/>
          <w:sz w:val="24"/>
        </w:rPr>
      </w:pPr>
      <w:r>
        <w:rPr>
          <w:rFonts w:hint="eastAsia" w:ascii="Arial" w:hAnsi="Arial" w:cs="Arial"/>
          <w:color w:val="000000"/>
          <w:kern w:val="0"/>
          <w:sz w:val="24"/>
        </w:rPr>
        <w:t>项目尚未开始销售,对赌节点预计首次开盘时间2021年6月30前（3个月宽限期，至9月30日）。结合项目公司现在的实际办证进度，取得C1、C2预售证时间尚不确定。项目公司已经开始外展推广，根据项目公司介绍截至到现在蓄客约</w:t>
      </w:r>
      <w:r>
        <w:rPr>
          <w:rFonts w:hint="eastAsia" w:ascii="Arial" w:hAnsi="Arial" w:cs="Arial"/>
          <w:kern w:val="0"/>
          <w:sz w:val="24"/>
        </w:rPr>
        <w:t>723组</w:t>
      </w:r>
      <w:r>
        <w:rPr>
          <w:rFonts w:hint="eastAsia" w:ascii="Arial" w:hAnsi="Arial" w:cs="Arial"/>
          <w:color w:val="000000"/>
          <w:kern w:val="0"/>
          <w:sz w:val="24"/>
        </w:rPr>
        <w:t>（售楼处现场编写）。</w:t>
      </w:r>
    </w:p>
    <w:p>
      <w:pPr>
        <w:pStyle w:val="2"/>
        <w:spacing w:line="360" w:lineRule="auto"/>
        <w:ind w:firstLine="480"/>
        <w:rPr>
          <w:rFonts w:ascii="Arial" w:hAnsi="Arial" w:cs="Arial"/>
          <w:color w:val="000000"/>
          <w:kern w:val="0"/>
          <w:sz w:val="24"/>
        </w:rPr>
      </w:pPr>
      <w:r>
        <w:rPr>
          <w:rFonts w:hint="eastAsia" w:ascii="Arial" w:hAnsi="Arial" w:cs="Arial"/>
          <w:color w:val="000000"/>
          <w:kern w:val="0"/>
          <w:sz w:val="24"/>
        </w:rPr>
        <w:t>根据标的项目所在地区政策要求，现浇结构要建到总层数1/3才能取得预售证，装配式结构出正负零才能取得预售证。</w:t>
      </w:r>
    </w:p>
    <w:p>
      <w:pPr>
        <w:pStyle w:val="2"/>
        <w:spacing w:line="360" w:lineRule="auto"/>
        <w:ind w:firstLine="480"/>
        <w:rPr>
          <w:rFonts w:ascii="Arial" w:hAnsi="Arial" w:cs="Arial"/>
          <w:color w:val="000000"/>
          <w:kern w:val="0"/>
          <w:sz w:val="24"/>
        </w:rPr>
      </w:pPr>
    </w:p>
    <w:p>
      <w:pPr>
        <w:pStyle w:val="2"/>
        <w:numPr>
          <w:ilvl w:val="0"/>
          <w:numId w:val="1"/>
        </w:numPr>
        <w:ind w:firstLine="0" w:firstLineChars="0"/>
        <w:rPr>
          <w:rFonts w:ascii="Arial" w:hAnsi="Arial" w:cs="Arial"/>
          <w:sz w:val="24"/>
        </w:rPr>
      </w:pPr>
      <w:r>
        <w:rPr>
          <w:rFonts w:ascii="Arial" w:hAnsi="Arial" w:cs="Arial"/>
          <w:sz w:val="24"/>
        </w:rPr>
        <w:t>四证审批</w:t>
      </w:r>
    </w:p>
    <w:p>
      <w:pPr>
        <w:spacing w:line="360" w:lineRule="auto"/>
        <w:ind w:firstLine="480" w:firstLineChars="200"/>
        <w:rPr>
          <w:rFonts w:ascii="Arial" w:hAnsi="Arial" w:cs="Arial"/>
          <w:color w:val="000000"/>
        </w:rPr>
      </w:pPr>
      <w:r>
        <w:rPr>
          <w:rFonts w:ascii="Arial" w:hAnsi="Arial" w:cs="Arial"/>
          <w:color w:val="000000"/>
        </w:rPr>
        <w:t>目前已取得《用地规划许可证》、《建设工程规划许可证》</w:t>
      </w:r>
      <w:r>
        <w:rPr>
          <w:rFonts w:hint="eastAsia" w:ascii="Arial" w:hAnsi="Arial" w:cs="Arial"/>
          <w:color w:val="000000"/>
        </w:rPr>
        <w:t>、</w:t>
      </w:r>
      <w:r>
        <w:rPr>
          <w:rFonts w:ascii="Arial" w:hAnsi="Arial" w:cs="Arial"/>
        </w:rPr>
        <w:t>《</w:t>
      </w:r>
      <w:r>
        <w:rPr>
          <w:rFonts w:hint="eastAsia" w:ascii="Arial" w:hAnsi="Arial" w:cs="Arial"/>
        </w:rPr>
        <w:t>建筑</w:t>
      </w:r>
      <w:r>
        <w:rPr>
          <w:rFonts w:ascii="Arial" w:hAnsi="Arial" w:cs="Arial"/>
        </w:rPr>
        <w:t>施工许可证》</w:t>
      </w:r>
      <w:r>
        <w:rPr>
          <w:rFonts w:hint="eastAsia" w:ascii="Arial" w:hAnsi="Arial" w:cs="Arial"/>
        </w:rPr>
        <w:t>（C区、B1#B2#楼（B6区盖板）及其地下室、B3#B5#楼（B5区盖板）及其地下室）；</w:t>
      </w:r>
      <w:r>
        <w:rPr>
          <w:rFonts w:ascii="Arial" w:hAnsi="Arial" w:cs="Arial"/>
        </w:rPr>
        <w:t>《不动产权证》</w:t>
      </w:r>
      <w:r>
        <w:rPr>
          <w:rFonts w:hint="eastAsia" w:ascii="Arial" w:hAnsi="Arial" w:cs="Arial"/>
        </w:rPr>
        <w:t>仍未</w:t>
      </w:r>
      <w:r>
        <w:rPr>
          <w:rFonts w:hint="eastAsia" w:ascii="Arial" w:hAnsi="Arial" w:cs="Arial"/>
          <w:color w:val="000000"/>
        </w:rPr>
        <w:t>取得</w:t>
      </w:r>
      <w:r>
        <w:rPr>
          <w:rFonts w:ascii="Arial" w:hAnsi="Arial" w:cs="Arial"/>
          <w:color w:val="000000"/>
        </w:rPr>
        <w:t>（</w:t>
      </w:r>
      <w:r>
        <w:rPr>
          <w:rFonts w:hint="eastAsia" w:ascii="Arial" w:hAnsi="Arial" w:cs="Arial"/>
          <w:color w:val="000000"/>
        </w:rPr>
        <w:t>注：土地款于2021年6月11日缴清，根据项目公司与政府沟通进度，取证时间未能确定</w:t>
      </w:r>
      <w:r>
        <w:rPr>
          <w:rFonts w:ascii="Arial" w:hAnsi="Arial" w:cs="Arial"/>
          <w:color w:val="000000"/>
        </w:rPr>
        <w:t>）。目前四证办理进度已落后于</w:t>
      </w:r>
      <w:r>
        <w:rPr>
          <w:rFonts w:hint="eastAsia" w:ascii="Arial" w:hAnsi="Arial" w:cs="Arial"/>
          <w:color w:val="000000"/>
        </w:rPr>
        <w:t>首董会议案预期</w:t>
      </w:r>
      <w:r>
        <w:rPr>
          <w:rFonts w:ascii="Arial" w:hAnsi="Arial" w:cs="Arial"/>
          <w:color w:val="000000"/>
        </w:rPr>
        <w:t>。</w:t>
      </w:r>
    </w:p>
    <w:p>
      <w:pPr>
        <w:pStyle w:val="2"/>
        <w:ind w:firstLine="0" w:firstLineChars="0"/>
        <w:rPr>
          <w:rFonts w:ascii="Arial" w:hAnsi="Arial" w:cs="Arial"/>
        </w:rPr>
      </w:pPr>
    </w:p>
    <w:p>
      <w:pPr>
        <w:numPr>
          <w:ilvl w:val="0"/>
          <w:numId w:val="1"/>
        </w:numPr>
        <w:spacing w:line="360" w:lineRule="auto"/>
        <w:jc w:val="both"/>
        <w:rPr>
          <w:rFonts w:ascii="Arial" w:hAnsi="Arial" w:cs="Arial"/>
        </w:rPr>
      </w:pPr>
      <w:r>
        <w:rPr>
          <w:rFonts w:ascii="Arial" w:hAnsi="Arial" w:cs="Arial"/>
        </w:rPr>
        <w:t>工程进度</w:t>
      </w:r>
    </w:p>
    <w:p>
      <w:pPr>
        <w:spacing w:line="360" w:lineRule="auto"/>
        <w:ind w:firstLine="480" w:firstLineChars="200"/>
        <w:rPr>
          <w:rFonts w:ascii="Arial" w:hAnsi="Arial" w:cs="Arial"/>
          <w:color w:val="000000"/>
        </w:rPr>
      </w:pPr>
      <w:r>
        <w:rPr>
          <w:rFonts w:ascii="Arial" w:hAnsi="Arial" w:cs="Arial"/>
          <w:color w:val="000000"/>
        </w:rPr>
        <w:t>售楼部已全部完工</w:t>
      </w:r>
      <w:r>
        <w:rPr>
          <w:rFonts w:hint="eastAsia" w:ascii="Arial" w:hAnsi="Arial" w:cs="Arial"/>
          <w:color w:val="000000"/>
        </w:rPr>
        <w:t>并</w:t>
      </w:r>
      <w:r>
        <w:rPr>
          <w:rFonts w:ascii="Arial" w:hAnsi="Arial" w:cs="Arial"/>
          <w:color w:val="000000"/>
        </w:rPr>
        <w:t>正式开放；示范区样板房整改完成</w:t>
      </w:r>
      <w:r>
        <w:rPr>
          <w:rFonts w:hint="eastAsia" w:ascii="Arial" w:hAnsi="Arial" w:cs="Arial"/>
          <w:color w:val="000000"/>
        </w:rPr>
        <w:t>并开放。</w:t>
      </w:r>
    </w:p>
    <w:p>
      <w:pPr>
        <w:spacing w:line="360" w:lineRule="auto"/>
        <w:ind w:firstLine="480" w:firstLineChars="200"/>
        <w:rPr>
          <w:rFonts w:ascii="Arial" w:hAnsi="Arial" w:cs="Arial"/>
        </w:rPr>
      </w:pPr>
      <w:r>
        <w:rPr>
          <w:rFonts w:hint="eastAsia" w:ascii="Arial" w:hAnsi="Arial" w:cs="Arial"/>
        </w:rPr>
        <w:t>C1#楼十五层墙柱钢筋绑扎完成100%；C1#楼五层砌体砌筑完成100%；C1#楼六层砌体砌筑完成35%；C1#楼八层二构模板浇捣；C2#楼十五层梁板模板安装完成100%；C2#楼四层砌筑完成85%；C5#楼砖胎膜砌筑完成100%；C5#楼承台钢筋绑扎完成10%；C6#楼地下室承台底板砼浇筑；C7#楼地下室墙柱模板安装完成100%。</w:t>
      </w:r>
    </w:p>
    <w:p>
      <w:pPr>
        <w:pStyle w:val="2"/>
      </w:pPr>
    </w:p>
    <w:p>
      <w:pPr>
        <w:numPr>
          <w:ilvl w:val="0"/>
          <w:numId w:val="1"/>
        </w:numPr>
        <w:spacing w:line="360" w:lineRule="auto"/>
        <w:jc w:val="both"/>
        <w:rPr>
          <w:rFonts w:ascii="Arial" w:hAnsi="Arial" w:cs="Arial"/>
        </w:rPr>
      </w:pPr>
      <w:r>
        <w:rPr>
          <w:rFonts w:ascii="Arial" w:hAnsi="Arial" w:cs="Arial"/>
        </w:rPr>
        <w:t>资金收支</w:t>
      </w:r>
    </w:p>
    <w:p>
      <w:pPr>
        <w:spacing w:line="360" w:lineRule="auto"/>
        <w:ind w:firstLine="480" w:firstLineChars="200"/>
        <w:rPr>
          <w:rFonts w:ascii="Arial" w:hAnsi="Arial" w:cs="Arial"/>
        </w:rPr>
      </w:pPr>
      <w:r>
        <w:rPr>
          <w:rFonts w:ascii="Arial" w:hAnsi="Arial" w:cs="Arial"/>
        </w:rPr>
        <w:t>本月</w:t>
      </w:r>
      <w:r>
        <w:rPr>
          <w:rFonts w:hint="eastAsia" w:ascii="Arial" w:hAnsi="Arial" w:cs="Arial"/>
        </w:rPr>
        <w:t>项目公司资金流入2.07万元，SPV公司资金流入2,190.08万元,为融创方向SPV公司转入往来款及银行利息。</w:t>
      </w:r>
      <w:r>
        <w:rPr>
          <w:rFonts w:ascii="Arial" w:hAnsi="Arial" w:cs="Arial"/>
        </w:rPr>
        <w:t>本月项目公司资金流出</w:t>
      </w:r>
      <w:r>
        <w:rPr>
          <w:rFonts w:hint="eastAsia" w:ascii="Arial" w:hAnsi="Arial" w:cs="Arial"/>
        </w:rPr>
        <w:t>713.41</w:t>
      </w:r>
      <w:r>
        <w:rPr>
          <w:rFonts w:ascii="Arial" w:hAnsi="Arial" w:cs="Arial"/>
        </w:rPr>
        <w:t>万元，</w:t>
      </w:r>
      <w:r>
        <w:rPr>
          <w:rFonts w:hint="eastAsia" w:ascii="Arial" w:hAnsi="Arial" w:cs="Arial"/>
        </w:rPr>
        <w:t>主要为</w:t>
      </w:r>
      <w:r>
        <w:rPr>
          <w:rFonts w:ascii="Arial" w:hAnsi="Arial" w:cs="Arial"/>
        </w:rPr>
        <w:t>项目公司</w:t>
      </w:r>
      <w:r>
        <w:rPr>
          <w:rFonts w:hint="eastAsia" w:ascii="Arial" w:hAnsi="Arial" w:cs="Arial"/>
        </w:rPr>
        <w:t>建安费用、</w:t>
      </w:r>
      <w:r>
        <w:rPr>
          <w:rFonts w:ascii="Arial" w:hAnsi="Arial" w:cs="Arial"/>
        </w:rPr>
        <w:t>三费；SPV公司资金流出</w:t>
      </w:r>
      <w:r>
        <w:rPr>
          <w:rFonts w:hint="eastAsia" w:ascii="Arial" w:hAnsi="Arial" w:cs="Arial"/>
        </w:rPr>
        <w:t>2,189.11</w:t>
      </w:r>
      <w:r>
        <w:rPr>
          <w:rFonts w:ascii="Arial" w:hAnsi="Arial" w:cs="Arial"/>
        </w:rPr>
        <w:t>元,主要为</w:t>
      </w:r>
      <w:r>
        <w:rPr>
          <w:rFonts w:hint="eastAsia" w:ascii="Arial" w:hAnsi="Arial" w:cs="Arial"/>
        </w:rPr>
        <w:t>付中航季度投资收益、银行手续费</w:t>
      </w:r>
      <w:r>
        <w:rPr>
          <w:rFonts w:ascii="Arial" w:hAnsi="Arial" w:cs="Arial"/>
        </w:rPr>
        <w:t>。所有账户资金余额</w:t>
      </w:r>
      <w:r>
        <w:rPr>
          <w:rFonts w:hint="eastAsia" w:ascii="Arial" w:hAnsi="Arial" w:cs="Arial"/>
        </w:rPr>
        <w:t>2,460.83</w:t>
      </w:r>
      <w:r>
        <w:rPr>
          <w:rFonts w:ascii="Arial" w:hAnsi="Arial" w:cs="Arial"/>
        </w:rPr>
        <w:t>万元，其中可用资金</w:t>
      </w:r>
      <w:r>
        <w:rPr>
          <w:rFonts w:hint="eastAsia" w:ascii="Arial" w:hAnsi="Arial" w:cs="Arial"/>
        </w:rPr>
        <w:t>960.83</w:t>
      </w:r>
      <w:r>
        <w:rPr>
          <w:rFonts w:ascii="Arial" w:hAnsi="Arial" w:cs="Arial"/>
        </w:rPr>
        <w:t>万元</w:t>
      </w:r>
      <w:r>
        <w:rPr>
          <w:rFonts w:hint="eastAsia" w:ascii="Arial" w:hAnsi="Arial" w:cs="Arial"/>
        </w:rPr>
        <w:t>, 包括项目公司可用资金余额953.19万元；</w:t>
      </w:r>
      <w:r>
        <w:rPr>
          <w:rFonts w:ascii="Arial" w:hAnsi="Arial" w:cs="Arial"/>
        </w:rPr>
        <w:t>SPV公司资金余额</w:t>
      </w:r>
      <w:r>
        <w:rPr>
          <w:rFonts w:hint="eastAsia" w:ascii="Arial" w:hAnsi="Arial" w:cs="Arial"/>
        </w:rPr>
        <w:t>7.64</w:t>
      </w:r>
      <w:r>
        <w:rPr>
          <w:rFonts w:ascii="Arial" w:hAnsi="Arial" w:cs="Arial"/>
        </w:rPr>
        <w:t>万元</w:t>
      </w:r>
      <w:r>
        <w:rPr>
          <w:rFonts w:hint="eastAsia" w:ascii="Arial" w:hAnsi="Arial" w:cs="Arial"/>
        </w:rPr>
        <w:t>；暂不可用资金1,500万元（系浙商行出具1,500万元银行保函保证金）</w:t>
      </w:r>
      <w:r>
        <w:rPr>
          <w:rFonts w:ascii="Arial" w:hAnsi="Arial" w:cs="Arial"/>
        </w:rPr>
        <w:t>。</w:t>
      </w:r>
    </w:p>
    <w:p>
      <w:pPr>
        <w:pStyle w:val="2"/>
        <w:rPr>
          <w:rFonts w:ascii="Arial" w:hAnsi="Arial" w:cs="Arial"/>
        </w:rPr>
      </w:pPr>
    </w:p>
    <w:p>
      <w:pPr>
        <w:numPr>
          <w:ilvl w:val="0"/>
          <w:numId w:val="1"/>
        </w:numPr>
        <w:spacing w:line="360" w:lineRule="auto"/>
        <w:jc w:val="both"/>
        <w:rPr>
          <w:rFonts w:ascii="Arial" w:hAnsi="Arial" w:cs="Arial"/>
        </w:rPr>
      </w:pPr>
      <w:r>
        <w:rPr>
          <w:rFonts w:ascii="Arial" w:hAnsi="Arial" w:cs="Arial"/>
        </w:rPr>
        <w:t>成本合约</w:t>
      </w:r>
    </w:p>
    <w:p>
      <w:pPr>
        <w:spacing w:line="360" w:lineRule="auto"/>
        <w:ind w:firstLine="480" w:firstLineChars="200"/>
        <w:rPr>
          <w:rFonts w:ascii="Arial" w:hAnsi="Arial" w:cs="Arial"/>
        </w:rPr>
      </w:pPr>
      <w:r>
        <w:rPr>
          <w:rFonts w:ascii="Arial" w:hAnsi="Arial" w:cs="Arial"/>
        </w:rPr>
        <w:t>项目开发成本累计投入</w:t>
      </w:r>
      <w:r>
        <w:rPr>
          <w:rFonts w:hint="eastAsia" w:ascii="Arial" w:hAnsi="Arial" w:cs="Arial"/>
        </w:rPr>
        <w:t>311,402.21</w:t>
      </w:r>
      <w:r>
        <w:rPr>
          <w:rFonts w:ascii="Arial" w:hAnsi="Arial" w:cs="Arial"/>
        </w:rPr>
        <w:t>万元，占总开发成本预算</w:t>
      </w:r>
      <w:r>
        <w:rPr>
          <w:rFonts w:hint="eastAsia" w:ascii="Arial" w:hAnsi="Arial" w:cs="Arial"/>
        </w:rPr>
        <w:t>63.07</w:t>
      </w:r>
      <w:r>
        <w:rPr>
          <w:rFonts w:ascii="Arial" w:hAnsi="Arial" w:cs="Arial"/>
        </w:rPr>
        <w:t>%，未发生超支或与进度不符情况；项目本月签署</w:t>
      </w:r>
      <w:r>
        <w:rPr>
          <w:rFonts w:hint="eastAsia" w:ascii="Arial" w:hAnsi="Arial" w:cs="Arial"/>
        </w:rPr>
        <w:t>0</w:t>
      </w:r>
      <w:r>
        <w:rPr>
          <w:rFonts w:ascii="Arial" w:hAnsi="Arial" w:cs="Arial"/>
        </w:rPr>
        <w:t>份成本类合同,合同金额</w:t>
      </w:r>
      <w:r>
        <w:rPr>
          <w:rFonts w:hint="eastAsia" w:ascii="Arial" w:hAnsi="Arial" w:cs="Arial"/>
        </w:rPr>
        <w:t>0</w:t>
      </w:r>
      <w:r>
        <w:rPr>
          <w:rFonts w:ascii="Arial" w:hAnsi="Arial" w:cs="Arial"/>
        </w:rPr>
        <w:t>万元，累计成本类合同金额（成本类，含已发生的无合同成本）</w:t>
      </w:r>
      <w:r>
        <w:rPr>
          <w:rFonts w:hint="eastAsia" w:ascii="Arial" w:hAnsi="Arial" w:cs="Arial"/>
        </w:rPr>
        <w:t>351,216.10</w:t>
      </w:r>
      <w:r>
        <w:rPr>
          <w:rFonts w:ascii="Arial" w:hAnsi="Arial" w:cs="Arial"/>
        </w:rPr>
        <w:t>万元，占总开发成本预算的</w:t>
      </w:r>
      <w:r>
        <w:rPr>
          <w:rFonts w:hint="eastAsia" w:ascii="Arial" w:hAnsi="Arial" w:cs="Arial"/>
        </w:rPr>
        <w:t>71.14</w:t>
      </w:r>
      <w:r>
        <w:rPr>
          <w:rFonts w:ascii="Arial" w:hAnsi="Arial" w:cs="Arial"/>
        </w:rPr>
        <w:t>%，未超过协议约定的目标成本。</w:t>
      </w:r>
    </w:p>
    <w:p>
      <w:pPr>
        <w:pStyle w:val="2"/>
        <w:ind w:firstLine="0" w:firstLineChars="0"/>
        <w:rPr>
          <w:rFonts w:ascii="Arial" w:hAnsi="Arial" w:cs="Arial"/>
        </w:rPr>
      </w:pPr>
    </w:p>
    <w:p>
      <w:pPr>
        <w:numPr>
          <w:ilvl w:val="0"/>
          <w:numId w:val="1"/>
        </w:numPr>
        <w:spacing w:line="360" w:lineRule="auto"/>
        <w:jc w:val="both"/>
        <w:rPr>
          <w:rFonts w:ascii="Arial" w:hAnsi="Arial" w:cs="Arial"/>
        </w:rPr>
      </w:pPr>
      <w:r>
        <w:rPr>
          <w:rFonts w:ascii="Arial" w:hAnsi="Arial" w:cs="Arial"/>
        </w:rPr>
        <w:t>项目开发贷及其他融资</w:t>
      </w:r>
    </w:p>
    <w:p>
      <w:pPr>
        <w:pStyle w:val="2"/>
        <w:spacing w:line="360" w:lineRule="auto"/>
        <w:ind w:firstLine="480"/>
        <w:rPr>
          <w:rFonts w:ascii="Arial" w:hAnsi="Arial" w:cs="Arial"/>
          <w:color w:val="000000"/>
          <w:sz w:val="24"/>
        </w:rPr>
      </w:pPr>
      <w:r>
        <w:rPr>
          <w:rFonts w:ascii="Arial" w:hAnsi="Arial" w:cs="Arial"/>
          <w:color w:val="000000"/>
          <w:sz w:val="24"/>
        </w:rPr>
        <w:t>项目因四证办理进度原因，目前还未产生开发贷；截至本月，项目未发生商业承兑以及商业保理等形式的融资。</w:t>
      </w:r>
    </w:p>
    <w:p>
      <w:pPr>
        <w:pStyle w:val="2"/>
        <w:spacing w:line="360" w:lineRule="auto"/>
        <w:ind w:firstLine="0" w:firstLineChars="0"/>
        <w:rPr>
          <w:rFonts w:ascii="Arial" w:hAnsi="Arial" w:cs="Arial"/>
          <w:color w:val="000000"/>
          <w:sz w:val="24"/>
        </w:rPr>
      </w:pPr>
    </w:p>
    <w:p>
      <w:pPr>
        <w:numPr>
          <w:ilvl w:val="0"/>
          <w:numId w:val="1"/>
        </w:numPr>
        <w:spacing w:line="360" w:lineRule="auto"/>
        <w:jc w:val="both"/>
        <w:rPr>
          <w:rFonts w:ascii="Arial" w:hAnsi="Arial" w:cs="Arial"/>
        </w:rPr>
      </w:pPr>
      <w:r>
        <w:rPr>
          <w:rFonts w:ascii="Arial" w:hAnsi="Arial" w:cs="Arial"/>
        </w:rPr>
        <w:t>其他重大事件及存在的风险情况披露：</w:t>
      </w:r>
    </w:p>
    <w:p>
      <w:pPr>
        <w:pStyle w:val="2"/>
        <w:spacing w:line="360" w:lineRule="auto"/>
        <w:ind w:firstLine="560" w:firstLineChars="0"/>
        <w:rPr>
          <w:rFonts w:ascii="Arial" w:hAnsi="Arial" w:cs="Arial"/>
          <w:color w:val="000000"/>
          <w:sz w:val="24"/>
        </w:rPr>
      </w:pPr>
      <w:r>
        <w:rPr>
          <w:rFonts w:hint="eastAsia" w:ascii="Arial" w:hAnsi="Arial" w:cs="Arial"/>
          <w:color w:val="000000"/>
          <w:sz w:val="24"/>
        </w:rPr>
        <w:t>①</w:t>
      </w:r>
      <w:r>
        <w:rPr>
          <w:rFonts w:ascii="Arial" w:hAnsi="Arial" w:cs="Arial"/>
          <w:color w:val="000000"/>
          <w:sz w:val="24"/>
        </w:rPr>
        <w:t xml:space="preserve"> </w:t>
      </w:r>
      <w:r>
        <w:rPr>
          <w:rFonts w:hint="eastAsia" w:ascii="Arial" w:hAnsi="Arial" w:cs="Arial"/>
          <w:color w:val="000000"/>
          <w:sz w:val="24"/>
        </w:rPr>
        <w:t>项目公司土地款已全部缴清。关于土地滞纳金事项，项目总要求法务每月现场取证1次留痕。为了尽快解决土地款违约金问题，根据与自规局多轮沟通，自规局提出的建议：通过仲裁明确相关事实，以推动政府相关纪要的出具，2021年9月3日项目公司向福州仲裁委员会提起仲裁，请求裁决。由项目公司向福州仲裁委员会提出如下仲裁请求：①自规局向公司支付逾期交付土地违约金（每逾期交付一日，自规局应以未交付部分土地分摊的出让价款为基数，按中国人民银行一年期同期贷款利率的标准支付违约金计至自规局交付全部土地之日止，暂计至2021年8月20日，违约金为12,566,313.42元）；②确认项目公司无需向自规局支付其主张的违约金137,031,290元。</w:t>
      </w:r>
    </w:p>
    <w:p>
      <w:pPr>
        <w:pStyle w:val="2"/>
        <w:spacing w:line="360" w:lineRule="auto"/>
        <w:ind w:firstLine="480"/>
        <w:rPr>
          <w:rFonts w:ascii="Arial" w:hAnsi="Arial" w:cs="Arial"/>
          <w:color w:val="000000"/>
          <w:sz w:val="24"/>
        </w:rPr>
      </w:pPr>
      <w:r>
        <w:rPr>
          <w:rFonts w:hint="eastAsia" w:ascii="Arial" w:hAnsi="Arial" w:cs="Arial"/>
          <w:color w:val="000000"/>
          <w:sz w:val="24"/>
        </w:rPr>
        <w:t>② C地块专用配电房设置在地下室，电力报批新规要求调整至地面，项目公司按旧规已取得工规证，新规可能导致工规证重大变更调整，后期由大区电力施工单位配合处理。开发2021年9月23日前完成工规证变更线下沟通，项目总要求开发部2021年10月30日前完成工规证及图纸变更。</w:t>
      </w:r>
    </w:p>
    <w:p>
      <w:pPr>
        <w:pStyle w:val="2"/>
        <w:spacing w:line="360" w:lineRule="auto"/>
        <w:ind w:firstLine="480"/>
        <w:rPr>
          <w:rFonts w:ascii="Arial" w:hAnsi="Arial" w:cs="Arial"/>
          <w:color w:val="000000"/>
          <w:sz w:val="24"/>
        </w:rPr>
      </w:pPr>
      <w:r>
        <w:rPr>
          <w:rFonts w:hint="eastAsia" w:ascii="Arial" w:hAnsi="Arial" w:cs="Arial"/>
          <w:color w:val="000000"/>
          <w:sz w:val="24"/>
        </w:rPr>
        <w:t>③因福州市地铁集团有限公司交地滞后（根据4号线整体工期及现场施工工序安排：白地地块和A1、B5、B6地块交地时间为2021年5月31日前），目前地铁方已移交白地地块以及A1、B5、B6盖板区域面积37.78亩用地，项目公司已确认地保方案，B地块刚着手准备进行钢栈桥施工；及项目公司与政府土地款滞纳金缴纳无法达成一致意见，导致项目无法正常申请土地使用权证和预售证；以上直接导致项目公司建设施工延后，并导致项目公司无法按对赌时间进行首次开盘。</w:t>
      </w:r>
    </w:p>
    <w:p>
      <w:pPr>
        <w:pStyle w:val="2"/>
        <w:spacing w:line="360" w:lineRule="auto"/>
        <w:ind w:firstLine="480"/>
        <w:rPr>
          <w:rFonts w:ascii="Arial" w:hAnsi="Arial" w:cs="Arial"/>
          <w:color w:val="000000"/>
          <w:sz w:val="24"/>
        </w:rPr>
      </w:pPr>
      <w:r>
        <w:rPr>
          <w:rFonts w:hint="eastAsia" w:ascii="宋体" w:hAnsi="宋体" w:cs="宋体"/>
          <w:color w:val="000000"/>
          <w:sz w:val="24"/>
        </w:rPr>
        <w:t>④</w:t>
      </w:r>
      <w:r>
        <w:rPr>
          <w:rFonts w:hint="eastAsia" w:ascii="Arial" w:hAnsi="Arial" w:cs="Arial"/>
          <w:color w:val="000000"/>
          <w:sz w:val="24"/>
        </w:rPr>
        <w:t>因项目公司的操盘方为福州首开福泰投资有限公司，未能同意增加中航信托印鉴章，至今尚未增加中航信托印鉴章。</w:t>
      </w:r>
    </w:p>
    <w:p>
      <w:pPr>
        <w:pStyle w:val="2"/>
        <w:spacing w:line="360" w:lineRule="auto"/>
        <w:ind w:firstLine="480"/>
        <w:rPr>
          <w:rFonts w:ascii="宋体" w:hAnsi="宋体" w:cs="宋体"/>
          <w:color w:val="000000"/>
          <w:sz w:val="24"/>
        </w:rPr>
      </w:pPr>
      <w:r>
        <w:rPr>
          <w:rFonts w:hint="eastAsia" w:ascii="宋体" w:hAnsi="宋体" w:cs="宋体"/>
          <w:color w:val="000000"/>
          <w:sz w:val="24"/>
        </w:rPr>
        <w:t>⑤项目开盘时间已晚于董事会签批的开盘时间节点3个月，根据《中航信托·天启【2020】201号福州螺洲TOD项目投资集合资金信托计划投资合作协议》第2.7.1条第（2）点约定，目前项目已触及销售对赌节点。</w:t>
      </w:r>
    </w:p>
    <w:p>
      <w:pPr>
        <w:pStyle w:val="2"/>
        <w:spacing w:line="360" w:lineRule="auto"/>
        <w:ind w:firstLine="480"/>
        <w:rPr>
          <w:rFonts w:ascii="宋体" w:hAnsi="宋体" w:cs="宋体"/>
          <w:color w:val="000000"/>
          <w:sz w:val="24"/>
        </w:rPr>
        <w:sectPr>
          <w:footerReference r:id="rId4" w:type="default"/>
          <w:pgSz w:w="11906" w:h="16838"/>
          <w:pgMar w:top="1134" w:right="1134" w:bottom="1134" w:left="1134" w:header="851" w:footer="992" w:gutter="0"/>
          <w:pgNumType w:start="1"/>
          <w:cols w:space="425" w:num="1"/>
          <w:docGrid w:type="linesAndChars" w:linePitch="326" w:charSpace="0"/>
        </w:sectPr>
      </w:pPr>
    </w:p>
    <w:p>
      <w:pPr>
        <w:jc w:val="center"/>
        <w:rPr>
          <w:rFonts w:ascii="Arial" w:hAnsi="Arial" w:cs="Arial"/>
          <w:b/>
          <w:sz w:val="30"/>
          <w:szCs w:val="30"/>
        </w:rPr>
      </w:pPr>
      <w:r>
        <w:rPr>
          <w:rFonts w:ascii="Arial" w:hAnsi="Arial" w:cs="Arial"/>
          <w:b/>
          <w:sz w:val="30"/>
          <w:szCs w:val="30"/>
        </w:rPr>
        <w:t>中航信托•天启【2020】201号福州螺洲TOD项目</w:t>
      </w:r>
    </w:p>
    <w:p>
      <w:pPr>
        <w:jc w:val="center"/>
        <w:rPr>
          <w:rFonts w:ascii="Arial" w:hAnsi="Arial" w:cs="Arial"/>
          <w:b/>
          <w:sz w:val="30"/>
          <w:szCs w:val="30"/>
        </w:rPr>
      </w:pPr>
      <w:r>
        <w:rPr>
          <w:rFonts w:ascii="Arial" w:hAnsi="Arial" w:cs="Arial"/>
          <w:b/>
          <w:sz w:val="30"/>
          <w:szCs w:val="30"/>
        </w:rPr>
        <w:t>监管月报</w:t>
      </w:r>
    </w:p>
    <w:p>
      <w:pPr>
        <w:pStyle w:val="3"/>
        <w:rPr>
          <w:rFonts w:cs="Arial"/>
        </w:rPr>
      </w:pPr>
      <w:bookmarkStart w:id="1" w:name="_Toc2165"/>
      <w:bookmarkStart w:id="2" w:name="_Toc69160054"/>
      <w:r>
        <w:rPr>
          <w:rFonts w:cs="Arial"/>
        </w:rPr>
        <w:t>一、项目基本情况</w:t>
      </w:r>
      <w:bookmarkEnd w:id="1"/>
      <w:bookmarkEnd w:id="2"/>
    </w:p>
    <w:p>
      <w:pPr>
        <w:pStyle w:val="2"/>
        <w:numPr>
          <w:ilvl w:val="0"/>
          <w:numId w:val="2"/>
        </w:numPr>
        <w:spacing w:line="360" w:lineRule="auto"/>
        <w:ind w:firstLineChars="0"/>
        <w:rPr>
          <w:rFonts w:ascii="Arial" w:hAnsi="Arial" w:cs="Arial"/>
          <w:b/>
          <w:bCs/>
          <w:sz w:val="24"/>
        </w:rPr>
      </w:pPr>
      <w:r>
        <w:rPr>
          <w:rFonts w:ascii="Arial" w:hAnsi="Arial" w:cs="Arial"/>
          <w:b/>
          <w:bCs/>
          <w:sz w:val="24"/>
        </w:rPr>
        <w:t>项目公司基本情况</w:t>
      </w:r>
    </w:p>
    <w:p>
      <w:pPr>
        <w:spacing w:line="360" w:lineRule="auto"/>
        <w:ind w:firstLine="480" w:firstLineChars="200"/>
        <w:rPr>
          <w:rFonts w:ascii="Arial" w:hAnsi="Arial" w:cs="Arial"/>
          <w:szCs w:val="21"/>
        </w:rPr>
      </w:pPr>
      <w:r>
        <w:rPr>
          <w:rFonts w:ascii="Arial" w:hAnsi="Arial" w:cs="Arial"/>
          <w:szCs w:val="21"/>
        </w:rPr>
        <w:t>中航信托成立《中航信托•天启【2020】201号福州螺洲TOD项目投资集合资金信托计划》（以下简称“信托计划”），中航信托以99,000万元向SPV公司增资获取其49%股权并以资本公积形式对SPV公司进行投资。SPV公司最终将资金投入项目公司，用于福州螺洲TOD项目的开发建设。具体情况如下图所示：</w:t>
      </w:r>
    </w:p>
    <w:p>
      <w:pPr>
        <w:spacing w:line="480" w:lineRule="auto"/>
        <w:ind w:firstLine="480" w:firstLineChars="200"/>
        <w:jc w:val="center"/>
        <w:rPr>
          <w:rFonts w:ascii="Arial" w:hAnsi="Arial" w:cs="Arial"/>
          <w:szCs w:val="21"/>
        </w:rPr>
      </w:pPr>
      <w:r>
        <w:rPr>
          <w:rFonts w:ascii="Arial" w:hAnsi="Arial" w:cs="Arial"/>
          <w:szCs w:val="21"/>
        </w:rPr>
        <w:drawing>
          <wp:inline distT="0" distB="0" distL="114300" distR="114300">
            <wp:extent cx="4166235" cy="4257040"/>
            <wp:effectExtent l="0" t="0" r="9525" b="10160"/>
            <wp:docPr id="3"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图片1"/>
                    <pic:cNvPicPr>
                      <a:picLocks noChangeAspect="1"/>
                    </pic:cNvPicPr>
                  </pic:nvPicPr>
                  <pic:blipFill>
                    <a:blip r:embed="rId7"/>
                    <a:stretch>
                      <a:fillRect/>
                    </a:stretch>
                  </pic:blipFill>
                  <pic:spPr>
                    <a:xfrm>
                      <a:off x="0" y="0"/>
                      <a:ext cx="4166235" cy="425704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宁德融熙置业有限公司股权穿透图</w:t>
      </w:r>
    </w:p>
    <w:p>
      <w:pPr>
        <w:spacing w:line="360" w:lineRule="auto"/>
        <w:ind w:firstLine="480" w:firstLineChars="200"/>
        <w:rPr>
          <w:rFonts w:ascii="Arial" w:hAnsi="Arial" w:cs="Arial"/>
          <w:szCs w:val="21"/>
        </w:rPr>
      </w:pPr>
      <w:r>
        <w:rPr>
          <w:rFonts w:ascii="Arial" w:hAnsi="Arial" w:cs="Arial"/>
          <w:szCs w:val="21"/>
        </w:rPr>
        <w:t>福州螺洲TOD项目地块由福州首开福泰投资有限公司于2020年2月27日以底价获取，2020年3月30日，项目公司已通过与福州市自然资源和规划局及福州首开福泰投资有限公司签订土地出让补充合同成为福州螺洲TOD项目地块的受让人。同时融创通过SPV公司持股42%，福州首开福泰投资有限公司对项目公司持股58%，共同开发福州螺洲TOD项目地块。具体情况如下图：</w:t>
      </w:r>
    </w:p>
    <w:p>
      <w:pPr>
        <w:spacing w:line="480" w:lineRule="auto"/>
        <w:ind w:firstLine="360" w:firstLineChars="200"/>
        <w:jc w:val="center"/>
        <w:rPr>
          <w:rFonts w:ascii="Arial" w:hAnsi="Arial" w:cs="Arial"/>
          <w:sz w:val="18"/>
          <w:szCs w:val="18"/>
        </w:rPr>
      </w:pPr>
      <w:r>
        <w:rPr>
          <w:rFonts w:ascii="Arial" w:hAnsi="Arial" w:cs="Arial"/>
          <w:sz w:val="18"/>
          <w:szCs w:val="18"/>
        </w:rPr>
        <w:drawing>
          <wp:inline distT="0" distB="0" distL="114300" distR="114300">
            <wp:extent cx="5026660" cy="2668905"/>
            <wp:effectExtent l="0" t="0" r="2540" b="1333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8"/>
                    <a:srcRect/>
                    <a:stretch>
                      <a:fillRect/>
                    </a:stretch>
                  </pic:blipFill>
                  <pic:spPr>
                    <a:xfrm>
                      <a:off x="0" y="0"/>
                      <a:ext cx="5026660" cy="2668905"/>
                    </a:xfrm>
                    <a:prstGeom prst="rect">
                      <a:avLst/>
                    </a:prstGeom>
                    <a:noFill/>
                    <a:ln>
                      <a:noFill/>
                    </a:ln>
                  </pic:spPr>
                </pic:pic>
              </a:graphicData>
            </a:graphic>
          </wp:inline>
        </w:drawing>
      </w:r>
    </w:p>
    <w:p>
      <w:pPr>
        <w:spacing w:line="480" w:lineRule="auto"/>
        <w:ind w:firstLine="3600" w:firstLineChars="2000"/>
        <w:rPr>
          <w:rFonts w:ascii="Arial" w:hAnsi="Arial" w:cs="Arial"/>
          <w:b/>
          <w:bCs/>
        </w:rPr>
      </w:pPr>
      <w:r>
        <w:rPr>
          <w:rFonts w:ascii="Arial" w:hAnsi="Arial" w:cs="Arial"/>
          <w:sz w:val="18"/>
          <w:szCs w:val="18"/>
        </w:rPr>
        <w:t>图2 项目公司股权穿透图</w:t>
      </w:r>
    </w:p>
    <w:p>
      <w:pPr>
        <w:pStyle w:val="2"/>
        <w:numPr>
          <w:ilvl w:val="0"/>
          <w:numId w:val="2"/>
        </w:numPr>
        <w:spacing w:line="360" w:lineRule="auto"/>
        <w:ind w:firstLineChars="0"/>
        <w:rPr>
          <w:rFonts w:ascii="Arial" w:hAnsi="Arial" w:cs="Arial"/>
          <w:b/>
          <w:bCs/>
          <w:sz w:val="24"/>
        </w:rPr>
      </w:pPr>
      <w:r>
        <w:rPr>
          <w:rFonts w:ascii="Arial" w:hAnsi="Arial" w:cs="Arial"/>
          <w:b/>
          <w:bCs/>
          <w:sz w:val="24"/>
        </w:rPr>
        <w:t>项目概况</w:t>
      </w:r>
    </w:p>
    <w:p>
      <w:pPr>
        <w:spacing w:line="360" w:lineRule="auto"/>
        <w:ind w:firstLine="480" w:firstLineChars="200"/>
        <w:rPr>
          <w:rFonts w:ascii="Arial" w:hAnsi="Arial" w:cs="Arial"/>
          <w:szCs w:val="21"/>
        </w:rPr>
      </w:pPr>
      <w:r>
        <w:rPr>
          <w:rFonts w:ascii="Arial" w:hAnsi="Arial" w:cs="Arial"/>
          <w:szCs w:val="21"/>
        </w:rPr>
        <w:t>项目对外推广名为“榕耀之城”，2020年2月27日，福州首开福泰投资有限公司通过招拍挂方式以底价29.59亿竞得宗地编号2020-08号地块（即福州螺洲TOD项目地块），并于2020年3月9日与福州市自然资源和规划局签订了《国有建设用地使用权出让合同》【合同编号：350100202002270P019】。宗地坐落于仓山区螺洲城峰路南侧，轨道交通4号线螺洲车辆段上盖及周边地块出让地，用途为住宅用地、商服用地，合同约定容积率大于1、小于1.5，土地面积191,900平方米，宗地楼面地价10,280元/㎡，合同约定项目中商业商务规划建筑面积≥9000㎡且≤15000㎡，且宗地需配建限价商品房40,000平方米，同时需按要求配套建设公共服务设施（幼儿园、街道办事处、社区卫生服务中心、公共厕所、社区工作用房、居民活动用房、垃圾集散间、物业管理用房等）。2020年3月30日，项目公司已通过与福州市自然资源和规划局及福州首开福泰投资有限公司签订《国有建设用地使用权出让合同》【合同编号：350100202002270P019补1号-2020】成为项目地块的受让人。根据介绍，项目于2020年6月8日已取得《建设用地规划许可证》，该项目由融创和福州首开联合开发，双方联合成立项目公司，由融创负责操盘，此外，该地块所在区域分布有海西佰悦城、螺洲历史风貌区、螺洲温泉小镇等配套。</w:t>
      </w:r>
    </w:p>
    <w:p>
      <w:pPr>
        <w:spacing w:line="360" w:lineRule="auto"/>
        <w:ind w:firstLine="480" w:firstLineChars="200"/>
        <w:rPr>
          <w:rFonts w:ascii="Arial" w:hAnsi="Arial" w:cs="Arial"/>
          <w:szCs w:val="21"/>
        </w:rPr>
      </w:pPr>
      <w:r>
        <w:rPr>
          <w:rFonts w:ascii="Arial" w:hAnsi="Arial" w:cs="Arial"/>
          <w:szCs w:val="21"/>
        </w:rPr>
        <w:t>根据项目已经取得工程规划许可证</w:t>
      </w:r>
      <w:r>
        <w:rPr>
          <w:rFonts w:hint="eastAsia" w:ascii="Arial" w:hAnsi="Arial" w:cs="Arial"/>
          <w:szCs w:val="21"/>
        </w:rPr>
        <w:t>，</w:t>
      </w:r>
      <w:r>
        <w:rPr>
          <w:rFonts w:ascii="Arial" w:hAnsi="Arial" w:cs="Arial"/>
          <w:szCs w:val="21"/>
        </w:rPr>
        <w:t>项目详细经济指标见下表：</w:t>
      </w:r>
    </w:p>
    <w:p>
      <w:pPr>
        <w:pStyle w:val="2"/>
        <w:rPr>
          <w:rFonts w:ascii="Arial" w:hAnsi="Arial" w:cs="Arial"/>
          <w:szCs w:val="21"/>
        </w:rPr>
      </w:pPr>
    </w:p>
    <w:p>
      <w:pPr>
        <w:ind w:firstLine="420" w:firstLineChars="200"/>
        <w:jc w:val="center"/>
        <w:rPr>
          <w:rFonts w:ascii="Arial" w:hAnsi="Arial" w:cs="Arial"/>
          <w:b/>
          <w:sz w:val="21"/>
          <w:szCs w:val="21"/>
        </w:rPr>
      </w:pPr>
      <w:r>
        <w:rPr>
          <w:rFonts w:ascii="Arial" w:hAnsi="Arial" w:cs="Arial"/>
          <w:b/>
          <w:sz w:val="21"/>
          <w:szCs w:val="21"/>
        </w:rPr>
        <w:t>项目各项经济指标</w:t>
      </w:r>
    </w:p>
    <w:tbl>
      <w:tblPr>
        <w:tblStyle w:val="18"/>
        <w:tblW w:w="6480" w:type="dxa"/>
        <w:jc w:val="center"/>
        <w:tblLayout w:type="autofit"/>
        <w:tblCellMar>
          <w:top w:w="0" w:type="dxa"/>
          <w:left w:w="108" w:type="dxa"/>
          <w:bottom w:w="0" w:type="dxa"/>
          <w:right w:w="108" w:type="dxa"/>
        </w:tblCellMar>
      </w:tblPr>
      <w:tblGrid>
        <w:gridCol w:w="840"/>
        <w:gridCol w:w="820"/>
        <w:gridCol w:w="940"/>
        <w:gridCol w:w="1080"/>
        <w:gridCol w:w="1080"/>
        <w:gridCol w:w="1720"/>
      </w:tblGrid>
      <w:tr>
        <w:tblPrEx>
          <w:tblCellMar>
            <w:top w:w="0" w:type="dxa"/>
            <w:left w:w="108" w:type="dxa"/>
            <w:bottom w:w="0" w:type="dxa"/>
            <w:right w:w="108" w:type="dxa"/>
          </w:tblCellMar>
        </w:tblPrEx>
        <w:trPr>
          <w:trHeight w:val="27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序号</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项目</w:t>
            </w:r>
          </w:p>
        </w:tc>
        <w:tc>
          <w:tcPr>
            <w:tcW w:w="10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单位</w:t>
            </w:r>
          </w:p>
        </w:tc>
        <w:tc>
          <w:tcPr>
            <w:tcW w:w="17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数值</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21"/>
                <w:szCs w:val="21"/>
              </w:rPr>
            </w:pPr>
            <w:r>
              <w:rPr>
                <w:rFonts w:hint="eastAsia" w:ascii="宋体" w:hAnsi="宋体" w:cs="宋体"/>
                <w:color w:val="000000"/>
                <w:sz w:val="21"/>
                <w:szCs w:val="21"/>
              </w:rPr>
              <w:t>建设用地面积</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191,900</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21"/>
                <w:szCs w:val="21"/>
              </w:rPr>
            </w:pPr>
            <w:r>
              <w:rPr>
                <w:rFonts w:hint="eastAsia" w:ascii="宋体" w:hAnsi="宋体" w:cs="宋体"/>
                <w:color w:val="000000"/>
                <w:sz w:val="21"/>
                <w:szCs w:val="21"/>
              </w:rPr>
              <w:t>总建筑面积</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405,010.12</w:t>
            </w:r>
          </w:p>
        </w:tc>
      </w:tr>
      <w:tr>
        <w:tblPrEx>
          <w:tblCellMar>
            <w:top w:w="0" w:type="dxa"/>
            <w:left w:w="108" w:type="dxa"/>
            <w:bottom w:w="0" w:type="dxa"/>
            <w:right w:w="108" w:type="dxa"/>
          </w:tblCellMar>
        </w:tblPrEx>
        <w:trPr>
          <w:trHeight w:val="270" w:hRule="atLeast"/>
          <w:jc w:val="center"/>
        </w:trPr>
        <w:tc>
          <w:tcPr>
            <w:tcW w:w="84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82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其中</w:t>
            </w:r>
          </w:p>
        </w:tc>
        <w:tc>
          <w:tcPr>
            <w:tcW w:w="202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地上</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284,968.79</w:t>
            </w:r>
          </w:p>
        </w:tc>
      </w:tr>
      <w:tr>
        <w:tblPrEx>
          <w:tblCellMar>
            <w:top w:w="0" w:type="dxa"/>
            <w:left w:w="108" w:type="dxa"/>
            <w:bottom w:w="0" w:type="dxa"/>
            <w:right w:w="108" w:type="dxa"/>
          </w:tblCellMar>
        </w:tblPrEx>
        <w:trPr>
          <w:trHeight w:val="270" w:hRule="atLeast"/>
          <w:jc w:val="center"/>
        </w:trPr>
        <w:tc>
          <w:tcPr>
            <w:tcW w:w="84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82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1"/>
                <w:szCs w:val="21"/>
              </w:rPr>
            </w:pPr>
          </w:p>
        </w:tc>
        <w:tc>
          <w:tcPr>
            <w:tcW w:w="202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地下</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120,041.33</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21"/>
                <w:szCs w:val="21"/>
              </w:rPr>
            </w:pPr>
            <w:r>
              <w:rPr>
                <w:rFonts w:hint="eastAsia" w:ascii="宋体" w:hAnsi="宋体" w:cs="宋体"/>
                <w:color w:val="000000"/>
                <w:sz w:val="21"/>
                <w:szCs w:val="21"/>
              </w:rPr>
              <w:t>计容建筑面积</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287,818.38</w:t>
            </w:r>
          </w:p>
        </w:tc>
      </w:tr>
      <w:tr>
        <w:tblPrEx>
          <w:tblCellMar>
            <w:top w:w="0" w:type="dxa"/>
            <w:left w:w="108" w:type="dxa"/>
            <w:bottom w:w="0" w:type="dxa"/>
            <w:right w:w="108" w:type="dxa"/>
          </w:tblCellMar>
        </w:tblPrEx>
        <w:trPr>
          <w:trHeight w:val="270" w:hRule="atLeast"/>
          <w:jc w:val="center"/>
        </w:trPr>
        <w:tc>
          <w:tcPr>
            <w:tcW w:w="84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82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其中</w:t>
            </w:r>
          </w:p>
        </w:tc>
        <w:tc>
          <w:tcPr>
            <w:tcW w:w="94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可售</w:t>
            </w:r>
          </w:p>
        </w:tc>
        <w:tc>
          <w:tcPr>
            <w:tcW w:w="1080"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21"/>
                <w:szCs w:val="21"/>
              </w:rPr>
            </w:pPr>
            <w:r>
              <w:rPr>
                <w:rFonts w:hint="eastAsia" w:ascii="宋体" w:hAnsi="宋体" w:cs="宋体"/>
                <w:color w:val="000000"/>
                <w:sz w:val="21"/>
                <w:szCs w:val="21"/>
              </w:rPr>
              <w:t>普通住宅</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224,022.86</w:t>
            </w:r>
          </w:p>
        </w:tc>
      </w:tr>
      <w:tr>
        <w:tblPrEx>
          <w:tblCellMar>
            <w:top w:w="0" w:type="dxa"/>
            <w:left w:w="108" w:type="dxa"/>
            <w:bottom w:w="0" w:type="dxa"/>
            <w:right w:w="108" w:type="dxa"/>
          </w:tblCellMar>
        </w:tblPrEx>
        <w:trPr>
          <w:trHeight w:val="270" w:hRule="atLeast"/>
          <w:jc w:val="center"/>
        </w:trPr>
        <w:tc>
          <w:tcPr>
            <w:tcW w:w="84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82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1"/>
                <w:szCs w:val="21"/>
              </w:rPr>
            </w:pPr>
          </w:p>
        </w:tc>
        <w:tc>
          <w:tcPr>
            <w:tcW w:w="94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1"/>
                <w:szCs w:val="21"/>
              </w:rPr>
            </w:pPr>
          </w:p>
        </w:tc>
        <w:tc>
          <w:tcPr>
            <w:tcW w:w="1080"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21"/>
                <w:szCs w:val="21"/>
              </w:rPr>
            </w:pPr>
            <w:r>
              <w:rPr>
                <w:rFonts w:hint="eastAsia" w:ascii="宋体" w:hAnsi="宋体" w:cs="宋体"/>
                <w:color w:val="000000"/>
                <w:sz w:val="21"/>
                <w:szCs w:val="21"/>
              </w:rPr>
              <w:t>限价房</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40,000</w:t>
            </w:r>
          </w:p>
        </w:tc>
      </w:tr>
      <w:tr>
        <w:tblPrEx>
          <w:tblCellMar>
            <w:top w:w="0" w:type="dxa"/>
            <w:left w:w="108" w:type="dxa"/>
            <w:bottom w:w="0" w:type="dxa"/>
            <w:right w:w="108" w:type="dxa"/>
          </w:tblCellMar>
        </w:tblPrEx>
        <w:trPr>
          <w:trHeight w:val="270" w:hRule="atLeast"/>
          <w:jc w:val="center"/>
        </w:trPr>
        <w:tc>
          <w:tcPr>
            <w:tcW w:w="84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82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1"/>
                <w:szCs w:val="21"/>
              </w:rPr>
            </w:pPr>
          </w:p>
        </w:tc>
        <w:tc>
          <w:tcPr>
            <w:tcW w:w="94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1"/>
                <w:szCs w:val="21"/>
              </w:rPr>
            </w:pPr>
          </w:p>
        </w:tc>
        <w:tc>
          <w:tcPr>
            <w:tcW w:w="1080"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21"/>
                <w:szCs w:val="21"/>
              </w:rPr>
            </w:pPr>
            <w:r>
              <w:rPr>
                <w:rFonts w:hint="eastAsia" w:ascii="宋体" w:hAnsi="宋体" w:cs="宋体"/>
                <w:color w:val="000000"/>
                <w:sz w:val="21"/>
                <w:szCs w:val="21"/>
              </w:rPr>
              <w:t xml:space="preserve">商业 </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9,002.46</w:t>
            </w:r>
          </w:p>
        </w:tc>
      </w:tr>
      <w:tr>
        <w:tblPrEx>
          <w:tblCellMar>
            <w:top w:w="0" w:type="dxa"/>
            <w:left w:w="108" w:type="dxa"/>
            <w:bottom w:w="0" w:type="dxa"/>
            <w:right w:w="108" w:type="dxa"/>
          </w:tblCellMar>
        </w:tblPrEx>
        <w:trPr>
          <w:trHeight w:val="270" w:hRule="atLeast"/>
          <w:jc w:val="center"/>
        </w:trPr>
        <w:tc>
          <w:tcPr>
            <w:tcW w:w="84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82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1"/>
                <w:szCs w:val="21"/>
              </w:rPr>
            </w:pPr>
          </w:p>
        </w:tc>
        <w:tc>
          <w:tcPr>
            <w:tcW w:w="202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社区配套</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14,793.06</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建筑占地面积</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39,670</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5</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绿地面积</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163,723</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6</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总户数</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户</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3,250</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7</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居住人口</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人</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11,389</w:t>
            </w:r>
          </w:p>
        </w:tc>
      </w:tr>
      <w:tr>
        <w:tblPrEx>
          <w:tblCellMar>
            <w:top w:w="0" w:type="dxa"/>
            <w:left w:w="108" w:type="dxa"/>
            <w:bottom w:w="0" w:type="dxa"/>
            <w:right w:w="108" w:type="dxa"/>
          </w:tblCellMar>
        </w:tblPrEx>
        <w:trPr>
          <w:trHeight w:val="270" w:hRule="atLeast"/>
          <w:jc w:val="center"/>
        </w:trPr>
        <w:tc>
          <w:tcPr>
            <w:tcW w:w="8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8</w:t>
            </w:r>
          </w:p>
        </w:tc>
        <w:tc>
          <w:tcPr>
            <w:tcW w:w="2840" w:type="dxa"/>
            <w:gridSpan w:val="3"/>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21"/>
                <w:szCs w:val="21"/>
              </w:rPr>
            </w:pPr>
            <w:r>
              <w:rPr>
                <w:rFonts w:hint="eastAsia" w:ascii="宋体" w:hAnsi="宋体" w:cs="宋体"/>
                <w:color w:val="000000"/>
                <w:sz w:val="21"/>
                <w:szCs w:val="21"/>
              </w:rPr>
              <w:t>机动车位</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个</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3,527.00</w:t>
            </w:r>
          </w:p>
        </w:tc>
      </w:tr>
      <w:tr>
        <w:tblPrEx>
          <w:tblCellMar>
            <w:top w:w="0" w:type="dxa"/>
            <w:left w:w="108" w:type="dxa"/>
            <w:bottom w:w="0" w:type="dxa"/>
            <w:right w:w="108" w:type="dxa"/>
          </w:tblCellMar>
        </w:tblPrEx>
        <w:trPr>
          <w:trHeight w:val="270" w:hRule="atLeast"/>
          <w:jc w:val="center"/>
        </w:trPr>
        <w:tc>
          <w:tcPr>
            <w:tcW w:w="84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82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其中</w:t>
            </w:r>
          </w:p>
        </w:tc>
        <w:tc>
          <w:tcPr>
            <w:tcW w:w="2020"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地面车位</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个</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381</w:t>
            </w:r>
          </w:p>
        </w:tc>
      </w:tr>
      <w:tr>
        <w:tblPrEx>
          <w:tblCellMar>
            <w:top w:w="0" w:type="dxa"/>
            <w:left w:w="108" w:type="dxa"/>
            <w:bottom w:w="0" w:type="dxa"/>
            <w:right w:w="108" w:type="dxa"/>
          </w:tblCellMar>
        </w:tblPrEx>
        <w:trPr>
          <w:trHeight w:val="270" w:hRule="atLeast"/>
          <w:jc w:val="center"/>
        </w:trPr>
        <w:tc>
          <w:tcPr>
            <w:tcW w:w="84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82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020"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地下车位</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1"/>
                <w:szCs w:val="21"/>
              </w:rPr>
            </w:pPr>
            <w:r>
              <w:rPr>
                <w:rFonts w:hint="eastAsia" w:ascii="宋体" w:hAnsi="宋体" w:cs="宋体"/>
                <w:color w:val="000000"/>
                <w:sz w:val="21"/>
                <w:szCs w:val="21"/>
              </w:rPr>
              <w:t>个</w:t>
            </w:r>
          </w:p>
        </w:tc>
        <w:tc>
          <w:tcPr>
            <w:tcW w:w="172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21"/>
                <w:szCs w:val="21"/>
              </w:rPr>
            </w:pPr>
            <w:r>
              <w:rPr>
                <w:rFonts w:ascii="Arial" w:hAnsi="Arial" w:cs="Arial"/>
                <w:color w:val="000000"/>
                <w:sz w:val="21"/>
                <w:szCs w:val="21"/>
              </w:rPr>
              <w:t>3,146</w:t>
            </w:r>
          </w:p>
        </w:tc>
      </w:tr>
    </w:tbl>
    <w:p>
      <w:pPr>
        <w:pStyle w:val="3"/>
        <w:rPr>
          <w:rFonts w:cs="Arial"/>
        </w:rPr>
      </w:pPr>
      <w:bookmarkStart w:id="3" w:name="_Toc11052"/>
      <w:bookmarkStart w:id="4" w:name="_Toc69160055"/>
      <w:r>
        <w:rPr>
          <w:rFonts w:cs="Arial"/>
        </w:rPr>
        <w:t>二、信托资金使用情况</w:t>
      </w:r>
      <w:bookmarkEnd w:id="3"/>
      <w:bookmarkEnd w:id="4"/>
    </w:p>
    <w:tbl>
      <w:tblPr>
        <w:tblStyle w:val="18"/>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60"/>
        <w:gridCol w:w="1435"/>
        <w:gridCol w:w="1541"/>
        <w:gridCol w:w="1578"/>
        <w:gridCol w:w="1276"/>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2"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260"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时间</w:t>
            </w:r>
          </w:p>
        </w:tc>
        <w:tc>
          <w:tcPr>
            <w:tcW w:w="1435"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信托出资金额</w:t>
            </w:r>
            <w:r>
              <w:rPr>
                <w:rFonts w:hint="eastAsia" w:ascii="Arial" w:hAnsi="Arial" w:cs="Arial"/>
                <w:b/>
                <w:bCs/>
                <w:color w:val="000000"/>
                <w:sz w:val="21"/>
                <w:szCs w:val="21"/>
                <w:lang w:bidi="ar"/>
              </w:rPr>
              <w:t>（万元）</w:t>
            </w:r>
          </w:p>
        </w:tc>
        <w:tc>
          <w:tcPr>
            <w:tcW w:w="1541"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信托累计出资金额</w:t>
            </w:r>
            <w:r>
              <w:rPr>
                <w:rFonts w:hint="eastAsia" w:ascii="Arial" w:hAnsi="Arial" w:cs="Arial"/>
                <w:b/>
                <w:bCs/>
                <w:color w:val="000000"/>
                <w:sz w:val="21"/>
                <w:szCs w:val="21"/>
                <w:lang w:bidi="ar"/>
              </w:rPr>
              <w:t>（万元）</w:t>
            </w:r>
          </w:p>
        </w:tc>
        <w:tc>
          <w:tcPr>
            <w:tcW w:w="1578"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已使用金额</w:t>
            </w:r>
            <w:r>
              <w:rPr>
                <w:rFonts w:hint="eastAsia" w:ascii="Arial" w:hAnsi="Arial" w:cs="Arial"/>
                <w:b/>
                <w:bCs/>
                <w:color w:val="000000"/>
                <w:sz w:val="21"/>
                <w:szCs w:val="21"/>
                <w:lang w:bidi="ar"/>
              </w:rPr>
              <w:t>（万元）</w:t>
            </w:r>
          </w:p>
        </w:tc>
        <w:tc>
          <w:tcPr>
            <w:tcW w:w="1276"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139"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余额</w:t>
            </w:r>
            <w:r>
              <w:rPr>
                <w:rFonts w:hint="eastAsia" w:ascii="Arial" w:hAnsi="Arial" w:cs="Arial"/>
                <w:b/>
                <w:bCs/>
                <w:color w:val="000000"/>
                <w:sz w:val="21"/>
                <w:szCs w:val="21"/>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2"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26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2020/8/19</w:t>
            </w:r>
          </w:p>
        </w:tc>
        <w:tc>
          <w:tcPr>
            <w:tcW w:w="1435"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56,60</w:t>
            </w:r>
            <w:r>
              <w:rPr>
                <w:rFonts w:hint="eastAsia" w:ascii="Arial" w:hAnsi="Arial" w:cs="Arial"/>
                <w:color w:val="000000"/>
                <w:sz w:val="21"/>
                <w:szCs w:val="21"/>
                <w:lang w:bidi="ar"/>
              </w:rPr>
              <w:t>0.00</w:t>
            </w:r>
          </w:p>
        </w:tc>
        <w:tc>
          <w:tcPr>
            <w:tcW w:w="1541"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56,60</w:t>
            </w:r>
            <w:r>
              <w:rPr>
                <w:rFonts w:hint="eastAsia" w:ascii="Arial" w:hAnsi="Arial" w:cs="Arial"/>
                <w:color w:val="000000"/>
                <w:sz w:val="21"/>
                <w:szCs w:val="21"/>
                <w:lang w:bidi="ar"/>
              </w:rPr>
              <w:t>0.00</w:t>
            </w:r>
          </w:p>
        </w:tc>
        <w:tc>
          <w:tcPr>
            <w:tcW w:w="1578"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56,598.46 </w:t>
            </w:r>
          </w:p>
        </w:tc>
        <w:tc>
          <w:tcPr>
            <w:tcW w:w="1276" w:type="dxa"/>
            <w:vAlign w:val="center"/>
          </w:tcPr>
          <w:p>
            <w:pPr>
              <w:spacing w:line="240" w:lineRule="exact"/>
              <w:jc w:val="center"/>
              <w:textAlignment w:val="center"/>
              <w:rPr>
                <w:rFonts w:ascii="Arial" w:hAnsi="Arial" w:cs="Arial"/>
                <w:color w:val="000000"/>
                <w:sz w:val="21"/>
                <w:szCs w:val="21"/>
                <w:lang w:bidi="ar"/>
              </w:rPr>
            </w:pPr>
            <w:r>
              <w:rPr>
                <w:rFonts w:ascii="Arial" w:hAnsi="Arial" w:cs="Arial"/>
                <w:color w:val="000000"/>
                <w:sz w:val="21"/>
                <w:szCs w:val="21"/>
                <w:lang w:bidi="ar"/>
              </w:rPr>
              <w:t>归还衡越公司借款、信保基金</w:t>
            </w:r>
          </w:p>
        </w:tc>
        <w:tc>
          <w:tcPr>
            <w:tcW w:w="1139"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2"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w:t>
            </w:r>
          </w:p>
        </w:tc>
        <w:tc>
          <w:tcPr>
            <w:tcW w:w="1260"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2021/6/24</w:t>
            </w:r>
          </w:p>
        </w:tc>
        <w:tc>
          <w:tcPr>
            <w:tcW w:w="1435"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42,400.00</w:t>
            </w:r>
          </w:p>
        </w:tc>
        <w:tc>
          <w:tcPr>
            <w:tcW w:w="1541"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99</w:t>
            </w:r>
            <w:r>
              <w:rPr>
                <w:rFonts w:ascii="Arial" w:hAnsi="Arial" w:cs="Arial"/>
                <w:color w:val="000000"/>
                <w:sz w:val="21"/>
                <w:szCs w:val="21"/>
                <w:lang w:bidi="ar"/>
              </w:rPr>
              <w:t>,</w:t>
            </w:r>
            <w:r>
              <w:rPr>
                <w:rFonts w:hint="eastAsia" w:ascii="Arial" w:hAnsi="Arial" w:cs="Arial"/>
                <w:color w:val="000000"/>
                <w:sz w:val="21"/>
                <w:szCs w:val="21"/>
                <w:lang w:bidi="ar"/>
              </w:rPr>
              <w:t>0</w:t>
            </w:r>
            <w:r>
              <w:rPr>
                <w:rFonts w:ascii="Arial" w:hAnsi="Arial" w:cs="Arial"/>
                <w:color w:val="000000"/>
                <w:sz w:val="21"/>
                <w:szCs w:val="21"/>
                <w:lang w:bidi="ar"/>
              </w:rPr>
              <w:t>0</w:t>
            </w:r>
            <w:r>
              <w:rPr>
                <w:rFonts w:hint="eastAsia" w:ascii="Arial" w:hAnsi="Arial" w:cs="Arial"/>
                <w:color w:val="000000"/>
                <w:sz w:val="21"/>
                <w:szCs w:val="21"/>
                <w:lang w:bidi="ar"/>
              </w:rPr>
              <w:t>0.00</w:t>
            </w:r>
          </w:p>
        </w:tc>
        <w:tc>
          <w:tcPr>
            <w:tcW w:w="1578"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 xml:space="preserve">42,400.00 </w:t>
            </w:r>
          </w:p>
        </w:tc>
        <w:tc>
          <w:tcPr>
            <w:tcW w:w="1276" w:type="dxa"/>
            <w:vAlign w:val="center"/>
          </w:tcPr>
          <w:p>
            <w:pPr>
              <w:spacing w:line="240" w:lineRule="exact"/>
              <w:jc w:val="center"/>
              <w:textAlignment w:val="center"/>
              <w:rPr>
                <w:rFonts w:ascii="Arial" w:hAnsi="Arial" w:cs="Arial"/>
                <w:color w:val="000000"/>
                <w:sz w:val="21"/>
                <w:szCs w:val="21"/>
                <w:lang w:bidi="ar"/>
              </w:rPr>
            </w:pPr>
            <w:r>
              <w:rPr>
                <w:rFonts w:ascii="Arial" w:hAnsi="Arial" w:cs="Arial"/>
                <w:color w:val="000000"/>
                <w:sz w:val="21"/>
                <w:szCs w:val="21"/>
                <w:lang w:bidi="ar"/>
              </w:rPr>
              <w:t>归还衡越公司借款、信保基金</w:t>
            </w:r>
          </w:p>
        </w:tc>
        <w:tc>
          <w:tcPr>
            <w:tcW w:w="1139"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2" w:type="dxa"/>
            <w:vAlign w:val="center"/>
          </w:tcPr>
          <w:p>
            <w:pPr>
              <w:widowControl w:val="0"/>
              <w:jc w:val="center"/>
              <w:textAlignment w:val="center"/>
              <w:rPr>
                <w:rFonts w:ascii="Arial" w:hAnsi="Arial" w:cs="Arial"/>
                <w:color w:val="000000"/>
                <w:sz w:val="21"/>
                <w:szCs w:val="21"/>
                <w:lang w:bidi="ar"/>
              </w:rPr>
            </w:pPr>
          </w:p>
        </w:tc>
        <w:tc>
          <w:tcPr>
            <w:tcW w:w="126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435"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99</w:t>
            </w:r>
            <w:r>
              <w:rPr>
                <w:rFonts w:ascii="Arial" w:hAnsi="Arial" w:cs="Arial"/>
                <w:color w:val="000000"/>
                <w:sz w:val="21"/>
                <w:szCs w:val="21"/>
                <w:lang w:bidi="ar"/>
              </w:rPr>
              <w:t>,</w:t>
            </w:r>
            <w:r>
              <w:rPr>
                <w:rFonts w:hint="eastAsia" w:ascii="Arial" w:hAnsi="Arial" w:cs="Arial"/>
                <w:color w:val="000000"/>
                <w:sz w:val="21"/>
                <w:szCs w:val="21"/>
                <w:lang w:bidi="ar"/>
              </w:rPr>
              <w:t>0</w:t>
            </w:r>
            <w:r>
              <w:rPr>
                <w:rFonts w:ascii="Arial" w:hAnsi="Arial" w:cs="Arial"/>
                <w:color w:val="000000"/>
                <w:sz w:val="21"/>
                <w:szCs w:val="21"/>
                <w:lang w:bidi="ar"/>
              </w:rPr>
              <w:t>0</w:t>
            </w:r>
            <w:r>
              <w:rPr>
                <w:rFonts w:hint="eastAsia" w:ascii="Arial" w:hAnsi="Arial" w:cs="Arial"/>
                <w:color w:val="000000"/>
                <w:sz w:val="21"/>
                <w:szCs w:val="21"/>
                <w:lang w:bidi="ar"/>
              </w:rPr>
              <w:t>0.00</w:t>
            </w:r>
          </w:p>
        </w:tc>
        <w:tc>
          <w:tcPr>
            <w:tcW w:w="1541"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w:t>
            </w:r>
          </w:p>
        </w:tc>
        <w:tc>
          <w:tcPr>
            <w:tcW w:w="1578"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98,998.46</w:t>
            </w:r>
          </w:p>
        </w:tc>
        <w:tc>
          <w:tcPr>
            <w:tcW w:w="1276" w:type="dxa"/>
            <w:vAlign w:val="center"/>
          </w:tcPr>
          <w:p>
            <w:pPr>
              <w:jc w:val="center"/>
              <w:textAlignment w:val="center"/>
              <w:rPr>
                <w:rFonts w:ascii="Arial" w:hAnsi="Arial" w:cs="Arial"/>
                <w:color w:val="000000"/>
                <w:sz w:val="21"/>
                <w:szCs w:val="21"/>
                <w:lang w:bidi="ar"/>
              </w:rPr>
            </w:pPr>
          </w:p>
        </w:tc>
        <w:tc>
          <w:tcPr>
            <w:tcW w:w="1139"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w:t>
            </w:r>
          </w:p>
        </w:tc>
      </w:tr>
    </w:tbl>
    <w:p>
      <w:pPr>
        <w:pStyle w:val="3"/>
        <w:rPr>
          <w:rFonts w:cs="Arial"/>
          <w:color w:val="000000"/>
          <w:szCs w:val="21"/>
        </w:rPr>
      </w:pPr>
      <w:bookmarkStart w:id="5" w:name="_Toc20591"/>
      <w:bookmarkStart w:id="6" w:name="_Toc69160056"/>
      <w:r>
        <w:rPr>
          <w:rFonts w:cs="Arial"/>
        </w:rPr>
        <w:t>三、项目证件办理情况</w:t>
      </w:r>
      <w:bookmarkEnd w:id="5"/>
      <w:bookmarkEnd w:id="6"/>
    </w:p>
    <w:tbl>
      <w:tblPr>
        <w:tblStyle w:val="18"/>
        <w:tblW w:w="8890" w:type="dxa"/>
        <w:jc w:val="center"/>
        <w:tblLayout w:type="fixed"/>
        <w:tblCellMar>
          <w:top w:w="0" w:type="dxa"/>
          <w:left w:w="108" w:type="dxa"/>
          <w:bottom w:w="0" w:type="dxa"/>
          <w:right w:w="108" w:type="dxa"/>
        </w:tblCellMar>
      </w:tblPr>
      <w:tblGrid>
        <w:gridCol w:w="1631"/>
        <w:gridCol w:w="1848"/>
        <w:gridCol w:w="2375"/>
        <w:gridCol w:w="3036"/>
      </w:tblGrid>
      <w:tr>
        <w:tblPrEx>
          <w:tblCellMar>
            <w:top w:w="0" w:type="dxa"/>
            <w:left w:w="108" w:type="dxa"/>
            <w:bottom w:w="0" w:type="dxa"/>
            <w:right w:w="108" w:type="dxa"/>
          </w:tblCellMar>
        </w:tblPrEx>
        <w:trPr>
          <w:trHeight w:val="227" w:hRule="atLeast"/>
          <w:tblHeader/>
          <w:jc w:val="center"/>
        </w:trPr>
        <w:tc>
          <w:tcPr>
            <w:tcW w:w="163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sz w:val="21"/>
                <w:szCs w:val="21"/>
              </w:rPr>
            </w:pPr>
            <w:r>
              <w:rPr>
                <w:rFonts w:ascii="Arial" w:hAnsi="Arial" w:cs="Arial"/>
                <w:b/>
                <w:sz w:val="21"/>
                <w:szCs w:val="21"/>
              </w:rPr>
              <w:t>五证</w:t>
            </w:r>
          </w:p>
        </w:tc>
        <w:tc>
          <w:tcPr>
            <w:tcW w:w="1848" w:type="dxa"/>
            <w:tcBorders>
              <w:top w:val="single" w:color="auto" w:sz="4" w:space="0"/>
              <w:left w:val="nil"/>
              <w:bottom w:val="single" w:color="auto" w:sz="4" w:space="0"/>
              <w:right w:val="single" w:color="auto" w:sz="4" w:space="0"/>
            </w:tcBorders>
            <w:vAlign w:val="center"/>
          </w:tcPr>
          <w:p>
            <w:pPr>
              <w:jc w:val="center"/>
              <w:rPr>
                <w:rFonts w:ascii="Arial" w:hAnsi="Arial" w:cs="Arial"/>
                <w:b/>
                <w:sz w:val="21"/>
                <w:szCs w:val="21"/>
              </w:rPr>
            </w:pPr>
            <w:r>
              <w:rPr>
                <w:rFonts w:ascii="Arial" w:hAnsi="Arial" w:cs="Arial"/>
                <w:b/>
                <w:sz w:val="21"/>
                <w:szCs w:val="21"/>
              </w:rPr>
              <w:t>取证时间</w:t>
            </w:r>
          </w:p>
        </w:tc>
        <w:tc>
          <w:tcPr>
            <w:tcW w:w="2375" w:type="dxa"/>
            <w:tcBorders>
              <w:top w:val="single" w:color="auto" w:sz="4" w:space="0"/>
              <w:left w:val="nil"/>
              <w:bottom w:val="single" w:color="auto" w:sz="4" w:space="0"/>
              <w:right w:val="single" w:color="auto" w:sz="4" w:space="0"/>
            </w:tcBorders>
            <w:vAlign w:val="center"/>
          </w:tcPr>
          <w:p>
            <w:pPr>
              <w:jc w:val="center"/>
              <w:rPr>
                <w:rFonts w:ascii="Arial" w:hAnsi="Arial" w:cs="Arial"/>
                <w:b/>
                <w:sz w:val="21"/>
                <w:szCs w:val="21"/>
              </w:rPr>
            </w:pPr>
            <w:r>
              <w:rPr>
                <w:rFonts w:ascii="Arial" w:hAnsi="Arial" w:cs="Arial"/>
                <w:b/>
                <w:sz w:val="21"/>
                <w:szCs w:val="21"/>
              </w:rPr>
              <w:t>证书编号</w:t>
            </w:r>
          </w:p>
        </w:tc>
        <w:tc>
          <w:tcPr>
            <w:tcW w:w="3036" w:type="dxa"/>
            <w:tcBorders>
              <w:top w:val="single" w:color="auto" w:sz="4" w:space="0"/>
              <w:left w:val="nil"/>
              <w:bottom w:val="single" w:color="auto" w:sz="4" w:space="0"/>
              <w:right w:val="single" w:color="auto" w:sz="4" w:space="0"/>
            </w:tcBorders>
            <w:vAlign w:val="center"/>
          </w:tcPr>
          <w:p>
            <w:pPr>
              <w:jc w:val="center"/>
              <w:rPr>
                <w:rFonts w:ascii="Arial" w:hAnsi="Arial" w:cs="Arial"/>
                <w:b/>
                <w:sz w:val="21"/>
                <w:szCs w:val="21"/>
              </w:rPr>
            </w:pPr>
            <w:r>
              <w:rPr>
                <w:rFonts w:ascii="Arial" w:hAnsi="Arial" w:cs="Arial"/>
                <w:b/>
                <w:sz w:val="21"/>
                <w:szCs w:val="21"/>
              </w:rPr>
              <w:t>备注</w:t>
            </w:r>
          </w:p>
        </w:tc>
      </w:tr>
      <w:tr>
        <w:tblPrEx>
          <w:tblCellMar>
            <w:top w:w="0" w:type="dxa"/>
            <w:left w:w="108" w:type="dxa"/>
            <w:bottom w:w="0" w:type="dxa"/>
            <w:right w:w="108" w:type="dxa"/>
          </w:tblCellMar>
        </w:tblPrEx>
        <w:trPr>
          <w:trHeight w:val="227" w:hRule="atLeast"/>
          <w:jc w:val="center"/>
        </w:trPr>
        <w:tc>
          <w:tcPr>
            <w:tcW w:w="1631" w:type="dxa"/>
            <w:tcBorders>
              <w:top w:val="nil"/>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不动产权证书</w:t>
            </w:r>
          </w:p>
        </w:tc>
        <w:tc>
          <w:tcPr>
            <w:tcW w:w="1848"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w:t>
            </w:r>
          </w:p>
        </w:tc>
        <w:tc>
          <w:tcPr>
            <w:tcW w:w="2375"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w:t>
            </w:r>
          </w:p>
        </w:tc>
        <w:tc>
          <w:tcPr>
            <w:tcW w:w="3036" w:type="dxa"/>
            <w:tcBorders>
              <w:top w:val="nil"/>
              <w:left w:val="nil"/>
              <w:bottom w:val="single" w:color="auto" w:sz="4" w:space="0"/>
              <w:right w:val="single" w:color="auto" w:sz="4" w:space="0"/>
            </w:tcBorders>
            <w:vAlign w:val="center"/>
          </w:tcPr>
          <w:p>
            <w:pPr>
              <w:spacing w:line="260" w:lineRule="exact"/>
              <w:jc w:val="center"/>
              <w:rPr>
                <w:rFonts w:ascii="Arial" w:hAnsi="Arial" w:cs="Arial"/>
                <w:sz w:val="21"/>
                <w:szCs w:val="21"/>
              </w:rPr>
            </w:pPr>
            <w:r>
              <w:rPr>
                <w:rFonts w:hint="eastAsia" w:ascii="Arial" w:hAnsi="Arial" w:cs="Arial"/>
                <w:sz w:val="21"/>
                <w:szCs w:val="21"/>
              </w:rPr>
              <w:t>土地款于6月11日完成全部缴纳，取得土地证时间不确定</w:t>
            </w:r>
          </w:p>
        </w:tc>
      </w:tr>
      <w:tr>
        <w:tblPrEx>
          <w:tblCellMar>
            <w:top w:w="0" w:type="dxa"/>
            <w:left w:w="108" w:type="dxa"/>
            <w:bottom w:w="0" w:type="dxa"/>
            <w:right w:w="108" w:type="dxa"/>
          </w:tblCellMar>
        </w:tblPrEx>
        <w:trPr>
          <w:trHeight w:val="663" w:hRule="atLeast"/>
          <w:jc w:val="center"/>
        </w:trPr>
        <w:tc>
          <w:tcPr>
            <w:tcW w:w="1631" w:type="dxa"/>
            <w:tcBorders>
              <w:top w:val="nil"/>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建设用地规划许可证</w:t>
            </w:r>
          </w:p>
        </w:tc>
        <w:tc>
          <w:tcPr>
            <w:tcW w:w="1848"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ascii="Arial" w:hAnsi="Arial" w:cs="Arial"/>
                <w:color w:val="000000"/>
                <w:sz w:val="21"/>
                <w:szCs w:val="21"/>
                <w:lang w:bidi="ar"/>
              </w:rPr>
              <w:t>2020年6月8日</w:t>
            </w:r>
          </w:p>
        </w:tc>
        <w:tc>
          <w:tcPr>
            <w:tcW w:w="2375"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地字第350101202000088号</w:t>
            </w:r>
          </w:p>
        </w:tc>
        <w:tc>
          <w:tcPr>
            <w:tcW w:w="3036" w:type="dxa"/>
            <w:tcBorders>
              <w:top w:val="nil"/>
              <w:left w:val="nil"/>
              <w:bottom w:val="single" w:color="auto" w:sz="4" w:space="0"/>
              <w:right w:val="single" w:color="auto" w:sz="4" w:space="0"/>
            </w:tcBorders>
            <w:vAlign w:val="center"/>
          </w:tcPr>
          <w:p>
            <w:pPr>
              <w:spacing w:line="260" w:lineRule="exact"/>
              <w:jc w:val="center"/>
              <w:rPr>
                <w:rFonts w:ascii="Arial" w:hAnsi="Arial" w:cs="Arial"/>
                <w:sz w:val="21"/>
                <w:szCs w:val="21"/>
              </w:rPr>
            </w:pPr>
            <w:r>
              <w:rPr>
                <w:rFonts w:hint="eastAsia" w:ascii="Arial" w:hAnsi="Arial" w:cs="Arial"/>
                <w:sz w:val="21"/>
                <w:szCs w:val="21"/>
              </w:rPr>
              <w:t>规划用地面积191,900㎡；</w:t>
            </w:r>
          </w:p>
          <w:p>
            <w:pPr>
              <w:spacing w:line="260" w:lineRule="exact"/>
              <w:jc w:val="center"/>
              <w:rPr>
                <w:rFonts w:ascii="Arial" w:hAnsi="Arial" w:cs="Arial"/>
                <w:sz w:val="21"/>
                <w:szCs w:val="21"/>
              </w:rPr>
            </w:pPr>
            <w:r>
              <w:rPr>
                <w:rFonts w:hint="eastAsia" w:ascii="Arial" w:hAnsi="Arial" w:cs="Arial"/>
                <w:sz w:val="21"/>
                <w:szCs w:val="21"/>
              </w:rPr>
              <w:t>已共管</w:t>
            </w:r>
          </w:p>
        </w:tc>
      </w:tr>
      <w:tr>
        <w:tblPrEx>
          <w:tblCellMar>
            <w:top w:w="0" w:type="dxa"/>
            <w:left w:w="108" w:type="dxa"/>
            <w:bottom w:w="0" w:type="dxa"/>
            <w:right w:w="108" w:type="dxa"/>
          </w:tblCellMar>
        </w:tblPrEx>
        <w:trPr>
          <w:trHeight w:val="227" w:hRule="atLeast"/>
          <w:jc w:val="center"/>
        </w:trPr>
        <w:tc>
          <w:tcPr>
            <w:tcW w:w="163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建设工程规划许可证</w:t>
            </w: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hint="eastAsia" w:ascii="Arial" w:hAnsi="Arial" w:cs="Arial"/>
                <w:sz w:val="21"/>
                <w:szCs w:val="21"/>
              </w:rPr>
              <w:t>2021年4月22日</w:t>
            </w:r>
          </w:p>
        </w:tc>
        <w:tc>
          <w:tcPr>
            <w:tcW w:w="2375"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hint="eastAsia" w:ascii="Arial" w:hAnsi="Arial" w:cs="Arial"/>
                <w:sz w:val="21"/>
                <w:szCs w:val="21"/>
              </w:rPr>
              <w:t>建字第350100202100034号</w:t>
            </w:r>
          </w:p>
        </w:tc>
        <w:tc>
          <w:tcPr>
            <w:tcW w:w="3036" w:type="dxa"/>
            <w:tcBorders>
              <w:top w:val="nil"/>
              <w:left w:val="nil"/>
              <w:bottom w:val="single" w:color="auto" w:sz="4" w:space="0"/>
              <w:right w:val="single" w:color="auto" w:sz="4" w:space="0"/>
            </w:tcBorders>
            <w:vAlign w:val="center"/>
          </w:tcPr>
          <w:p>
            <w:pPr>
              <w:spacing w:line="260" w:lineRule="exact"/>
              <w:jc w:val="center"/>
              <w:rPr>
                <w:rFonts w:ascii="Arial" w:hAnsi="Arial" w:cs="Arial"/>
                <w:sz w:val="21"/>
                <w:szCs w:val="21"/>
              </w:rPr>
            </w:pPr>
            <w:r>
              <w:rPr>
                <w:rFonts w:hint="eastAsia" w:ascii="Arial" w:hAnsi="Arial" w:cs="Arial"/>
                <w:sz w:val="21"/>
                <w:szCs w:val="21"/>
              </w:rPr>
              <w:t>总建筑面积405,010.12㎡；</w:t>
            </w:r>
          </w:p>
          <w:p>
            <w:pPr>
              <w:pStyle w:val="7"/>
              <w:jc w:val="center"/>
              <w:rPr>
                <w:rFonts w:ascii="Arial" w:hAnsi="Arial" w:cs="Arial"/>
                <w:sz w:val="21"/>
                <w:szCs w:val="21"/>
              </w:rPr>
            </w:pPr>
            <w:r>
              <w:rPr>
                <w:rFonts w:hint="eastAsia" w:ascii="Arial" w:hAnsi="Arial" w:cs="Arial"/>
                <w:sz w:val="21"/>
                <w:szCs w:val="21"/>
              </w:rPr>
              <w:t>外借办理变更手续</w:t>
            </w:r>
          </w:p>
        </w:tc>
      </w:tr>
      <w:tr>
        <w:tblPrEx>
          <w:tblCellMar>
            <w:top w:w="0" w:type="dxa"/>
            <w:left w:w="108" w:type="dxa"/>
            <w:bottom w:w="0" w:type="dxa"/>
            <w:right w:w="108" w:type="dxa"/>
          </w:tblCellMar>
        </w:tblPrEx>
        <w:trPr>
          <w:trHeight w:val="227" w:hRule="atLeast"/>
          <w:jc w:val="center"/>
        </w:trPr>
        <w:tc>
          <w:tcPr>
            <w:tcW w:w="163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建筑工程施工许可证</w:t>
            </w: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hint="eastAsia" w:ascii="Arial" w:hAnsi="Arial" w:cs="Arial"/>
                <w:sz w:val="21"/>
                <w:szCs w:val="21"/>
              </w:rPr>
              <w:t>2021年6月24日</w:t>
            </w:r>
          </w:p>
        </w:tc>
        <w:tc>
          <w:tcPr>
            <w:tcW w:w="2375"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hint="eastAsia" w:ascii="Arial" w:hAnsi="Arial" w:cs="Arial"/>
                <w:sz w:val="21"/>
                <w:szCs w:val="21"/>
              </w:rPr>
              <w:t>编号350100202106240301</w:t>
            </w:r>
          </w:p>
        </w:tc>
        <w:tc>
          <w:tcPr>
            <w:tcW w:w="3036" w:type="dxa"/>
            <w:tcBorders>
              <w:top w:val="nil"/>
              <w:left w:val="nil"/>
              <w:bottom w:val="single" w:color="auto" w:sz="4" w:space="0"/>
              <w:right w:val="single" w:color="auto" w:sz="4" w:space="0"/>
            </w:tcBorders>
            <w:vAlign w:val="center"/>
          </w:tcPr>
          <w:p>
            <w:pPr>
              <w:spacing w:line="260" w:lineRule="exact"/>
              <w:jc w:val="center"/>
              <w:rPr>
                <w:rFonts w:ascii="Arial" w:hAnsi="Arial" w:cs="Arial"/>
                <w:sz w:val="21"/>
                <w:szCs w:val="21"/>
              </w:rPr>
            </w:pPr>
            <w:r>
              <w:rPr>
                <w:rFonts w:hint="eastAsia" w:ascii="Arial" w:hAnsi="Arial" w:cs="Arial"/>
                <w:sz w:val="21"/>
                <w:szCs w:val="21"/>
              </w:rPr>
              <w:t>C区：建筑规模65,414.75㎡;已共管</w:t>
            </w:r>
          </w:p>
        </w:tc>
      </w:tr>
      <w:tr>
        <w:tblPrEx>
          <w:tblCellMar>
            <w:top w:w="0" w:type="dxa"/>
            <w:left w:w="108" w:type="dxa"/>
            <w:bottom w:w="0" w:type="dxa"/>
            <w:right w:w="108" w:type="dxa"/>
          </w:tblCellMar>
        </w:tblPrEx>
        <w:trPr>
          <w:trHeight w:val="227" w:hRule="atLeast"/>
          <w:jc w:val="center"/>
        </w:trPr>
        <w:tc>
          <w:tcPr>
            <w:tcW w:w="163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p>
        </w:tc>
        <w:tc>
          <w:tcPr>
            <w:tcW w:w="184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hint="eastAsia" w:ascii="Arial" w:hAnsi="Arial" w:cs="Arial"/>
                <w:sz w:val="21"/>
                <w:szCs w:val="21"/>
              </w:rPr>
              <w:t>2021年8月26日</w:t>
            </w:r>
          </w:p>
        </w:tc>
        <w:tc>
          <w:tcPr>
            <w:tcW w:w="2375"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hint="eastAsia" w:ascii="Arial" w:hAnsi="Arial" w:cs="Arial"/>
                <w:sz w:val="21"/>
                <w:szCs w:val="21"/>
              </w:rPr>
              <w:t>编号350100202108260101</w:t>
            </w:r>
          </w:p>
        </w:tc>
        <w:tc>
          <w:tcPr>
            <w:tcW w:w="3036" w:type="dxa"/>
            <w:tcBorders>
              <w:top w:val="nil"/>
              <w:left w:val="nil"/>
              <w:bottom w:val="single" w:color="auto" w:sz="4" w:space="0"/>
              <w:right w:val="single" w:color="auto" w:sz="4" w:space="0"/>
            </w:tcBorders>
            <w:vAlign w:val="center"/>
          </w:tcPr>
          <w:p>
            <w:pPr>
              <w:spacing w:line="260" w:lineRule="exact"/>
              <w:jc w:val="center"/>
              <w:rPr>
                <w:rFonts w:ascii="Arial" w:hAnsi="Arial" w:cs="Arial"/>
                <w:sz w:val="21"/>
                <w:szCs w:val="21"/>
              </w:rPr>
            </w:pPr>
            <w:r>
              <w:rPr>
                <w:rFonts w:hint="eastAsia" w:ascii="Arial" w:hAnsi="Arial" w:cs="Arial"/>
                <w:sz w:val="21"/>
                <w:szCs w:val="21"/>
              </w:rPr>
              <w:t>B1#B2#楼及地下室（B6区盖板）；建筑规模24,418.9㎡；</w:t>
            </w:r>
          </w:p>
          <w:p>
            <w:pPr>
              <w:spacing w:line="260" w:lineRule="exact"/>
              <w:jc w:val="center"/>
              <w:rPr>
                <w:rFonts w:ascii="Arial" w:hAnsi="Arial" w:cs="Arial"/>
                <w:sz w:val="21"/>
                <w:szCs w:val="21"/>
              </w:rPr>
            </w:pPr>
            <w:r>
              <w:rPr>
                <w:rFonts w:hint="eastAsia" w:ascii="Arial" w:hAnsi="Arial" w:cs="Arial"/>
                <w:sz w:val="21"/>
                <w:szCs w:val="21"/>
              </w:rPr>
              <w:t>电子证照</w:t>
            </w:r>
          </w:p>
        </w:tc>
      </w:tr>
      <w:tr>
        <w:tblPrEx>
          <w:tblCellMar>
            <w:top w:w="0" w:type="dxa"/>
            <w:left w:w="108" w:type="dxa"/>
            <w:bottom w:w="0" w:type="dxa"/>
            <w:right w:w="108" w:type="dxa"/>
          </w:tblCellMar>
        </w:tblPrEx>
        <w:trPr>
          <w:trHeight w:val="227" w:hRule="atLeast"/>
          <w:jc w:val="center"/>
        </w:trPr>
        <w:tc>
          <w:tcPr>
            <w:tcW w:w="163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p>
        </w:tc>
        <w:tc>
          <w:tcPr>
            <w:tcW w:w="184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p>
        </w:tc>
        <w:tc>
          <w:tcPr>
            <w:tcW w:w="2375" w:type="dxa"/>
            <w:tcBorders>
              <w:top w:val="nil"/>
              <w:left w:val="nil"/>
              <w:bottom w:val="single" w:color="auto" w:sz="4" w:space="0"/>
              <w:right w:val="single" w:color="auto" w:sz="4" w:space="0"/>
            </w:tcBorders>
            <w:vAlign w:val="center"/>
          </w:tcPr>
          <w:p>
            <w:pPr>
              <w:jc w:val="center"/>
              <w:rPr>
                <w:rFonts w:ascii="Arial" w:hAnsi="Arial" w:cs="Arial"/>
                <w:sz w:val="21"/>
                <w:szCs w:val="21"/>
              </w:rPr>
            </w:pPr>
            <w:r>
              <w:rPr>
                <w:rFonts w:hint="eastAsia" w:ascii="Arial" w:hAnsi="Arial" w:cs="Arial"/>
                <w:sz w:val="21"/>
                <w:szCs w:val="21"/>
              </w:rPr>
              <w:t>编号350100202108260201</w:t>
            </w:r>
          </w:p>
        </w:tc>
        <w:tc>
          <w:tcPr>
            <w:tcW w:w="3036" w:type="dxa"/>
            <w:tcBorders>
              <w:top w:val="nil"/>
              <w:left w:val="nil"/>
              <w:bottom w:val="single" w:color="auto" w:sz="4" w:space="0"/>
              <w:right w:val="single" w:color="auto" w:sz="4" w:space="0"/>
            </w:tcBorders>
            <w:vAlign w:val="center"/>
          </w:tcPr>
          <w:p>
            <w:pPr>
              <w:spacing w:line="260" w:lineRule="exact"/>
              <w:jc w:val="center"/>
              <w:rPr>
                <w:rFonts w:ascii="Arial" w:hAnsi="Arial" w:cs="Arial"/>
                <w:sz w:val="21"/>
                <w:szCs w:val="21"/>
              </w:rPr>
            </w:pPr>
            <w:r>
              <w:rPr>
                <w:rFonts w:hint="eastAsia" w:ascii="Arial" w:hAnsi="Arial" w:cs="Arial"/>
                <w:sz w:val="21"/>
                <w:szCs w:val="21"/>
              </w:rPr>
              <w:t>B3#B5#楼及地下室（B5区盖板）；建筑规模8,129.24㎡；</w:t>
            </w:r>
          </w:p>
          <w:p>
            <w:pPr>
              <w:spacing w:line="260" w:lineRule="exact"/>
              <w:jc w:val="center"/>
              <w:rPr>
                <w:rFonts w:ascii="Arial" w:hAnsi="Arial" w:cs="Arial"/>
                <w:sz w:val="21"/>
                <w:szCs w:val="21"/>
              </w:rPr>
            </w:pPr>
            <w:r>
              <w:rPr>
                <w:rFonts w:hint="eastAsia" w:ascii="Arial" w:hAnsi="Arial" w:cs="Arial"/>
                <w:sz w:val="21"/>
                <w:szCs w:val="21"/>
              </w:rPr>
              <w:t>电子证照</w:t>
            </w:r>
          </w:p>
        </w:tc>
      </w:tr>
      <w:tr>
        <w:tblPrEx>
          <w:tblCellMar>
            <w:top w:w="0" w:type="dxa"/>
            <w:left w:w="108" w:type="dxa"/>
            <w:bottom w:w="0" w:type="dxa"/>
            <w:right w:w="108" w:type="dxa"/>
          </w:tblCellMar>
        </w:tblPrEx>
        <w:trPr>
          <w:trHeight w:val="227" w:hRule="atLeast"/>
          <w:jc w:val="center"/>
        </w:trPr>
        <w:tc>
          <w:tcPr>
            <w:tcW w:w="163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预售许可证</w:t>
            </w: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w:t>
            </w:r>
          </w:p>
        </w:tc>
        <w:tc>
          <w:tcPr>
            <w:tcW w:w="2375" w:type="dxa"/>
            <w:tcBorders>
              <w:top w:val="single" w:color="auto" w:sz="4" w:space="0"/>
              <w:left w:val="nil"/>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w:t>
            </w:r>
          </w:p>
        </w:tc>
        <w:tc>
          <w:tcPr>
            <w:tcW w:w="3036" w:type="dxa"/>
            <w:tcBorders>
              <w:top w:val="single" w:color="auto" w:sz="4" w:space="0"/>
              <w:left w:val="nil"/>
              <w:bottom w:val="single" w:color="auto" w:sz="4" w:space="0"/>
              <w:right w:val="single" w:color="auto" w:sz="4" w:space="0"/>
            </w:tcBorders>
            <w:vAlign w:val="center"/>
          </w:tcPr>
          <w:p>
            <w:pPr>
              <w:jc w:val="center"/>
              <w:rPr>
                <w:rFonts w:ascii="Arial" w:hAnsi="Arial" w:cs="Arial"/>
                <w:sz w:val="21"/>
                <w:szCs w:val="21"/>
              </w:rPr>
            </w:pPr>
            <w:r>
              <w:rPr>
                <w:rFonts w:ascii="Arial" w:hAnsi="Arial" w:cs="Arial"/>
                <w:sz w:val="21"/>
                <w:szCs w:val="21"/>
              </w:rPr>
              <w:t>尚未办理</w:t>
            </w:r>
          </w:p>
        </w:tc>
      </w:tr>
    </w:tbl>
    <w:p>
      <w:pPr>
        <w:ind w:firstLine="360" w:firstLineChars="200"/>
        <w:rPr>
          <w:rFonts w:ascii="Arial" w:hAnsi="Arial" w:cs="Arial"/>
          <w:bCs/>
          <w:sz w:val="18"/>
          <w:szCs w:val="18"/>
        </w:rPr>
      </w:pPr>
      <w:r>
        <w:rPr>
          <w:rFonts w:ascii="Arial" w:hAnsi="Arial" w:cs="Arial"/>
          <w:bCs/>
          <w:sz w:val="18"/>
          <w:szCs w:val="18"/>
        </w:rPr>
        <w:t>说明：</w:t>
      </w:r>
      <w:r>
        <w:rPr>
          <w:rFonts w:hint="eastAsia" w:ascii="Arial" w:hAnsi="Arial" w:cs="Arial"/>
          <w:bCs/>
          <w:sz w:val="18"/>
          <w:szCs w:val="18"/>
        </w:rPr>
        <w:t>1、</w:t>
      </w:r>
      <w:r>
        <w:rPr>
          <w:rFonts w:ascii="Arial" w:hAnsi="Arial" w:cs="Arial"/>
          <w:bCs/>
          <w:sz w:val="18"/>
          <w:szCs w:val="18"/>
        </w:rPr>
        <w:t>以上证书</w:t>
      </w:r>
      <w:r>
        <w:rPr>
          <w:rFonts w:hint="eastAsia" w:ascii="Arial" w:hAnsi="Arial" w:cs="Arial"/>
          <w:bCs/>
          <w:sz w:val="18"/>
          <w:szCs w:val="18"/>
        </w:rPr>
        <w:t>（除电子证照）</w:t>
      </w:r>
      <w:r>
        <w:rPr>
          <w:rFonts w:ascii="Arial" w:hAnsi="Arial" w:cs="Arial"/>
          <w:bCs/>
          <w:sz w:val="18"/>
          <w:szCs w:val="18"/>
        </w:rPr>
        <w:t>存放共管保险柜；</w:t>
      </w:r>
    </w:p>
    <w:p>
      <w:pPr>
        <w:ind w:firstLine="360" w:firstLineChars="200"/>
        <w:rPr>
          <w:rFonts w:ascii="Arial" w:hAnsi="Arial" w:cs="Arial"/>
          <w:bCs/>
          <w:sz w:val="18"/>
          <w:szCs w:val="18"/>
        </w:rPr>
      </w:pPr>
      <w:r>
        <w:rPr>
          <w:rFonts w:ascii="Arial" w:hAnsi="Arial" w:cs="Arial"/>
          <w:bCs/>
          <w:sz w:val="18"/>
          <w:szCs w:val="18"/>
        </w:rPr>
        <w:t>2、B1#B2#楼及地下室（B6区盖板）、B3#B5#楼及地下室（B5区盖板）电子证照核发公告详见：http://fzjw.fuzhou.gov.cn/zz/cxjs/xzsp/sgxkgs/202108/t20210826_4172479.htm</w:t>
      </w:r>
    </w:p>
    <w:p>
      <w:pPr>
        <w:pStyle w:val="3"/>
        <w:rPr>
          <w:rFonts w:cs="Arial"/>
        </w:rPr>
      </w:pPr>
      <w:bookmarkStart w:id="7" w:name="_Toc24667"/>
      <w:bookmarkStart w:id="8" w:name="_Toc69160057"/>
      <w:r>
        <w:rPr>
          <w:rFonts w:cs="Arial"/>
        </w:rPr>
        <w:t>四、项目开发建设情况</w:t>
      </w:r>
      <w:bookmarkEnd w:id="7"/>
      <w:bookmarkEnd w:id="8"/>
    </w:p>
    <w:p>
      <w:pPr>
        <w:jc w:val="center"/>
        <w:rPr>
          <w:rFonts w:ascii="Arial" w:hAnsi="Arial" w:cs="Arial"/>
          <w:b/>
          <w:bCs/>
          <w:sz w:val="21"/>
          <w:szCs w:val="21"/>
        </w:rPr>
      </w:pPr>
      <w:r>
        <w:rPr>
          <w:rFonts w:ascii="Arial" w:hAnsi="Arial" w:cs="Arial"/>
          <w:b/>
          <w:bCs/>
        </w:rPr>
        <w:t>项目施工进度计划</w:t>
      </w:r>
    </w:p>
    <w:p>
      <w:pPr>
        <w:jc w:val="center"/>
        <w:rPr>
          <w:rFonts w:ascii="Arial" w:hAnsi="Arial" w:cs="Arial"/>
          <w:b/>
          <w:bCs/>
          <w:color w:val="000000"/>
          <w:sz w:val="21"/>
          <w:szCs w:val="21"/>
        </w:rPr>
      </w:pPr>
    </w:p>
    <w:tbl>
      <w:tblPr>
        <w:tblStyle w:val="18"/>
        <w:tblW w:w="9525" w:type="dxa"/>
        <w:tblInd w:w="-109" w:type="dxa"/>
        <w:tblLayout w:type="fixed"/>
        <w:tblCellMar>
          <w:top w:w="0" w:type="dxa"/>
          <w:left w:w="108" w:type="dxa"/>
          <w:bottom w:w="0" w:type="dxa"/>
          <w:right w:w="108" w:type="dxa"/>
        </w:tblCellMar>
      </w:tblPr>
      <w:tblGrid>
        <w:gridCol w:w="787"/>
        <w:gridCol w:w="872"/>
        <w:gridCol w:w="1113"/>
        <w:gridCol w:w="1527"/>
        <w:gridCol w:w="1607"/>
        <w:gridCol w:w="1058"/>
        <w:gridCol w:w="1222"/>
        <w:gridCol w:w="1339"/>
      </w:tblGrid>
      <w:tr>
        <w:tblPrEx>
          <w:tblCellMar>
            <w:top w:w="0" w:type="dxa"/>
            <w:left w:w="108" w:type="dxa"/>
            <w:bottom w:w="0" w:type="dxa"/>
            <w:right w:w="108" w:type="dxa"/>
          </w:tblCellMar>
        </w:tblPrEx>
        <w:trPr>
          <w:trHeight w:val="288" w:hRule="atLeast"/>
        </w:trPr>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地块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楼栋号</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业态</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形象进度</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预售考核节点</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预售条件</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是否满足预售条件</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备注</w:t>
            </w:r>
          </w:p>
        </w:tc>
      </w:tr>
      <w:tr>
        <w:tblPrEx>
          <w:tblCellMar>
            <w:top w:w="0" w:type="dxa"/>
            <w:left w:w="108" w:type="dxa"/>
            <w:bottom w:w="0" w:type="dxa"/>
            <w:right w:w="108" w:type="dxa"/>
          </w:tblCellMar>
        </w:tblPrEx>
        <w:trPr>
          <w:trHeight w:val="306" w:hRule="atLeast"/>
        </w:trPr>
        <w:tc>
          <w:tcPr>
            <w:tcW w:w="787"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C</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rPr>
              <w:t>售楼处</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lang w:bidi="ar"/>
              </w:rPr>
              <w:t>示范区</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正式开放</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2021.3.27开发</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r>
      <w:tr>
        <w:tblPrEx>
          <w:tblCellMar>
            <w:top w:w="0" w:type="dxa"/>
            <w:left w:w="108" w:type="dxa"/>
            <w:bottom w:w="0" w:type="dxa"/>
            <w:right w:w="108" w:type="dxa"/>
          </w:tblCellMar>
        </w:tblPrEx>
        <w:trPr>
          <w:trHeight w:val="306" w:hRule="atLeast"/>
        </w:trPr>
        <w:tc>
          <w:tcPr>
            <w:tcW w:w="787" w:type="dxa"/>
            <w:vMerge w:val="continue"/>
            <w:tcBorders>
              <w:left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C1#</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高层住宅</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FF0000"/>
                <w:sz w:val="21"/>
                <w:szCs w:val="21"/>
                <w:lang w:bidi="ar"/>
              </w:rPr>
            </w:pPr>
            <w:r>
              <w:rPr>
                <w:rFonts w:hint="eastAsia" w:ascii="Arial" w:hAnsi="Arial" w:cs="Arial"/>
                <w:sz w:val="21"/>
                <w:szCs w:val="21"/>
                <w:lang w:bidi="ar"/>
              </w:rPr>
              <w:t>15</w:t>
            </w:r>
            <w:r>
              <w:rPr>
                <w:rFonts w:ascii="Arial" w:hAnsi="Arial" w:cs="Arial"/>
                <w:sz w:val="21"/>
                <w:szCs w:val="21"/>
                <w:lang w:bidi="ar"/>
              </w:rPr>
              <w:t>层墙柱钢筋绑扎完成100%</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2021.6.30前</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出±0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满足</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未预售</w:t>
            </w:r>
          </w:p>
        </w:tc>
      </w:tr>
      <w:tr>
        <w:tblPrEx>
          <w:tblCellMar>
            <w:top w:w="0" w:type="dxa"/>
            <w:left w:w="108" w:type="dxa"/>
            <w:bottom w:w="0" w:type="dxa"/>
            <w:right w:w="108" w:type="dxa"/>
          </w:tblCellMar>
        </w:tblPrEx>
        <w:trPr>
          <w:trHeight w:val="306" w:hRule="atLeast"/>
        </w:trPr>
        <w:tc>
          <w:tcPr>
            <w:tcW w:w="787" w:type="dxa"/>
            <w:vMerge w:val="continue"/>
            <w:tcBorders>
              <w:left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C2#</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21"/>
                <w:szCs w:val="21"/>
              </w:rPr>
            </w:pPr>
            <w:r>
              <w:rPr>
                <w:rFonts w:ascii="Arial" w:hAnsi="Arial" w:cs="Arial"/>
                <w:sz w:val="21"/>
                <w:szCs w:val="21"/>
                <w:lang w:bidi="ar"/>
              </w:rPr>
              <w:t>高层住宅</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21"/>
                <w:szCs w:val="21"/>
                <w:lang w:bidi="ar"/>
              </w:rPr>
            </w:pPr>
            <w:r>
              <w:rPr>
                <w:rFonts w:hint="eastAsia" w:ascii="Arial" w:hAnsi="Arial" w:cs="Arial"/>
                <w:sz w:val="21"/>
                <w:szCs w:val="21"/>
                <w:lang w:bidi="ar"/>
              </w:rPr>
              <w:t>15</w:t>
            </w:r>
            <w:r>
              <w:rPr>
                <w:rFonts w:ascii="Arial" w:hAnsi="Arial" w:cs="Arial"/>
                <w:sz w:val="21"/>
                <w:szCs w:val="21"/>
                <w:lang w:bidi="ar"/>
              </w:rPr>
              <w:t>层</w:t>
            </w:r>
            <w:r>
              <w:rPr>
                <w:rFonts w:hint="eastAsia" w:ascii="Arial" w:hAnsi="Arial" w:cs="Arial"/>
                <w:sz w:val="21"/>
                <w:szCs w:val="21"/>
                <w:lang w:bidi="ar"/>
              </w:rPr>
              <w:t>梁板模板安装完成100%</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rPr>
              <w:t>2021.6.30前</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出±0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满足</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未预售</w:t>
            </w:r>
          </w:p>
        </w:tc>
      </w:tr>
      <w:tr>
        <w:tblPrEx>
          <w:tblCellMar>
            <w:top w:w="0" w:type="dxa"/>
            <w:left w:w="108" w:type="dxa"/>
            <w:bottom w:w="0" w:type="dxa"/>
            <w:right w:w="108" w:type="dxa"/>
          </w:tblCellMar>
        </w:tblPrEx>
        <w:trPr>
          <w:trHeight w:val="306" w:hRule="atLeast"/>
        </w:trPr>
        <w:tc>
          <w:tcPr>
            <w:tcW w:w="787" w:type="dxa"/>
            <w:vMerge w:val="continue"/>
            <w:tcBorders>
              <w:left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C3#</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高层住宅</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FF0000"/>
                <w:sz w:val="21"/>
                <w:szCs w:val="21"/>
                <w:lang w:bidi="ar"/>
              </w:rPr>
            </w:pPr>
            <w:r>
              <w:rPr>
                <w:rFonts w:hint="eastAsia" w:ascii="Arial" w:hAnsi="Arial" w:cs="Arial"/>
                <w:sz w:val="21"/>
                <w:szCs w:val="21"/>
                <w:lang w:bidi="ar"/>
              </w:rPr>
              <w:t>塔吊基础砼浇筑完成</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出±0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尚未满足</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r>
      <w:tr>
        <w:tblPrEx>
          <w:tblCellMar>
            <w:top w:w="0" w:type="dxa"/>
            <w:left w:w="108" w:type="dxa"/>
            <w:bottom w:w="0" w:type="dxa"/>
            <w:right w:w="108" w:type="dxa"/>
          </w:tblCellMar>
        </w:tblPrEx>
        <w:trPr>
          <w:trHeight w:val="90" w:hRule="atLeast"/>
        </w:trPr>
        <w:tc>
          <w:tcPr>
            <w:tcW w:w="787" w:type="dxa"/>
            <w:vMerge w:val="continue"/>
            <w:tcBorders>
              <w:left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C5#</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高层住宅</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FF0000"/>
                <w:sz w:val="21"/>
                <w:szCs w:val="21"/>
                <w:lang w:bidi="ar"/>
              </w:rPr>
            </w:pPr>
            <w:r>
              <w:rPr>
                <w:rFonts w:ascii="Arial" w:hAnsi="Arial" w:cs="Arial"/>
                <w:sz w:val="21"/>
                <w:szCs w:val="21"/>
                <w:lang w:bidi="ar"/>
              </w:rPr>
              <w:t>砖胎膜砌筑完成100%；承台钢筋绑扎完成10%</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出±0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尚未满足</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r>
      <w:tr>
        <w:tblPrEx>
          <w:tblCellMar>
            <w:top w:w="0" w:type="dxa"/>
            <w:left w:w="108" w:type="dxa"/>
            <w:bottom w:w="0" w:type="dxa"/>
            <w:right w:w="108" w:type="dxa"/>
          </w:tblCellMar>
        </w:tblPrEx>
        <w:trPr>
          <w:trHeight w:val="306" w:hRule="atLeast"/>
        </w:trPr>
        <w:tc>
          <w:tcPr>
            <w:tcW w:w="787" w:type="dxa"/>
            <w:vMerge w:val="continue"/>
            <w:tcBorders>
              <w:left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C6#</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高层住宅</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FF0000"/>
                <w:sz w:val="21"/>
                <w:szCs w:val="21"/>
                <w:lang w:bidi="ar"/>
              </w:rPr>
            </w:pPr>
            <w:r>
              <w:rPr>
                <w:rFonts w:hint="eastAsia" w:ascii="Arial" w:hAnsi="Arial" w:cs="Arial"/>
                <w:sz w:val="21"/>
                <w:szCs w:val="21"/>
                <w:lang w:bidi="ar"/>
              </w:rPr>
              <w:t>地下室承台底板砼浇筑</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出±0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尚未满足</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21"/>
                <w:szCs w:val="21"/>
              </w:rPr>
            </w:pPr>
          </w:p>
        </w:tc>
      </w:tr>
      <w:tr>
        <w:tblPrEx>
          <w:tblCellMar>
            <w:top w:w="0" w:type="dxa"/>
            <w:left w:w="108" w:type="dxa"/>
            <w:bottom w:w="0" w:type="dxa"/>
            <w:right w:w="108" w:type="dxa"/>
          </w:tblCellMar>
        </w:tblPrEx>
        <w:trPr>
          <w:trHeight w:val="306" w:hRule="atLeast"/>
        </w:trPr>
        <w:tc>
          <w:tcPr>
            <w:tcW w:w="787" w:type="dxa"/>
            <w:vMerge w:val="continue"/>
            <w:tcBorders>
              <w:left w:val="single" w:color="000000" w:sz="4" w:space="0"/>
              <w:bottom w:val="single" w:color="auto" w:sz="4" w:space="0"/>
              <w:right w:val="single" w:color="000000" w:sz="4" w:space="0"/>
            </w:tcBorders>
            <w:shd w:val="clear" w:color="auto" w:fill="auto"/>
            <w:noWrap/>
            <w:vAlign w:val="center"/>
          </w:tcPr>
          <w:p>
            <w:pPr>
              <w:jc w:val="center"/>
              <w:rPr>
                <w:rFonts w:ascii="Arial" w:hAnsi="Arial" w:cs="Arial"/>
                <w:color w:val="000000"/>
                <w:sz w:val="21"/>
                <w:szCs w:val="21"/>
              </w:rPr>
            </w:pPr>
          </w:p>
        </w:tc>
        <w:tc>
          <w:tcPr>
            <w:tcW w:w="87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C7#</w:t>
            </w:r>
          </w:p>
        </w:tc>
        <w:tc>
          <w:tcPr>
            <w:tcW w:w="1113"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高层住宅</w:t>
            </w:r>
          </w:p>
        </w:tc>
        <w:tc>
          <w:tcPr>
            <w:tcW w:w="1527"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textAlignment w:val="center"/>
              <w:rPr>
                <w:rFonts w:ascii="Arial" w:hAnsi="Arial" w:cs="Arial"/>
                <w:color w:val="FF0000"/>
                <w:sz w:val="21"/>
                <w:szCs w:val="21"/>
              </w:rPr>
            </w:pPr>
            <w:r>
              <w:rPr>
                <w:rFonts w:hint="eastAsia" w:ascii="Arial" w:hAnsi="Arial" w:cs="Arial"/>
                <w:sz w:val="21"/>
                <w:szCs w:val="21"/>
                <w:lang w:bidi="ar"/>
              </w:rPr>
              <w:t>地下室墙柱模板安装完成100%</w:t>
            </w:r>
          </w:p>
        </w:tc>
        <w:tc>
          <w:tcPr>
            <w:tcW w:w="1607"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w:t>
            </w:r>
          </w:p>
        </w:tc>
        <w:tc>
          <w:tcPr>
            <w:tcW w:w="10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出±0</w:t>
            </w:r>
          </w:p>
        </w:tc>
        <w:tc>
          <w:tcPr>
            <w:tcW w:w="122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尚未满足</w:t>
            </w:r>
          </w:p>
        </w:tc>
        <w:tc>
          <w:tcPr>
            <w:tcW w:w="1339" w:type="dxa"/>
            <w:tcBorders>
              <w:top w:val="single" w:color="000000" w:sz="4" w:space="0"/>
              <w:left w:val="single" w:color="000000" w:sz="4" w:space="0"/>
              <w:bottom w:val="single" w:color="auto" w:sz="4" w:space="0"/>
              <w:right w:val="single" w:color="000000" w:sz="4" w:space="0"/>
            </w:tcBorders>
            <w:shd w:val="clear" w:color="auto" w:fill="auto"/>
            <w:noWrap/>
            <w:vAlign w:val="bottom"/>
          </w:tcPr>
          <w:p>
            <w:pPr>
              <w:rPr>
                <w:rFonts w:ascii="Arial" w:hAnsi="Arial" w:cs="Arial"/>
                <w:color w:val="000000"/>
                <w:sz w:val="21"/>
                <w:szCs w:val="21"/>
              </w:rPr>
            </w:pPr>
          </w:p>
        </w:tc>
      </w:tr>
      <w:tr>
        <w:tblPrEx>
          <w:tblCellMar>
            <w:top w:w="0" w:type="dxa"/>
            <w:left w:w="108" w:type="dxa"/>
            <w:bottom w:w="0" w:type="dxa"/>
            <w:right w:w="108" w:type="dxa"/>
          </w:tblCellMar>
        </w:tblPrEx>
        <w:trPr>
          <w:trHeight w:val="306" w:hRule="atLeast"/>
        </w:trPr>
        <w:tc>
          <w:tcPr>
            <w:tcW w:w="78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hint="eastAsia" w:ascii="Arial" w:hAnsi="Arial" w:cs="Arial"/>
                <w:color w:val="000000"/>
                <w:sz w:val="21"/>
                <w:szCs w:val="21"/>
                <w:lang w:bidi="ar"/>
              </w:rPr>
              <w:t>B</w:t>
            </w:r>
          </w:p>
        </w:tc>
        <w:tc>
          <w:tcPr>
            <w:tcW w:w="87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B1#</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高层住宅</w:t>
            </w:r>
          </w:p>
        </w:tc>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21"/>
                <w:szCs w:val="21"/>
                <w:lang w:bidi="ar"/>
              </w:rPr>
            </w:pPr>
            <w:r>
              <w:rPr>
                <w:rFonts w:hint="eastAsia" w:ascii="Arial" w:hAnsi="Arial" w:cs="Arial"/>
                <w:sz w:val="21"/>
                <w:szCs w:val="21"/>
                <w:lang w:bidi="ar"/>
              </w:rPr>
              <w:t>塔吊基础模板安装钢筋绑完成</w:t>
            </w:r>
          </w:p>
        </w:tc>
        <w:tc>
          <w:tcPr>
            <w:tcW w:w="160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w:t>
            </w:r>
          </w:p>
        </w:tc>
        <w:tc>
          <w:tcPr>
            <w:tcW w:w="105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出±0</w:t>
            </w:r>
          </w:p>
        </w:tc>
        <w:tc>
          <w:tcPr>
            <w:tcW w:w="12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尚未满足</w:t>
            </w:r>
          </w:p>
        </w:tc>
        <w:tc>
          <w:tcPr>
            <w:tcW w:w="1339"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Arial" w:hAnsi="Arial" w:cs="Arial"/>
                <w:color w:val="000000"/>
                <w:sz w:val="21"/>
                <w:szCs w:val="21"/>
              </w:rPr>
            </w:pPr>
          </w:p>
        </w:tc>
      </w:tr>
      <w:tr>
        <w:tblPrEx>
          <w:tblCellMar>
            <w:top w:w="0" w:type="dxa"/>
            <w:left w:w="108" w:type="dxa"/>
            <w:bottom w:w="0" w:type="dxa"/>
            <w:right w:w="108" w:type="dxa"/>
          </w:tblCellMar>
        </w:tblPrEx>
        <w:trPr>
          <w:trHeight w:val="306" w:hRule="atLeast"/>
        </w:trPr>
        <w:tc>
          <w:tcPr>
            <w:tcW w:w="78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p>
        </w:tc>
        <w:tc>
          <w:tcPr>
            <w:tcW w:w="87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B2#</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高层住宅</w:t>
            </w:r>
          </w:p>
        </w:tc>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21"/>
                <w:szCs w:val="21"/>
                <w:lang w:bidi="ar"/>
              </w:rPr>
            </w:pPr>
            <w:r>
              <w:rPr>
                <w:rFonts w:hint="eastAsia" w:ascii="Arial" w:hAnsi="Arial" w:cs="Arial"/>
                <w:sz w:val="21"/>
                <w:szCs w:val="21"/>
                <w:lang w:bidi="ar"/>
              </w:rPr>
              <w:t>钢栈桥施工</w:t>
            </w:r>
          </w:p>
        </w:tc>
        <w:tc>
          <w:tcPr>
            <w:tcW w:w="160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w:t>
            </w:r>
          </w:p>
        </w:tc>
        <w:tc>
          <w:tcPr>
            <w:tcW w:w="105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出±0</w:t>
            </w:r>
          </w:p>
        </w:tc>
        <w:tc>
          <w:tcPr>
            <w:tcW w:w="12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尚未满足</w:t>
            </w:r>
          </w:p>
        </w:tc>
        <w:tc>
          <w:tcPr>
            <w:tcW w:w="1339"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Arial" w:hAnsi="Arial" w:cs="Arial"/>
                <w:color w:val="000000"/>
                <w:sz w:val="21"/>
                <w:szCs w:val="21"/>
              </w:rPr>
            </w:pPr>
          </w:p>
        </w:tc>
      </w:tr>
    </w:tbl>
    <w:p>
      <w:pPr>
        <w:ind w:firstLine="420" w:firstLineChars="200"/>
        <w:rPr>
          <w:rFonts w:ascii="Arial" w:hAnsi="Arial" w:cs="Arial"/>
          <w:bCs/>
          <w:sz w:val="21"/>
          <w:szCs w:val="21"/>
        </w:rPr>
      </w:pPr>
    </w:p>
    <w:p>
      <w:pPr>
        <w:pStyle w:val="3"/>
        <w:rPr>
          <w:rFonts w:cs="Arial"/>
        </w:rPr>
      </w:pPr>
      <w:bookmarkStart w:id="9" w:name="_Toc69160058"/>
      <w:bookmarkStart w:id="10" w:name="_Toc31147"/>
      <w:r>
        <w:rPr>
          <w:rFonts w:cs="Arial"/>
        </w:rPr>
        <w:t>五、项目合同及成本执行情况</w:t>
      </w:r>
      <w:bookmarkEnd w:id="9"/>
      <w:bookmarkEnd w:id="10"/>
    </w:p>
    <w:p>
      <w:pPr>
        <w:spacing w:line="360" w:lineRule="auto"/>
        <w:ind w:firstLine="480" w:firstLineChars="200"/>
        <w:rPr>
          <w:rFonts w:ascii="Arial" w:hAnsi="Arial" w:cs="Arial"/>
          <w:b/>
          <w:bCs/>
          <w:sz w:val="21"/>
          <w:szCs w:val="21"/>
        </w:rPr>
      </w:pPr>
      <w:r>
        <w:rPr>
          <w:rFonts w:ascii="Arial" w:hAnsi="Arial" w:cs="Arial"/>
        </w:rPr>
        <w:t>截至2021年</w:t>
      </w:r>
      <w:r>
        <w:rPr>
          <w:rFonts w:hint="eastAsia" w:ascii="Arial" w:hAnsi="Arial" w:cs="Arial"/>
        </w:rPr>
        <w:t>9</w:t>
      </w:r>
      <w:r>
        <w:rPr>
          <w:rFonts w:ascii="Arial" w:hAnsi="Arial" w:cs="Arial"/>
        </w:rPr>
        <w:t>月3</w:t>
      </w:r>
      <w:r>
        <w:rPr>
          <w:rFonts w:hint="eastAsia" w:ascii="Arial" w:hAnsi="Arial" w:cs="Arial"/>
        </w:rPr>
        <w:t>0</w:t>
      </w:r>
      <w:r>
        <w:rPr>
          <w:rFonts w:ascii="Arial" w:hAnsi="Arial" w:cs="Arial"/>
        </w:rPr>
        <w:t>日，项目公司已签订合同</w:t>
      </w:r>
      <w:r>
        <w:rPr>
          <w:rFonts w:hint="eastAsia" w:ascii="Arial" w:hAnsi="Arial" w:cs="Arial"/>
        </w:rPr>
        <w:t>193</w:t>
      </w:r>
      <w:r>
        <w:rPr>
          <w:rFonts w:ascii="Arial" w:hAnsi="Arial" w:cs="Arial"/>
        </w:rPr>
        <w:t>份，合同金额共计</w:t>
      </w:r>
      <w:r>
        <w:rPr>
          <w:rFonts w:hint="eastAsia" w:ascii="Arial" w:hAnsi="Arial" w:cs="Arial"/>
        </w:rPr>
        <w:t>3,449,038,455.22</w:t>
      </w:r>
      <w:r>
        <w:rPr>
          <w:rFonts w:ascii="Arial" w:hAnsi="Arial" w:cs="Arial"/>
        </w:rPr>
        <w:t>元，占目标成本的</w:t>
      </w:r>
      <w:r>
        <w:rPr>
          <w:rFonts w:hint="eastAsia" w:ascii="Arial" w:hAnsi="Arial" w:cs="Arial"/>
        </w:rPr>
        <w:t>51.41</w:t>
      </w:r>
      <w:r>
        <w:rPr>
          <w:rFonts w:ascii="Arial" w:hAnsi="Arial" w:cs="Arial"/>
        </w:rPr>
        <w:t>%；依据合同支付</w:t>
      </w:r>
      <w:r>
        <w:rPr>
          <w:rFonts w:hint="eastAsia" w:ascii="Arial" w:hAnsi="Arial" w:cs="Arial"/>
        </w:rPr>
        <w:t>3,035,945,083.5</w:t>
      </w:r>
      <w:r>
        <w:rPr>
          <w:rFonts w:ascii="Arial" w:hAnsi="Arial" w:cs="Arial"/>
        </w:rPr>
        <w:t>元，待支付合同金额</w:t>
      </w:r>
      <w:r>
        <w:rPr>
          <w:rFonts w:hint="eastAsia" w:ascii="Arial" w:hAnsi="Arial" w:cs="Arial"/>
        </w:rPr>
        <w:t>413,093,371.72</w:t>
      </w:r>
      <w:r>
        <w:rPr>
          <w:rFonts w:ascii="Arial" w:hAnsi="Arial" w:cs="Arial"/>
        </w:rPr>
        <w:t>元</w:t>
      </w:r>
      <w:r>
        <w:rPr>
          <w:rFonts w:hint="eastAsia" w:ascii="Arial" w:hAnsi="Arial" w:cs="Arial"/>
        </w:rPr>
        <w:t>。</w:t>
      </w:r>
      <w:r>
        <w:rPr>
          <w:rFonts w:ascii="Arial" w:hAnsi="Arial" w:cs="Arial"/>
        </w:rPr>
        <w:t>项目发生无合同开发成本</w:t>
      </w:r>
      <w:r>
        <w:rPr>
          <w:rFonts w:hint="eastAsia" w:ascii="Arial" w:hAnsi="Arial" w:cs="Arial"/>
        </w:rPr>
        <w:t>88,942,498.74</w:t>
      </w:r>
      <w:r>
        <w:rPr>
          <w:rFonts w:ascii="Arial" w:hAnsi="Arial" w:cs="Arial"/>
        </w:rPr>
        <w:t>元，三项费用（含无合同）</w:t>
      </w:r>
      <w:r>
        <w:rPr>
          <w:rFonts w:hint="eastAsia" w:ascii="Arial" w:hAnsi="Arial" w:cs="Arial"/>
        </w:rPr>
        <w:t>2,621,678.89</w:t>
      </w:r>
      <w:r>
        <w:rPr>
          <w:rFonts w:ascii="Arial" w:hAnsi="Arial" w:cs="Arial"/>
        </w:rPr>
        <w:t>元，税费</w:t>
      </w:r>
      <w:r>
        <w:rPr>
          <w:rFonts w:hint="eastAsia" w:ascii="Arial" w:hAnsi="Arial" w:cs="Arial"/>
        </w:rPr>
        <w:t>1,519,854.12</w:t>
      </w:r>
      <w:r>
        <w:rPr>
          <w:rFonts w:ascii="Arial" w:hAnsi="Arial" w:cs="Arial"/>
        </w:rPr>
        <w:t>元。合同支付情况详见下表：</w:t>
      </w:r>
    </w:p>
    <w:p>
      <w:pPr>
        <w:spacing w:before="326" w:beforeLines="100" w:line="240" w:lineRule="exact"/>
        <w:jc w:val="center"/>
        <w:rPr>
          <w:rFonts w:ascii="Arial" w:hAnsi="Arial" w:cs="Arial"/>
          <w:bCs/>
          <w:sz w:val="21"/>
          <w:szCs w:val="21"/>
        </w:rPr>
      </w:pPr>
      <w:r>
        <w:rPr>
          <w:rFonts w:ascii="Arial" w:hAnsi="Arial" w:cs="Arial"/>
          <w:b/>
          <w:bCs/>
          <w:sz w:val="21"/>
          <w:szCs w:val="21"/>
        </w:rPr>
        <w:t>项目成本执行情况</w:t>
      </w:r>
    </w:p>
    <w:tbl>
      <w:tblPr>
        <w:tblStyle w:val="18"/>
        <w:tblW w:w="10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37"/>
        <w:gridCol w:w="768"/>
        <w:gridCol w:w="1968"/>
        <w:gridCol w:w="1876"/>
        <w:gridCol w:w="1944"/>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418" w:type="dxa"/>
            <w:shd w:val="clear" w:color="auto" w:fill="auto"/>
            <w:vAlign w:val="center"/>
          </w:tcPr>
          <w:p>
            <w:pPr>
              <w:jc w:val="center"/>
              <w:rPr>
                <w:rFonts w:ascii="Arial" w:hAnsi="Arial" w:cs="Arial"/>
                <w:b/>
                <w:bCs/>
                <w:sz w:val="21"/>
                <w:szCs w:val="21"/>
              </w:rPr>
            </w:pPr>
            <w:r>
              <w:rPr>
                <w:rFonts w:ascii="Arial" w:hAnsi="Arial" w:cs="Arial"/>
                <w:b/>
                <w:bCs/>
                <w:sz w:val="21"/>
                <w:szCs w:val="21"/>
              </w:rPr>
              <w:t>序号</w:t>
            </w:r>
          </w:p>
        </w:tc>
        <w:tc>
          <w:tcPr>
            <w:tcW w:w="1537" w:type="dxa"/>
            <w:shd w:val="clear" w:color="auto" w:fill="auto"/>
            <w:vAlign w:val="center"/>
          </w:tcPr>
          <w:p>
            <w:pPr>
              <w:jc w:val="center"/>
              <w:rPr>
                <w:rFonts w:ascii="Arial" w:hAnsi="Arial" w:cs="Arial"/>
                <w:b/>
                <w:bCs/>
                <w:sz w:val="21"/>
                <w:szCs w:val="21"/>
              </w:rPr>
            </w:pPr>
            <w:r>
              <w:rPr>
                <w:rFonts w:ascii="Arial" w:hAnsi="Arial" w:cs="Arial"/>
                <w:b/>
                <w:bCs/>
                <w:sz w:val="21"/>
                <w:szCs w:val="21"/>
              </w:rPr>
              <w:t>类别</w:t>
            </w:r>
          </w:p>
        </w:tc>
        <w:tc>
          <w:tcPr>
            <w:tcW w:w="768" w:type="dxa"/>
            <w:vAlign w:val="center"/>
          </w:tcPr>
          <w:p>
            <w:pPr>
              <w:jc w:val="center"/>
              <w:rPr>
                <w:rFonts w:ascii="Arial" w:hAnsi="Arial" w:cs="Arial"/>
                <w:b/>
                <w:bCs/>
                <w:sz w:val="21"/>
                <w:szCs w:val="21"/>
              </w:rPr>
            </w:pPr>
            <w:r>
              <w:rPr>
                <w:rFonts w:ascii="Arial" w:hAnsi="Arial" w:cs="Arial"/>
                <w:b/>
                <w:bCs/>
                <w:sz w:val="21"/>
                <w:szCs w:val="21"/>
              </w:rPr>
              <w:t>合同份数</w:t>
            </w:r>
          </w:p>
        </w:tc>
        <w:tc>
          <w:tcPr>
            <w:tcW w:w="1968" w:type="dxa"/>
            <w:shd w:val="clear" w:color="auto" w:fill="auto"/>
            <w:vAlign w:val="center"/>
          </w:tcPr>
          <w:p>
            <w:pPr>
              <w:jc w:val="center"/>
              <w:rPr>
                <w:rFonts w:ascii="Arial" w:hAnsi="Arial" w:cs="Arial"/>
                <w:b/>
                <w:bCs/>
                <w:sz w:val="21"/>
                <w:szCs w:val="21"/>
              </w:rPr>
            </w:pPr>
            <w:r>
              <w:rPr>
                <w:rFonts w:ascii="Arial" w:hAnsi="Arial" w:cs="Arial"/>
                <w:b/>
                <w:bCs/>
                <w:sz w:val="21"/>
                <w:szCs w:val="21"/>
              </w:rPr>
              <w:t>目标成本（元）</w:t>
            </w:r>
          </w:p>
        </w:tc>
        <w:tc>
          <w:tcPr>
            <w:tcW w:w="1876" w:type="dxa"/>
            <w:shd w:val="clear" w:color="auto" w:fill="auto"/>
            <w:vAlign w:val="center"/>
          </w:tcPr>
          <w:p>
            <w:pPr>
              <w:jc w:val="center"/>
              <w:rPr>
                <w:rFonts w:ascii="Arial" w:hAnsi="Arial" w:cs="Arial"/>
                <w:b/>
                <w:bCs/>
                <w:sz w:val="21"/>
                <w:szCs w:val="21"/>
              </w:rPr>
            </w:pPr>
            <w:r>
              <w:rPr>
                <w:rFonts w:ascii="Arial" w:hAnsi="Arial" w:cs="Arial"/>
                <w:b/>
                <w:bCs/>
                <w:sz w:val="21"/>
                <w:szCs w:val="21"/>
              </w:rPr>
              <w:t>合同金额（含已发生的无合同成本）（元）</w:t>
            </w:r>
          </w:p>
        </w:tc>
        <w:tc>
          <w:tcPr>
            <w:tcW w:w="1944" w:type="dxa"/>
            <w:shd w:val="clear" w:color="auto" w:fill="auto"/>
            <w:vAlign w:val="center"/>
          </w:tcPr>
          <w:p>
            <w:pPr>
              <w:jc w:val="center"/>
              <w:rPr>
                <w:rFonts w:ascii="Arial" w:hAnsi="Arial" w:cs="Arial"/>
                <w:b/>
                <w:bCs/>
                <w:sz w:val="21"/>
                <w:szCs w:val="21"/>
              </w:rPr>
            </w:pPr>
            <w:r>
              <w:rPr>
                <w:rFonts w:ascii="Arial" w:hAnsi="Arial" w:cs="Arial"/>
                <w:b/>
                <w:bCs/>
                <w:sz w:val="21"/>
                <w:szCs w:val="21"/>
              </w:rPr>
              <w:t>累计支付（含无合同已支付的成本费用）（元）</w:t>
            </w:r>
          </w:p>
        </w:tc>
        <w:tc>
          <w:tcPr>
            <w:tcW w:w="1808" w:type="dxa"/>
            <w:vAlign w:val="center"/>
          </w:tcPr>
          <w:p>
            <w:pPr>
              <w:jc w:val="center"/>
              <w:rPr>
                <w:rFonts w:ascii="Arial" w:hAnsi="Arial" w:cs="Arial"/>
                <w:b/>
                <w:bCs/>
                <w:sz w:val="21"/>
                <w:szCs w:val="21"/>
              </w:rPr>
            </w:pPr>
            <w:r>
              <w:rPr>
                <w:rFonts w:ascii="Arial" w:hAnsi="Arial" w:cs="Arial"/>
                <w:b/>
                <w:bCs/>
                <w:sz w:val="21"/>
                <w:szCs w:val="21"/>
              </w:rPr>
              <w:t>累计支付占目标成本的比例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r>
              <w:rPr>
                <w:rFonts w:ascii="Arial" w:hAnsi="Arial" w:cs="Arial"/>
                <w:sz w:val="21"/>
                <w:szCs w:val="21"/>
              </w:rPr>
              <w:t>1</w:t>
            </w:r>
          </w:p>
        </w:tc>
        <w:tc>
          <w:tcPr>
            <w:tcW w:w="1537" w:type="dxa"/>
            <w:shd w:val="clear" w:color="auto" w:fill="auto"/>
            <w:vAlign w:val="center"/>
          </w:tcPr>
          <w:p>
            <w:pPr>
              <w:jc w:val="center"/>
              <w:rPr>
                <w:rFonts w:ascii="Arial" w:hAnsi="Arial" w:cs="Arial"/>
                <w:sz w:val="21"/>
                <w:szCs w:val="21"/>
              </w:rPr>
            </w:pPr>
            <w:r>
              <w:rPr>
                <w:rFonts w:ascii="Arial" w:hAnsi="Arial" w:cs="Arial"/>
                <w:sz w:val="21"/>
                <w:szCs w:val="21"/>
              </w:rPr>
              <w:t>土地合同</w:t>
            </w:r>
          </w:p>
        </w:tc>
        <w:tc>
          <w:tcPr>
            <w:tcW w:w="768" w:type="dxa"/>
            <w:vAlign w:val="center"/>
          </w:tcPr>
          <w:p>
            <w:pPr>
              <w:jc w:val="center"/>
              <w:textAlignment w:val="center"/>
              <w:rPr>
                <w:rFonts w:ascii="Arial" w:hAnsi="Arial" w:cs="Arial"/>
                <w:sz w:val="21"/>
                <w:szCs w:val="21"/>
              </w:rPr>
            </w:pPr>
            <w:r>
              <w:rPr>
                <w:rFonts w:ascii="Arial" w:hAnsi="Arial" w:cs="Arial"/>
                <w:sz w:val="21"/>
                <w:szCs w:val="21"/>
                <w:lang w:bidi="ar"/>
              </w:rPr>
              <w:t>1</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876"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94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808" w:type="dxa"/>
            <w:vAlign w:val="center"/>
          </w:tcPr>
          <w:p>
            <w:pPr>
              <w:jc w:val="right"/>
              <w:textAlignment w:val="center"/>
              <w:rPr>
                <w:rFonts w:ascii="Arial" w:hAnsi="Arial" w:cs="Arial"/>
                <w:b/>
                <w:bCs/>
                <w:sz w:val="21"/>
                <w:szCs w:val="21"/>
              </w:rPr>
            </w:pPr>
            <w:r>
              <w:rPr>
                <w:rFonts w:ascii="Arial" w:hAnsi="Arial" w:cs="Arial"/>
                <w:sz w:val="21"/>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r>
              <w:rPr>
                <w:rFonts w:ascii="Arial" w:hAnsi="Arial" w:cs="Arial"/>
                <w:sz w:val="21"/>
                <w:szCs w:val="21"/>
              </w:rPr>
              <w:t>2</w:t>
            </w:r>
          </w:p>
        </w:tc>
        <w:tc>
          <w:tcPr>
            <w:tcW w:w="1537" w:type="dxa"/>
            <w:shd w:val="clear" w:color="auto" w:fill="auto"/>
            <w:vAlign w:val="center"/>
          </w:tcPr>
          <w:p>
            <w:pPr>
              <w:jc w:val="center"/>
              <w:rPr>
                <w:rFonts w:ascii="Arial" w:hAnsi="Arial" w:cs="Arial"/>
                <w:sz w:val="21"/>
                <w:szCs w:val="21"/>
              </w:rPr>
            </w:pPr>
            <w:r>
              <w:rPr>
                <w:rFonts w:ascii="Arial" w:hAnsi="Arial" w:cs="Arial"/>
                <w:sz w:val="21"/>
                <w:szCs w:val="21"/>
              </w:rPr>
              <w:t>前期类</w:t>
            </w:r>
          </w:p>
        </w:tc>
        <w:tc>
          <w:tcPr>
            <w:tcW w:w="768" w:type="dxa"/>
            <w:vAlign w:val="center"/>
          </w:tcPr>
          <w:p>
            <w:pPr>
              <w:jc w:val="center"/>
              <w:textAlignment w:val="center"/>
              <w:rPr>
                <w:rFonts w:ascii="Arial" w:hAnsi="Arial" w:cs="Arial"/>
                <w:sz w:val="21"/>
                <w:szCs w:val="21"/>
              </w:rPr>
            </w:pPr>
            <w:r>
              <w:rPr>
                <w:rFonts w:ascii="Arial" w:hAnsi="Arial" w:cs="Arial"/>
                <w:sz w:val="21"/>
                <w:szCs w:val="21"/>
                <w:lang w:bidi="ar"/>
              </w:rPr>
              <w:t>31</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63,580,000.00 </w:t>
            </w:r>
          </w:p>
        </w:tc>
        <w:tc>
          <w:tcPr>
            <w:tcW w:w="1876"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24,056,976.20 </w:t>
            </w:r>
          </w:p>
        </w:tc>
        <w:tc>
          <w:tcPr>
            <w:tcW w:w="194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9,823,557.63 </w:t>
            </w:r>
          </w:p>
        </w:tc>
        <w:tc>
          <w:tcPr>
            <w:tcW w:w="1808" w:type="dxa"/>
            <w:vAlign w:val="center"/>
          </w:tcPr>
          <w:p>
            <w:pPr>
              <w:jc w:val="right"/>
              <w:textAlignment w:val="center"/>
              <w:rPr>
                <w:rFonts w:ascii="Arial" w:hAnsi="Arial" w:cs="Arial"/>
                <w:sz w:val="21"/>
                <w:szCs w:val="21"/>
                <w:lang w:bidi="ar"/>
              </w:rPr>
            </w:pPr>
            <w:r>
              <w:rPr>
                <w:rFonts w:ascii="Arial" w:hAnsi="Arial" w:cs="Arial"/>
                <w:sz w:val="21"/>
                <w:szCs w:val="21"/>
                <w:lang w:bidi="ar"/>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r>
              <w:rPr>
                <w:rFonts w:ascii="Arial" w:hAnsi="Arial" w:cs="Arial"/>
                <w:sz w:val="21"/>
                <w:szCs w:val="21"/>
              </w:rPr>
              <w:t>3</w:t>
            </w:r>
          </w:p>
        </w:tc>
        <w:tc>
          <w:tcPr>
            <w:tcW w:w="1537" w:type="dxa"/>
            <w:shd w:val="clear" w:color="auto" w:fill="auto"/>
            <w:vAlign w:val="center"/>
          </w:tcPr>
          <w:p>
            <w:pPr>
              <w:jc w:val="center"/>
              <w:rPr>
                <w:rFonts w:ascii="Arial" w:hAnsi="Arial" w:cs="Arial"/>
                <w:sz w:val="21"/>
                <w:szCs w:val="21"/>
              </w:rPr>
            </w:pPr>
            <w:r>
              <w:rPr>
                <w:rFonts w:ascii="Arial" w:hAnsi="Arial" w:cs="Arial"/>
                <w:sz w:val="21"/>
                <w:szCs w:val="21"/>
              </w:rPr>
              <w:t>工程设计类</w:t>
            </w:r>
          </w:p>
        </w:tc>
        <w:tc>
          <w:tcPr>
            <w:tcW w:w="768" w:type="dxa"/>
            <w:vAlign w:val="center"/>
          </w:tcPr>
          <w:p>
            <w:pPr>
              <w:jc w:val="center"/>
              <w:textAlignment w:val="center"/>
              <w:rPr>
                <w:rFonts w:ascii="Arial" w:hAnsi="Arial" w:cs="Arial"/>
                <w:sz w:val="21"/>
                <w:szCs w:val="21"/>
              </w:rPr>
            </w:pPr>
            <w:r>
              <w:rPr>
                <w:rFonts w:ascii="Arial" w:hAnsi="Arial" w:cs="Arial"/>
                <w:sz w:val="21"/>
                <w:szCs w:val="21"/>
                <w:lang w:bidi="ar"/>
              </w:rPr>
              <w:t>39</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1,825,890,000.00 </w:t>
            </w:r>
          </w:p>
        </w:tc>
        <w:tc>
          <w:tcPr>
            <w:tcW w:w="1876"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440,334,056.43 </w:t>
            </w:r>
          </w:p>
        </w:tc>
        <w:tc>
          <w:tcPr>
            <w:tcW w:w="194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56,428,549.43 </w:t>
            </w:r>
          </w:p>
        </w:tc>
        <w:tc>
          <w:tcPr>
            <w:tcW w:w="1808" w:type="dxa"/>
            <w:vAlign w:val="center"/>
          </w:tcPr>
          <w:p>
            <w:pPr>
              <w:jc w:val="right"/>
              <w:textAlignment w:val="center"/>
              <w:rPr>
                <w:rFonts w:ascii="Arial" w:hAnsi="Arial" w:cs="Arial"/>
                <w:sz w:val="21"/>
                <w:szCs w:val="21"/>
                <w:lang w:bidi="ar"/>
              </w:rPr>
            </w:pPr>
            <w:r>
              <w:rPr>
                <w:rFonts w:ascii="Arial" w:hAnsi="Arial" w:cs="Arial"/>
                <w:sz w:val="21"/>
                <w:szCs w:val="21"/>
                <w:lang w:bidi="ar"/>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p>
        </w:tc>
        <w:tc>
          <w:tcPr>
            <w:tcW w:w="1537" w:type="dxa"/>
            <w:shd w:val="clear" w:color="auto" w:fill="auto"/>
            <w:vAlign w:val="center"/>
          </w:tcPr>
          <w:p>
            <w:pPr>
              <w:jc w:val="center"/>
              <w:textAlignment w:val="center"/>
              <w:rPr>
                <w:rFonts w:ascii="Arial" w:hAnsi="Arial" w:cs="Arial"/>
                <w:sz w:val="21"/>
                <w:szCs w:val="21"/>
              </w:rPr>
            </w:pPr>
            <w:r>
              <w:rPr>
                <w:rFonts w:ascii="Arial" w:hAnsi="Arial" w:cs="Arial"/>
                <w:b/>
                <w:bCs/>
                <w:sz w:val="21"/>
                <w:szCs w:val="21"/>
                <w:lang w:bidi="ar"/>
              </w:rPr>
              <w:t>开发成本小计</w:t>
            </w:r>
          </w:p>
        </w:tc>
        <w:tc>
          <w:tcPr>
            <w:tcW w:w="768" w:type="dxa"/>
            <w:vAlign w:val="center"/>
          </w:tcPr>
          <w:p>
            <w:pPr>
              <w:jc w:val="center"/>
              <w:textAlignment w:val="center"/>
              <w:rPr>
                <w:rFonts w:ascii="Arial" w:hAnsi="Arial" w:cs="Arial"/>
                <w:sz w:val="21"/>
                <w:szCs w:val="21"/>
              </w:rPr>
            </w:pPr>
            <w:r>
              <w:rPr>
                <w:rFonts w:ascii="Arial" w:hAnsi="Arial" w:cs="Arial"/>
                <w:b/>
                <w:bCs/>
                <w:sz w:val="21"/>
                <w:szCs w:val="21"/>
                <w:lang w:bidi="ar"/>
              </w:rPr>
              <w:t>71</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b/>
                <w:bCs/>
                <w:sz w:val="21"/>
                <w:szCs w:val="21"/>
                <w:lang w:bidi="ar"/>
              </w:rPr>
              <w:t xml:space="preserve">4,937,240,000.00 </w:t>
            </w:r>
          </w:p>
        </w:tc>
        <w:tc>
          <w:tcPr>
            <w:tcW w:w="1876" w:type="dxa"/>
            <w:shd w:val="clear" w:color="auto" w:fill="auto"/>
            <w:vAlign w:val="center"/>
          </w:tcPr>
          <w:p>
            <w:pPr>
              <w:jc w:val="right"/>
              <w:textAlignment w:val="center"/>
              <w:rPr>
                <w:rFonts w:ascii="Arial" w:hAnsi="Arial" w:cs="Arial"/>
                <w:sz w:val="21"/>
                <w:szCs w:val="21"/>
              </w:rPr>
            </w:pPr>
            <w:r>
              <w:rPr>
                <w:rFonts w:ascii="Arial" w:hAnsi="Arial" w:cs="Arial"/>
                <w:b/>
                <w:bCs/>
                <w:sz w:val="21"/>
                <w:szCs w:val="21"/>
                <w:lang w:bidi="ar"/>
              </w:rPr>
              <w:t xml:space="preserve">3,512,161,032.63 </w:t>
            </w:r>
          </w:p>
        </w:tc>
        <w:tc>
          <w:tcPr>
            <w:tcW w:w="1944" w:type="dxa"/>
            <w:shd w:val="clear" w:color="auto" w:fill="auto"/>
            <w:vAlign w:val="center"/>
          </w:tcPr>
          <w:p>
            <w:pPr>
              <w:jc w:val="right"/>
              <w:textAlignment w:val="center"/>
              <w:rPr>
                <w:rFonts w:ascii="Arial" w:hAnsi="Arial" w:cs="Arial"/>
                <w:sz w:val="21"/>
                <w:szCs w:val="21"/>
              </w:rPr>
            </w:pPr>
            <w:r>
              <w:rPr>
                <w:rFonts w:ascii="Arial" w:hAnsi="Arial" w:cs="Arial"/>
                <w:b/>
                <w:bCs/>
                <w:sz w:val="21"/>
                <w:szCs w:val="21"/>
                <w:lang w:bidi="ar"/>
              </w:rPr>
              <w:t xml:space="preserve">3,114,022,107.06 </w:t>
            </w:r>
          </w:p>
        </w:tc>
        <w:tc>
          <w:tcPr>
            <w:tcW w:w="1808" w:type="dxa"/>
            <w:vAlign w:val="center"/>
          </w:tcPr>
          <w:p>
            <w:pPr>
              <w:jc w:val="right"/>
              <w:textAlignment w:val="center"/>
              <w:rPr>
                <w:rFonts w:ascii="Arial" w:hAnsi="Arial" w:cs="Arial"/>
                <w:sz w:val="21"/>
                <w:szCs w:val="21"/>
                <w:lang w:bidi="ar"/>
              </w:rPr>
            </w:pPr>
            <w:r>
              <w:rPr>
                <w:rFonts w:ascii="Arial" w:hAnsi="Arial" w:cs="Arial"/>
                <w:sz w:val="21"/>
                <w:szCs w:val="21"/>
                <w:lang w:bidi="ar"/>
              </w:rPr>
              <w:t>63.07%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r>
              <w:rPr>
                <w:rFonts w:ascii="Arial" w:hAnsi="Arial" w:cs="Arial"/>
                <w:sz w:val="21"/>
                <w:szCs w:val="21"/>
              </w:rPr>
              <w:t>4</w:t>
            </w:r>
          </w:p>
        </w:tc>
        <w:tc>
          <w:tcPr>
            <w:tcW w:w="1537" w:type="dxa"/>
            <w:shd w:val="clear" w:color="auto" w:fill="auto"/>
            <w:vAlign w:val="center"/>
          </w:tcPr>
          <w:p>
            <w:pPr>
              <w:jc w:val="center"/>
              <w:rPr>
                <w:rFonts w:ascii="Arial" w:hAnsi="Arial" w:cs="Arial"/>
                <w:sz w:val="21"/>
                <w:szCs w:val="21"/>
              </w:rPr>
            </w:pPr>
            <w:r>
              <w:rPr>
                <w:rFonts w:ascii="Arial" w:hAnsi="Arial" w:cs="Arial"/>
                <w:sz w:val="21"/>
                <w:szCs w:val="21"/>
              </w:rPr>
              <w:t>行政运营类</w:t>
            </w:r>
          </w:p>
        </w:tc>
        <w:tc>
          <w:tcPr>
            <w:tcW w:w="768" w:type="dxa"/>
            <w:vAlign w:val="center"/>
          </w:tcPr>
          <w:p>
            <w:pPr>
              <w:jc w:val="center"/>
              <w:textAlignment w:val="center"/>
              <w:rPr>
                <w:rFonts w:ascii="Arial" w:hAnsi="Arial" w:cs="Arial"/>
                <w:sz w:val="21"/>
                <w:szCs w:val="21"/>
              </w:rPr>
            </w:pPr>
            <w:r>
              <w:rPr>
                <w:rFonts w:ascii="Arial" w:hAnsi="Arial" w:cs="Arial"/>
                <w:sz w:val="21"/>
                <w:szCs w:val="21"/>
                <w:lang w:bidi="ar"/>
              </w:rPr>
              <w:t>4</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151,680,000.00 </w:t>
            </w:r>
          </w:p>
        </w:tc>
        <w:tc>
          <w:tcPr>
            <w:tcW w:w="1876" w:type="dxa"/>
            <w:shd w:val="clear" w:color="auto" w:fill="auto"/>
            <w:vAlign w:val="center"/>
          </w:tcPr>
          <w:p>
            <w:pPr>
              <w:jc w:val="right"/>
              <w:textAlignment w:val="center"/>
              <w:rPr>
                <w:rFonts w:ascii="Arial" w:hAnsi="Arial" w:cs="Arial"/>
                <w:sz w:val="21"/>
                <w:szCs w:val="21"/>
                <w:highlight w:val="yellow"/>
              </w:rPr>
            </w:pPr>
            <w:r>
              <w:rPr>
                <w:rFonts w:ascii="Arial" w:hAnsi="Arial" w:cs="Arial"/>
                <w:sz w:val="21"/>
                <w:szCs w:val="21"/>
                <w:lang w:bidi="ar"/>
              </w:rPr>
              <w:t xml:space="preserve">4,072,044.44 </w:t>
            </w:r>
          </w:p>
        </w:tc>
        <w:tc>
          <w:tcPr>
            <w:tcW w:w="194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2,454,783.44 </w:t>
            </w:r>
          </w:p>
        </w:tc>
        <w:tc>
          <w:tcPr>
            <w:tcW w:w="1808" w:type="dxa"/>
            <w:vAlign w:val="center"/>
          </w:tcPr>
          <w:p>
            <w:pPr>
              <w:jc w:val="right"/>
              <w:textAlignment w:val="center"/>
              <w:rPr>
                <w:rFonts w:ascii="Arial" w:hAnsi="Arial" w:cs="Arial"/>
                <w:sz w:val="21"/>
                <w:szCs w:val="21"/>
              </w:rPr>
            </w:pPr>
            <w:r>
              <w:rPr>
                <w:rFonts w:ascii="Arial" w:hAnsi="Arial" w:cs="Arial"/>
                <w:sz w:val="21"/>
                <w:szCs w:val="21"/>
                <w:lang w:bidi="ar"/>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r>
              <w:rPr>
                <w:rFonts w:ascii="Arial" w:hAnsi="Arial" w:cs="Arial"/>
                <w:sz w:val="21"/>
                <w:szCs w:val="21"/>
              </w:rPr>
              <w:t>5</w:t>
            </w:r>
          </w:p>
        </w:tc>
        <w:tc>
          <w:tcPr>
            <w:tcW w:w="1537" w:type="dxa"/>
            <w:shd w:val="clear" w:color="auto" w:fill="auto"/>
            <w:vAlign w:val="center"/>
          </w:tcPr>
          <w:p>
            <w:pPr>
              <w:jc w:val="center"/>
              <w:textAlignment w:val="center"/>
              <w:rPr>
                <w:rFonts w:ascii="Arial" w:hAnsi="Arial" w:cs="Arial"/>
                <w:sz w:val="21"/>
                <w:szCs w:val="21"/>
              </w:rPr>
            </w:pPr>
            <w:r>
              <w:rPr>
                <w:rFonts w:ascii="Arial" w:hAnsi="Arial" w:cs="Arial"/>
                <w:sz w:val="21"/>
                <w:szCs w:val="21"/>
                <w:lang w:bidi="ar"/>
              </w:rPr>
              <w:t>财务融资类</w:t>
            </w:r>
          </w:p>
        </w:tc>
        <w:tc>
          <w:tcPr>
            <w:tcW w:w="768" w:type="dxa"/>
            <w:vAlign w:val="center"/>
          </w:tcPr>
          <w:p>
            <w:pPr>
              <w:jc w:val="center"/>
              <w:textAlignment w:val="center"/>
              <w:rPr>
                <w:rFonts w:ascii="Arial" w:hAnsi="Arial" w:cs="Arial"/>
                <w:sz w:val="21"/>
                <w:szCs w:val="21"/>
              </w:rPr>
            </w:pPr>
            <w:r>
              <w:rPr>
                <w:rFonts w:ascii="Arial" w:hAnsi="Arial" w:cs="Arial"/>
                <w:sz w:val="21"/>
                <w:szCs w:val="21"/>
                <w:lang w:bidi="ar"/>
              </w:rPr>
              <w:t>1</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177,100,000.00 </w:t>
            </w:r>
          </w:p>
        </w:tc>
        <w:tc>
          <w:tcPr>
            <w:tcW w:w="1876" w:type="dxa"/>
            <w:shd w:val="clear" w:color="auto" w:fill="auto"/>
            <w:vAlign w:val="center"/>
          </w:tcPr>
          <w:p>
            <w:pPr>
              <w:jc w:val="right"/>
              <w:textAlignment w:val="center"/>
              <w:rPr>
                <w:rFonts w:ascii="Arial" w:hAnsi="Arial" w:cs="Arial"/>
                <w:sz w:val="21"/>
                <w:szCs w:val="21"/>
                <w:lang w:bidi="ar"/>
              </w:rPr>
            </w:pPr>
            <w:r>
              <w:rPr>
                <w:rFonts w:ascii="Arial" w:hAnsi="Arial" w:cs="Arial"/>
                <w:sz w:val="21"/>
                <w:szCs w:val="21"/>
                <w:lang w:bidi="ar"/>
              </w:rPr>
              <w:t xml:space="preserve">372,219.15 </w:t>
            </w:r>
          </w:p>
        </w:tc>
        <w:tc>
          <w:tcPr>
            <w:tcW w:w="1944" w:type="dxa"/>
            <w:shd w:val="clear" w:color="auto" w:fill="auto"/>
            <w:vAlign w:val="center"/>
          </w:tcPr>
          <w:p>
            <w:pPr>
              <w:jc w:val="right"/>
              <w:textAlignment w:val="center"/>
              <w:rPr>
                <w:rFonts w:ascii="Arial" w:hAnsi="Arial" w:cs="Arial"/>
                <w:sz w:val="21"/>
                <w:szCs w:val="21"/>
                <w:lang w:bidi="ar"/>
              </w:rPr>
            </w:pPr>
            <w:r>
              <w:rPr>
                <w:rFonts w:ascii="Arial" w:hAnsi="Arial" w:cs="Arial"/>
                <w:sz w:val="21"/>
                <w:szCs w:val="21"/>
                <w:lang w:bidi="ar"/>
              </w:rPr>
              <w:t xml:space="preserve">-40,280.85 </w:t>
            </w:r>
          </w:p>
        </w:tc>
        <w:tc>
          <w:tcPr>
            <w:tcW w:w="1808" w:type="dxa"/>
            <w:vAlign w:val="center"/>
          </w:tcPr>
          <w:p>
            <w:pPr>
              <w:jc w:val="right"/>
              <w:textAlignment w:val="center"/>
              <w:rPr>
                <w:rFonts w:ascii="Arial" w:hAnsi="Arial" w:cs="Arial"/>
                <w:sz w:val="21"/>
                <w:szCs w:val="21"/>
                <w:lang w:bidi="ar"/>
              </w:rPr>
            </w:pPr>
            <w:r>
              <w:rPr>
                <w:rFonts w:ascii="Arial" w:hAnsi="Arial" w:cs="Arial"/>
                <w:sz w:val="21"/>
                <w:szCs w:val="21"/>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r>
              <w:rPr>
                <w:rFonts w:ascii="Arial" w:hAnsi="Arial" w:cs="Arial"/>
                <w:sz w:val="21"/>
                <w:szCs w:val="21"/>
              </w:rPr>
              <w:t>6</w:t>
            </w:r>
          </w:p>
        </w:tc>
        <w:tc>
          <w:tcPr>
            <w:tcW w:w="1537" w:type="dxa"/>
            <w:shd w:val="clear" w:color="auto" w:fill="auto"/>
            <w:vAlign w:val="center"/>
          </w:tcPr>
          <w:p>
            <w:pPr>
              <w:jc w:val="center"/>
              <w:textAlignment w:val="center"/>
              <w:rPr>
                <w:rFonts w:ascii="Arial" w:hAnsi="Arial" w:cs="Arial"/>
                <w:sz w:val="21"/>
                <w:szCs w:val="21"/>
              </w:rPr>
            </w:pPr>
            <w:r>
              <w:rPr>
                <w:rFonts w:ascii="Arial" w:hAnsi="Arial" w:cs="Arial"/>
                <w:sz w:val="21"/>
                <w:szCs w:val="21"/>
                <w:lang w:bidi="ar"/>
              </w:rPr>
              <w:t>营销类</w:t>
            </w:r>
          </w:p>
        </w:tc>
        <w:tc>
          <w:tcPr>
            <w:tcW w:w="768" w:type="dxa"/>
            <w:vAlign w:val="center"/>
          </w:tcPr>
          <w:p>
            <w:pPr>
              <w:jc w:val="center"/>
              <w:textAlignment w:val="center"/>
              <w:rPr>
                <w:rFonts w:ascii="Arial" w:hAnsi="Arial" w:cs="Arial"/>
                <w:sz w:val="21"/>
                <w:szCs w:val="21"/>
              </w:rPr>
            </w:pPr>
            <w:r>
              <w:rPr>
                <w:rFonts w:ascii="Arial" w:hAnsi="Arial" w:cs="Arial"/>
                <w:sz w:val="21"/>
                <w:szCs w:val="21"/>
                <w:lang w:bidi="ar"/>
              </w:rPr>
              <w:t>117</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137,680,000.00 </w:t>
            </w:r>
          </w:p>
        </w:tc>
        <w:tc>
          <w:tcPr>
            <w:tcW w:w="1876"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23,997,336.63 </w:t>
            </w:r>
          </w:p>
        </w:tc>
        <w:tc>
          <w:tcPr>
            <w:tcW w:w="194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11,072,651.48 </w:t>
            </w:r>
          </w:p>
        </w:tc>
        <w:tc>
          <w:tcPr>
            <w:tcW w:w="1808" w:type="dxa"/>
            <w:vAlign w:val="center"/>
          </w:tcPr>
          <w:p>
            <w:pPr>
              <w:jc w:val="right"/>
              <w:textAlignment w:val="center"/>
              <w:rPr>
                <w:rFonts w:ascii="Arial" w:hAnsi="Arial" w:cs="Arial"/>
                <w:sz w:val="21"/>
                <w:szCs w:val="21"/>
                <w:lang w:bidi="ar"/>
              </w:rPr>
            </w:pPr>
            <w:r>
              <w:rPr>
                <w:rFonts w:ascii="Arial" w:hAnsi="Arial" w:cs="Arial"/>
                <w:sz w:val="21"/>
                <w:szCs w:val="21"/>
                <w:lang w:bidi="ar"/>
              </w:rPr>
              <w:t>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r>
              <w:rPr>
                <w:rFonts w:ascii="Arial" w:hAnsi="Arial" w:cs="Arial"/>
                <w:sz w:val="21"/>
                <w:szCs w:val="21"/>
              </w:rPr>
              <w:t>7</w:t>
            </w:r>
          </w:p>
        </w:tc>
        <w:tc>
          <w:tcPr>
            <w:tcW w:w="1537" w:type="dxa"/>
            <w:shd w:val="clear" w:color="auto" w:fill="auto"/>
            <w:vAlign w:val="center"/>
          </w:tcPr>
          <w:p>
            <w:pPr>
              <w:jc w:val="center"/>
              <w:textAlignment w:val="center"/>
              <w:rPr>
                <w:rFonts w:ascii="Arial" w:hAnsi="Arial" w:cs="Arial"/>
                <w:sz w:val="21"/>
                <w:szCs w:val="21"/>
              </w:rPr>
            </w:pPr>
            <w:r>
              <w:rPr>
                <w:rFonts w:ascii="Arial" w:hAnsi="Arial" w:cs="Arial"/>
                <w:sz w:val="21"/>
                <w:szCs w:val="21"/>
                <w:lang w:bidi="ar"/>
              </w:rPr>
              <w:t>税费</w:t>
            </w:r>
          </w:p>
        </w:tc>
        <w:tc>
          <w:tcPr>
            <w:tcW w:w="768" w:type="dxa"/>
            <w:vAlign w:val="center"/>
          </w:tcPr>
          <w:p>
            <w:pPr>
              <w:jc w:val="center"/>
              <w:textAlignment w:val="center"/>
              <w:rPr>
                <w:rFonts w:ascii="Arial" w:hAnsi="Arial" w:cs="Arial"/>
                <w:sz w:val="21"/>
                <w:szCs w:val="21"/>
              </w:rPr>
            </w:pPr>
            <w:r>
              <w:rPr>
                <w:rFonts w:ascii="Arial" w:hAnsi="Arial" w:cs="Arial"/>
                <w:sz w:val="21"/>
                <w:szCs w:val="21"/>
                <w:lang w:bidi="ar"/>
              </w:rPr>
              <w:t>-</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1,305,230,000.00 </w:t>
            </w:r>
          </w:p>
        </w:tc>
        <w:tc>
          <w:tcPr>
            <w:tcW w:w="1876" w:type="dxa"/>
            <w:shd w:val="clear" w:color="auto" w:fill="auto"/>
            <w:vAlign w:val="center"/>
          </w:tcPr>
          <w:p>
            <w:pPr>
              <w:jc w:val="right"/>
              <w:textAlignment w:val="center"/>
              <w:rPr>
                <w:rFonts w:ascii="Arial" w:hAnsi="Arial" w:cs="Arial"/>
                <w:sz w:val="21"/>
                <w:szCs w:val="21"/>
                <w:lang w:bidi="ar"/>
              </w:rPr>
            </w:pPr>
            <w:r>
              <w:rPr>
                <w:rFonts w:ascii="Arial" w:hAnsi="Arial" w:cs="Arial"/>
                <w:sz w:val="21"/>
                <w:szCs w:val="21"/>
                <w:lang w:bidi="ar"/>
              </w:rPr>
              <w:t xml:space="preserve">1,519,854.12 </w:t>
            </w:r>
          </w:p>
        </w:tc>
        <w:tc>
          <w:tcPr>
            <w:tcW w:w="1944" w:type="dxa"/>
            <w:shd w:val="clear" w:color="auto" w:fill="auto"/>
            <w:vAlign w:val="center"/>
          </w:tcPr>
          <w:p>
            <w:pPr>
              <w:jc w:val="right"/>
              <w:textAlignment w:val="center"/>
              <w:rPr>
                <w:rFonts w:ascii="Arial" w:hAnsi="Arial" w:cs="Arial"/>
                <w:sz w:val="21"/>
                <w:szCs w:val="21"/>
                <w:lang w:bidi="ar"/>
              </w:rPr>
            </w:pPr>
            <w:r>
              <w:rPr>
                <w:rFonts w:ascii="Arial" w:hAnsi="Arial" w:cs="Arial"/>
                <w:sz w:val="21"/>
                <w:szCs w:val="21"/>
                <w:lang w:bidi="ar"/>
              </w:rPr>
              <w:t xml:space="preserve">1,519,854.12 </w:t>
            </w:r>
          </w:p>
        </w:tc>
        <w:tc>
          <w:tcPr>
            <w:tcW w:w="1808" w:type="dxa"/>
            <w:vAlign w:val="center"/>
          </w:tcPr>
          <w:p>
            <w:pPr>
              <w:jc w:val="right"/>
              <w:textAlignment w:val="center"/>
              <w:rPr>
                <w:rFonts w:ascii="Arial" w:hAnsi="Arial" w:cs="Arial"/>
                <w:sz w:val="21"/>
                <w:szCs w:val="21"/>
                <w:lang w:bidi="ar"/>
              </w:rPr>
            </w:pPr>
            <w:r>
              <w:rPr>
                <w:rFonts w:ascii="Arial" w:hAnsi="Arial" w:cs="Arial"/>
                <w:sz w:val="21"/>
                <w:szCs w:val="21"/>
                <w:lang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8" w:type="dxa"/>
            <w:shd w:val="clear" w:color="auto" w:fill="auto"/>
            <w:vAlign w:val="center"/>
          </w:tcPr>
          <w:p>
            <w:pPr>
              <w:jc w:val="center"/>
              <w:rPr>
                <w:rFonts w:ascii="Arial" w:hAnsi="Arial" w:cs="Arial"/>
                <w:sz w:val="21"/>
                <w:szCs w:val="21"/>
              </w:rPr>
            </w:pPr>
          </w:p>
        </w:tc>
        <w:tc>
          <w:tcPr>
            <w:tcW w:w="1537" w:type="dxa"/>
            <w:shd w:val="clear" w:color="auto" w:fill="auto"/>
            <w:vAlign w:val="center"/>
          </w:tcPr>
          <w:p>
            <w:pPr>
              <w:jc w:val="center"/>
              <w:textAlignment w:val="center"/>
              <w:rPr>
                <w:rFonts w:ascii="Arial" w:hAnsi="Arial" w:cs="Arial"/>
                <w:sz w:val="21"/>
                <w:szCs w:val="21"/>
              </w:rPr>
            </w:pPr>
            <w:r>
              <w:rPr>
                <w:rFonts w:ascii="Arial" w:hAnsi="Arial" w:cs="Arial"/>
                <w:b/>
                <w:sz w:val="21"/>
                <w:szCs w:val="21"/>
                <w:lang w:bidi="ar"/>
              </w:rPr>
              <w:t>合计</w:t>
            </w:r>
          </w:p>
        </w:tc>
        <w:tc>
          <w:tcPr>
            <w:tcW w:w="768" w:type="dxa"/>
            <w:vAlign w:val="center"/>
          </w:tcPr>
          <w:p>
            <w:pPr>
              <w:jc w:val="center"/>
              <w:textAlignment w:val="center"/>
              <w:rPr>
                <w:rFonts w:ascii="Arial" w:hAnsi="Arial" w:cs="Arial"/>
                <w:sz w:val="21"/>
                <w:szCs w:val="21"/>
              </w:rPr>
            </w:pPr>
            <w:r>
              <w:rPr>
                <w:rFonts w:ascii="Arial" w:hAnsi="Arial" w:cs="Arial"/>
                <w:b/>
                <w:bCs/>
                <w:sz w:val="21"/>
                <w:szCs w:val="21"/>
                <w:lang w:bidi="ar"/>
              </w:rPr>
              <w:t>193</w:t>
            </w:r>
          </w:p>
        </w:tc>
        <w:tc>
          <w:tcPr>
            <w:tcW w:w="1968" w:type="dxa"/>
            <w:shd w:val="clear" w:color="auto" w:fill="auto"/>
            <w:vAlign w:val="center"/>
          </w:tcPr>
          <w:p>
            <w:pPr>
              <w:jc w:val="right"/>
              <w:textAlignment w:val="center"/>
              <w:rPr>
                <w:rFonts w:ascii="Arial" w:hAnsi="Arial" w:cs="Arial"/>
                <w:sz w:val="21"/>
                <w:szCs w:val="21"/>
              </w:rPr>
            </w:pPr>
            <w:r>
              <w:rPr>
                <w:rFonts w:ascii="Arial" w:hAnsi="Arial" w:cs="Arial"/>
                <w:b/>
                <w:bCs/>
                <w:sz w:val="21"/>
                <w:szCs w:val="21"/>
                <w:lang w:bidi="ar"/>
              </w:rPr>
              <w:t xml:space="preserve">6,708,930,000.00 </w:t>
            </w:r>
          </w:p>
        </w:tc>
        <w:tc>
          <w:tcPr>
            <w:tcW w:w="1876" w:type="dxa"/>
            <w:shd w:val="clear" w:color="auto" w:fill="auto"/>
            <w:vAlign w:val="center"/>
          </w:tcPr>
          <w:p>
            <w:pPr>
              <w:jc w:val="right"/>
              <w:textAlignment w:val="center"/>
              <w:rPr>
                <w:rFonts w:ascii="Arial" w:hAnsi="Arial" w:cs="Arial"/>
                <w:b/>
                <w:bCs/>
                <w:sz w:val="21"/>
                <w:szCs w:val="21"/>
              </w:rPr>
            </w:pPr>
            <w:r>
              <w:rPr>
                <w:rFonts w:ascii="Arial" w:hAnsi="Arial" w:cs="Arial"/>
                <w:b/>
                <w:bCs/>
                <w:sz w:val="21"/>
                <w:szCs w:val="21"/>
                <w:lang w:bidi="ar"/>
              </w:rPr>
              <w:t xml:space="preserve">3,542,122,486.97 </w:t>
            </w:r>
          </w:p>
        </w:tc>
        <w:tc>
          <w:tcPr>
            <w:tcW w:w="1944" w:type="dxa"/>
            <w:shd w:val="clear" w:color="auto" w:fill="auto"/>
            <w:vAlign w:val="center"/>
          </w:tcPr>
          <w:p>
            <w:pPr>
              <w:jc w:val="right"/>
              <w:textAlignment w:val="center"/>
              <w:rPr>
                <w:rFonts w:ascii="Arial" w:hAnsi="Arial" w:cs="Arial"/>
                <w:b/>
                <w:bCs/>
                <w:sz w:val="21"/>
                <w:szCs w:val="21"/>
              </w:rPr>
            </w:pPr>
            <w:r>
              <w:rPr>
                <w:rFonts w:ascii="Arial" w:hAnsi="Arial" w:cs="Arial"/>
                <w:b/>
                <w:bCs/>
                <w:sz w:val="21"/>
                <w:szCs w:val="21"/>
                <w:lang w:bidi="ar"/>
              </w:rPr>
              <w:t xml:space="preserve">3,129,029,115.25 </w:t>
            </w:r>
          </w:p>
        </w:tc>
        <w:tc>
          <w:tcPr>
            <w:tcW w:w="1808" w:type="dxa"/>
            <w:vAlign w:val="center"/>
          </w:tcPr>
          <w:p>
            <w:pPr>
              <w:jc w:val="right"/>
              <w:textAlignment w:val="center"/>
              <w:rPr>
                <w:rFonts w:ascii="Arial" w:hAnsi="Arial" w:cs="Arial"/>
                <w:b/>
                <w:bCs/>
                <w:sz w:val="21"/>
                <w:szCs w:val="21"/>
              </w:rPr>
            </w:pPr>
            <w:r>
              <w:rPr>
                <w:rFonts w:ascii="Arial" w:hAnsi="Arial" w:cs="Arial"/>
                <w:b/>
                <w:bCs/>
                <w:sz w:val="21"/>
                <w:szCs w:val="21"/>
                <w:lang w:bidi="ar"/>
              </w:rPr>
              <w:t>46.64%</w:t>
            </w:r>
          </w:p>
        </w:tc>
      </w:tr>
    </w:tbl>
    <w:p>
      <w:pPr>
        <w:pStyle w:val="3"/>
        <w:rPr>
          <w:rFonts w:cs="Arial"/>
        </w:rPr>
      </w:pPr>
      <w:bookmarkStart w:id="11" w:name="_Toc14833"/>
      <w:bookmarkStart w:id="12" w:name="_Toc69160059"/>
      <w:r>
        <w:rPr>
          <w:rFonts w:cs="Arial"/>
        </w:rPr>
        <w:t>六、项目销售情况统计</w:t>
      </w:r>
      <w:bookmarkEnd w:id="11"/>
      <w:bookmarkEnd w:id="12"/>
    </w:p>
    <w:p>
      <w:pPr>
        <w:pStyle w:val="7"/>
        <w:spacing w:line="360" w:lineRule="auto"/>
        <w:rPr>
          <w:rFonts w:ascii="Arial" w:hAnsi="Arial" w:cs="Arial"/>
          <w:b/>
        </w:rPr>
      </w:pPr>
      <w:r>
        <w:rPr>
          <w:rFonts w:ascii="Arial" w:hAnsi="Arial" w:cs="Arial"/>
          <w:b/>
        </w:rPr>
        <w:t>6.1项目推盘情况</w:t>
      </w:r>
    </w:p>
    <w:p>
      <w:pPr>
        <w:spacing w:line="360" w:lineRule="auto"/>
        <w:ind w:firstLine="480" w:firstLineChars="200"/>
        <w:rPr>
          <w:rFonts w:ascii="Arial" w:hAnsi="Arial" w:cs="Arial"/>
        </w:rPr>
      </w:pPr>
      <w:r>
        <w:rPr>
          <w:rFonts w:ascii="Arial" w:hAnsi="Arial" w:cs="Arial"/>
        </w:rPr>
        <w:t>项目尚未开盘。</w:t>
      </w:r>
    </w:p>
    <w:p>
      <w:pPr>
        <w:pStyle w:val="7"/>
        <w:rPr>
          <w:rStyle w:val="23"/>
          <w:rFonts w:ascii="Arial" w:hAnsi="Arial" w:cs="Arial"/>
        </w:rPr>
      </w:pPr>
    </w:p>
    <w:p>
      <w:pPr>
        <w:pStyle w:val="7"/>
        <w:spacing w:line="360" w:lineRule="auto"/>
        <w:rPr>
          <w:rFonts w:ascii="Arial" w:hAnsi="Arial" w:cs="Arial"/>
          <w:b/>
        </w:rPr>
      </w:pPr>
      <w:r>
        <w:rPr>
          <w:rFonts w:ascii="Arial" w:hAnsi="Arial" w:cs="Arial"/>
          <w:b/>
        </w:rPr>
        <w:t>6.2销售去化情况</w:t>
      </w:r>
    </w:p>
    <w:p>
      <w:pPr>
        <w:spacing w:line="360" w:lineRule="auto"/>
        <w:ind w:firstLine="480" w:firstLineChars="200"/>
        <w:rPr>
          <w:rFonts w:ascii="Arial" w:hAnsi="Arial" w:cs="Arial"/>
        </w:rPr>
      </w:pPr>
      <w:r>
        <w:rPr>
          <w:rFonts w:ascii="Arial" w:hAnsi="Arial" w:cs="Arial"/>
        </w:rPr>
        <w:t>项目尚未开盘。</w:t>
      </w:r>
    </w:p>
    <w:p>
      <w:pPr>
        <w:ind w:firstLine="420" w:firstLineChars="200"/>
        <w:rPr>
          <w:rFonts w:ascii="Arial" w:hAnsi="Arial" w:cs="Arial"/>
          <w:bCs/>
          <w:sz w:val="21"/>
          <w:szCs w:val="21"/>
        </w:rPr>
      </w:pPr>
    </w:p>
    <w:p>
      <w:pPr>
        <w:pStyle w:val="7"/>
        <w:spacing w:line="360" w:lineRule="auto"/>
        <w:rPr>
          <w:rFonts w:ascii="Arial" w:hAnsi="Arial" w:cs="Arial"/>
          <w:b/>
        </w:rPr>
      </w:pPr>
      <w:r>
        <w:rPr>
          <w:rFonts w:ascii="Arial" w:hAnsi="Arial" w:cs="Arial"/>
          <w:b/>
        </w:rPr>
        <w:t>6.3动态货值</w:t>
      </w:r>
    </w:p>
    <w:p>
      <w:pPr>
        <w:spacing w:line="360" w:lineRule="auto"/>
        <w:ind w:firstLine="480" w:firstLineChars="200"/>
        <w:rPr>
          <w:rFonts w:ascii="Arial" w:hAnsi="Arial" w:cs="Arial"/>
          <w:b/>
        </w:rPr>
      </w:pPr>
      <w:r>
        <w:rPr>
          <w:rFonts w:ascii="Arial" w:hAnsi="Arial" w:cs="Arial"/>
        </w:rPr>
        <w:t>项目可售面积273,025.32 ㎡</w:t>
      </w:r>
      <w:r>
        <w:rPr>
          <w:rFonts w:hint="eastAsia" w:ascii="Arial" w:hAnsi="Arial" w:cs="Arial"/>
        </w:rPr>
        <w:t>，</w:t>
      </w:r>
      <w:r>
        <w:rPr>
          <w:rFonts w:ascii="Arial" w:hAnsi="Arial" w:cs="Arial"/>
        </w:rPr>
        <w:t>可售车位</w:t>
      </w:r>
      <w:r>
        <w:rPr>
          <w:rFonts w:hint="eastAsia" w:ascii="Arial" w:hAnsi="Arial" w:cs="Arial"/>
        </w:rPr>
        <w:t>3,146个</w:t>
      </w:r>
      <w:r>
        <w:rPr>
          <w:rFonts w:ascii="Arial" w:hAnsi="Arial" w:cs="Arial"/>
        </w:rPr>
        <w:t>，预计总货值</w:t>
      </w:r>
      <w:r>
        <w:rPr>
          <w:rFonts w:hint="eastAsia" w:ascii="Arial" w:hAnsi="Arial" w:cs="Arial"/>
        </w:rPr>
        <w:t>680,820</w:t>
      </w:r>
      <w:r>
        <w:rPr>
          <w:rFonts w:ascii="Arial" w:hAnsi="Arial" w:cs="Arial"/>
        </w:rPr>
        <w:t>万元，尚未开始销售。</w:t>
      </w:r>
    </w:p>
    <w:p>
      <w:pPr>
        <w:pStyle w:val="7"/>
        <w:jc w:val="center"/>
        <w:rPr>
          <w:rFonts w:ascii="Arial" w:hAnsi="Arial" w:cs="Arial"/>
          <w:b/>
          <w:sz w:val="21"/>
          <w:szCs w:val="21"/>
        </w:rPr>
      </w:pPr>
      <w:r>
        <w:rPr>
          <w:rFonts w:ascii="Arial" w:hAnsi="Arial" w:cs="Arial"/>
          <w:b/>
          <w:sz w:val="21"/>
          <w:szCs w:val="21"/>
        </w:rPr>
        <w:t>动态货值情况</w:t>
      </w:r>
    </w:p>
    <w:tbl>
      <w:tblPr>
        <w:tblStyle w:val="18"/>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978"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ascii="Arial" w:hAnsi="Arial" w:cs="Arial"/>
                <w:color w:val="000000"/>
                <w:sz w:val="21"/>
                <w:szCs w:val="21"/>
              </w:rPr>
              <w:t>动态货值(万元)(A)</w:t>
            </w:r>
            <w:r>
              <w:rPr>
                <w:rFonts w:ascii="Arial" w:hAnsi="Arial" w:cs="Arial"/>
                <w:color w:val="000000"/>
                <w:sz w:val="21"/>
                <w:szCs w:val="21"/>
              </w:rPr>
              <w:br w:type="textWrapping"/>
            </w:r>
            <w:r>
              <w:rPr>
                <w:rFonts w:ascii="Arial" w:hAnsi="Arial" w:cs="Arial"/>
                <w:color w:val="000000"/>
                <w:sz w:val="21"/>
                <w:szCs w:val="21"/>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ascii="Arial" w:hAnsi="Arial" w:cs="Arial"/>
                <w:color w:val="000000"/>
                <w:sz w:val="21"/>
                <w:szCs w:val="21"/>
              </w:rPr>
              <w:t>已售房屋合同额（B）</w:t>
            </w:r>
          </w:p>
          <w:p>
            <w:pPr>
              <w:jc w:val="center"/>
              <w:rPr>
                <w:rFonts w:ascii="Arial" w:hAnsi="Arial" w:cs="Arial"/>
                <w:color w:val="000000"/>
                <w:sz w:val="21"/>
                <w:szCs w:val="21"/>
              </w:rPr>
            </w:pPr>
            <w:r>
              <w:rPr>
                <w:rFonts w:ascii="Arial" w:hAnsi="Arial" w:cs="Arial"/>
                <w:color w:val="000000"/>
                <w:sz w:val="21"/>
                <w:szCs w:val="21"/>
              </w:rPr>
              <w:t>（万元）</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ascii="Arial" w:hAnsi="Arial" w:cs="Arial"/>
                <w:color w:val="000000"/>
                <w:sz w:val="21"/>
                <w:szCs w:val="21"/>
              </w:rPr>
              <w:t>已取得预售证的未售房屋货值（按备案价）（C)（万元）</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ascii="Arial" w:hAnsi="Arial" w:cs="Arial"/>
                <w:color w:val="000000"/>
                <w:sz w:val="21"/>
                <w:szCs w:val="21"/>
              </w:rPr>
              <w:t>未取得预售证房屋预计货值(D)（万元）</w:t>
            </w:r>
          </w:p>
        </w:tc>
      </w:tr>
      <w:tr>
        <w:tblPrEx>
          <w:tblCellMar>
            <w:top w:w="0" w:type="dxa"/>
            <w:left w:w="108" w:type="dxa"/>
            <w:bottom w:w="0" w:type="dxa"/>
            <w:right w:w="108" w:type="dxa"/>
          </w:tblCellMar>
        </w:tblPrEx>
        <w:trPr>
          <w:trHeight w:val="303"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hint="eastAsia" w:ascii="Arial" w:hAnsi="Arial" w:cs="Arial"/>
                <w:color w:val="000000"/>
                <w:sz w:val="21"/>
                <w:szCs w:val="21"/>
              </w:rPr>
              <w:t>680,820</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0.00</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　0.00</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hint="eastAsia" w:ascii="Arial" w:hAnsi="Arial" w:cs="Arial"/>
                <w:color w:val="000000"/>
                <w:sz w:val="21"/>
                <w:szCs w:val="21"/>
              </w:rPr>
              <w:t>680,820</w:t>
            </w:r>
          </w:p>
        </w:tc>
      </w:tr>
      <w:tr>
        <w:tblPrEx>
          <w:tblCellMar>
            <w:top w:w="0" w:type="dxa"/>
            <w:left w:w="108" w:type="dxa"/>
            <w:bottom w:w="0" w:type="dxa"/>
            <w:right w:w="108" w:type="dxa"/>
          </w:tblCellMar>
        </w:tblPrEx>
        <w:trPr>
          <w:trHeight w:val="130" w:hRule="atLeast"/>
        </w:trPr>
        <w:tc>
          <w:tcPr>
            <w:tcW w:w="24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hint="eastAsia" w:ascii="Arial" w:hAnsi="Arial" w:cs="Arial"/>
                <w:color w:val="000000"/>
                <w:sz w:val="21"/>
                <w:szCs w:val="21"/>
              </w:rPr>
              <w:t>可售</w:t>
            </w:r>
            <w:r>
              <w:rPr>
                <w:rFonts w:ascii="Arial" w:hAnsi="Arial" w:cs="Arial"/>
                <w:color w:val="000000"/>
                <w:sz w:val="21"/>
                <w:szCs w:val="21"/>
              </w:rPr>
              <w:t>面积（㎡）（不计算车库）</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ascii="Arial" w:hAnsi="Arial" w:cs="Arial"/>
                <w:color w:val="000000"/>
                <w:sz w:val="21"/>
                <w:szCs w:val="21"/>
              </w:rPr>
              <w:t>已售面积（㎡）</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ascii="Arial" w:hAnsi="Arial" w:cs="Arial"/>
                <w:color w:val="000000"/>
                <w:sz w:val="21"/>
                <w:szCs w:val="21"/>
              </w:rPr>
              <w:t>已取得预售证的未售面积（㎡）</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21"/>
                <w:szCs w:val="21"/>
              </w:rPr>
            </w:pPr>
            <w:r>
              <w:rPr>
                <w:rFonts w:ascii="Arial" w:hAnsi="Arial" w:cs="Arial"/>
                <w:color w:val="000000"/>
                <w:sz w:val="21"/>
                <w:szCs w:val="21"/>
              </w:rPr>
              <w:t>未取得预售证面积（㎡）</w:t>
            </w:r>
          </w:p>
        </w:tc>
      </w:tr>
      <w:tr>
        <w:tblPrEx>
          <w:tblCellMar>
            <w:top w:w="0" w:type="dxa"/>
            <w:left w:w="108" w:type="dxa"/>
            <w:bottom w:w="0" w:type="dxa"/>
            <w:right w:w="108" w:type="dxa"/>
          </w:tblCellMar>
        </w:tblPrEx>
        <w:trPr>
          <w:trHeight w:val="304"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ascii="Arial" w:hAnsi="Arial" w:cs="Arial"/>
                <w:sz w:val="21"/>
                <w:szCs w:val="21"/>
              </w:rPr>
              <w:t>273,025.32</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ascii="Arial" w:hAnsi="Arial" w:cs="Arial"/>
                <w:sz w:val="21"/>
                <w:szCs w:val="21"/>
              </w:rPr>
              <w:t>0.00</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　0.00</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21"/>
                <w:szCs w:val="21"/>
              </w:rPr>
            </w:pPr>
            <w:r>
              <w:rPr>
                <w:rFonts w:ascii="Arial" w:hAnsi="Arial" w:cs="Arial"/>
                <w:sz w:val="21"/>
                <w:szCs w:val="21"/>
              </w:rPr>
              <w:t>273,025.32</w:t>
            </w:r>
          </w:p>
        </w:tc>
      </w:tr>
    </w:tbl>
    <w:p>
      <w:pPr>
        <w:pStyle w:val="3"/>
        <w:rPr>
          <w:rFonts w:cs="Arial"/>
        </w:rPr>
      </w:pPr>
      <w:bookmarkStart w:id="13" w:name="_Toc69160060"/>
      <w:bookmarkStart w:id="14" w:name="_Toc24108"/>
      <w:r>
        <w:rPr>
          <w:rFonts w:cs="Arial"/>
        </w:rPr>
        <w:t>七、项目银行账户情况</w:t>
      </w:r>
      <w:bookmarkEnd w:id="13"/>
      <w:bookmarkEnd w:id="14"/>
    </w:p>
    <w:p>
      <w:pPr>
        <w:spacing w:line="360" w:lineRule="auto"/>
        <w:ind w:firstLine="480" w:firstLineChars="200"/>
        <w:rPr>
          <w:rFonts w:ascii="Arial" w:hAnsi="Arial" w:cs="Arial"/>
        </w:rPr>
      </w:pPr>
      <w:r>
        <w:rPr>
          <w:rFonts w:ascii="Arial" w:hAnsi="Arial" w:cs="Arial"/>
        </w:rPr>
        <w:t>截至2021年</w:t>
      </w:r>
      <w:r>
        <w:rPr>
          <w:rFonts w:hint="eastAsia" w:ascii="Arial" w:hAnsi="Arial" w:cs="Arial"/>
        </w:rPr>
        <w:t>9</w:t>
      </w:r>
      <w:r>
        <w:rPr>
          <w:rFonts w:ascii="Arial" w:hAnsi="Arial" w:cs="Arial"/>
        </w:rPr>
        <w:t>月3</w:t>
      </w:r>
      <w:r>
        <w:rPr>
          <w:rFonts w:hint="eastAsia" w:ascii="Arial" w:hAnsi="Arial" w:cs="Arial"/>
        </w:rPr>
        <w:t>0</w:t>
      </w:r>
      <w:r>
        <w:rPr>
          <w:rFonts w:ascii="Arial" w:hAnsi="Arial" w:cs="Arial"/>
        </w:rPr>
        <w:t>日，项目公司资金账户余额为</w:t>
      </w:r>
      <w:r>
        <w:rPr>
          <w:rFonts w:hint="eastAsia" w:ascii="Arial" w:hAnsi="Arial" w:cs="Arial"/>
        </w:rPr>
        <w:t>24,531,786.35</w:t>
      </w:r>
      <w:r>
        <w:rPr>
          <w:rFonts w:ascii="Arial" w:hAnsi="Arial" w:cs="Arial"/>
        </w:rPr>
        <w:t>元，可用资金余额为</w:t>
      </w:r>
      <w:r>
        <w:rPr>
          <w:rFonts w:hint="eastAsia" w:ascii="Arial" w:hAnsi="Arial" w:cs="Arial"/>
        </w:rPr>
        <w:t>9,531,786.35</w:t>
      </w:r>
      <w:r>
        <w:rPr>
          <w:rFonts w:ascii="Arial" w:hAnsi="Arial" w:cs="Arial"/>
        </w:rPr>
        <w:t>元，</w:t>
      </w:r>
      <w:r>
        <w:rPr>
          <w:rFonts w:hint="eastAsia" w:ascii="Arial" w:hAnsi="Arial" w:cs="Arial"/>
        </w:rPr>
        <w:t>不可用资金15,000,000.00元；</w:t>
      </w:r>
      <w:r>
        <w:rPr>
          <w:rFonts w:ascii="Arial" w:hAnsi="Arial" w:cs="Arial"/>
        </w:rPr>
        <w:t>SPV公司资金账户余额为</w:t>
      </w:r>
      <w:r>
        <w:rPr>
          <w:rFonts w:hint="eastAsia" w:ascii="Arial" w:hAnsi="Arial" w:cs="Arial"/>
        </w:rPr>
        <w:t>76,496.05</w:t>
      </w:r>
      <w:r>
        <w:rPr>
          <w:rFonts w:ascii="Arial" w:hAnsi="Arial" w:cs="Arial"/>
        </w:rPr>
        <w:t>元，可用资金余额为</w:t>
      </w:r>
      <w:r>
        <w:rPr>
          <w:rFonts w:hint="eastAsia" w:ascii="Arial" w:hAnsi="Arial" w:cs="Arial"/>
        </w:rPr>
        <w:t>76,496.05</w:t>
      </w:r>
      <w:r>
        <w:rPr>
          <w:rFonts w:ascii="Arial" w:hAnsi="Arial" w:cs="Arial"/>
        </w:rPr>
        <w:t>元，各账户余额详见下表：</w:t>
      </w:r>
    </w:p>
    <w:p>
      <w:pPr>
        <w:jc w:val="center"/>
        <w:rPr>
          <w:rFonts w:ascii="Arial" w:hAnsi="Arial" w:cs="Arial"/>
          <w:b/>
          <w:color w:val="000000"/>
          <w:sz w:val="21"/>
          <w:szCs w:val="21"/>
        </w:rPr>
      </w:pPr>
      <w:r>
        <w:rPr>
          <w:rFonts w:ascii="Arial" w:hAnsi="Arial" w:cs="Arial"/>
          <w:b/>
          <w:color w:val="000000"/>
          <w:sz w:val="21"/>
          <w:szCs w:val="21"/>
        </w:rPr>
        <w:t>截至2021年</w:t>
      </w:r>
      <w:r>
        <w:rPr>
          <w:rFonts w:hint="eastAsia" w:ascii="Arial" w:hAnsi="Arial" w:cs="Arial"/>
          <w:b/>
          <w:color w:val="000000"/>
          <w:sz w:val="21"/>
          <w:szCs w:val="21"/>
        </w:rPr>
        <w:t>9</w:t>
      </w:r>
      <w:r>
        <w:rPr>
          <w:rFonts w:ascii="Arial" w:hAnsi="Arial" w:cs="Arial"/>
          <w:b/>
          <w:color w:val="000000"/>
          <w:sz w:val="21"/>
          <w:szCs w:val="21"/>
        </w:rPr>
        <w:t>月3</w:t>
      </w:r>
      <w:r>
        <w:rPr>
          <w:rFonts w:hint="eastAsia" w:ascii="Arial" w:hAnsi="Arial" w:cs="Arial"/>
          <w:b/>
          <w:color w:val="000000"/>
          <w:sz w:val="21"/>
          <w:szCs w:val="21"/>
        </w:rPr>
        <w:t>0</w:t>
      </w:r>
      <w:r>
        <w:rPr>
          <w:rFonts w:ascii="Arial" w:hAnsi="Arial" w:cs="Arial"/>
          <w:b/>
          <w:color w:val="000000"/>
          <w:sz w:val="21"/>
          <w:szCs w:val="21"/>
        </w:rPr>
        <w:t>日项目公司银行账户余额表</w:t>
      </w:r>
    </w:p>
    <w:tbl>
      <w:tblPr>
        <w:tblStyle w:val="18"/>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552"/>
        <w:gridCol w:w="2855"/>
        <w:gridCol w:w="1142"/>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05" w:type="dxa"/>
            <w:noWrap/>
            <w:vAlign w:val="center"/>
          </w:tcPr>
          <w:p>
            <w:pPr>
              <w:jc w:val="center"/>
              <w:rPr>
                <w:rFonts w:ascii="Arial" w:hAnsi="Arial" w:cs="Arial"/>
                <w:b/>
                <w:sz w:val="21"/>
                <w:szCs w:val="21"/>
              </w:rPr>
            </w:pPr>
            <w:r>
              <w:rPr>
                <w:rFonts w:ascii="Arial" w:hAnsi="Arial" w:cs="Arial"/>
                <w:b/>
                <w:sz w:val="21"/>
                <w:szCs w:val="21"/>
              </w:rPr>
              <w:t>序号</w:t>
            </w:r>
          </w:p>
        </w:tc>
        <w:tc>
          <w:tcPr>
            <w:tcW w:w="3552" w:type="dxa"/>
            <w:noWrap/>
            <w:vAlign w:val="center"/>
          </w:tcPr>
          <w:p>
            <w:pPr>
              <w:jc w:val="center"/>
              <w:rPr>
                <w:rFonts w:ascii="Arial" w:hAnsi="Arial" w:cs="Arial"/>
                <w:b/>
                <w:sz w:val="21"/>
                <w:szCs w:val="21"/>
              </w:rPr>
            </w:pPr>
            <w:r>
              <w:rPr>
                <w:rFonts w:ascii="Arial" w:hAnsi="Arial" w:cs="Arial"/>
                <w:b/>
                <w:sz w:val="21"/>
                <w:szCs w:val="21"/>
              </w:rPr>
              <w:t>开户行</w:t>
            </w:r>
          </w:p>
        </w:tc>
        <w:tc>
          <w:tcPr>
            <w:tcW w:w="2855" w:type="dxa"/>
            <w:noWrap/>
            <w:vAlign w:val="center"/>
          </w:tcPr>
          <w:p>
            <w:pPr>
              <w:jc w:val="center"/>
              <w:rPr>
                <w:rFonts w:ascii="Arial" w:hAnsi="Arial" w:cs="Arial"/>
                <w:b/>
                <w:sz w:val="21"/>
                <w:szCs w:val="21"/>
              </w:rPr>
            </w:pPr>
            <w:r>
              <w:rPr>
                <w:rFonts w:ascii="Arial" w:hAnsi="Arial" w:cs="Arial"/>
                <w:b/>
                <w:sz w:val="21"/>
                <w:szCs w:val="21"/>
              </w:rPr>
              <w:t>账号</w:t>
            </w:r>
          </w:p>
        </w:tc>
        <w:tc>
          <w:tcPr>
            <w:tcW w:w="1142" w:type="dxa"/>
            <w:vAlign w:val="center"/>
          </w:tcPr>
          <w:p>
            <w:pPr>
              <w:jc w:val="center"/>
              <w:rPr>
                <w:rFonts w:ascii="Arial" w:hAnsi="Arial" w:cs="Arial"/>
                <w:b/>
                <w:sz w:val="21"/>
                <w:szCs w:val="21"/>
              </w:rPr>
            </w:pPr>
            <w:r>
              <w:rPr>
                <w:rFonts w:ascii="Arial" w:hAnsi="Arial" w:cs="Arial"/>
                <w:b/>
                <w:sz w:val="21"/>
                <w:szCs w:val="21"/>
              </w:rPr>
              <w:t>账户性质</w:t>
            </w:r>
          </w:p>
        </w:tc>
        <w:tc>
          <w:tcPr>
            <w:tcW w:w="1702" w:type="dxa"/>
            <w:noWrap/>
            <w:vAlign w:val="center"/>
          </w:tcPr>
          <w:p>
            <w:pPr>
              <w:jc w:val="center"/>
              <w:rPr>
                <w:rFonts w:ascii="Arial" w:hAnsi="Arial" w:cs="Arial"/>
                <w:b/>
                <w:sz w:val="21"/>
                <w:szCs w:val="21"/>
              </w:rPr>
            </w:pPr>
            <w:r>
              <w:rPr>
                <w:rFonts w:ascii="Arial" w:hAnsi="Arial" w:cs="Arial"/>
                <w:b/>
                <w:sz w:val="21"/>
                <w:szCs w:val="21"/>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05" w:type="dxa"/>
            <w:noWrap/>
            <w:vAlign w:val="center"/>
          </w:tcPr>
          <w:p>
            <w:pPr>
              <w:jc w:val="center"/>
              <w:rPr>
                <w:rFonts w:ascii="Arial" w:hAnsi="Arial" w:cs="Arial"/>
                <w:b/>
                <w:bCs/>
                <w:sz w:val="21"/>
                <w:szCs w:val="21"/>
              </w:rPr>
            </w:pPr>
            <w:r>
              <w:rPr>
                <w:rFonts w:ascii="Arial" w:hAnsi="Arial" w:cs="Arial"/>
                <w:b/>
                <w:bCs/>
                <w:sz w:val="21"/>
                <w:szCs w:val="21"/>
              </w:rPr>
              <w:t>1</w:t>
            </w:r>
          </w:p>
        </w:tc>
        <w:tc>
          <w:tcPr>
            <w:tcW w:w="3552" w:type="dxa"/>
            <w:noWrap/>
            <w:vAlign w:val="center"/>
          </w:tcPr>
          <w:p>
            <w:pPr>
              <w:jc w:val="center"/>
              <w:rPr>
                <w:rFonts w:ascii="Arial" w:hAnsi="Arial" w:cs="Arial"/>
                <w:sz w:val="21"/>
                <w:szCs w:val="21"/>
              </w:rPr>
            </w:pPr>
            <w:r>
              <w:rPr>
                <w:rFonts w:ascii="Arial" w:hAnsi="Arial" w:cs="Arial"/>
                <w:sz w:val="21"/>
                <w:szCs w:val="21"/>
              </w:rPr>
              <w:t>中国建设银行股份有限公司福州城东支行</w:t>
            </w:r>
          </w:p>
        </w:tc>
        <w:tc>
          <w:tcPr>
            <w:tcW w:w="2855" w:type="dxa"/>
            <w:noWrap/>
            <w:vAlign w:val="center"/>
          </w:tcPr>
          <w:p>
            <w:pPr>
              <w:jc w:val="center"/>
              <w:rPr>
                <w:rFonts w:ascii="Arial" w:hAnsi="Arial" w:cs="Arial"/>
                <w:sz w:val="21"/>
                <w:szCs w:val="21"/>
              </w:rPr>
            </w:pPr>
            <w:r>
              <w:rPr>
                <w:rFonts w:hint="eastAsia" w:ascii="Arial" w:hAnsi="Arial" w:cs="Arial"/>
                <w:sz w:val="21"/>
                <w:szCs w:val="21"/>
              </w:rPr>
              <w:t>35050161000700006536</w:t>
            </w:r>
          </w:p>
        </w:tc>
        <w:tc>
          <w:tcPr>
            <w:tcW w:w="1142" w:type="dxa"/>
            <w:vAlign w:val="center"/>
          </w:tcPr>
          <w:p>
            <w:pPr>
              <w:jc w:val="center"/>
              <w:textAlignment w:val="center"/>
              <w:rPr>
                <w:rFonts w:ascii="Arial" w:hAnsi="Arial" w:cs="Arial"/>
                <w:bCs/>
                <w:kern w:val="44"/>
                <w:sz w:val="21"/>
                <w:szCs w:val="21"/>
              </w:rPr>
            </w:pPr>
            <w:r>
              <w:rPr>
                <w:rFonts w:ascii="Arial" w:hAnsi="Arial" w:cs="Arial"/>
                <w:sz w:val="21"/>
                <w:szCs w:val="21"/>
                <w:lang w:bidi="ar"/>
              </w:rPr>
              <w:t>基本户</w:t>
            </w:r>
          </w:p>
        </w:tc>
        <w:tc>
          <w:tcPr>
            <w:tcW w:w="1702" w:type="dxa"/>
            <w:noWrap/>
            <w:vAlign w:val="center"/>
          </w:tcPr>
          <w:p>
            <w:pPr>
              <w:jc w:val="right"/>
              <w:textAlignment w:val="center"/>
              <w:rPr>
                <w:rFonts w:ascii="Arial" w:hAnsi="Arial" w:cs="Arial"/>
                <w:sz w:val="21"/>
                <w:szCs w:val="21"/>
                <w:lang w:bidi="ar"/>
              </w:rPr>
            </w:pPr>
            <w:r>
              <w:rPr>
                <w:rFonts w:hint="eastAsia" w:ascii="Arial" w:hAnsi="Arial" w:cs="Arial"/>
                <w:sz w:val="21"/>
                <w:szCs w:val="21"/>
              </w:rPr>
              <w:t>9,069,041.23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05" w:type="dxa"/>
            <w:noWrap/>
            <w:vAlign w:val="center"/>
          </w:tcPr>
          <w:p>
            <w:pPr>
              <w:jc w:val="center"/>
              <w:rPr>
                <w:rFonts w:ascii="Arial" w:hAnsi="Arial" w:cs="Arial"/>
                <w:b/>
                <w:bCs/>
                <w:sz w:val="21"/>
                <w:szCs w:val="21"/>
              </w:rPr>
            </w:pPr>
            <w:r>
              <w:rPr>
                <w:rFonts w:hint="eastAsia" w:ascii="Arial" w:hAnsi="Arial" w:cs="Arial"/>
                <w:b/>
                <w:bCs/>
                <w:sz w:val="21"/>
                <w:szCs w:val="21"/>
              </w:rPr>
              <w:t>2</w:t>
            </w:r>
          </w:p>
        </w:tc>
        <w:tc>
          <w:tcPr>
            <w:tcW w:w="3552" w:type="dxa"/>
            <w:noWrap/>
            <w:vAlign w:val="center"/>
          </w:tcPr>
          <w:p>
            <w:pPr>
              <w:jc w:val="center"/>
              <w:rPr>
                <w:rFonts w:ascii="Arial" w:hAnsi="Arial" w:cs="Arial"/>
                <w:sz w:val="21"/>
                <w:szCs w:val="21"/>
              </w:rPr>
            </w:pPr>
            <w:r>
              <w:rPr>
                <w:rFonts w:hint="eastAsia" w:ascii="Arial" w:hAnsi="Arial" w:cs="Arial"/>
                <w:sz w:val="21"/>
                <w:szCs w:val="21"/>
              </w:rPr>
              <w:t>兴业银行福州台江支行</w:t>
            </w:r>
          </w:p>
        </w:tc>
        <w:tc>
          <w:tcPr>
            <w:tcW w:w="2855" w:type="dxa"/>
            <w:noWrap/>
            <w:vAlign w:val="center"/>
          </w:tcPr>
          <w:p>
            <w:pPr>
              <w:jc w:val="center"/>
              <w:rPr>
                <w:rFonts w:ascii="Arial" w:hAnsi="Arial" w:cs="Arial"/>
                <w:sz w:val="21"/>
                <w:szCs w:val="21"/>
              </w:rPr>
            </w:pPr>
            <w:r>
              <w:rPr>
                <w:rFonts w:hint="eastAsia" w:ascii="Arial" w:hAnsi="Arial" w:cs="Arial"/>
                <w:sz w:val="21"/>
                <w:szCs w:val="21"/>
              </w:rPr>
              <w:t>117210100100211982</w:t>
            </w:r>
          </w:p>
        </w:tc>
        <w:tc>
          <w:tcPr>
            <w:tcW w:w="1142" w:type="dxa"/>
            <w:vAlign w:val="center"/>
          </w:tcPr>
          <w:p>
            <w:pPr>
              <w:jc w:val="center"/>
              <w:rPr>
                <w:rFonts w:ascii="Arial" w:hAnsi="Arial" w:cs="Arial"/>
                <w:sz w:val="21"/>
                <w:szCs w:val="21"/>
              </w:rPr>
            </w:pPr>
            <w:r>
              <w:rPr>
                <w:rFonts w:hint="eastAsia" w:ascii="Arial" w:hAnsi="Arial" w:cs="Arial"/>
                <w:sz w:val="21"/>
                <w:szCs w:val="21"/>
              </w:rPr>
              <w:t>一般户</w:t>
            </w:r>
          </w:p>
        </w:tc>
        <w:tc>
          <w:tcPr>
            <w:tcW w:w="1702" w:type="dxa"/>
            <w:noWrap/>
            <w:vAlign w:val="center"/>
          </w:tcPr>
          <w:p>
            <w:pPr>
              <w:jc w:val="right"/>
              <w:rPr>
                <w:rFonts w:ascii="Arial" w:hAnsi="Arial" w:cs="Arial"/>
                <w:sz w:val="21"/>
                <w:szCs w:val="21"/>
              </w:rPr>
            </w:pPr>
            <w:r>
              <w:rPr>
                <w:rFonts w:hint="eastAsia" w:ascii="Arial" w:hAnsi="Arial" w:cs="Arial"/>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05" w:type="dxa"/>
            <w:noWrap/>
            <w:vAlign w:val="center"/>
          </w:tcPr>
          <w:p>
            <w:pPr>
              <w:jc w:val="center"/>
              <w:rPr>
                <w:rFonts w:ascii="Arial" w:hAnsi="Arial" w:cs="Arial"/>
                <w:b/>
                <w:bCs/>
                <w:sz w:val="21"/>
                <w:szCs w:val="21"/>
              </w:rPr>
            </w:pPr>
            <w:r>
              <w:rPr>
                <w:rFonts w:hint="eastAsia" w:ascii="Arial" w:hAnsi="Arial" w:cs="Arial"/>
                <w:b/>
                <w:bCs/>
                <w:sz w:val="21"/>
                <w:szCs w:val="21"/>
              </w:rPr>
              <w:t>3</w:t>
            </w:r>
          </w:p>
        </w:tc>
        <w:tc>
          <w:tcPr>
            <w:tcW w:w="3552" w:type="dxa"/>
            <w:noWrap/>
            <w:vAlign w:val="center"/>
          </w:tcPr>
          <w:p>
            <w:pPr>
              <w:jc w:val="center"/>
              <w:rPr>
                <w:rFonts w:ascii="Arial" w:hAnsi="Arial" w:cs="Arial"/>
                <w:sz w:val="21"/>
                <w:szCs w:val="21"/>
              </w:rPr>
            </w:pPr>
            <w:r>
              <w:rPr>
                <w:rFonts w:hint="eastAsia" w:ascii="Arial" w:hAnsi="Arial" w:cs="Arial"/>
                <w:sz w:val="21"/>
                <w:szCs w:val="21"/>
              </w:rPr>
              <w:t>浙商银行福州分行营业部</w:t>
            </w:r>
          </w:p>
        </w:tc>
        <w:tc>
          <w:tcPr>
            <w:tcW w:w="2855" w:type="dxa"/>
            <w:noWrap/>
            <w:vAlign w:val="center"/>
          </w:tcPr>
          <w:p>
            <w:pPr>
              <w:jc w:val="center"/>
              <w:rPr>
                <w:rFonts w:ascii="Arial" w:hAnsi="Arial" w:cs="Arial"/>
                <w:sz w:val="21"/>
                <w:szCs w:val="21"/>
              </w:rPr>
            </w:pPr>
            <w:r>
              <w:rPr>
                <w:rFonts w:hint="eastAsia" w:ascii="Arial" w:hAnsi="Arial" w:cs="Arial"/>
                <w:sz w:val="21"/>
                <w:szCs w:val="21"/>
              </w:rPr>
              <w:t>3910000010120100023301</w:t>
            </w:r>
          </w:p>
        </w:tc>
        <w:tc>
          <w:tcPr>
            <w:tcW w:w="1142" w:type="dxa"/>
            <w:vAlign w:val="center"/>
          </w:tcPr>
          <w:p>
            <w:pPr>
              <w:jc w:val="center"/>
              <w:rPr>
                <w:rFonts w:ascii="Arial" w:hAnsi="Arial" w:cs="Arial"/>
                <w:sz w:val="21"/>
                <w:szCs w:val="21"/>
              </w:rPr>
            </w:pPr>
            <w:r>
              <w:rPr>
                <w:rFonts w:hint="eastAsia" w:ascii="Arial" w:hAnsi="Arial" w:cs="Arial"/>
                <w:sz w:val="21"/>
                <w:szCs w:val="21"/>
              </w:rPr>
              <w:t>一般户</w:t>
            </w:r>
          </w:p>
        </w:tc>
        <w:tc>
          <w:tcPr>
            <w:tcW w:w="1702" w:type="dxa"/>
            <w:noWrap/>
            <w:vAlign w:val="center"/>
          </w:tcPr>
          <w:p>
            <w:pPr>
              <w:jc w:val="right"/>
              <w:rPr>
                <w:rFonts w:ascii="Arial" w:hAnsi="Arial" w:cs="Arial"/>
                <w:sz w:val="21"/>
                <w:szCs w:val="21"/>
              </w:rPr>
            </w:pPr>
            <w:r>
              <w:rPr>
                <w:rFonts w:hint="eastAsia" w:ascii="Arial" w:hAnsi="Arial" w:cs="Arial"/>
                <w:sz w:val="21"/>
                <w:szCs w:val="21"/>
              </w:rPr>
              <w:t>462,745.12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05" w:type="dxa"/>
            <w:noWrap/>
            <w:vAlign w:val="center"/>
          </w:tcPr>
          <w:p>
            <w:pPr>
              <w:jc w:val="center"/>
              <w:rPr>
                <w:rFonts w:ascii="Arial" w:hAnsi="Arial" w:cs="Arial"/>
                <w:b/>
                <w:bCs/>
                <w:sz w:val="21"/>
                <w:szCs w:val="21"/>
              </w:rPr>
            </w:pPr>
            <w:r>
              <w:rPr>
                <w:rFonts w:hint="eastAsia" w:ascii="Arial" w:hAnsi="Arial" w:cs="Arial"/>
                <w:b/>
                <w:bCs/>
                <w:sz w:val="21"/>
                <w:szCs w:val="21"/>
              </w:rPr>
              <w:t>4</w:t>
            </w:r>
          </w:p>
        </w:tc>
        <w:tc>
          <w:tcPr>
            <w:tcW w:w="3552" w:type="dxa"/>
            <w:noWrap/>
            <w:vAlign w:val="center"/>
          </w:tcPr>
          <w:p>
            <w:pPr>
              <w:jc w:val="center"/>
              <w:rPr>
                <w:rFonts w:ascii="Arial" w:hAnsi="Arial" w:cs="Arial"/>
                <w:sz w:val="21"/>
                <w:szCs w:val="21"/>
              </w:rPr>
            </w:pPr>
            <w:r>
              <w:rPr>
                <w:rFonts w:hint="eastAsia" w:ascii="Arial" w:hAnsi="Arial" w:cs="Arial"/>
                <w:sz w:val="21"/>
                <w:szCs w:val="21"/>
              </w:rPr>
              <w:t>浙商银行福州分行营业部</w:t>
            </w:r>
          </w:p>
        </w:tc>
        <w:tc>
          <w:tcPr>
            <w:tcW w:w="2855" w:type="dxa"/>
            <w:noWrap/>
            <w:vAlign w:val="center"/>
          </w:tcPr>
          <w:p>
            <w:pPr>
              <w:jc w:val="center"/>
              <w:rPr>
                <w:rFonts w:ascii="Arial" w:hAnsi="Arial" w:cs="Arial"/>
                <w:sz w:val="21"/>
                <w:szCs w:val="21"/>
              </w:rPr>
            </w:pPr>
            <w:r>
              <w:rPr>
                <w:rFonts w:hint="eastAsia" w:ascii="Arial" w:hAnsi="Arial" w:cs="Arial"/>
                <w:sz w:val="21"/>
                <w:szCs w:val="21"/>
              </w:rPr>
              <w:t>3910000010121800015022</w:t>
            </w:r>
          </w:p>
        </w:tc>
        <w:tc>
          <w:tcPr>
            <w:tcW w:w="1142" w:type="dxa"/>
            <w:vAlign w:val="center"/>
          </w:tcPr>
          <w:p>
            <w:pPr>
              <w:jc w:val="center"/>
              <w:rPr>
                <w:rFonts w:ascii="Arial" w:hAnsi="Arial" w:cs="Arial"/>
                <w:sz w:val="21"/>
                <w:szCs w:val="21"/>
              </w:rPr>
            </w:pPr>
            <w:r>
              <w:rPr>
                <w:rFonts w:hint="eastAsia" w:ascii="Arial" w:hAnsi="Arial" w:cs="Arial"/>
                <w:sz w:val="21"/>
                <w:szCs w:val="21"/>
              </w:rPr>
              <w:t>保证金户</w:t>
            </w:r>
          </w:p>
        </w:tc>
        <w:tc>
          <w:tcPr>
            <w:tcW w:w="1702" w:type="dxa"/>
            <w:noWrap/>
            <w:vAlign w:val="center"/>
          </w:tcPr>
          <w:p>
            <w:pPr>
              <w:jc w:val="right"/>
              <w:rPr>
                <w:rFonts w:ascii="Arial" w:hAnsi="Arial" w:cs="Arial"/>
                <w:sz w:val="21"/>
                <w:szCs w:val="21"/>
              </w:rPr>
            </w:pPr>
            <w:r>
              <w:rPr>
                <w:rFonts w:hint="eastAsia" w:ascii="Arial" w:hAnsi="Arial" w:cs="Arial"/>
                <w:sz w:val="21"/>
                <w:szCs w:val="21"/>
              </w:rPr>
              <w:t>15,000,000.00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054" w:type="dxa"/>
            <w:gridSpan w:val="4"/>
            <w:noWrap/>
            <w:vAlign w:val="center"/>
          </w:tcPr>
          <w:p>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702" w:type="dxa"/>
            <w:noWrap/>
            <w:vAlign w:val="center"/>
          </w:tcPr>
          <w:p>
            <w:pPr>
              <w:jc w:val="right"/>
              <w:textAlignment w:val="center"/>
              <w:rPr>
                <w:rFonts w:ascii="Arial" w:hAnsi="Arial" w:cs="Arial"/>
                <w:b/>
                <w:bCs/>
                <w:sz w:val="21"/>
                <w:szCs w:val="21"/>
                <w:lang w:bidi="ar"/>
              </w:rPr>
            </w:pPr>
            <w:r>
              <w:rPr>
                <w:rFonts w:hint="eastAsia" w:ascii="Arial" w:hAnsi="Arial" w:cs="Arial"/>
                <w:b/>
                <w:bCs/>
                <w:sz w:val="21"/>
                <w:szCs w:val="21"/>
                <w:lang w:bidi="ar"/>
              </w:rPr>
              <w:t>24,531,786.35</w:t>
            </w:r>
          </w:p>
        </w:tc>
      </w:tr>
    </w:tbl>
    <w:p>
      <w:pPr>
        <w:jc w:val="center"/>
        <w:rPr>
          <w:rFonts w:ascii="Arial" w:hAnsi="Arial" w:cs="Arial"/>
          <w:b/>
          <w:bCs/>
          <w:color w:val="000000"/>
          <w:kern w:val="44"/>
          <w:sz w:val="21"/>
          <w:szCs w:val="21"/>
        </w:rPr>
      </w:pPr>
      <w:bookmarkStart w:id="15" w:name="_Toc25774"/>
      <w:bookmarkStart w:id="16" w:name="_Toc14920"/>
      <w:bookmarkStart w:id="17" w:name="_Toc19618"/>
      <w:bookmarkStart w:id="18" w:name="_Toc16398"/>
    </w:p>
    <w:p>
      <w:pPr>
        <w:jc w:val="center"/>
        <w:rPr>
          <w:rFonts w:ascii="Arial" w:hAnsi="Arial" w:cs="Arial"/>
          <w:b/>
          <w:color w:val="000000"/>
          <w:sz w:val="21"/>
          <w:szCs w:val="21"/>
        </w:rPr>
      </w:pPr>
      <w:r>
        <w:rPr>
          <w:rFonts w:ascii="Arial" w:hAnsi="Arial" w:cs="Arial"/>
          <w:b/>
          <w:color w:val="000000"/>
          <w:sz w:val="21"/>
          <w:szCs w:val="21"/>
        </w:rPr>
        <w:t>截至2021年</w:t>
      </w:r>
      <w:r>
        <w:rPr>
          <w:rFonts w:hint="eastAsia" w:ascii="Arial" w:hAnsi="Arial" w:cs="Arial"/>
          <w:b/>
          <w:color w:val="000000"/>
          <w:sz w:val="21"/>
          <w:szCs w:val="21"/>
        </w:rPr>
        <w:t>9</w:t>
      </w:r>
      <w:r>
        <w:rPr>
          <w:rFonts w:ascii="Arial" w:hAnsi="Arial" w:cs="Arial"/>
          <w:b/>
          <w:color w:val="000000"/>
          <w:sz w:val="21"/>
          <w:szCs w:val="21"/>
        </w:rPr>
        <w:t>月3</w:t>
      </w:r>
      <w:r>
        <w:rPr>
          <w:rFonts w:hint="eastAsia" w:ascii="Arial" w:hAnsi="Arial" w:cs="Arial"/>
          <w:b/>
          <w:color w:val="000000"/>
          <w:sz w:val="21"/>
          <w:szCs w:val="21"/>
        </w:rPr>
        <w:t>0</w:t>
      </w:r>
      <w:r>
        <w:rPr>
          <w:rFonts w:ascii="Arial" w:hAnsi="Arial" w:cs="Arial"/>
          <w:b/>
          <w:color w:val="000000"/>
          <w:sz w:val="21"/>
          <w:szCs w:val="21"/>
        </w:rPr>
        <w:t>日SPV公司银行账户余额表</w:t>
      </w:r>
    </w:p>
    <w:tbl>
      <w:tblPr>
        <w:tblStyle w:val="18"/>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317"/>
        <w:gridCol w:w="2863"/>
        <w:gridCol w:w="1106"/>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68" w:type="dxa"/>
            <w:noWrap/>
            <w:vAlign w:val="center"/>
          </w:tcPr>
          <w:p>
            <w:pPr>
              <w:jc w:val="center"/>
              <w:rPr>
                <w:rFonts w:ascii="Arial" w:hAnsi="Arial" w:cs="Arial"/>
                <w:b/>
                <w:sz w:val="21"/>
                <w:szCs w:val="21"/>
              </w:rPr>
            </w:pPr>
            <w:r>
              <w:rPr>
                <w:rFonts w:ascii="Arial" w:hAnsi="Arial" w:cs="Arial"/>
                <w:b/>
                <w:sz w:val="21"/>
                <w:szCs w:val="21"/>
              </w:rPr>
              <w:t>序号</w:t>
            </w:r>
          </w:p>
        </w:tc>
        <w:tc>
          <w:tcPr>
            <w:tcW w:w="3317" w:type="dxa"/>
            <w:noWrap/>
            <w:vAlign w:val="center"/>
          </w:tcPr>
          <w:p>
            <w:pPr>
              <w:jc w:val="center"/>
              <w:rPr>
                <w:rFonts w:ascii="Arial" w:hAnsi="Arial" w:cs="Arial"/>
                <w:b/>
                <w:sz w:val="21"/>
                <w:szCs w:val="21"/>
              </w:rPr>
            </w:pPr>
            <w:r>
              <w:rPr>
                <w:rFonts w:ascii="Arial" w:hAnsi="Arial" w:cs="Arial"/>
                <w:b/>
                <w:sz w:val="21"/>
                <w:szCs w:val="21"/>
              </w:rPr>
              <w:t>开户行</w:t>
            </w:r>
          </w:p>
        </w:tc>
        <w:tc>
          <w:tcPr>
            <w:tcW w:w="2863" w:type="dxa"/>
            <w:noWrap/>
            <w:vAlign w:val="center"/>
          </w:tcPr>
          <w:p>
            <w:pPr>
              <w:jc w:val="center"/>
              <w:rPr>
                <w:rFonts w:ascii="Arial" w:hAnsi="Arial" w:cs="Arial"/>
                <w:b/>
                <w:sz w:val="21"/>
                <w:szCs w:val="21"/>
              </w:rPr>
            </w:pPr>
            <w:r>
              <w:rPr>
                <w:rFonts w:ascii="Arial" w:hAnsi="Arial" w:cs="Arial"/>
                <w:b/>
                <w:sz w:val="21"/>
                <w:szCs w:val="21"/>
              </w:rPr>
              <w:t>账号</w:t>
            </w:r>
          </w:p>
        </w:tc>
        <w:tc>
          <w:tcPr>
            <w:tcW w:w="1106" w:type="dxa"/>
            <w:vAlign w:val="center"/>
          </w:tcPr>
          <w:p>
            <w:pPr>
              <w:jc w:val="center"/>
              <w:rPr>
                <w:rFonts w:ascii="Arial" w:hAnsi="Arial" w:cs="Arial"/>
                <w:b/>
                <w:sz w:val="21"/>
                <w:szCs w:val="21"/>
              </w:rPr>
            </w:pPr>
            <w:r>
              <w:rPr>
                <w:rFonts w:ascii="Arial" w:hAnsi="Arial" w:cs="Arial"/>
                <w:b/>
                <w:sz w:val="21"/>
                <w:szCs w:val="21"/>
              </w:rPr>
              <w:t>账户性质</w:t>
            </w:r>
          </w:p>
        </w:tc>
        <w:tc>
          <w:tcPr>
            <w:tcW w:w="1702" w:type="dxa"/>
            <w:noWrap/>
            <w:vAlign w:val="center"/>
          </w:tcPr>
          <w:p>
            <w:pPr>
              <w:jc w:val="center"/>
              <w:rPr>
                <w:rFonts w:ascii="Arial" w:hAnsi="Arial" w:cs="Arial"/>
                <w:b/>
                <w:sz w:val="21"/>
                <w:szCs w:val="21"/>
              </w:rPr>
            </w:pPr>
            <w:r>
              <w:rPr>
                <w:rFonts w:ascii="Arial" w:hAnsi="Arial" w:cs="Arial"/>
                <w:b/>
                <w:sz w:val="21"/>
                <w:szCs w:val="21"/>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68" w:type="dxa"/>
            <w:noWrap/>
            <w:vAlign w:val="center"/>
          </w:tcPr>
          <w:p>
            <w:pPr>
              <w:jc w:val="center"/>
              <w:rPr>
                <w:rFonts w:ascii="Arial" w:hAnsi="Arial" w:cs="Arial"/>
                <w:b/>
                <w:bCs/>
                <w:sz w:val="21"/>
                <w:szCs w:val="21"/>
              </w:rPr>
            </w:pPr>
            <w:r>
              <w:rPr>
                <w:rFonts w:ascii="Arial" w:hAnsi="Arial" w:cs="Arial"/>
                <w:b/>
                <w:bCs/>
                <w:sz w:val="21"/>
                <w:szCs w:val="21"/>
              </w:rPr>
              <w:t>1</w:t>
            </w:r>
          </w:p>
        </w:tc>
        <w:tc>
          <w:tcPr>
            <w:tcW w:w="3317" w:type="dxa"/>
            <w:noWrap/>
            <w:vAlign w:val="center"/>
          </w:tcPr>
          <w:p>
            <w:pPr>
              <w:jc w:val="center"/>
              <w:rPr>
                <w:rFonts w:ascii="Arial" w:hAnsi="Arial" w:cs="Arial"/>
                <w:sz w:val="21"/>
                <w:szCs w:val="21"/>
              </w:rPr>
            </w:pPr>
            <w:r>
              <w:rPr>
                <w:rFonts w:ascii="Arial" w:hAnsi="Arial" w:cs="Arial"/>
                <w:sz w:val="21"/>
                <w:szCs w:val="21"/>
              </w:rPr>
              <w:t>中国建设银行股份有限公司福州金融街支行</w:t>
            </w:r>
          </w:p>
        </w:tc>
        <w:tc>
          <w:tcPr>
            <w:tcW w:w="2863" w:type="dxa"/>
            <w:noWrap/>
            <w:vAlign w:val="center"/>
          </w:tcPr>
          <w:p>
            <w:pPr>
              <w:pStyle w:val="2"/>
              <w:ind w:firstLine="0" w:firstLineChars="0"/>
              <w:jc w:val="center"/>
            </w:pPr>
            <w:r>
              <w:rPr>
                <w:rFonts w:hint="eastAsia" w:ascii="Arial" w:hAnsi="Arial" w:cs="Arial"/>
                <w:kern w:val="0"/>
                <w:szCs w:val="21"/>
              </w:rPr>
              <w:t>35050188740700001328</w:t>
            </w:r>
          </w:p>
        </w:tc>
        <w:tc>
          <w:tcPr>
            <w:tcW w:w="1106" w:type="dxa"/>
            <w:vAlign w:val="center"/>
          </w:tcPr>
          <w:p>
            <w:pPr>
              <w:jc w:val="center"/>
              <w:textAlignment w:val="center"/>
              <w:rPr>
                <w:rFonts w:ascii="Arial" w:hAnsi="Arial" w:cs="Arial"/>
                <w:bCs/>
                <w:kern w:val="44"/>
                <w:sz w:val="21"/>
                <w:szCs w:val="21"/>
              </w:rPr>
            </w:pPr>
            <w:r>
              <w:rPr>
                <w:rFonts w:ascii="Arial" w:hAnsi="Arial" w:cs="Arial"/>
                <w:sz w:val="21"/>
                <w:szCs w:val="21"/>
                <w:lang w:bidi="ar"/>
              </w:rPr>
              <w:t>基本户</w:t>
            </w:r>
          </w:p>
        </w:tc>
        <w:tc>
          <w:tcPr>
            <w:tcW w:w="1702" w:type="dxa"/>
            <w:noWrap/>
            <w:vAlign w:val="center"/>
          </w:tcPr>
          <w:p>
            <w:pPr>
              <w:jc w:val="right"/>
              <w:textAlignment w:val="center"/>
              <w:rPr>
                <w:rFonts w:ascii="Arial" w:hAnsi="Arial" w:cs="Arial"/>
                <w:sz w:val="21"/>
                <w:szCs w:val="21"/>
                <w:lang w:bidi="ar"/>
              </w:rPr>
            </w:pPr>
            <w:r>
              <w:rPr>
                <w:rFonts w:hint="eastAsia" w:ascii="Arial" w:hAnsi="Arial" w:cs="Arial"/>
                <w:sz w:val="21"/>
                <w:szCs w:val="21"/>
              </w:rPr>
              <w:t>76,496.05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54" w:type="dxa"/>
            <w:gridSpan w:val="4"/>
            <w:noWrap/>
            <w:vAlign w:val="center"/>
          </w:tcPr>
          <w:p>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702" w:type="dxa"/>
            <w:noWrap/>
            <w:vAlign w:val="center"/>
          </w:tcPr>
          <w:p>
            <w:pPr>
              <w:jc w:val="right"/>
              <w:textAlignment w:val="center"/>
              <w:rPr>
                <w:rFonts w:ascii="Arial" w:hAnsi="Arial" w:cs="Arial"/>
                <w:b/>
                <w:bCs/>
                <w:sz w:val="21"/>
                <w:szCs w:val="21"/>
              </w:rPr>
            </w:pPr>
            <w:r>
              <w:rPr>
                <w:rFonts w:hint="eastAsia" w:ascii="Arial" w:hAnsi="Arial" w:cs="Arial"/>
                <w:b/>
                <w:bCs/>
                <w:sz w:val="21"/>
                <w:szCs w:val="21"/>
              </w:rPr>
              <w:t>76,496.05</w:t>
            </w:r>
          </w:p>
        </w:tc>
      </w:tr>
      <w:bookmarkEnd w:id="15"/>
      <w:bookmarkEnd w:id="16"/>
      <w:bookmarkEnd w:id="17"/>
      <w:bookmarkEnd w:id="18"/>
    </w:tbl>
    <w:p>
      <w:pPr>
        <w:pStyle w:val="3"/>
        <w:rPr>
          <w:rFonts w:cs="Arial"/>
        </w:rPr>
      </w:pPr>
      <w:bookmarkStart w:id="19" w:name="_Toc69160061"/>
      <w:bookmarkStart w:id="20" w:name="_Toc25926"/>
      <w:r>
        <w:rPr>
          <w:rFonts w:cs="Arial"/>
        </w:rPr>
        <w:t>八、资金收支情况</w:t>
      </w:r>
      <w:bookmarkEnd w:id="19"/>
      <w:bookmarkEnd w:id="20"/>
    </w:p>
    <w:p>
      <w:pPr>
        <w:spacing w:line="360" w:lineRule="auto"/>
        <w:rPr>
          <w:rFonts w:ascii="Arial" w:hAnsi="Arial" w:cs="Arial"/>
          <w:b/>
        </w:rPr>
      </w:pPr>
      <w:r>
        <w:rPr>
          <w:rFonts w:ascii="Arial" w:hAnsi="Arial" w:cs="Arial"/>
          <w:b/>
        </w:rPr>
        <w:t>8.1资金收入</w:t>
      </w:r>
    </w:p>
    <w:p>
      <w:pPr>
        <w:jc w:val="center"/>
        <w:rPr>
          <w:rFonts w:ascii="Arial" w:hAnsi="Arial" w:cs="Arial"/>
          <w:b/>
          <w:color w:val="000000"/>
          <w:sz w:val="21"/>
          <w:szCs w:val="21"/>
        </w:rPr>
      </w:pPr>
      <w:r>
        <w:rPr>
          <w:rFonts w:ascii="Arial" w:hAnsi="Arial" w:cs="Arial"/>
          <w:b/>
          <w:color w:val="000000"/>
          <w:sz w:val="21"/>
          <w:szCs w:val="21"/>
        </w:rPr>
        <w:t>项目公司资金流入情况表</w:t>
      </w:r>
    </w:p>
    <w:tbl>
      <w:tblPr>
        <w:tblStyle w:val="19"/>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372"/>
        <w:gridCol w:w="2438"/>
        <w:gridCol w:w="1590"/>
        <w:gridCol w:w="2052"/>
        <w:gridCol w:w="1092"/>
        <w:gridCol w:w="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551" w:type="dxa"/>
            <w:vAlign w:val="center"/>
          </w:tcPr>
          <w:p>
            <w:pPr>
              <w:jc w:val="center"/>
              <w:rPr>
                <w:rFonts w:ascii="Arial" w:hAnsi="Arial" w:cs="Arial"/>
                <w:b/>
                <w:kern w:val="44"/>
                <w:sz w:val="21"/>
                <w:szCs w:val="21"/>
              </w:rPr>
            </w:pPr>
            <w:r>
              <w:rPr>
                <w:rFonts w:ascii="Arial" w:hAnsi="Arial" w:cs="Arial"/>
                <w:b/>
                <w:kern w:val="44"/>
                <w:sz w:val="21"/>
                <w:szCs w:val="21"/>
              </w:rPr>
              <w:t>序号</w:t>
            </w:r>
          </w:p>
        </w:tc>
        <w:tc>
          <w:tcPr>
            <w:tcW w:w="1372" w:type="dxa"/>
            <w:vAlign w:val="center"/>
          </w:tcPr>
          <w:p>
            <w:pPr>
              <w:jc w:val="center"/>
              <w:rPr>
                <w:rFonts w:ascii="Arial" w:hAnsi="Arial" w:cs="Arial"/>
                <w:b/>
                <w:sz w:val="21"/>
                <w:szCs w:val="21"/>
              </w:rPr>
            </w:pPr>
            <w:r>
              <w:rPr>
                <w:rFonts w:ascii="Arial" w:hAnsi="Arial" w:cs="Arial"/>
                <w:b/>
                <w:sz w:val="21"/>
                <w:szCs w:val="21"/>
              </w:rPr>
              <w:t>收款时间</w:t>
            </w:r>
          </w:p>
        </w:tc>
        <w:tc>
          <w:tcPr>
            <w:tcW w:w="2438" w:type="dxa"/>
            <w:vAlign w:val="center"/>
          </w:tcPr>
          <w:p>
            <w:pPr>
              <w:jc w:val="center"/>
              <w:rPr>
                <w:rFonts w:ascii="Arial" w:hAnsi="Arial" w:cs="Arial"/>
                <w:b/>
                <w:bCs/>
                <w:sz w:val="21"/>
                <w:szCs w:val="21"/>
              </w:rPr>
            </w:pPr>
            <w:r>
              <w:rPr>
                <w:rFonts w:ascii="Arial" w:hAnsi="Arial" w:cs="Arial"/>
                <w:b/>
                <w:bCs/>
                <w:sz w:val="21"/>
                <w:szCs w:val="21"/>
              </w:rPr>
              <w:t>付款方</w:t>
            </w:r>
          </w:p>
        </w:tc>
        <w:tc>
          <w:tcPr>
            <w:tcW w:w="1590" w:type="dxa"/>
            <w:vAlign w:val="center"/>
          </w:tcPr>
          <w:p>
            <w:pPr>
              <w:jc w:val="center"/>
              <w:rPr>
                <w:rFonts w:ascii="Arial" w:hAnsi="Arial" w:cs="Arial"/>
                <w:b/>
                <w:bCs/>
                <w:sz w:val="21"/>
                <w:szCs w:val="21"/>
              </w:rPr>
            </w:pPr>
            <w:r>
              <w:rPr>
                <w:rFonts w:ascii="Arial" w:hAnsi="Arial" w:cs="Arial"/>
                <w:b/>
                <w:bCs/>
                <w:sz w:val="21"/>
                <w:szCs w:val="21"/>
              </w:rPr>
              <w:t>资金用途</w:t>
            </w:r>
          </w:p>
        </w:tc>
        <w:tc>
          <w:tcPr>
            <w:tcW w:w="2052" w:type="dxa"/>
            <w:vAlign w:val="center"/>
          </w:tcPr>
          <w:p>
            <w:pPr>
              <w:jc w:val="center"/>
              <w:rPr>
                <w:rFonts w:ascii="Arial" w:hAnsi="Arial" w:cs="Arial"/>
                <w:b/>
                <w:bCs/>
                <w:sz w:val="21"/>
                <w:szCs w:val="21"/>
              </w:rPr>
            </w:pPr>
            <w:r>
              <w:rPr>
                <w:rFonts w:ascii="Arial" w:hAnsi="Arial" w:cs="Arial"/>
                <w:b/>
                <w:bCs/>
                <w:sz w:val="21"/>
                <w:szCs w:val="21"/>
              </w:rPr>
              <w:t>金额（元）</w:t>
            </w:r>
          </w:p>
        </w:tc>
        <w:tc>
          <w:tcPr>
            <w:tcW w:w="1092" w:type="dxa"/>
            <w:vAlign w:val="center"/>
          </w:tcPr>
          <w:p>
            <w:pPr>
              <w:jc w:val="center"/>
              <w:rPr>
                <w:rFonts w:ascii="Arial" w:hAnsi="Arial" w:cs="Arial"/>
                <w:b/>
                <w:bCs/>
                <w:sz w:val="21"/>
                <w:szCs w:val="21"/>
              </w:rPr>
            </w:pPr>
            <w:r>
              <w:rPr>
                <w:rFonts w:ascii="Arial" w:hAnsi="Arial" w:cs="Arial"/>
                <w:b/>
                <w:bCs/>
                <w:sz w:val="21"/>
                <w:szCs w:val="21"/>
              </w:rPr>
              <w:t>收款行</w:t>
            </w:r>
          </w:p>
        </w:tc>
        <w:tc>
          <w:tcPr>
            <w:tcW w:w="419" w:type="dxa"/>
            <w:vAlign w:val="center"/>
          </w:tcPr>
          <w:p>
            <w:pPr>
              <w:jc w:val="center"/>
              <w:rPr>
                <w:rFonts w:ascii="Arial" w:hAnsi="Arial" w:cs="Arial"/>
                <w:b/>
                <w:bCs/>
                <w:sz w:val="21"/>
                <w:szCs w:val="21"/>
              </w:rPr>
            </w:pPr>
            <w:r>
              <w:rPr>
                <w:rFonts w:ascii="Arial" w:hAnsi="Arial" w:cs="Arial"/>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551" w:type="dxa"/>
            <w:vAlign w:val="center"/>
          </w:tcPr>
          <w:p>
            <w:pPr>
              <w:jc w:val="center"/>
              <w:textAlignment w:val="center"/>
              <w:rPr>
                <w:rFonts w:ascii="Arial" w:hAnsi="Arial" w:cs="Arial"/>
                <w:sz w:val="21"/>
                <w:szCs w:val="21"/>
                <w:lang w:bidi="ar"/>
              </w:rPr>
            </w:pPr>
            <w:r>
              <w:rPr>
                <w:rFonts w:ascii="Arial" w:hAnsi="Arial" w:cs="Arial"/>
                <w:sz w:val="21"/>
                <w:szCs w:val="21"/>
                <w:lang w:bidi="ar"/>
              </w:rPr>
              <w:t xml:space="preserve">1 </w:t>
            </w:r>
          </w:p>
        </w:tc>
        <w:tc>
          <w:tcPr>
            <w:tcW w:w="1372" w:type="dxa"/>
            <w:vAlign w:val="center"/>
          </w:tcPr>
          <w:p>
            <w:pPr>
              <w:jc w:val="center"/>
              <w:textAlignment w:val="center"/>
              <w:rPr>
                <w:rFonts w:ascii="Arial" w:hAnsi="Arial" w:cs="Arial"/>
                <w:sz w:val="21"/>
                <w:szCs w:val="21"/>
              </w:rPr>
            </w:pPr>
            <w:r>
              <w:rPr>
                <w:rFonts w:ascii="Arial" w:hAnsi="Arial" w:cs="Arial"/>
                <w:sz w:val="21"/>
                <w:szCs w:val="21"/>
                <w:lang w:bidi="ar"/>
              </w:rPr>
              <w:t>2021/9/21</w:t>
            </w:r>
          </w:p>
        </w:tc>
        <w:tc>
          <w:tcPr>
            <w:tcW w:w="2438" w:type="dxa"/>
            <w:vAlign w:val="center"/>
          </w:tcPr>
          <w:p>
            <w:pPr>
              <w:jc w:val="center"/>
              <w:textAlignment w:val="center"/>
              <w:rPr>
                <w:rFonts w:ascii="Arial" w:hAnsi="Arial" w:cs="Arial"/>
                <w:sz w:val="21"/>
                <w:szCs w:val="21"/>
              </w:rPr>
            </w:pPr>
            <w:r>
              <w:rPr>
                <w:rFonts w:ascii="Arial" w:hAnsi="Arial" w:cs="Arial"/>
                <w:sz w:val="21"/>
                <w:szCs w:val="21"/>
                <w:lang w:bidi="ar"/>
              </w:rPr>
              <w:t>中国建设银行</w:t>
            </w:r>
          </w:p>
        </w:tc>
        <w:tc>
          <w:tcPr>
            <w:tcW w:w="1590" w:type="dxa"/>
            <w:vAlign w:val="center"/>
          </w:tcPr>
          <w:p>
            <w:pPr>
              <w:textAlignment w:val="center"/>
              <w:rPr>
                <w:rFonts w:ascii="Arial" w:hAnsi="Arial" w:cs="Arial"/>
                <w:sz w:val="21"/>
                <w:szCs w:val="21"/>
              </w:rPr>
            </w:pPr>
            <w:r>
              <w:rPr>
                <w:rFonts w:ascii="Arial" w:hAnsi="Arial" w:cs="Arial"/>
                <w:sz w:val="21"/>
                <w:szCs w:val="21"/>
                <w:lang w:bidi="ar"/>
              </w:rPr>
              <w:t>结息</w:t>
            </w:r>
          </w:p>
        </w:tc>
        <w:tc>
          <w:tcPr>
            <w:tcW w:w="2052" w:type="dxa"/>
            <w:vAlign w:val="center"/>
          </w:tcPr>
          <w:p>
            <w:pPr>
              <w:jc w:val="right"/>
              <w:textAlignment w:val="center"/>
              <w:rPr>
                <w:rFonts w:ascii="Arial" w:hAnsi="Arial" w:cs="Arial"/>
                <w:sz w:val="21"/>
                <w:szCs w:val="21"/>
              </w:rPr>
            </w:pPr>
            <w:r>
              <w:rPr>
                <w:rFonts w:ascii="Arial" w:hAnsi="Arial" w:cs="Arial"/>
                <w:sz w:val="21"/>
                <w:szCs w:val="21"/>
                <w:lang w:bidi="ar"/>
              </w:rPr>
              <w:t xml:space="preserve">20,412.87 </w:t>
            </w:r>
          </w:p>
        </w:tc>
        <w:tc>
          <w:tcPr>
            <w:tcW w:w="1092" w:type="dxa"/>
            <w:vAlign w:val="center"/>
          </w:tcPr>
          <w:p>
            <w:pPr>
              <w:jc w:val="center"/>
              <w:textAlignment w:val="center"/>
              <w:rPr>
                <w:rFonts w:ascii="Arial" w:hAnsi="Arial" w:cs="Arial"/>
                <w:sz w:val="21"/>
                <w:szCs w:val="21"/>
                <w:lang w:bidi="ar"/>
              </w:rPr>
            </w:pPr>
            <w:r>
              <w:rPr>
                <w:rFonts w:ascii="Arial" w:hAnsi="Arial" w:cs="Arial"/>
                <w:sz w:val="21"/>
                <w:szCs w:val="21"/>
                <w:lang w:bidi="ar"/>
              </w:rPr>
              <w:t>建设银行</w:t>
            </w:r>
          </w:p>
        </w:tc>
        <w:tc>
          <w:tcPr>
            <w:tcW w:w="419" w:type="dxa"/>
            <w:vAlign w:val="center"/>
          </w:tcPr>
          <w:p>
            <w:pPr>
              <w:rPr>
                <w:rFonts w:ascii="Arial" w:hAnsi="Arial" w:cs="Arial"/>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1" w:type="dxa"/>
            <w:vAlign w:val="center"/>
          </w:tcPr>
          <w:p>
            <w:pPr>
              <w:jc w:val="center"/>
              <w:textAlignment w:val="center"/>
              <w:rPr>
                <w:rFonts w:ascii="Arial" w:hAnsi="Arial" w:cs="Arial"/>
                <w:sz w:val="21"/>
                <w:szCs w:val="21"/>
                <w:lang w:bidi="ar"/>
              </w:rPr>
            </w:pPr>
            <w:r>
              <w:rPr>
                <w:rFonts w:ascii="Arial" w:hAnsi="Arial" w:cs="Arial"/>
                <w:sz w:val="21"/>
                <w:szCs w:val="21"/>
                <w:lang w:bidi="ar"/>
              </w:rPr>
              <w:t>2</w:t>
            </w:r>
          </w:p>
        </w:tc>
        <w:tc>
          <w:tcPr>
            <w:tcW w:w="1372" w:type="dxa"/>
            <w:vAlign w:val="center"/>
          </w:tcPr>
          <w:p>
            <w:pPr>
              <w:jc w:val="center"/>
              <w:textAlignment w:val="center"/>
              <w:rPr>
                <w:rFonts w:ascii="Arial" w:hAnsi="Arial" w:cs="Arial"/>
                <w:sz w:val="21"/>
                <w:szCs w:val="21"/>
                <w:lang w:bidi="ar"/>
              </w:rPr>
            </w:pPr>
            <w:r>
              <w:rPr>
                <w:rFonts w:ascii="Arial" w:hAnsi="Arial" w:cs="Arial"/>
                <w:sz w:val="21"/>
                <w:szCs w:val="21"/>
                <w:lang w:bidi="ar"/>
              </w:rPr>
              <w:t>2021/9/21</w:t>
            </w:r>
          </w:p>
        </w:tc>
        <w:tc>
          <w:tcPr>
            <w:tcW w:w="2438" w:type="dxa"/>
            <w:vAlign w:val="center"/>
          </w:tcPr>
          <w:p>
            <w:pPr>
              <w:jc w:val="center"/>
              <w:textAlignment w:val="center"/>
              <w:rPr>
                <w:rFonts w:ascii="Arial" w:hAnsi="Arial" w:cs="Arial"/>
                <w:sz w:val="21"/>
                <w:szCs w:val="21"/>
                <w:lang w:bidi="ar"/>
              </w:rPr>
            </w:pPr>
            <w:r>
              <w:rPr>
                <w:rFonts w:ascii="Arial" w:hAnsi="Arial" w:cs="Arial"/>
                <w:sz w:val="21"/>
                <w:szCs w:val="21"/>
                <w:lang w:bidi="ar"/>
              </w:rPr>
              <w:t>浙商银行</w:t>
            </w:r>
          </w:p>
        </w:tc>
        <w:tc>
          <w:tcPr>
            <w:tcW w:w="1590" w:type="dxa"/>
            <w:vAlign w:val="center"/>
          </w:tcPr>
          <w:p>
            <w:pPr>
              <w:textAlignment w:val="center"/>
              <w:rPr>
                <w:rFonts w:ascii="Arial" w:hAnsi="Arial" w:cs="Arial"/>
                <w:sz w:val="21"/>
                <w:szCs w:val="21"/>
                <w:lang w:bidi="ar"/>
              </w:rPr>
            </w:pPr>
            <w:r>
              <w:rPr>
                <w:rFonts w:ascii="Arial" w:hAnsi="Arial" w:cs="Arial"/>
                <w:sz w:val="21"/>
                <w:szCs w:val="21"/>
                <w:lang w:bidi="ar"/>
              </w:rPr>
              <w:t>结息</w:t>
            </w:r>
          </w:p>
        </w:tc>
        <w:tc>
          <w:tcPr>
            <w:tcW w:w="2052" w:type="dxa"/>
            <w:vAlign w:val="center"/>
          </w:tcPr>
          <w:p>
            <w:pPr>
              <w:jc w:val="right"/>
              <w:textAlignment w:val="center"/>
              <w:rPr>
                <w:rFonts w:ascii="Arial" w:hAnsi="Arial" w:cs="Arial"/>
                <w:sz w:val="21"/>
                <w:szCs w:val="21"/>
                <w:lang w:bidi="ar"/>
              </w:rPr>
            </w:pPr>
            <w:r>
              <w:rPr>
                <w:rFonts w:ascii="Arial" w:hAnsi="Arial" w:cs="Arial"/>
                <w:sz w:val="21"/>
                <w:szCs w:val="21"/>
                <w:lang w:bidi="ar"/>
              </w:rPr>
              <w:t xml:space="preserve">245.12 </w:t>
            </w:r>
          </w:p>
        </w:tc>
        <w:tc>
          <w:tcPr>
            <w:tcW w:w="1092" w:type="dxa"/>
            <w:vAlign w:val="center"/>
          </w:tcPr>
          <w:p>
            <w:pPr>
              <w:jc w:val="center"/>
              <w:textAlignment w:val="center"/>
              <w:rPr>
                <w:rFonts w:ascii="Arial" w:hAnsi="Arial" w:cs="Arial"/>
                <w:sz w:val="21"/>
                <w:szCs w:val="21"/>
                <w:lang w:bidi="ar"/>
              </w:rPr>
            </w:pPr>
            <w:r>
              <w:rPr>
                <w:rFonts w:ascii="Arial" w:hAnsi="Arial" w:cs="Arial"/>
                <w:sz w:val="21"/>
                <w:szCs w:val="21"/>
                <w:lang w:bidi="ar"/>
              </w:rPr>
              <w:t>浙商银行</w:t>
            </w:r>
          </w:p>
        </w:tc>
        <w:tc>
          <w:tcPr>
            <w:tcW w:w="419" w:type="dxa"/>
            <w:vAlign w:val="center"/>
          </w:tcPr>
          <w:p>
            <w:pPr>
              <w:rPr>
                <w:rFonts w:ascii="Arial" w:hAnsi="Arial" w:cs="Arial"/>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951" w:type="dxa"/>
            <w:gridSpan w:val="4"/>
            <w:vAlign w:val="center"/>
          </w:tcPr>
          <w:p>
            <w:pPr>
              <w:jc w:val="center"/>
              <w:textAlignment w:val="center"/>
              <w:rPr>
                <w:rFonts w:ascii="Arial" w:hAnsi="Arial" w:cs="Arial"/>
                <w:sz w:val="21"/>
                <w:szCs w:val="21"/>
                <w:lang w:bidi="ar"/>
              </w:rPr>
            </w:pPr>
            <w:r>
              <w:rPr>
                <w:rFonts w:ascii="Arial" w:hAnsi="Arial" w:cs="Arial"/>
                <w:b/>
                <w:bCs/>
                <w:sz w:val="21"/>
                <w:szCs w:val="21"/>
                <w:lang w:bidi="ar"/>
              </w:rPr>
              <w:t>合计</w:t>
            </w:r>
          </w:p>
        </w:tc>
        <w:tc>
          <w:tcPr>
            <w:tcW w:w="2052" w:type="dxa"/>
            <w:vAlign w:val="center"/>
          </w:tcPr>
          <w:p>
            <w:pPr>
              <w:jc w:val="right"/>
              <w:textAlignment w:val="center"/>
              <w:rPr>
                <w:rFonts w:ascii="宋体" w:hAnsi="宋体" w:cs="宋体"/>
                <w:color w:val="000000"/>
                <w:sz w:val="20"/>
                <w:szCs w:val="20"/>
              </w:rPr>
            </w:pPr>
            <w:r>
              <w:rPr>
                <w:rFonts w:hint="eastAsia" w:ascii="Arial" w:hAnsi="Arial" w:cs="Arial"/>
                <w:sz w:val="21"/>
                <w:szCs w:val="21"/>
                <w:lang w:bidi="ar"/>
              </w:rPr>
              <w:t>20,657.99</w:t>
            </w:r>
            <w:r>
              <w:rPr>
                <w:rFonts w:hint="eastAsia" w:ascii="宋体" w:hAnsi="宋体" w:cs="宋体"/>
                <w:color w:val="000000"/>
                <w:sz w:val="20"/>
                <w:szCs w:val="20"/>
                <w:lang w:bidi="ar"/>
              </w:rPr>
              <w:t xml:space="preserve"> </w:t>
            </w:r>
          </w:p>
        </w:tc>
        <w:tc>
          <w:tcPr>
            <w:tcW w:w="1092" w:type="dxa"/>
            <w:vAlign w:val="center"/>
          </w:tcPr>
          <w:p>
            <w:pPr>
              <w:jc w:val="center"/>
              <w:textAlignment w:val="center"/>
              <w:rPr>
                <w:rFonts w:ascii="Arial" w:hAnsi="Arial" w:cs="Arial"/>
                <w:sz w:val="21"/>
                <w:szCs w:val="21"/>
                <w:lang w:bidi="ar"/>
              </w:rPr>
            </w:pPr>
            <w:r>
              <w:rPr>
                <w:rFonts w:ascii="Arial" w:hAnsi="Arial" w:cs="Arial"/>
                <w:b/>
                <w:bCs/>
                <w:sz w:val="21"/>
                <w:szCs w:val="21"/>
              </w:rPr>
              <w:t>——</w:t>
            </w:r>
          </w:p>
        </w:tc>
        <w:tc>
          <w:tcPr>
            <w:tcW w:w="419" w:type="dxa"/>
            <w:vAlign w:val="center"/>
          </w:tcPr>
          <w:p>
            <w:pPr>
              <w:jc w:val="center"/>
              <w:textAlignment w:val="center"/>
              <w:rPr>
                <w:rFonts w:ascii="Arial" w:hAnsi="Arial" w:cs="Arial"/>
                <w:bCs/>
                <w:kern w:val="44"/>
                <w:sz w:val="21"/>
                <w:szCs w:val="21"/>
              </w:rPr>
            </w:pPr>
            <w:r>
              <w:rPr>
                <w:rFonts w:ascii="Arial" w:hAnsi="Arial" w:cs="Arial"/>
                <w:b/>
                <w:bCs/>
                <w:sz w:val="21"/>
                <w:szCs w:val="21"/>
              </w:rPr>
              <w:t>—</w:t>
            </w:r>
          </w:p>
        </w:tc>
      </w:tr>
    </w:tbl>
    <w:p>
      <w:pPr>
        <w:pStyle w:val="2"/>
        <w:ind w:firstLine="0" w:firstLineChars="0"/>
        <w:rPr>
          <w:rFonts w:ascii="Arial" w:hAnsi="Arial" w:cs="Arial"/>
          <w:szCs w:val="21"/>
        </w:rPr>
      </w:pPr>
    </w:p>
    <w:p>
      <w:pPr>
        <w:jc w:val="center"/>
        <w:rPr>
          <w:rFonts w:ascii="Arial" w:hAnsi="Arial" w:cs="Arial"/>
          <w:b/>
          <w:color w:val="000000"/>
          <w:sz w:val="21"/>
          <w:szCs w:val="21"/>
        </w:rPr>
      </w:pPr>
    </w:p>
    <w:p>
      <w:pPr>
        <w:jc w:val="center"/>
        <w:rPr>
          <w:rFonts w:ascii="Arial" w:hAnsi="Arial" w:cs="Arial"/>
          <w:b/>
          <w:color w:val="000000"/>
          <w:sz w:val="21"/>
          <w:szCs w:val="21"/>
        </w:rPr>
      </w:pPr>
      <w:r>
        <w:rPr>
          <w:rFonts w:ascii="Arial" w:hAnsi="Arial" w:cs="Arial"/>
          <w:b/>
          <w:color w:val="000000"/>
          <w:sz w:val="21"/>
          <w:szCs w:val="21"/>
        </w:rPr>
        <w:t>SPV公司资金流入情况表</w:t>
      </w:r>
    </w:p>
    <w:tbl>
      <w:tblPr>
        <w:tblStyle w:val="19"/>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367"/>
        <w:gridCol w:w="2377"/>
        <w:gridCol w:w="1692"/>
        <w:gridCol w:w="1908"/>
        <w:gridCol w:w="1067"/>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5" w:type="dxa"/>
            <w:vAlign w:val="center"/>
          </w:tcPr>
          <w:p>
            <w:pPr>
              <w:jc w:val="center"/>
              <w:rPr>
                <w:rFonts w:ascii="Arial" w:hAnsi="Arial" w:cs="Arial"/>
                <w:b/>
                <w:kern w:val="44"/>
                <w:sz w:val="21"/>
                <w:szCs w:val="21"/>
              </w:rPr>
            </w:pPr>
            <w:r>
              <w:rPr>
                <w:rFonts w:ascii="Arial" w:hAnsi="Arial" w:cs="Arial"/>
                <w:b/>
                <w:kern w:val="44"/>
                <w:sz w:val="21"/>
                <w:szCs w:val="21"/>
              </w:rPr>
              <w:t>序号</w:t>
            </w:r>
          </w:p>
        </w:tc>
        <w:tc>
          <w:tcPr>
            <w:tcW w:w="1367" w:type="dxa"/>
            <w:vAlign w:val="center"/>
          </w:tcPr>
          <w:p>
            <w:pPr>
              <w:jc w:val="center"/>
              <w:rPr>
                <w:rFonts w:ascii="Arial" w:hAnsi="Arial" w:cs="Arial"/>
                <w:b/>
                <w:sz w:val="21"/>
                <w:szCs w:val="21"/>
              </w:rPr>
            </w:pPr>
            <w:r>
              <w:rPr>
                <w:rFonts w:ascii="Arial" w:hAnsi="Arial" w:cs="Arial"/>
                <w:b/>
                <w:sz w:val="21"/>
                <w:szCs w:val="21"/>
              </w:rPr>
              <w:t>收款时间</w:t>
            </w:r>
          </w:p>
        </w:tc>
        <w:tc>
          <w:tcPr>
            <w:tcW w:w="2377" w:type="dxa"/>
            <w:vAlign w:val="center"/>
          </w:tcPr>
          <w:p>
            <w:pPr>
              <w:jc w:val="center"/>
              <w:rPr>
                <w:rFonts w:ascii="Arial" w:hAnsi="Arial" w:cs="Arial"/>
                <w:b/>
                <w:sz w:val="21"/>
                <w:szCs w:val="21"/>
              </w:rPr>
            </w:pPr>
            <w:r>
              <w:rPr>
                <w:rFonts w:ascii="Arial" w:hAnsi="Arial" w:cs="Arial"/>
                <w:b/>
                <w:sz w:val="21"/>
                <w:szCs w:val="21"/>
              </w:rPr>
              <w:t>付款方</w:t>
            </w:r>
          </w:p>
        </w:tc>
        <w:tc>
          <w:tcPr>
            <w:tcW w:w="1692" w:type="dxa"/>
            <w:vAlign w:val="center"/>
          </w:tcPr>
          <w:p>
            <w:pPr>
              <w:jc w:val="center"/>
              <w:rPr>
                <w:rFonts w:ascii="Arial" w:hAnsi="Arial" w:cs="Arial"/>
                <w:b/>
                <w:bCs/>
                <w:sz w:val="21"/>
                <w:szCs w:val="21"/>
              </w:rPr>
            </w:pPr>
            <w:r>
              <w:rPr>
                <w:rFonts w:ascii="Arial" w:hAnsi="Arial" w:cs="Arial"/>
                <w:b/>
                <w:bCs/>
                <w:sz w:val="21"/>
                <w:szCs w:val="21"/>
              </w:rPr>
              <w:t>资金用途</w:t>
            </w:r>
          </w:p>
        </w:tc>
        <w:tc>
          <w:tcPr>
            <w:tcW w:w="1908" w:type="dxa"/>
            <w:vAlign w:val="center"/>
          </w:tcPr>
          <w:p>
            <w:pPr>
              <w:jc w:val="center"/>
              <w:rPr>
                <w:rFonts w:ascii="Arial" w:hAnsi="Arial" w:cs="Arial"/>
                <w:b/>
                <w:bCs/>
                <w:sz w:val="21"/>
                <w:szCs w:val="21"/>
              </w:rPr>
            </w:pPr>
            <w:r>
              <w:rPr>
                <w:rFonts w:ascii="Arial" w:hAnsi="Arial" w:cs="Arial"/>
                <w:b/>
                <w:bCs/>
                <w:sz w:val="21"/>
                <w:szCs w:val="21"/>
              </w:rPr>
              <w:t>金额（元）</w:t>
            </w:r>
          </w:p>
        </w:tc>
        <w:tc>
          <w:tcPr>
            <w:tcW w:w="1067" w:type="dxa"/>
            <w:vAlign w:val="center"/>
          </w:tcPr>
          <w:p>
            <w:pPr>
              <w:jc w:val="center"/>
              <w:rPr>
                <w:rFonts w:ascii="Arial" w:hAnsi="Arial" w:cs="Arial"/>
                <w:b/>
                <w:bCs/>
                <w:sz w:val="21"/>
                <w:szCs w:val="21"/>
              </w:rPr>
            </w:pPr>
            <w:r>
              <w:rPr>
                <w:rFonts w:ascii="Arial" w:hAnsi="Arial" w:cs="Arial"/>
                <w:b/>
                <w:bCs/>
                <w:sz w:val="21"/>
                <w:szCs w:val="21"/>
              </w:rPr>
              <w:t>收款行</w:t>
            </w:r>
          </w:p>
        </w:tc>
        <w:tc>
          <w:tcPr>
            <w:tcW w:w="528" w:type="dxa"/>
            <w:vAlign w:val="center"/>
          </w:tcPr>
          <w:p>
            <w:pPr>
              <w:jc w:val="center"/>
              <w:rPr>
                <w:rFonts w:ascii="Arial" w:hAnsi="Arial" w:cs="Arial"/>
                <w:b/>
                <w:bCs/>
                <w:sz w:val="21"/>
                <w:szCs w:val="21"/>
              </w:rPr>
            </w:pPr>
            <w:r>
              <w:rPr>
                <w:rFonts w:ascii="Arial" w:hAnsi="Arial" w:cs="Arial"/>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5" w:type="dxa"/>
            <w:vAlign w:val="center"/>
          </w:tcPr>
          <w:p>
            <w:pPr>
              <w:jc w:val="center"/>
              <w:textAlignment w:val="center"/>
              <w:rPr>
                <w:rFonts w:ascii="Arial" w:hAnsi="Arial" w:cs="Arial"/>
                <w:sz w:val="21"/>
                <w:szCs w:val="21"/>
                <w:lang w:bidi="ar"/>
              </w:rPr>
            </w:pPr>
            <w:r>
              <w:rPr>
                <w:rFonts w:ascii="Arial" w:hAnsi="Arial" w:cs="Arial"/>
                <w:sz w:val="21"/>
                <w:szCs w:val="21"/>
                <w:lang w:bidi="ar"/>
              </w:rPr>
              <w:t xml:space="preserve">1 </w:t>
            </w:r>
          </w:p>
        </w:tc>
        <w:tc>
          <w:tcPr>
            <w:tcW w:w="1367" w:type="dxa"/>
            <w:vAlign w:val="center"/>
          </w:tcPr>
          <w:p>
            <w:pPr>
              <w:jc w:val="center"/>
              <w:textAlignment w:val="center"/>
              <w:rPr>
                <w:rFonts w:ascii="Arial" w:hAnsi="Arial" w:cs="Arial"/>
                <w:sz w:val="21"/>
                <w:szCs w:val="21"/>
              </w:rPr>
            </w:pPr>
            <w:r>
              <w:rPr>
                <w:rFonts w:ascii="Arial" w:hAnsi="Arial" w:cs="Arial"/>
                <w:sz w:val="21"/>
                <w:szCs w:val="21"/>
                <w:lang w:bidi="ar"/>
              </w:rPr>
              <w:t>2021/9/18</w:t>
            </w:r>
          </w:p>
        </w:tc>
        <w:tc>
          <w:tcPr>
            <w:tcW w:w="2377" w:type="dxa"/>
            <w:vAlign w:val="center"/>
          </w:tcPr>
          <w:p>
            <w:pPr>
              <w:jc w:val="center"/>
              <w:textAlignment w:val="center"/>
              <w:rPr>
                <w:rFonts w:ascii="Arial" w:hAnsi="Arial" w:cs="Arial"/>
                <w:sz w:val="21"/>
                <w:szCs w:val="21"/>
              </w:rPr>
            </w:pPr>
            <w:r>
              <w:rPr>
                <w:rFonts w:ascii="Arial" w:hAnsi="Arial" w:cs="Arial"/>
                <w:sz w:val="21"/>
                <w:szCs w:val="21"/>
                <w:lang w:bidi="ar"/>
              </w:rPr>
              <w:t>福州衡越置业有限公司</w:t>
            </w:r>
          </w:p>
        </w:tc>
        <w:tc>
          <w:tcPr>
            <w:tcW w:w="1692" w:type="dxa"/>
            <w:vAlign w:val="center"/>
          </w:tcPr>
          <w:p>
            <w:pPr>
              <w:textAlignment w:val="center"/>
              <w:rPr>
                <w:rFonts w:ascii="Arial" w:hAnsi="Arial" w:cs="Arial"/>
                <w:sz w:val="21"/>
                <w:szCs w:val="21"/>
              </w:rPr>
            </w:pPr>
            <w:r>
              <w:rPr>
                <w:rFonts w:ascii="Arial" w:hAnsi="Arial" w:cs="Arial"/>
                <w:sz w:val="21"/>
                <w:szCs w:val="21"/>
                <w:lang w:bidi="ar"/>
              </w:rPr>
              <w:t>往来款（2021年第三季度投资收益）</w:t>
            </w:r>
          </w:p>
        </w:tc>
        <w:tc>
          <w:tcPr>
            <w:tcW w:w="1908" w:type="dxa"/>
            <w:vAlign w:val="center"/>
          </w:tcPr>
          <w:p>
            <w:pPr>
              <w:jc w:val="right"/>
              <w:textAlignment w:val="center"/>
              <w:rPr>
                <w:rFonts w:ascii="Arial" w:hAnsi="Arial" w:cs="Arial"/>
                <w:sz w:val="21"/>
                <w:szCs w:val="21"/>
              </w:rPr>
            </w:pPr>
            <w:r>
              <w:rPr>
                <w:rFonts w:ascii="Arial" w:hAnsi="Arial" w:cs="Arial"/>
                <w:sz w:val="21"/>
                <w:szCs w:val="21"/>
                <w:lang w:bidi="ar"/>
              </w:rPr>
              <w:t xml:space="preserve">21,900,000.00 </w:t>
            </w:r>
          </w:p>
        </w:tc>
        <w:tc>
          <w:tcPr>
            <w:tcW w:w="1067" w:type="dxa"/>
            <w:vAlign w:val="center"/>
          </w:tcPr>
          <w:p>
            <w:pPr>
              <w:jc w:val="center"/>
              <w:textAlignment w:val="center"/>
              <w:rPr>
                <w:rFonts w:ascii="Arial" w:hAnsi="Arial" w:cs="Arial"/>
                <w:sz w:val="21"/>
                <w:szCs w:val="21"/>
                <w:lang w:bidi="ar"/>
              </w:rPr>
            </w:pPr>
            <w:r>
              <w:rPr>
                <w:rFonts w:ascii="Arial" w:hAnsi="Arial" w:cs="Arial"/>
                <w:sz w:val="21"/>
                <w:szCs w:val="21"/>
                <w:lang w:bidi="ar"/>
              </w:rPr>
              <w:t>建设银行</w:t>
            </w:r>
          </w:p>
        </w:tc>
        <w:tc>
          <w:tcPr>
            <w:tcW w:w="528" w:type="dxa"/>
            <w:vAlign w:val="center"/>
          </w:tcPr>
          <w:p>
            <w:pPr>
              <w:rPr>
                <w:rFonts w:ascii="Arial" w:hAnsi="Arial" w:cs="Arial"/>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75" w:type="dxa"/>
            <w:vAlign w:val="center"/>
          </w:tcPr>
          <w:p>
            <w:pPr>
              <w:jc w:val="center"/>
              <w:textAlignment w:val="center"/>
              <w:rPr>
                <w:rFonts w:ascii="Arial" w:hAnsi="Arial" w:cs="Arial"/>
                <w:sz w:val="21"/>
                <w:szCs w:val="21"/>
                <w:lang w:bidi="ar"/>
              </w:rPr>
            </w:pPr>
            <w:r>
              <w:rPr>
                <w:rFonts w:ascii="Arial" w:hAnsi="Arial" w:cs="Arial"/>
                <w:sz w:val="21"/>
                <w:szCs w:val="21"/>
                <w:lang w:bidi="ar"/>
              </w:rPr>
              <w:t>2</w:t>
            </w:r>
          </w:p>
        </w:tc>
        <w:tc>
          <w:tcPr>
            <w:tcW w:w="1367" w:type="dxa"/>
            <w:vAlign w:val="center"/>
          </w:tcPr>
          <w:p>
            <w:pPr>
              <w:jc w:val="center"/>
              <w:textAlignment w:val="center"/>
              <w:rPr>
                <w:rFonts w:ascii="Arial" w:hAnsi="Arial" w:cs="Arial"/>
                <w:sz w:val="21"/>
                <w:szCs w:val="21"/>
                <w:lang w:bidi="ar"/>
              </w:rPr>
            </w:pPr>
            <w:r>
              <w:rPr>
                <w:rFonts w:ascii="Arial" w:hAnsi="Arial" w:cs="Arial"/>
                <w:sz w:val="21"/>
                <w:szCs w:val="21"/>
                <w:lang w:bidi="ar"/>
              </w:rPr>
              <w:t>2021/9/21</w:t>
            </w:r>
          </w:p>
        </w:tc>
        <w:tc>
          <w:tcPr>
            <w:tcW w:w="2377" w:type="dxa"/>
            <w:vAlign w:val="center"/>
          </w:tcPr>
          <w:p>
            <w:pPr>
              <w:jc w:val="center"/>
              <w:textAlignment w:val="center"/>
              <w:rPr>
                <w:rFonts w:ascii="Arial" w:hAnsi="Arial" w:cs="Arial"/>
                <w:sz w:val="21"/>
                <w:szCs w:val="21"/>
                <w:lang w:bidi="ar"/>
              </w:rPr>
            </w:pPr>
            <w:r>
              <w:rPr>
                <w:rFonts w:ascii="Arial" w:hAnsi="Arial" w:cs="Arial"/>
                <w:sz w:val="21"/>
                <w:szCs w:val="21"/>
                <w:lang w:bidi="ar"/>
              </w:rPr>
              <w:t>中国建设银行</w:t>
            </w:r>
          </w:p>
        </w:tc>
        <w:tc>
          <w:tcPr>
            <w:tcW w:w="1692" w:type="dxa"/>
            <w:vAlign w:val="center"/>
          </w:tcPr>
          <w:p>
            <w:pPr>
              <w:textAlignment w:val="center"/>
              <w:rPr>
                <w:rFonts w:ascii="Arial" w:hAnsi="Arial" w:cs="Arial"/>
                <w:sz w:val="21"/>
                <w:szCs w:val="21"/>
                <w:lang w:bidi="ar"/>
              </w:rPr>
            </w:pPr>
            <w:r>
              <w:rPr>
                <w:rFonts w:ascii="Arial" w:hAnsi="Arial" w:cs="Arial"/>
                <w:sz w:val="21"/>
                <w:szCs w:val="21"/>
                <w:lang w:bidi="ar"/>
              </w:rPr>
              <w:t>结息</w:t>
            </w:r>
          </w:p>
        </w:tc>
        <w:tc>
          <w:tcPr>
            <w:tcW w:w="1908" w:type="dxa"/>
            <w:vAlign w:val="center"/>
          </w:tcPr>
          <w:p>
            <w:pPr>
              <w:jc w:val="right"/>
              <w:textAlignment w:val="center"/>
              <w:rPr>
                <w:rFonts w:ascii="Arial" w:hAnsi="Arial" w:cs="Arial"/>
                <w:sz w:val="21"/>
                <w:szCs w:val="21"/>
                <w:lang w:bidi="ar"/>
              </w:rPr>
            </w:pPr>
            <w:r>
              <w:rPr>
                <w:rFonts w:ascii="Arial" w:hAnsi="Arial" w:cs="Arial"/>
                <w:sz w:val="21"/>
                <w:szCs w:val="21"/>
                <w:lang w:bidi="ar"/>
              </w:rPr>
              <w:t xml:space="preserve">810.85 </w:t>
            </w:r>
          </w:p>
        </w:tc>
        <w:tc>
          <w:tcPr>
            <w:tcW w:w="1067" w:type="dxa"/>
            <w:vAlign w:val="center"/>
          </w:tcPr>
          <w:p>
            <w:pPr>
              <w:jc w:val="center"/>
              <w:textAlignment w:val="center"/>
              <w:rPr>
                <w:rFonts w:ascii="Arial" w:hAnsi="Arial" w:cs="Arial"/>
                <w:sz w:val="21"/>
                <w:szCs w:val="21"/>
                <w:lang w:bidi="ar"/>
              </w:rPr>
            </w:pPr>
            <w:r>
              <w:rPr>
                <w:rFonts w:ascii="Arial" w:hAnsi="Arial" w:cs="Arial"/>
                <w:sz w:val="21"/>
                <w:szCs w:val="21"/>
                <w:lang w:bidi="ar"/>
              </w:rPr>
              <w:t>建设银行</w:t>
            </w:r>
          </w:p>
        </w:tc>
        <w:tc>
          <w:tcPr>
            <w:tcW w:w="528" w:type="dxa"/>
            <w:vAlign w:val="center"/>
          </w:tcPr>
          <w:p>
            <w:pPr>
              <w:rPr>
                <w:rFonts w:ascii="Arial" w:hAnsi="Arial" w:cs="Arial"/>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11" w:type="dxa"/>
            <w:gridSpan w:val="4"/>
            <w:vAlign w:val="center"/>
          </w:tcPr>
          <w:p>
            <w:pPr>
              <w:jc w:val="center"/>
              <w:textAlignment w:val="center"/>
              <w:rPr>
                <w:rFonts w:ascii="Arial" w:hAnsi="Arial" w:cs="Arial"/>
                <w:sz w:val="21"/>
                <w:szCs w:val="21"/>
              </w:rPr>
            </w:pPr>
            <w:r>
              <w:rPr>
                <w:rFonts w:ascii="Arial" w:hAnsi="Arial" w:cs="Arial"/>
                <w:b/>
                <w:bCs/>
                <w:sz w:val="21"/>
                <w:szCs w:val="21"/>
                <w:lang w:bidi="ar"/>
              </w:rPr>
              <w:t>合计</w:t>
            </w:r>
          </w:p>
        </w:tc>
        <w:tc>
          <w:tcPr>
            <w:tcW w:w="1908" w:type="dxa"/>
            <w:vAlign w:val="center"/>
          </w:tcPr>
          <w:p>
            <w:pPr>
              <w:jc w:val="right"/>
              <w:textAlignment w:val="center"/>
              <w:rPr>
                <w:rFonts w:ascii="Arial" w:hAnsi="Arial" w:cs="Arial"/>
                <w:sz w:val="21"/>
                <w:szCs w:val="21"/>
              </w:rPr>
            </w:pPr>
            <w:r>
              <w:rPr>
                <w:rFonts w:ascii="Arial" w:hAnsi="Arial" w:cs="Arial"/>
                <w:sz w:val="21"/>
                <w:szCs w:val="21"/>
                <w:lang w:bidi="ar"/>
              </w:rPr>
              <w:t xml:space="preserve">21,900,810.85 </w:t>
            </w:r>
          </w:p>
        </w:tc>
        <w:tc>
          <w:tcPr>
            <w:tcW w:w="1067" w:type="dxa"/>
            <w:vAlign w:val="center"/>
          </w:tcPr>
          <w:p>
            <w:pPr>
              <w:jc w:val="center"/>
              <w:textAlignment w:val="center"/>
              <w:rPr>
                <w:rFonts w:ascii="Arial" w:hAnsi="Arial" w:cs="Arial"/>
                <w:sz w:val="21"/>
                <w:szCs w:val="21"/>
              </w:rPr>
            </w:pPr>
            <w:r>
              <w:rPr>
                <w:rFonts w:ascii="Arial" w:hAnsi="Arial" w:cs="Arial"/>
                <w:b/>
                <w:bCs/>
                <w:sz w:val="21"/>
                <w:szCs w:val="21"/>
              </w:rPr>
              <w:t>——</w:t>
            </w:r>
          </w:p>
        </w:tc>
        <w:tc>
          <w:tcPr>
            <w:tcW w:w="528" w:type="dxa"/>
            <w:vAlign w:val="center"/>
          </w:tcPr>
          <w:p>
            <w:pPr>
              <w:jc w:val="center"/>
              <w:textAlignment w:val="center"/>
              <w:rPr>
                <w:rFonts w:ascii="Arial" w:hAnsi="Arial" w:cs="Arial"/>
                <w:bCs/>
                <w:kern w:val="44"/>
                <w:sz w:val="21"/>
                <w:szCs w:val="21"/>
              </w:rPr>
            </w:pPr>
            <w:r>
              <w:rPr>
                <w:rFonts w:ascii="Arial" w:hAnsi="Arial" w:cs="Arial"/>
                <w:b/>
                <w:bCs/>
                <w:sz w:val="21"/>
                <w:szCs w:val="21"/>
              </w:rPr>
              <w:t>—</w:t>
            </w:r>
          </w:p>
        </w:tc>
      </w:tr>
    </w:tbl>
    <w:p>
      <w:pPr>
        <w:pStyle w:val="2"/>
        <w:rPr>
          <w:rFonts w:ascii="Arial" w:hAnsi="Arial" w:cs="Arial"/>
        </w:rPr>
      </w:pPr>
    </w:p>
    <w:p>
      <w:pPr>
        <w:spacing w:line="360" w:lineRule="auto"/>
        <w:rPr>
          <w:rFonts w:ascii="Arial" w:hAnsi="Arial" w:cs="Arial"/>
          <w:b/>
        </w:rPr>
      </w:pPr>
      <w:bookmarkStart w:id="21" w:name="_Hlk68015253"/>
      <w:r>
        <w:rPr>
          <w:rFonts w:ascii="Arial" w:hAnsi="Arial" w:cs="Arial"/>
          <w:b/>
        </w:rPr>
        <w:t>8.2资金支出</w:t>
      </w:r>
    </w:p>
    <w:bookmarkEnd w:id="21"/>
    <w:p>
      <w:pPr>
        <w:jc w:val="center"/>
        <w:rPr>
          <w:rFonts w:ascii="Arial" w:hAnsi="Arial" w:cs="Arial"/>
          <w:b/>
          <w:bCs/>
          <w:sz w:val="21"/>
          <w:szCs w:val="21"/>
        </w:rPr>
      </w:pPr>
      <w:r>
        <w:rPr>
          <w:rFonts w:ascii="Arial" w:hAnsi="Arial" w:cs="Arial"/>
          <w:b/>
          <w:color w:val="000000"/>
          <w:sz w:val="21"/>
          <w:szCs w:val="21"/>
        </w:rPr>
        <w:t>项目公司</w:t>
      </w:r>
      <w:r>
        <w:rPr>
          <w:rFonts w:ascii="Arial" w:hAnsi="Arial" w:cs="Arial"/>
          <w:b/>
          <w:bCs/>
          <w:sz w:val="21"/>
          <w:szCs w:val="21"/>
        </w:rPr>
        <w:t>资金支出情况</w:t>
      </w:r>
      <w:r>
        <w:rPr>
          <w:rFonts w:hint="eastAsia" w:ascii="Arial" w:hAnsi="Arial" w:cs="Arial"/>
          <w:b/>
          <w:bCs/>
          <w:sz w:val="21"/>
          <w:szCs w:val="21"/>
        </w:rPr>
        <w:t>表</w:t>
      </w:r>
    </w:p>
    <w:tbl>
      <w:tblPr>
        <w:tblStyle w:val="18"/>
        <w:tblW w:w="9918" w:type="dxa"/>
        <w:jc w:val="center"/>
        <w:tblLayout w:type="fixed"/>
        <w:tblCellMar>
          <w:top w:w="0" w:type="dxa"/>
          <w:left w:w="0" w:type="dxa"/>
          <w:bottom w:w="0" w:type="dxa"/>
          <w:right w:w="0" w:type="dxa"/>
        </w:tblCellMar>
      </w:tblPr>
      <w:tblGrid>
        <w:gridCol w:w="421"/>
        <w:gridCol w:w="1020"/>
        <w:gridCol w:w="1868"/>
        <w:gridCol w:w="1668"/>
        <w:gridCol w:w="1740"/>
        <w:gridCol w:w="1032"/>
        <w:gridCol w:w="996"/>
        <w:gridCol w:w="1173"/>
      </w:tblGrid>
      <w:tr>
        <w:trPr>
          <w:trHeight w:val="720" w:hRule="atLeast"/>
          <w:tblHeader/>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color w:val="000000"/>
                <w:sz w:val="21"/>
                <w:szCs w:val="21"/>
              </w:rPr>
            </w:pPr>
            <w:r>
              <w:rPr>
                <w:rFonts w:ascii="Arial" w:hAnsi="Arial" w:cs="Arial"/>
                <w:b/>
                <w:bCs/>
                <w:color w:val="000000" w:themeColor="text1"/>
                <w:sz w:val="21"/>
                <w:szCs w:val="21"/>
                <w14:textFill>
                  <w14:solidFill>
                    <w14:schemeClr w14:val="tx1"/>
                  </w14:solidFill>
                </w14:textFill>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color w:val="000000"/>
                <w:sz w:val="21"/>
                <w:szCs w:val="21"/>
              </w:rPr>
            </w:pPr>
            <w:r>
              <w:rPr>
                <w:rFonts w:ascii="Arial" w:hAnsi="Arial" w:cs="Arial"/>
                <w:b/>
                <w:bCs/>
                <w:color w:val="000000" w:themeColor="text1"/>
                <w:sz w:val="21"/>
                <w:szCs w:val="21"/>
                <w14:textFill>
                  <w14:solidFill>
                    <w14:schemeClr w14:val="tx1"/>
                  </w14:solidFill>
                </w14:textFill>
              </w:rPr>
              <w:t>付款时间</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color w:val="000000"/>
                <w:sz w:val="21"/>
                <w:szCs w:val="21"/>
              </w:rPr>
            </w:pPr>
            <w:r>
              <w:rPr>
                <w:rFonts w:ascii="Arial" w:hAnsi="Arial" w:cs="Arial"/>
                <w:b/>
                <w:bCs/>
                <w:color w:val="000000" w:themeColor="text1"/>
                <w:sz w:val="21"/>
                <w:szCs w:val="21"/>
                <w14:textFill>
                  <w14:solidFill>
                    <w14:schemeClr w14:val="tx1"/>
                  </w14:solidFill>
                </w14:textFill>
              </w:rPr>
              <w:t>收款方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color w:val="000000"/>
                <w:sz w:val="21"/>
                <w:szCs w:val="21"/>
              </w:rPr>
            </w:pPr>
            <w:r>
              <w:rPr>
                <w:rFonts w:ascii="Arial" w:hAnsi="Arial" w:cs="Arial"/>
                <w:b/>
                <w:bCs/>
                <w:color w:val="000000" w:themeColor="text1"/>
                <w:sz w:val="21"/>
                <w:szCs w:val="21"/>
                <w14:textFill>
                  <w14:solidFill>
                    <w14:schemeClr w14:val="tx1"/>
                  </w14:solidFill>
                </w14:textFill>
              </w:rPr>
              <w:t>资金用途</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color w:val="000000"/>
                <w:sz w:val="21"/>
                <w:szCs w:val="21"/>
              </w:rPr>
            </w:pPr>
            <w:r>
              <w:rPr>
                <w:rFonts w:ascii="Arial" w:hAnsi="Arial" w:cs="Arial"/>
                <w:b/>
                <w:bCs/>
                <w:color w:val="000000" w:themeColor="text1"/>
                <w:sz w:val="21"/>
                <w:szCs w:val="21"/>
                <w14:textFill>
                  <w14:solidFill>
                    <w14:schemeClr w14:val="tx1"/>
                  </w14:solidFill>
                </w14:textFill>
              </w:rPr>
              <w:t>金额（元）</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color w:val="000000"/>
                <w:sz w:val="21"/>
                <w:szCs w:val="21"/>
              </w:rPr>
            </w:pPr>
            <w:r>
              <w:rPr>
                <w:rFonts w:ascii="Arial" w:hAnsi="Arial" w:cs="Arial"/>
                <w:b/>
                <w:bCs/>
                <w:color w:val="000000" w:themeColor="text1"/>
                <w:sz w:val="21"/>
                <w:szCs w:val="21"/>
                <w14:textFill>
                  <w14:solidFill>
                    <w14:schemeClr w14:val="tx1"/>
                  </w14:solidFill>
                </w14:textFill>
              </w:rPr>
              <w:t>出款行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color w:val="000000"/>
                <w:sz w:val="21"/>
                <w:szCs w:val="21"/>
              </w:rPr>
            </w:pPr>
            <w:r>
              <w:rPr>
                <w:rFonts w:ascii="Arial" w:hAnsi="Arial" w:cs="Arial"/>
                <w:b/>
                <w:bCs/>
                <w:color w:val="000000" w:themeColor="text1"/>
                <w:sz w:val="21"/>
                <w:szCs w:val="21"/>
                <w14:textFill>
                  <w14:solidFill>
                    <w14:schemeClr w14:val="tx1"/>
                  </w14:solidFill>
                </w14:textFill>
              </w:rPr>
              <w:t>用款类型</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21"/>
                <w:szCs w:val="21"/>
              </w:rPr>
            </w:pPr>
            <w:r>
              <w:rPr>
                <w:rFonts w:ascii="Arial" w:hAnsi="Arial" w:cs="Arial"/>
                <w:b/>
                <w:color w:val="000000"/>
                <w:sz w:val="21"/>
                <w:szCs w:val="21"/>
              </w:rPr>
              <w:t>委托方审批方式</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福州壹家文化传播有限公司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活动委托服务合同付款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rPr>
            </w:pPr>
            <w:r>
              <w:rPr>
                <w:rFonts w:ascii="Arial" w:hAnsi="Arial" w:cs="Arial"/>
                <w:color w:val="000000"/>
                <w:sz w:val="21"/>
                <w:szCs w:val="21"/>
                <w:lang w:bidi="ar"/>
              </w:rPr>
              <w:t xml:space="preserve">154,000.00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福州环球智创文化发展有限公司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示范区开放活动委托服务合同付款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rPr>
            </w:pPr>
            <w:r>
              <w:rPr>
                <w:rFonts w:ascii="Arial" w:hAnsi="Arial" w:cs="Arial"/>
                <w:color w:val="000000"/>
                <w:sz w:val="21"/>
                <w:szCs w:val="21"/>
                <w:lang w:bidi="ar"/>
              </w:rPr>
              <w:t xml:space="preserve">194,000.00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rPr>
            </w:pPr>
            <w:r>
              <w:rPr>
                <w:rFonts w:ascii="Arial" w:hAnsi="Arial" w:cs="Arial"/>
                <w:color w:val="000000"/>
                <w:sz w:val="21"/>
                <w:szCs w:val="21"/>
                <w:lang w:bidi="ar"/>
              </w:rPr>
              <w:t xml:space="preserve">1,500.00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 xml:space="preserve">1,340.00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 xml:space="preserve">1,468.00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1,486.00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1,453.00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空调维修费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180.00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1,191.90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1,267.00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1,066.00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1,439.00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1,391.00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中国电力财务有限公司福建分公司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福建省电力公司代扣</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21,301.17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福州电信固定电话缴费过渡户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福州电信</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福州电信固定电话缴费过渡户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福州电信</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19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2021/9/6</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中国联合网络通信有限公司福州市分公司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E4G21090600438960/059138130000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3,022.00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2021/9/6</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中国联合网络通信有限公司福州市分公司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E4G21090600438981/380DIA002669</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福州市自来水有限公司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福州市自来水有限公司代扣</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17,500.00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待报解预算收入（财库联网集中户）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印花税</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99,127.00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1,326.00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福建省厦门市开元公证处</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TOD土地现状公正费（7月份）</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福建省厦门市开元公证处</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公证费（6月份）</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640.00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1,495.00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29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1,325.00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889.00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1,169.00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941.20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1,350.00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1,236.00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1,463.00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1,023.00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39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1,104.00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1,358.00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1,421.00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1,461.00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1,489.00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1,369.00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49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1,383.00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50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1,493.00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14:textFill>
                  <w14:solidFill>
                    <w14:schemeClr w14:val="tx1"/>
                  </w14:solidFill>
                </w14:textFill>
              </w:rPr>
            </w:pPr>
            <w:r>
              <w:rPr>
                <w:rFonts w:ascii="Arial" w:hAnsi="Arial" w:cs="Arial"/>
                <w:color w:val="000000"/>
                <w:sz w:val="21"/>
                <w:szCs w:val="21"/>
                <w:lang w:bidi="ar"/>
              </w:rPr>
              <w:t xml:space="preserve">51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1,421.00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1,495.00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空调费用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6,650.00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59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1,444.00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沙发费用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空调安装费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2,085.00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438.00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待报解预算收入（财库联网集中户）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个人所得税</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9,424.80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银行代扣</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2021/9/13</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对公自助服务-自助设备使用费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办公用品</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777.50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福建省安德摩尔物业服务有限公司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水电费公摊、物业费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3,808.64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福州顺丰速运有限公司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快递费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165.00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69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福建天之蓝保洁服务有限公司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保洁费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7,800.00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福州台江区中科办公设备商行</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复印机租赁费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1,662.00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1,370.00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何体权</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差旅费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3,685.00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1,190.00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1,280.00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1,240.00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1,320.00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1,145.00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79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1,480.00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1,198.00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空调安装费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283.00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空调费用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3,148.92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2021/9/15</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907.00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985.00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89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1,452.00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1,421.00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1,283.00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909.00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1,105.00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1,498.00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1,459.00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939.00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99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1,432.00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1,375.00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1,339.00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960.00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1,430.00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1,465.00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588.90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109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1,584.00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黄伟</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差旅费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1,176.31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530.28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2021/9/19</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收费项目:对公人民币转账、汇款（含退汇）-对公资金划转本行同城</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81.60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2021/9/19</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收费项目:对公人民币转账、汇款（含退汇）-对公资金划转本行异地</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2021/9/19</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收费项目:对公人民币转账、汇款（含退汇）-对公资金划转跨行同城</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2021/9/19</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收费项目:对公人民币转账、汇款（含退汇）-对公资金划转跨行异地</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2021/9/21</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国网福建省电力有限公司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福建省电力公司代扣</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35,761.34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117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厦门大爱德文化传播有限公司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项目活动委托服务合同付款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27,591.80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118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福州明美文化传播有限公司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4月造趣节周末主题活动费用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9,800.00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119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厦门搜居网络科技有限公司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说房视频制作服务合同付款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20,000.00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厦门大爱德文化传播有限公司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小丑派发气球活动费用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5,035.00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杭州角动量科技有限公司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LED屏及广告机合同付款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179,814.25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北京微客联盟信息科技有限公司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网络视频、图文广告发布合同付款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100,000.00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台江区优润日用品经营部</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云洲郡项目拓客物料采购费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14,350.00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福建千家万户传媒有限公司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社区灯箱广告发布费用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9,900.00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福建益企创网络科技有限公司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项目媒体推广活动的合作费用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9,800.00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福州声画传媒有限公司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视频广告投放的合作费用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9,609.60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福建九宫格纸制品有限公司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印刷品合同付款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22,050.00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杭州捷群广告有限公司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2021年度广告服务合同付款（6月份）</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110,000.00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129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福建省华荣建设集团有限公司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建设工程设计合同（幕墙）施工图阶段付款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261,660.00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莆田礼匠贸易有限公司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拓客物料采购合同付款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12,060.00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融创物业服务集团有限公司福州分公司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云洲郡案场物业服务合同付款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895,259.65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福州右岸传媒有限公司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户外广告发布合同付款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78,000.00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950.00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790.00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福建省凡士建设集团有限公司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B+C地块总承包工程（含机电）合同付款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2,546,045.94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厦门市安德摩尔商业运营管理有限公司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租赁费（2021年9月份-11月份）</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23,436.00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上海正弘建设工程顾问有限公司福州分公司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项目造价咨询工程合同付款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150,333.73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前期费用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山外人家（福建）食品有限公司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8月桶装费用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660.00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139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山外人家（福建）食品有限公司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7月桶装费用</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517.00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福州富银信息技术有限公司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B+C地块扬尘监测工程合同付款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35,000.00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1,046.10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1,327.00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730.00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北京国科天创建筑设计院有限责任公司江西分公司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安全评估技术咨询合同付款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360,000.00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前期费用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广州地铁设计研究院股份有限公司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安全评估技术咨询合同付款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360,000.00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前期费用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厦门溢森环境工程有限公司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绿植租赁服务费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555.00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苏州金螳螂建筑装饰股份有限公司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样板房及大区-装饰装修工程设计合同</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1,156,500.00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149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1,472.00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150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1,471.00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151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1,449.00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152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福州爱康国宾门诊有限公司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1,440.00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153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1,409.00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154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1,429.00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155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1,478.00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156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1,397.00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157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办公用品</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4,844.00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158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2021/9/24</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福州环旅会展服务有限公司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车辆租赁合同（干租）合同付款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12,000.00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tblPrEx>
          <w:tblCellMar>
            <w:top w:w="0" w:type="dxa"/>
            <w:left w:w="0" w:type="dxa"/>
            <w:bottom w:w="0" w:type="dxa"/>
            <w:right w:w="0" w:type="dxa"/>
          </w:tblCellMar>
        </w:tblPrEx>
        <w:trPr>
          <w:trHeight w:val="464" w:hRule="atLeast"/>
          <w:jc w:val="center"/>
        </w:trPr>
        <w:tc>
          <w:tcPr>
            <w:tcW w:w="49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r>
              <w:rPr>
                <w:rFonts w:ascii="Arial" w:hAnsi="Arial" w:cs="Arial"/>
                <w:b/>
                <w:bCs/>
                <w:color w:val="000000" w:themeColor="text1"/>
                <w:sz w:val="21"/>
                <w:szCs w:val="21"/>
                <w:lang w:bidi="ar"/>
                <w14:textFill>
                  <w14:solidFill>
                    <w14:schemeClr w14:val="tx1"/>
                  </w14:solidFill>
                </w14:textFill>
              </w:rPr>
              <w:t>合计</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宋体" w:hAnsi="宋体" w:cs="宋体"/>
                <w:color w:val="000000"/>
                <w:sz w:val="20"/>
                <w:szCs w:val="20"/>
              </w:rPr>
            </w:pPr>
            <w:r>
              <w:rPr>
                <w:rFonts w:hint="eastAsia" w:ascii="Arial" w:hAnsi="Arial" w:cs="Arial"/>
                <w:color w:val="000000"/>
                <w:sz w:val="21"/>
                <w:szCs w:val="21"/>
                <w:lang w:bidi="ar"/>
              </w:rPr>
              <w:t>7,134,060.63</w:t>
            </w:r>
            <w:r>
              <w:rPr>
                <w:rFonts w:hint="eastAsia" w:ascii="宋体" w:hAnsi="宋体" w:cs="宋体"/>
                <w:color w:val="000000"/>
                <w:sz w:val="20"/>
                <w:szCs w:val="20"/>
                <w:lang w:bidi="ar"/>
              </w:rPr>
              <w:t xml:space="preserve"> </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themeColor="text1"/>
                <w:sz w:val="21"/>
                <w:szCs w:val="21"/>
                <w:lang w:bidi="ar"/>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21"/>
                <w:szCs w:val="21"/>
              </w:rPr>
            </w:pPr>
          </w:p>
        </w:tc>
      </w:tr>
    </w:tbl>
    <w:p>
      <w:pPr>
        <w:pStyle w:val="2"/>
        <w:ind w:firstLine="0" w:firstLineChars="0"/>
        <w:rPr>
          <w:rFonts w:ascii="Arial" w:hAnsi="Arial" w:cs="Arial"/>
        </w:rPr>
      </w:pPr>
    </w:p>
    <w:p>
      <w:pPr>
        <w:jc w:val="center"/>
        <w:rPr>
          <w:rFonts w:ascii="Arial" w:hAnsi="Arial" w:cs="Arial"/>
          <w:b/>
          <w:color w:val="000000"/>
          <w:sz w:val="21"/>
          <w:szCs w:val="21"/>
        </w:rPr>
      </w:pPr>
      <w:r>
        <w:rPr>
          <w:rFonts w:ascii="Arial" w:hAnsi="Arial" w:cs="Arial"/>
          <w:b/>
          <w:color w:val="000000"/>
          <w:sz w:val="21"/>
          <w:szCs w:val="21"/>
        </w:rPr>
        <w:t>SPV公司资金流出情况表</w:t>
      </w:r>
    </w:p>
    <w:tbl>
      <w:tblPr>
        <w:tblStyle w:val="19"/>
        <w:tblW w:w="10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170"/>
        <w:gridCol w:w="1776"/>
        <w:gridCol w:w="1668"/>
        <w:gridCol w:w="1852"/>
        <w:gridCol w:w="1116"/>
        <w:gridCol w:w="1080"/>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blHeader/>
          <w:jc w:val="center"/>
        </w:trPr>
        <w:tc>
          <w:tcPr>
            <w:tcW w:w="430"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序号</w:t>
            </w:r>
          </w:p>
        </w:tc>
        <w:tc>
          <w:tcPr>
            <w:tcW w:w="1170"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付款时间</w:t>
            </w:r>
          </w:p>
        </w:tc>
        <w:tc>
          <w:tcPr>
            <w:tcW w:w="1776"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收款方</w:t>
            </w:r>
          </w:p>
        </w:tc>
        <w:tc>
          <w:tcPr>
            <w:tcW w:w="1668"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资金用途</w:t>
            </w:r>
          </w:p>
        </w:tc>
        <w:tc>
          <w:tcPr>
            <w:tcW w:w="1852"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金额（元）</w:t>
            </w:r>
          </w:p>
        </w:tc>
        <w:tc>
          <w:tcPr>
            <w:tcW w:w="1116"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出款行</w:t>
            </w:r>
          </w:p>
        </w:tc>
        <w:tc>
          <w:tcPr>
            <w:tcW w:w="1080"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用款类型</w:t>
            </w:r>
          </w:p>
        </w:tc>
        <w:tc>
          <w:tcPr>
            <w:tcW w:w="1104" w:type="dxa"/>
            <w:vAlign w:val="center"/>
          </w:tcPr>
          <w:p>
            <w:pPr>
              <w:jc w:val="center"/>
              <w:rPr>
                <w:rFonts w:ascii="Arial" w:hAnsi="Arial" w:cs="Arial"/>
                <w:b/>
                <w:bCs/>
                <w:color w:val="000000" w:themeColor="text1"/>
                <w:sz w:val="21"/>
                <w:szCs w:val="21"/>
                <w14:textFill>
                  <w14:solidFill>
                    <w14:schemeClr w14:val="tx1"/>
                  </w14:solidFill>
                </w14:textFill>
              </w:rPr>
            </w:pPr>
            <w:r>
              <w:rPr>
                <w:rFonts w:ascii="Arial" w:hAnsi="Arial" w:cs="Arial"/>
                <w:b/>
                <w:color w:val="000000"/>
                <w:sz w:val="21"/>
                <w:szCs w:val="21"/>
              </w:rPr>
              <w:t>委托方审批方式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3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2021/9/14</w:t>
            </w:r>
          </w:p>
        </w:tc>
        <w:tc>
          <w:tcPr>
            <w:tcW w:w="177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对公自助服务-自助设备使用费</w:t>
            </w:r>
          </w:p>
        </w:tc>
        <w:tc>
          <w:tcPr>
            <w:tcW w:w="1852" w:type="dxa"/>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30.00</w:t>
            </w:r>
          </w:p>
        </w:tc>
        <w:tc>
          <w:tcPr>
            <w:tcW w:w="111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08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04"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3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1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2021/9/18</w:t>
            </w:r>
          </w:p>
        </w:tc>
        <w:tc>
          <w:tcPr>
            <w:tcW w:w="177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收费项目:对公人民币转账、汇款（含退汇）-对公资金划转本行同城</w:t>
            </w:r>
          </w:p>
        </w:tc>
        <w:tc>
          <w:tcPr>
            <w:tcW w:w="1852" w:type="dxa"/>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0.80 </w:t>
            </w:r>
          </w:p>
        </w:tc>
        <w:tc>
          <w:tcPr>
            <w:tcW w:w="111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08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04"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3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1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77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中航信托股份有限公司</w:t>
            </w:r>
          </w:p>
        </w:tc>
        <w:tc>
          <w:tcPr>
            <w:tcW w:w="1668" w:type="dxa"/>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投资收益（第三季度）</w:t>
            </w:r>
          </w:p>
        </w:tc>
        <w:tc>
          <w:tcPr>
            <w:tcW w:w="1852" w:type="dxa"/>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9,200,219.18</w:t>
            </w:r>
          </w:p>
        </w:tc>
        <w:tc>
          <w:tcPr>
            <w:tcW w:w="111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08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04"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流程实例ID newxtxxhk1.92473407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3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1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2021/9/22</w:t>
            </w:r>
          </w:p>
        </w:tc>
        <w:tc>
          <w:tcPr>
            <w:tcW w:w="177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中航信托股份有限公司</w:t>
            </w:r>
          </w:p>
        </w:tc>
        <w:tc>
          <w:tcPr>
            <w:tcW w:w="1668" w:type="dxa"/>
            <w:vAlign w:val="center"/>
          </w:tcPr>
          <w:p>
            <w:pPr>
              <w:textAlignment w:val="center"/>
              <w:rPr>
                <w:rFonts w:ascii="Arial" w:hAnsi="Arial" w:cs="Arial"/>
                <w:color w:val="000000"/>
                <w:sz w:val="21"/>
                <w:szCs w:val="21"/>
                <w:lang w:bidi="ar"/>
              </w:rPr>
            </w:pPr>
            <w:r>
              <w:rPr>
                <w:rFonts w:ascii="Arial" w:hAnsi="Arial" w:cs="Arial"/>
                <w:color w:val="000000"/>
                <w:sz w:val="21"/>
                <w:szCs w:val="21"/>
                <w:lang w:bidi="ar"/>
              </w:rPr>
              <w:t>投资收益（第三季度）</w:t>
            </w:r>
          </w:p>
        </w:tc>
        <w:tc>
          <w:tcPr>
            <w:tcW w:w="1852" w:type="dxa"/>
            <w:vAlign w:val="center"/>
          </w:tcPr>
          <w:p>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12,690,805.48 </w:t>
            </w:r>
          </w:p>
        </w:tc>
        <w:tc>
          <w:tcPr>
            <w:tcW w:w="111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08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04"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流程实例ID newxtxxhk1.92473407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044" w:type="dxa"/>
            <w:gridSpan w:val="4"/>
            <w:vAlign w:val="center"/>
          </w:tcPr>
          <w:p>
            <w:pPr>
              <w:jc w:val="center"/>
              <w:textAlignment w:val="center"/>
              <w:rPr>
                <w:rFonts w:ascii="Arial" w:hAnsi="Arial" w:cs="Arial"/>
                <w:b/>
                <w:bCs/>
                <w:color w:val="000000" w:themeColor="text1"/>
                <w:sz w:val="21"/>
                <w:szCs w:val="21"/>
                <w:lang w:bidi="ar"/>
                <w14:textFill>
                  <w14:solidFill>
                    <w14:schemeClr w14:val="tx1"/>
                  </w14:solidFill>
                </w14:textFill>
              </w:rPr>
            </w:pPr>
            <w:r>
              <w:rPr>
                <w:rFonts w:ascii="Arial" w:hAnsi="Arial" w:cs="Arial"/>
                <w:b/>
                <w:bCs/>
                <w:color w:val="000000" w:themeColor="text1"/>
                <w:sz w:val="21"/>
                <w:szCs w:val="21"/>
                <w:lang w:bidi="ar"/>
                <w14:textFill>
                  <w14:solidFill>
                    <w14:schemeClr w14:val="tx1"/>
                  </w14:solidFill>
                </w14:textFill>
              </w:rPr>
              <w:t>合计</w:t>
            </w:r>
          </w:p>
        </w:tc>
        <w:tc>
          <w:tcPr>
            <w:tcW w:w="1852" w:type="dxa"/>
            <w:vAlign w:val="center"/>
          </w:tcPr>
          <w:p>
            <w:pPr>
              <w:jc w:val="right"/>
              <w:textAlignment w:val="center"/>
              <w:rPr>
                <w:rFonts w:ascii="宋体" w:hAnsi="宋体" w:cs="宋体"/>
                <w:color w:val="000000"/>
                <w:sz w:val="20"/>
                <w:szCs w:val="20"/>
              </w:rPr>
            </w:pPr>
            <w:r>
              <w:rPr>
                <w:rFonts w:hint="eastAsia" w:ascii="Arial" w:hAnsi="Arial" w:cs="Arial"/>
                <w:color w:val="000000"/>
                <w:sz w:val="21"/>
                <w:szCs w:val="21"/>
                <w:lang w:bidi="ar"/>
              </w:rPr>
              <w:t>21,891,055.46</w:t>
            </w:r>
          </w:p>
        </w:tc>
        <w:tc>
          <w:tcPr>
            <w:tcW w:w="1116"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080" w:type="dxa"/>
            <w:vAlign w:val="center"/>
          </w:tcPr>
          <w:p>
            <w:pPr>
              <w:jc w:val="center"/>
              <w:textAlignment w:val="center"/>
              <w:rPr>
                <w:rFonts w:ascii="Arial" w:hAnsi="Arial" w:cs="Arial"/>
                <w:b/>
                <w:bCs/>
                <w:color w:val="000000" w:themeColor="text1"/>
                <w:sz w:val="21"/>
                <w:szCs w:val="21"/>
                <w14:textFill>
                  <w14:solidFill>
                    <w14:schemeClr w14:val="tx1"/>
                  </w14:solidFill>
                </w14:textFill>
              </w:rPr>
            </w:pPr>
          </w:p>
        </w:tc>
        <w:tc>
          <w:tcPr>
            <w:tcW w:w="1104" w:type="dxa"/>
            <w:vAlign w:val="center"/>
          </w:tcPr>
          <w:p>
            <w:pPr>
              <w:jc w:val="center"/>
              <w:textAlignment w:val="center"/>
              <w:rPr>
                <w:rFonts w:ascii="Arial" w:hAnsi="Arial" w:cs="Arial"/>
                <w:b/>
                <w:bCs/>
                <w:color w:val="000000" w:themeColor="text1"/>
                <w:sz w:val="21"/>
                <w:szCs w:val="21"/>
                <w14:textFill>
                  <w14:solidFill>
                    <w14:schemeClr w14:val="tx1"/>
                  </w14:solidFill>
                </w14:textFill>
              </w:rPr>
            </w:pPr>
          </w:p>
        </w:tc>
      </w:tr>
    </w:tbl>
    <w:p>
      <w:pPr>
        <w:ind w:firstLine="420" w:firstLineChars="200"/>
        <w:rPr>
          <w:rFonts w:ascii="Arial" w:hAnsi="Arial" w:cs="Arial"/>
          <w:bCs/>
          <w:sz w:val="21"/>
          <w:szCs w:val="21"/>
        </w:rPr>
      </w:pPr>
    </w:p>
    <w:p>
      <w:pPr>
        <w:rPr>
          <w:rFonts w:ascii="Arial" w:hAnsi="Arial" w:cs="Arial"/>
          <w:b/>
        </w:rPr>
      </w:pPr>
      <w:r>
        <w:rPr>
          <w:rFonts w:ascii="Arial" w:hAnsi="Arial" w:cs="Arial"/>
          <w:b/>
        </w:rPr>
        <w:t>8.3资金平衡表</w:t>
      </w:r>
    </w:p>
    <w:p>
      <w:pPr>
        <w:spacing w:line="360" w:lineRule="auto"/>
        <w:ind w:firstLine="480" w:firstLineChars="200"/>
        <w:rPr>
          <w:rFonts w:ascii="Arial" w:hAnsi="Arial" w:cs="Arial"/>
        </w:rPr>
      </w:pPr>
      <w:r>
        <w:rPr>
          <w:rFonts w:ascii="Arial" w:hAnsi="Arial" w:cs="Arial"/>
        </w:rPr>
        <w:t>截至2021年</w:t>
      </w:r>
      <w:r>
        <w:rPr>
          <w:rFonts w:hint="eastAsia" w:ascii="Arial" w:hAnsi="Arial" w:cs="Arial"/>
        </w:rPr>
        <w:t>9</w:t>
      </w:r>
      <w:r>
        <w:rPr>
          <w:rFonts w:ascii="Arial" w:hAnsi="Arial" w:cs="Arial"/>
        </w:rPr>
        <w:t>月3</w:t>
      </w:r>
      <w:r>
        <w:rPr>
          <w:rFonts w:hint="eastAsia" w:ascii="Arial" w:hAnsi="Arial" w:cs="Arial"/>
        </w:rPr>
        <w:t>0</w:t>
      </w:r>
      <w:r>
        <w:rPr>
          <w:rFonts w:ascii="Arial" w:hAnsi="Arial" w:cs="Arial"/>
        </w:rPr>
        <w:t>日，标的项目累计销售收入0万元，累计资金实际支出</w:t>
      </w:r>
      <w:r>
        <w:rPr>
          <w:rFonts w:hint="eastAsia" w:ascii="Arial" w:hAnsi="Arial" w:cs="Arial"/>
        </w:rPr>
        <w:t>3,129,029,115.25</w:t>
      </w:r>
      <w:r>
        <w:rPr>
          <w:rFonts w:ascii="Arial" w:hAnsi="Arial" w:cs="Arial"/>
        </w:rPr>
        <w:t>元，具体如下表：</w:t>
      </w:r>
    </w:p>
    <w:p>
      <w:pPr>
        <w:pStyle w:val="2"/>
      </w:pPr>
    </w:p>
    <w:p>
      <w:pPr>
        <w:pStyle w:val="2"/>
        <w:spacing w:line="260" w:lineRule="exact"/>
        <w:ind w:firstLine="422"/>
        <w:jc w:val="center"/>
        <w:rPr>
          <w:rFonts w:ascii="Arial" w:hAnsi="Arial" w:cs="Arial"/>
          <w:b/>
          <w:szCs w:val="21"/>
        </w:rPr>
      </w:pPr>
      <w:r>
        <w:rPr>
          <w:rFonts w:ascii="Arial" w:hAnsi="Arial" w:cs="Arial"/>
          <w:b/>
          <w:szCs w:val="21"/>
        </w:rPr>
        <w:t xml:space="preserve">资金平衡情况  </w:t>
      </w:r>
    </w:p>
    <w:p>
      <w:pPr>
        <w:pStyle w:val="2"/>
        <w:spacing w:line="260" w:lineRule="exact"/>
        <w:ind w:firstLine="422"/>
        <w:jc w:val="right"/>
        <w:rPr>
          <w:rFonts w:ascii="Arial" w:hAnsi="Arial" w:cs="Arial"/>
          <w:b/>
          <w:szCs w:val="21"/>
        </w:rPr>
      </w:pPr>
      <w:r>
        <w:rPr>
          <w:rFonts w:ascii="Arial" w:hAnsi="Arial" w:cs="Arial"/>
          <w:b/>
          <w:szCs w:val="21"/>
        </w:rPr>
        <w:t>单元：元</w:t>
      </w:r>
    </w:p>
    <w:tbl>
      <w:tblPr>
        <w:tblStyle w:val="18"/>
        <w:tblW w:w="9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1851"/>
        <w:gridCol w:w="1812"/>
        <w:gridCol w:w="1956"/>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2038" w:type="dxa"/>
            <w:shd w:val="clear" w:color="auto" w:fill="auto"/>
            <w:vAlign w:val="center"/>
          </w:tcPr>
          <w:p>
            <w:pPr>
              <w:rPr>
                <w:rFonts w:ascii="Arial" w:hAnsi="Arial" w:cs="Arial"/>
                <w:b/>
                <w:bCs/>
                <w:sz w:val="21"/>
                <w:szCs w:val="21"/>
              </w:rPr>
            </w:pPr>
            <w:r>
              <w:rPr>
                <w:rFonts w:ascii="Arial" w:hAnsi="Arial" w:cs="Arial"/>
                <w:b/>
                <w:bCs/>
                <w:sz w:val="21"/>
                <w:szCs w:val="21"/>
              </w:rPr>
              <w:t>　</w:t>
            </w:r>
          </w:p>
        </w:tc>
        <w:tc>
          <w:tcPr>
            <w:tcW w:w="1851" w:type="dxa"/>
            <w:shd w:val="clear" w:color="auto" w:fill="auto"/>
            <w:vAlign w:val="center"/>
          </w:tcPr>
          <w:p>
            <w:pPr>
              <w:jc w:val="center"/>
              <w:rPr>
                <w:rFonts w:ascii="Arial" w:hAnsi="Arial" w:cs="Arial"/>
                <w:b/>
                <w:bCs/>
                <w:sz w:val="21"/>
                <w:szCs w:val="21"/>
              </w:rPr>
            </w:pPr>
            <w:r>
              <w:rPr>
                <w:rFonts w:ascii="Arial" w:hAnsi="Arial" w:cs="Arial"/>
                <w:b/>
                <w:bCs/>
                <w:sz w:val="21"/>
                <w:szCs w:val="21"/>
              </w:rPr>
              <w:t>项目总预算</w:t>
            </w:r>
          </w:p>
        </w:tc>
        <w:tc>
          <w:tcPr>
            <w:tcW w:w="1812" w:type="dxa"/>
            <w:shd w:val="clear" w:color="auto" w:fill="auto"/>
            <w:vAlign w:val="center"/>
          </w:tcPr>
          <w:p>
            <w:pPr>
              <w:jc w:val="center"/>
              <w:rPr>
                <w:rFonts w:ascii="Arial" w:hAnsi="Arial" w:cs="Arial"/>
                <w:b/>
                <w:bCs/>
                <w:sz w:val="21"/>
                <w:szCs w:val="21"/>
              </w:rPr>
            </w:pPr>
            <w:r>
              <w:rPr>
                <w:rFonts w:ascii="Arial" w:hAnsi="Arial" w:cs="Arial"/>
                <w:b/>
                <w:bCs/>
                <w:sz w:val="21"/>
                <w:szCs w:val="21"/>
              </w:rPr>
              <w:t>本月资金实际</w:t>
            </w:r>
          </w:p>
        </w:tc>
        <w:tc>
          <w:tcPr>
            <w:tcW w:w="1956" w:type="dxa"/>
            <w:shd w:val="clear" w:color="auto" w:fill="auto"/>
            <w:vAlign w:val="center"/>
          </w:tcPr>
          <w:p>
            <w:pPr>
              <w:jc w:val="center"/>
              <w:rPr>
                <w:rFonts w:ascii="Arial" w:hAnsi="Arial" w:cs="Arial"/>
                <w:b/>
                <w:bCs/>
                <w:sz w:val="21"/>
                <w:szCs w:val="21"/>
              </w:rPr>
            </w:pPr>
            <w:r>
              <w:rPr>
                <w:rFonts w:ascii="Arial" w:hAnsi="Arial" w:cs="Arial"/>
                <w:b/>
                <w:bCs/>
                <w:sz w:val="21"/>
                <w:szCs w:val="21"/>
              </w:rPr>
              <w:t>本年资金实际</w:t>
            </w:r>
          </w:p>
        </w:tc>
        <w:tc>
          <w:tcPr>
            <w:tcW w:w="2004" w:type="dxa"/>
            <w:shd w:val="clear" w:color="auto" w:fill="auto"/>
            <w:vAlign w:val="center"/>
          </w:tcPr>
          <w:p>
            <w:pPr>
              <w:jc w:val="center"/>
              <w:rPr>
                <w:rFonts w:ascii="Arial" w:hAnsi="Arial" w:cs="Arial"/>
                <w:b/>
                <w:bCs/>
                <w:sz w:val="21"/>
                <w:szCs w:val="21"/>
              </w:rPr>
            </w:pPr>
            <w:bookmarkStart w:id="22" w:name="_Hlk68620007"/>
            <w:r>
              <w:rPr>
                <w:rFonts w:ascii="Arial" w:hAnsi="Arial" w:cs="Arial"/>
                <w:b/>
                <w:bCs/>
                <w:sz w:val="21"/>
                <w:szCs w:val="21"/>
              </w:rPr>
              <w:t>累计资金实际</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038" w:type="dxa"/>
            <w:shd w:val="clear" w:color="auto" w:fill="auto"/>
            <w:vAlign w:val="center"/>
          </w:tcPr>
          <w:p>
            <w:pPr>
              <w:rPr>
                <w:rFonts w:ascii="Arial" w:hAnsi="Arial" w:cs="Arial"/>
                <w:b/>
                <w:bCs/>
                <w:sz w:val="21"/>
                <w:szCs w:val="21"/>
              </w:rPr>
            </w:pPr>
            <w:r>
              <w:rPr>
                <w:rFonts w:ascii="Arial" w:hAnsi="Arial" w:cs="Arial"/>
                <w:b/>
                <w:bCs/>
                <w:sz w:val="21"/>
                <w:szCs w:val="21"/>
              </w:rPr>
              <w:t>经营性资金流入</w:t>
            </w:r>
          </w:p>
        </w:tc>
        <w:tc>
          <w:tcPr>
            <w:tcW w:w="1851" w:type="dxa"/>
            <w:shd w:val="clear" w:color="auto" w:fill="auto"/>
            <w:vAlign w:val="center"/>
          </w:tcPr>
          <w:p>
            <w:pPr>
              <w:jc w:val="center"/>
              <w:rPr>
                <w:rFonts w:ascii="Arial" w:hAnsi="Arial" w:cs="Arial"/>
                <w:b/>
                <w:bCs/>
                <w:sz w:val="21"/>
                <w:szCs w:val="21"/>
              </w:rPr>
            </w:pPr>
            <w:r>
              <w:rPr>
                <w:rFonts w:ascii="Arial" w:hAnsi="Arial" w:cs="Arial"/>
                <w:b/>
                <w:bCs/>
                <w:sz w:val="21"/>
                <w:szCs w:val="21"/>
              </w:rPr>
              <w:t>　</w:t>
            </w:r>
          </w:p>
        </w:tc>
        <w:tc>
          <w:tcPr>
            <w:tcW w:w="1812" w:type="dxa"/>
            <w:shd w:val="clear" w:color="auto" w:fill="auto"/>
            <w:vAlign w:val="center"/>
          </w:tcPr>
          <w:p>
            <w:pPr>
              <w:jc w:val="right"/>
              <w:rPr>
                <w:rFonts w:ascii="Arial" w:hAnsi="Arial" w:cs="Arial"/>
                <w:b/>
                <w:bCs/>
                <w:sz w:val="21"/>
                <w:szCs w:val="21"/>
              </w:rPr>
            </w:pPr>
            <w:r>
              <w:rPr>
                <w:rFonts w:ascii="Arial" w:hAnsi="Arial" w:cs="Arial"/>
                <w:b/>
                <w:bCs/>
                <w:sz w:val="21"/>
                <w:szCs w:val="21"/>
              </w:rPr>
              <w:t>　</w:t>
            </w:r>
          </w:p>
        </w:tc>
        <w:tc>
          <w:tcPr>
            <w:tcW w:w="1956" w:type="dxa"/>
            <w:shd w:val="clear" w:color="auto" w:fill="auto"/>
            <w:vAlign w:val="center"/>
          </w:tcPr>
          <w:p>
            <w:pPr>
              <w:jc w:val="right"/>
              <w:rPr>
                <w:rFonts w:ascii="Arial" w:hAnsi="Arial" w:cs="Arial"/>
                <w:b/>
                <w:bCs/>
                <w:sz w:val="21"/>
                <w:szCs w:val="21"/>
              </w:rPr>
            </w:pPr>
            <w:r>
              <w:rPr>
                <w:rFonts w:ascii="Arial" w:hAnsi="Arial" w:cs="Arial"/>
                <w:b/>
                <w:bCs/>
                <w:sz w:val="21"/>
                <w:szCs w:val="21"/>
              </w:rPr>
              <w:t>　</w:t>
            </w:r>
          </w:p>
        </w:tc>
        <w:tc>
          <w:tcPr>
            <w:tcW w:w="2004" w:type="dxa"/>
            <w:shd w:val="clear" w:color="auto" w:fill="auto"/>
            <w:vAlign w:val="center"/>
          </w:tcPr>
          <w:p>
            <w:pPr>
              <w:jc w:val="right"/>
              <w:rPr>
                <w:rFonts w:ascii="Arial" w:hAnsi="Arial" w:cs="Arial"/>
                <w:b/>
                <w:bCs/>
                <w:sz w:val="21"/>
                <w:szCs w:val="21"/>
              </w:rPr>
            </w:pPr>
            <w:r>
              <w:rPr>
                <w:rFonts w:ascii="Arial" w:hAnsi="Arial" w:cs="Arial"/>
                <w:b/>
                <w:bCs/>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销售回款</w:t>
            </w:r>
          </w:p>
        </w:tc>
        <w:tc>
          <w:tcPr>
            <w:tcW w:w="1851" w:type="dxa"/>
            <w:shd w:val="clear" w:color="000000" w:fill="FFFFFF"/>
            <w:vAlign w:val="center"/>
          </w:tcPr>
          <w:p>
            <w:pPr>
              <w:jc w:val="right"/>
              <w:textAlignment w:val="center"/>
              <w:rPr>
                <w:rFonts w:ascii="Arial" w:hAnsi="Arial" w:cs="Arial"/>
                <w:sz w:val="21"/>
                <w:szCs w:val="21"/>
              </w:rPr>
            </w:pPr>
            <w:r>
              <w:rPr>
                <w:rFonts w:ascii="Arial" w:hAnsi="Arial" w:cs="Arial"/>
                <w:sz w:val="21"/>
                <w:szCs w:val="21"/>
                <w:lang w:bidi="ar"/>
              </w:rPr>
              <w:t xml:space="preserve">7,584,000,000.00 </w:t>
            </w:r>
          </w:p>
        </w:tc>
        <w:tc>
          <w:tcPr>
            <w:tcW w:w="1812" w:type="dxa"/>
            <w:shd w:val="clear" w:color="000000" w:fill="FFFFFF"/>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000000" w:fill="FFFFFF"/>
            <w:vAlign w:val="center"/>
          </w:tcPr>
          <w:p>
            <w:pPr>
              <w:jc w:val="right"/>
              <w:textAlignment w:val="center"/>
              <w:rPr>
                <w:rFonts w:ascii="Arial" w:hAnsi="Arial" w:cs="Arial"/>
                <w:sz w:val="21"/>
                <w:szCs w:val="21"/>
                <w:lang w:bidi="ar"/>
              </w:rPr>
            </w:pPr>
            <w:r>
              <w:rPr>
                <w:rFonts w:ascii="Arial" w:hAnsi="Arial" w:cs="Arial"/>
                <w:color w:val="000000"/>
                <w:sz w:val="21"/>
                <w:szCs w:val="21"/>
                <w:lang w:bidi="ar"/>
              </w:rPr>
              <w:t xml:space="preserve">0.00 </w:t>
            </w:r>
          </w:p>
        </w:tc>
        <w:tc>
          <w:tcPr>
            <w:tcW w:w="2004" w:type="dxa"/>
            <w:shd w:val="clear" w:color="000000" w:fill="FFFFFF"/>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其他收入</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lang w:bidi="ar"/>
              </w:rPr>
            </w:pPr>
            <w:r>
              <w:rPr>
                <w:rFonts w:ascii="Arial" w:hAnsi="Arial" w:cs="Arial"/>
                <w:color w:val="000000"/>
                <w:sz w:val="21"/>
                <w:szCs w:val="21"/>
                <w:lang w:bidi="ar"/>
              </w:rPr>
              <w:t xml:space="preserve">379,190.24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4,493,995.37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rPr>
                <w:rFonts w:ascii="Arial" w:hAnsi="Arial" w:cs="Arial"/>
                <w:b/>
                <w:bCs/>
                <w:sz w:val="21"/>
                <w:szCs w:val="21"/>
              </w:rPr>
            </w:pPr>
            <w:r>
              <w:rPr>
                <w:rFonts w:ascii="Arial" w:hAnsi="Arial" w:cs="Arial"/>
                <w:b/>
                <w:bCs/>
                <w:sz w:val="21"/>
                <w:szCs w:val="21"/>
              </w:rPr>
              <w:t>经营性收入合计</w:t>
            </w:r>
          </w:p>
        </w:tc>
        <w:tc>
          <w:tcPr>
            <w:tcW w:w="1851" w:type="dxa"/>
            <w:shd w:val="clear" w:color="auto" w:fill="auto"/>
            <w:vAlign w:val="center"/>
          </w:tcPr>
          <w:p>
            <w:pPr>
              <w:jc w:val="right"/>
              <w:textAlignment w:val="center"/>
              <w:rPr>
                <w:rFonts w:ascii="Arial" w:hAnsi="Arial" w:cs="Arial"/>
                <w:b/>
                <w:bCs/>
                <w:sz w:val="21"/>
                <w:szCs w:val="21"/>
              </w:rPr>
            </w:pPr>
            <w:r>
              <w:rPr>
                <w:rFonts w:ascii="Arial" w:hAnsi="Arial" w:cs="Arial"/>
                <w:b/>
                <w:bCs/>
                <w:sz w:val="21"/>
                <w:szCs w:val="21"/>
                <w:lang w:bidi="ar"/>
              </w:rPr>
              <w:t xml:space="preserve">7,584,000,000.00 </w:t>
            </w:r>
          </w:p>
        </w:tc>
        <w:tc>
          <w:tcPr>
            <w:tcW w:w="1812" w:type="dxa"/>
            <w:shd w:val="clear" w:color="auto" w:fill="auto"/>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lang w:bidi="ar"/>
              </w:rPr>
            </w:pPr>
            <w:r>
              <w:rPr>
                <w:rFonts w:ascii="Arial" w:hAnsi="Arial" w:cs="Arial"/>
                <w:b/>
                <w:bCs/>
                <w:color w:val="000000"/>
                <w:sz w:val="21"/>
                <w:szCs w:val="21"/>
                <w:lang w:bidi="ar"/>
              </w:rPr>
              <w:t xml:space="preserve">379,190.24 </w:t>
            </w:r>
          </w:p>
        </w:tc>
        <w:tc>
          <w:tcPr>
            <w:tcW w:w="2004" w:type="dxa"/>
            <w:shd w:val="clear" w:color="auto" w:fill="auto"/>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4,493,995.37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rPr>
                <w:rFonts w:ascii="Arial" w:hAnsi="Arial" w:cs="Arial"/>
                <w:b/>
                <w:bCs/>
                <w:sz w:val="21"/>
                <w:szCs w:val="21"/>
              </w:rPr>
            </w:pPr>
            <w:r>
              <w:rPr>
                <w:rFonts w:ascii="Arial" w:hAnsi="Arial" w:cs="Arial"/>
                <w:b/>
                <w:bCs/>
                <w:sz w:val="21"/>
                <w:szCs w:val="21"/>
              </w:rPr>
              <w:t>经营性资金流出</w:t>
            </w:r>
          </w:p>
        </w:tc>
        <w:tc>
          <w:tcPr>
            <w:tcW w:w="1851" w:type="dxa"/>
            <w:shd w:val="clear" w:color="auto" w:fill="auto"/>
            <w:vAlign w:val="center"/>
          </w:tcPr>
          <w:p>
            <w:pPr>
              <w:jc w:val="right"/>
              <w:rPr>
                <w:rFonts w:ascii="Arial" w:hAnsi="Arial" w:cs="Arial"/>
                <w:b/>
                <w:bCs/>
                <w:sz w:val="21"/>
                <w:szCs w:val="21"/>
              </w:rPr>
            </w:pPr>
          </w:p>
        </w:tc>
        <w:tc>
          <w:tcPr>
            <w:tcW w:w="1812" w:type="dxa"/>
            <w:shd w:val="clear" w:color="auto" w:fill="auto"/>
            <w:vAlign w:val="center"/>
          </w:tcPr>
          <w:p>
            <w:pPr>
              <w:jc w:val="right"/>
              <w:rPr>
                <w:rFonts w:ascii="Arial" w:hAnsi="Arial" w:cs="Arial"/>
                <w:b/>
                <w:bCs/>
                <w:sz w:val="21"/>
                <w:szCs w:val="21"/>
              </w:rPr>
            </w:pPr>
          </w:p>
        </w:tc>
        <w:tc>
          <w:tcPr>
            <w:tcW w:w="1956" w:type="dxa"/>
            <w:shd w:val="clear" w:color="auto" w:fill="auto"/>
            <w:vAlign w:val="center"/>
          </w:tcPr>
          <w:p>
            <w:pPr>
              <w:jc w:val="right"/>
              <w:rPr>
                <w:rFonts w:ascii="Arial" w:hAnsi="Arial" w:cs="Arial"/>
                <w:sz w:val="21"/>
                <w:szCs w:val="21"/>
                <w:lang w:bidi="ar"/>
              </w:rPr>
            </w:pPr>
          </w:p>
        </w:tc>
        <w:tc>
          <w:tcPr>
            <w:tcW w:w="2004" w:type="dxa"/>
            <w:shd w:val="clear" w:color="auto" w:fill="auto"/>
            <w:vAlign w:val="center"/>
          </w:tcPr>
          <w:p>
            <w:pPr>
              <w:jc w:val="right"/>
              <w:rPr>
                <w:rFonts w:ascii="Arial" w:hAnsi="Arial" w:cs="Arial"/>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jc w:val="both"/>
              <w:rPr>
                <w:rFonts w:ascii="Arial" w:hAnsi="Arial" w:cs="Arial"/>
                <w:sz w:val="21"/>
                <w:szCs w:val="21"/>
              </w:rPr>
            </w:pPr>
            <w:r>
              <w:rPr>
                <w:rFonts w:ascii="Arial" w:hAnsi="Arial" w:cs="Arial"/>
                <w:sz w:val="21"/>
                <w:szCs w:val="21"/>
              </w:rPr>
              <w:t>原始土地成本</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lang w:bidi="ar"/>
              </w:rPr>
            </w:pPr>
            <w:r>
              <w:rPr>
                <w:rFonts w:ascii="Arial" w:hAnsi="Arial" w:cs="Arial"/>
                <w:color w:val="000000"/>
                <w:sz w:val="21"/>
                <w:szCs w:val="21"/>
                <w:lang w:bidi="ar"/>
              </w:rPr>
              <w:t xml:space="preserve">1,479,500,000.00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3,047,770,000.00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jc w:val="center"/>
              <w:rPr>
                <w:rFonts w:ascii="Arial" w:hAnsi="Arial" w:cs="Arial"/>
                <w:sz w:val="21"/>
                <w:szCs w:val="21"/>
              </w:rPr>
            </w:pPr>
            <w:r>
              <w:rPr>
                <w:rFonts w:ascii="Arial" w:hAnsi="Arial" w:cs="Arial"/>
                <w:sz w:val="21"/>
                <w:szCs w:val="21"/>
              </w:rPr>
              <w:t>公共配套设施费</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122,540,000.00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lang w:bidi="ar"/>
              </w:rPr>
            </w:pPr>
            <w:r>
              <w:rPr>
                <w:rFonts w:ascii="Arial" w:hAnsi="Arial" w:cs="Arial"/>
                <w:color w:val="000000"/>
                <w:sz w:val="21"/>
                <w:szCs w:val="21"/>
                <w:lang w:bidi="ar"/>
              </w:rPr>
              <w:t xml:space="preserve">0.00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开发前期准备费</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63,580,000.00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870,333.73 </w:t>
            </w:r>
          </w:p>
        </w:tc>
        <w:tc>
          <w:tcPr>
            <w:tcW w:w="1956" w:type="dxa"/>
            <w:shd w:val="clear" w:color="auto" w:fill="auto"/>
            <w:vAlign w:val="center"/>
          </w:tcPr>
          <w:p>
            <w:pPr>
              <w:jc w:val="right"/>
              <w:textAlignment w:val="center"/>
              <w:rPr>
                <w:rFonts w:ascii="Arial" w:hAnsi="Arial" w:cs="Arial"/>
                <w:sz w:val="21"/>
                <w:szCs w:val="21"/>
                <w:lang w:bidi="ar"/>
              </w:rPr>
            </w:pPr>
            <w:r>
              <w:rPr>
                <w:rFonts w:ascii="Arial" w:hAnsi="Arial" w:cs="Arial"/>
                <w:color w:val="000000"/>
                <w:sz w:val="21"/>
                <w:szCs w:val="21"/>
                <w:lang w:bidi="ar"/>
              </w:rPr>
              <w:t xml:space="preserve">6,046,441.19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9,823,557.63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建安工程费</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1,516,490,000.00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3,999,205.94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40,791,075.61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56,428,549.43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基础设施费</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186,860,000.00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开发间接费用</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费用支出</w:t>
            </w:r>
          </w:p>
        </w:tc>
        <w:tc>
          <w:tcPr>
            <w:tcW w:w="1851" w:type="dxa"/>
            <w:shd w:val="clear" w:color="auto" w:fill="auto"/>
            <w:vAlign w:val="center"/>
          </w:tcPr>
          <w:p>
            <w:pPr>
              <w:jc w:val="right"/>
              <w:rPr>
                <w:rFonts w:ascii="Arial" w:hAnsi="Arial" w:cs="Arial"/>
                <w:sz w:val="21"/>
                <w:szCs w:val="21"/>
              </w:rPr>
            </w:pPr>
          </w:p>
        </w:tc>
        <w:tc>
          <w:tcPr>
            <w:tcW w:w="1812" w:type="dxa"/>
            <w:shd w:val="clear" w:color="auto" w:fill="auto"/>
            <w:vAlign w:val="center"/>
          </w:tcPr>
          <w:p>
            <w:pPr>
              <w:jc w:val="right"/>
              <w:textAlignment w:val="center"/>
              <w:rPr>
                <w:rFonts w:ascii="Arial" w:hAnsi="Arial" w:cs="Arial"/>
                <w:sz w:val="21"/>
                <w:szCs w:val="21"/>
              </w:rPr>
            </w:pPr>
          </w:p>
        </w:tc>
        <w:tc>
          <w:tcPr>
            <w:tcW w:w="1956" w:type="dxa"/>
            <w:shd w:val="clear" w:color="auto" w:fill="auto"/>
            <w:vAlign w:val="center"/>
          </w:tcPr>
          <w:p>
            <w:pPr>
              <w:jc w:val="right"/>
              <w:rPr>
                <w:rFonts w:ascii="Arial" w:hAnsi="Arial" w:cs="Arial"/>
                <w:sz w:val="21"/>
                <w:szCs w:val="21"/>
              </w:rPr>
            </w:pPr>
          </w:p>
        </w:tc>
        <w:tc>
          <w:tcPr>
            <w:tcW w:w="2004" w:type="dxa"/>
            <w:shd w:val="clear" w:color="auto" w:fill="auto"/>
            <w:vAlign w:val="center"/>
          </w:tcPr>
          <w:p>
            <w:pPr>
              <w:jc w:val="right"/>
              <w:rPr>
                <w:rFonts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420" w:firstLineChars="200"/>
              <w:rPr>
                <w:rFonts w:ascii="Arial" w:hAnsi="Arial" w:cs="Arial"/>
                <w:sz w:val="21"/>
                <w:szCs w:val="21"/>
              </w:rPr>
            </w:pPr>
            <w:r>
              <w:rPr>
                <w:rFonts w:ascii="Arial" w:hAnsi="Arial" w:cs="Arial"/>
                <w:sz w:val="21"/>
                <w:szCs w:val="21"/>
              </w:rPr>
              <w:t>营销费用</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137,680,000.00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1,864,447.30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7,979,771.48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11,072,651.48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420" w:firstLineChars="200"/>
              <w:rPr>
                <w:rFonts w:ascii="Arial" w:hAnsi="Arial" w:cs="Arial"/>
                <w:sz w:val="21"/>
                <w:szCs w:val="21"/>
              </w:rPr>
            </w:pPr>
            <w:r>
              <w:rPr>
                <w:rFonts w:ascii="Arial" w:hAnsi="Arial" w:cs="Arial"/>
                <w:sz w:val="21"/>
                <w:szCs w:val="21"/>
              </w:rPr>
              <w:t>管理费用</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151,680,000.00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399,767.06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1,534,540.63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2,454,783.44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420" w:firstLineChars="200"/>
              <w:rPr>
                <w:rFonts w:ascii="Arial" w:hAnsi="Arial" w:cs="Arial"/>
                <w:sz w:val="21"/>
                <w:szCs w:val="21"/>
              </w:rPr>
            </w:pPr>
            <w:r>
              <w:rPr>
                <w:rFonts w:ascii="Arial" w:hAnsi="Arial" w:cs="Arial"/>
                <w:sz w:val="21"/>
                <w:szCs w:val="21"/>
              </w:rPr>
              <w:t>财务费用</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177,100,000.00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-20,351.39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-20,578.21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-40,280.85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支付各类税费</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1,305,230,000.00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40,354.12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1,519,854.12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8" w:type="dxa"/>
            <w:shd w:val="clear" w:color="auto" w:fill="auto"/>
            <w:vAlign w:val="center"/>
          </w:tcPr>
          <w:p>
            <w:pPr>
              <w:ind w:firstLine="210" w:firstLineChars="100"/>
              <w:rPr>
                <w:rFonts w:ascii="Arial" w:hAnsi="Arial" w:cs="Arial"/>
                <w:sz w:val="21"/>
                <w:szCs w:val="21"/>
              </w:rPr>
            </w:pPr>
            <w:r>
              <w:rPr>
                <w:rFonts w:ascii="Arial" w:hAnsi="Arial" w:cs="Arial"/>
                <w:sz w:val="21"/>
                <w:szCs w:val="21"/>
              </w:rPr>
              <w:t>其他支出</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0.00 </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rPr>
                <w:rFonts w:ascii="Arial" w:hAnsi="Arial" w:cs="Arial"/>
                <w:b/>
                <w:bCs/>
                <w:sz w:val="21"/>
                <w:szCs w:val="21"/>
              </w:rPr>
            </w:pPr>
            <w:r>
              <w:rPr>
                <w:rFonts w:ascii="Arial" w:hAnsi="Arial" w:cs="Arial"/>
                <w:b/>
                <w:bCs/>
                <w:sz w:val="21"/>
                <w:szCs w:val="21"/>
              </w:rPr>
              <w:t>经营性支出合计</w:t>
            </w:r>
          </w:p>
        </w:tc>
        <w:tc>
          <w:tcPr>
            <w:tcW w:w="1851" w:type="dxa"/>
            <w:shd w:val="clear" w:color="auto" w:fill="auto"/>
            <w:vAlign w:val="center"/>
          </w:tcPr>
          <w:p>
            <w:pPr>
              <w:jc w:val="right"/>
              <w:textAlignment w:val="center"/>
              <w:rPr>
                <w:rFonts w:ascii="Arial" w:hAnsi="Arial" w:cs="Arial"/>
                <w:b/>
                <w:bCs/>
                <w:sz w:val="21"/>
                <w:szCs w:val="21"/>
              </w:rPr>
            </w:pPr>
            <w:r>
              <w:rPr>
                <w:rFonts w:ascii="Arial" w:hAnsi="Arial" w:cs="Arial"/>
                <w:b/>
                <w:bCs/>
                <w:sz w:val="21"/>
                <w:szCs w:val="21"/>
                <w:lang w:bidi="ar"/>
              </w:rPr>
              <w:t>6,708,930,000.00</w:t>
            </w:r>
          </w:p>
        </w:tc>
        <w:tc>
          <w:tcPr>
            <w:tcW w:w="1812" w:type="dxa"/>
            <w:shd w:val="clear" w:color="auto" w:fill="auto"/>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7,113,402.64 </w:t>
            </w:r>
          </w:p>
        </w:tc>
        <w:tc>
          <w:tcPr>
            <w:tcW w:w="1956" w:type="dxa"/>
            <w:shd w:val="clear" w:color="auto" w:fill="auto"/>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1,535,871,604.82 </w:t>
            </w:r>
          </w:p>
        </w:tc>
        <w:tc>
          <w:tcPr>
            <w:tcW w:w="2004" w:type="dxa"/>
            <w:shd w:val="clear" w:color="auto" w:fill="auto"/>
            <w:vAlign w:val="center"/>
          </w:tcPr>
          <w:p>
            <w:pPr>
              <w:jc w:val="right"/>
              <w:textAlignment w:val="center"/>
              <w:rPr>
                <w:rFonts w:ascii="Arial" w:hAnsi="Arial" w:cs="Arial"/>
                <w:b/>
                <w:bCs/>
                <w:sz w:val="21"/>
                <w:szCs w:val="21"/>
              </w:rPr>
            </w:pPr>
            <w:r>
              <w:rPr>
                <w:rFonts w:ascii="Arial" w:hAnsi="Arial" w:cs="Arial"/>
                <w:b/>
                <w:bCs/>
                <w:sz w:val="21"/>
                <w:szCs w:val="21"/>
                <w:lang w:bidi="ar"/>
              </w:rPr>
              <w:t xml:space="preserve">3,129,029,115.25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vAlign w:val="center"/>
          </w:tcPr>
          <w:p>
            <w:pPr>
              <w:rPr>
                <w:rFonts w:ascii="Arial" w:hAnsi="Arial" w:cs="Arial"/>
                <w:b/>
                <w:bCs/>
                <w:sz w:val="21"/>
                <w:szCs w:val="21"/>
              </w:rPr>
            </w:pPr>
            <w:r>
              <w:rPr>
                <w:rFonts w:ascii="Arial" w:hAnsi="Arial" w:cs="Arial"/>
                <w:b/>
                <w:bCs/>
                <w:sz w:val="21"/>
                <w:szCs w:val="21"/>
              </w:rPr>
              <w:t>经营性净现金流</w:t>
            </w:r>
          </w:p>
        </w:tc>
        <w:tc>
          <w:tcPr>
            <w:tcW w:w="1851" w:type="dxa"/>
            <w:shd w:val="clear" w:color="auto" w:fill="auto"/>
            <w:vAlign w:val="center"/>
          </w:tcPr>
          <w:p>
            <w:pPr>
              <w:jc w:val="right"/>
              <w:textAlignment w:val="center"/>
              <w:rPr>
                <w:rFonts w:ascii="Arial" w:hAnsi="Arial" w:cs="Arial"/>
                <w:b/>
                <w:bCs/>
                <w:sz w:val="21"/>
                <w:szCs w:val="21"/>
              </w:rPr>
            </w:pPr>
            <w:r>
              <w:rPr>
                <w:rFonts w:ascii="Arial" w:hAnsi="Arial" w:cs="Arial"/>
                <w:b/>
                <w:bCs/>
                <w:sz w:val="21"/>
                <w:szCs w:val="21"/>
                <w:lang w:bidi="ar"/>
              </w:rPr>
              <w:t xml:space="preserve">875,070,000.00 </w:t>
            </w:r>
          </w:p>
        </w:tc>
        <w:tc>
          <w:tcPr>
            <w:tcW w:w="1812" w:type="dxa"/>
            <w:shd w:val="clear" w:color="auto" w:fill="auto"/>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-7,113,402.64 </w:t>
            </w:r>
          </w:p>
        </w:tc>
        <w:tc>
          <w:tcPr>
            <w:tcW w:w="1956" w:type="dxa"/>
            <w:shd w:val="clear" w:color="auto" w:fill="auto"/>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-1,535,492,414.58 </w:t>
            </w:r>
          </w:p>
        </w:tc>
        <w:tc>
          <w:tcPr>
            <w:tcW w:w="2004" w:type="dxa"/>
            <w:shd w:val="clear" w:color="auto" w:fill="auto"/>
            <w:vAlign w:val="center"/>
          </w:tcPr>
          <w:p>
            <w:pPr>
              <w:jc w:val="right"/>
              <w:textAlignment w:val="center"/>
              <w:rPr>
                <w:rFonts w:ascii="Arial" w:hAnsi="Arial" w:cs="Arial"/>
                <w:b/>
                <w:bCs/>
                <w:sz w:val="21"/>
                <w:szCs w:val="21"/>
              </w:rPr>
            </w:pPr>
            <w:r>
              <w:rPr>
                <w:rFonts w:ascii="Arial" w:hAnsi="Arial" w:cs="Arial"/>
                <w:b/>
                <w:bCs/>
                <w:sz w:val="21"/>
                <w:szCs w:val="21"/>
                <w:lang w:bidi="ar"/>
              </w:rPr>
              <w:t xml:space="preserve">-3,124,535,119.88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038" w:type="dxa"/>
            <w:shd w:val="clear" w:color="auto" w:fill="auto"/>
            <w:vAlign w:val="center"/>
          </w:tcPr>
          <w:p>
            <w:pPr>
              <w:rPr>
                <w:rFonts w:ascii="Arial" w:hAnsi="Arial" w:cs="Arial"/>
                <w:b/>
                <w:bCs/>
                <w:sz w:val="21"/>
                <w:szCs w:val="21"/>
              </w:rPr>
            </w:pPr>
            <w:r>
              <w:rPr>
                <w:rFonts w:ascii="Arial" w:hAnsi="Arial" w:cs="Arial"/>
                <w:b/>
                <w:bCs/>
                <w:sz w:val="21"/>
                <w:szCs w:val="21"/>
              </w:rPr>
              <w:t>筹资性资金净现金流</w:t>
            </w:r>
          </w:p>
        </w:tc>
        <w:tc>
          <w:tcPr>
            <w:tcW w:w="1851" w:type="dxa"/>
            <w:shd w:val="clear" w:color="auto" w:fill="auto"/>
            <w:vAlign w:val="center"/>
          </w:tcPr>
          <w:p>
            <w:pPr>
              <w:jc w:val="right"/>
              <w:rPr>
                <w:rFonts w:ascii="Arial" w:hAnsi="Arial" w:cs="Arial"/>
                <w:b/>
                <w:bCs/>
                <w:sz w:val="21"/>
                <w:szCs w:val="21"/>
              </w:rPr>
            </w:pPr>
          </w:p>
        </w:tc>
        <w:tc>
          <w:tcPr>
            <w:tcW w:w="1812" w:type="dxa"/>
            <w:shd w:val="clear" w:color="auto" w:fill="auto"/>
            <w:vAlign w:val="center"/>
          </w:tcPr>
          <w:p>
            <w:pPr>
              <w:jc w:val="right"/>
              <w:rPr>
                <w:rFonts w:ascii="Arial" w:hAnsi="Arial" w:cs="Arial"/>
                <w:b/>
                <w:bCs/>
                <w:sz w:val="21"/>
                <w:szCs w:val="21"/>
              </w:rPr>
            </w:pPr>
          </w:p>
        </w:tc>
        <w:tc>
          <w:tcPr>
            <w:tcW w:w="1956" w:type="dxa"/>
            <w:shd w:val="clear" w:color="auto" w:fill="auto"/>
            <w:vAlign w:val="center"/>
          </w:tcPr>
          <w:p>
            <w:pPr>
              <w:jc w:val="right"/>
              <w:rPr>
                <w:rFonts w:ascii="Arial" w:hAnsi="Arial" w:cs="Arial"/>
                <w:b/>
                <w:bCs/>
                <w:sz w:val="21"/>
                <w:szCs w:val="21"/>
              </w:rPr>
            </w:pPr>
          </w:p>
        </w:tc>
        <w:tc>
          <w:tcPr>
            <w:tcW w:w="2004" w:type="dxa"/>
            <w:shd w:val="clear" w:color="auto" w:fill="auto"/>
            <w:vAlign w:val="center"/>
          </w:tcPr>
          <w:p>
            <w:pPr>
              <w:jc w:val="right"/>
              <w:rPr>
                <w:rFonts w:ascii="Arial" w:hAnsi="Arial" w:cs="Arial"/>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tcPr>
          <w:p>
            <w:pPr>
              <w:ind w:firstLine="210" w:firstLineChars="100"/>
              <w:rPr>
                <w:rFonts w:ascii="Arial" w:hAnsi="Arial" w:cs="Arial"/>
                <w:sz w:val="21"/>
                <w:szCs w:val="21"/>
              </w:rPr>
            </w:pPr>
            <w:r>
              <w:rPr>
                <w:rFonts w:ascii="Arial" w:hAnsi="Arial" w:cs="Arial"/>
                <w:sz w:val="21"/>
                <w:szCs w:val="21"/>
              </w:rPr>
              <w:t>内部往来流入</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1,702,577,000.00 </w:t>
            </w:r>
          </w:p>
        </w:tc>
        <w:tc>
          <w:tcPr>
            <w:tcW w:w="2004" w:type="dxa"/>
            <w:shd w:val="clear" w:color="auto" w:fill="auto"/>
            <w:vAlign w:val="center"/>
          </w:tcPr>
          <w:p>
            <w:pPr>
              <w:jc w:val="right"/>
              <w:textAlignment w:val="center"/>
              <w:rPr>
                <w:rFonts w:ascii="Arial" w:hAnsi="Arial" w:cs="Arial"/>
                <w:sz w:val="21"/>
                <w:szCs w:val="21"/>
                <w:lang w:bidi="ar"/>
              </w:rPr>
            </w:pPr>
            <w:r>
              <w:rPr>
                <w:rFonts w:ascii="Arial" w:hAnsi="Arial" w:cs="Arial"/>
                <w:sz w:val="21"/>
                <w:szCs w:val="21"/>
                <w:lang w:bidi="ar"/>
              </w:rPr>
              <w:t>3,520,868,494.16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038" w:type="dxa"/>
            <w:shd w:val="clear" w:color="auto" w:fill="auto"/>
            <w:noWrap/>
          </w:tcPr>
          <w:p>
            <w:pPr>
              <w:ind w:firstLine="210" w:firstLineChars="100"/>
              <w:rPr>
                <w:rFonts w:ascii="Arial" w:hAnsi="Arial" w:cs="Arial"/>
                <w:sz w:val="21"/>
                <w:szCs w:val="21"/>
              </w:rPr>
            </w:pPr>
            <w:r>
              <w:rPr>
                <w:rFonts w:ascii="Arial" w:hAnsi="Arial" w:cs="Arial"/>
                <w:sz w:val="21"/>
                <w:szCs w:val="21"/>
              </w:rPr>
              <w:t>内部往来流出</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157,827,000.00 </w:t>
            </w:r>
          </w:p>
        </w:tc>
        <w:tc>
          <w:tcPr>
            <w:tcW w:w="2004" w:type="dxa"/>
            <w:shd w:val="clear" w:color="auto" w:fill="auto"/>
            <w:vAlign w:val="center"/>
          </w:tcPr>
          <w:p>
            <w:pPr>
              <w:jc w:val="right"/>
              <w:textAlignment w:val="center"/>
              <w:rPr>
                <w:rFonts w:ascii="Arial" w:hAnsi="Arial" w:cs="Arial"/>
                <w:sz w:val="21"/>
                <w:szCs w:val="21"/>
                <w:lang w:bidi="ar"/>
              </w:rPr>
            </w:pPr>
            <w:r>
              <w:rPr>
                <w:rFonts w:ascii="Arial" w:hAnsi="Arial" w:cs="Arial"/>
                <w:sz w:val="21"/>
                <w:szCs w:val="21"/>
                <w:lang w:bidi="ar"/>
              </w:rPr>
              <w:t>371,801,587.93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noWrap/>
          </w:tcPr>
          <w:p>
            <w:pPr>
              <w:ind w:firstLine="210" w:firstLineChars="100"/>
              <w:rPr>
                <w:rFonts w:ascii="Arial" w:hAnsi="Arial" w:cs="Arial"/>
                <w:sz w:val="21"/>
                <w:szCs w:val="21"/>
              </w:rPr>
            </w:pPr>
            <w:r>
              <w:rPr>
                <w:rFonts w:ascii="Arial" w:hAnsi="Arial" w:cs="Arial"/>
                <w:sz w:val="21"/>
                <w:szCs w:val="21"/>
              </w:rPr>
              <w:t>外部融资款流入</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noWrap/>
          </w:tcPr>
          <w:p>
            <w:pPr>
              <w:ind w:firstLine="210" w:firstLineChars="100"/>
              <w:rPr>
                <w:rFonts w:ascii="Arial" w:hAnsi="Arial" w:cs="Arial"/>
                <w:sz w:val="21"/>
                <w:szCs w:val="21"/>
              </w:rPr>
            </w:pPr>
            <w:r>
              <w:rPr>
                <w:rFonts w:ascii="Arial" w:hAnsi="Arial" w:cs="Arial"/>
                <w:sz w:val="21"/>
                <w:szCs w:val="21"/>
              </w:rPr>
              <w:t>外部融资款流出</w:t>
            </w:r>
          </w:p>
        </w:tc>
        <w:tc>
          <w:tcPr>
            <w:tcW w:w="1851" w:type="dxa"/>
            <w:shd w:val="clear" w:color="auto" w:fill="auto"/>
            <w:vAlign w:val="center"/>
          </w:tcPr>
          <w:p>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956"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004" w:type="dxa"/>
            <w:shd w:val="clear" w:color="auto" w:fill="auto"/>
            <w:vAlign w:val="center"/>
          </w:tcPr>
          <w:p>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noWrap/>
            <w:vAlign w:val="center"/>
          </w:tcPr>
          <w:p>
            <w:pPr>
              <w:rPr>
                <w:rFonts w:ascii="Arial" w:hAnsi="Arial" w:cs="Arial"/>
                <w:b/>
                <w:bCs/>
                <w:sz w:val="21"/>
                <w:szCs w:val="21"/>
              </w:rPr>
            </w:pPr>
            <w:r>
              <w:rPr>
                <w:rFonts w:ascii="Arial" w:hAnsi="Arial" w:cs="Arial"/>
                <w:b/>
                <w:bCs/>
                <w:sz w:val="21"/>
                <w:szCs w:val="21"/>
              </w:rPr>
              <w:t>净现金流量</w:t>
            </w:r>
          </w:p>
        </w:tc>
        <w:tc>
          <w:tcPr>
            <w:tcW w:w="1851" w:type="dxa"/>
            <w:shd w:val="clear" w:color="auto" w:fill="auto"/>
            <w:noWrap/>
            <w:vAlign w:val="center"/>
          </w:tcPr>
          <w:p>
            <w:pPr>
              <w:jc w:val="right"/>
              <w:rPr>
                <w:rFonts w:ascii="Arial" w:hAnsi="Arial" w:cs="Arial"/>
                <w:b/>
                <w:bCs/>
                <w:sz w:val="21"/>
                <w:szCs w:val="21"/>
              </w:rPr>
            </w:pPr>
          </w:p>
        </w:tc>
        <w:tc>
          <w:tcPr>
            <w:tcW w:w="1812"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-7,113,402.64 </w:t>
            </w:r>
          </w:p>
        </w:tc>
        <w:tc>
          <w:tcPr>
            <w:tcW w:w="1956"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9,257,585.42 </w:t>
            </w:r>
          </w:p>
        </w:tc>
        <w:tc>
          <w:tcPr>
            <w:tcW w:w="2004"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24,531,786.35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noWrap/>
            <w:vAlign w:val="center"/>
          </w:tcPr>
          <w:p>
            <w:pPr>
              <w:rPr>
                <w:rFonts w:ascii="Arial" w:hAnsi="Arial" w:cs="Arial"/>
                <w:b/>
                <w:bCs/>
                <w:sz w:val="21"/>
                <w:szCs w:val="21"/>
              </w:rPr>
            </w:pPr>
            <w:r>
              <w:rPr>
                <w:rFonts w:ascii="Arial" w:hAnsi="Arial" w:cs="Arial"/>
                <w:b/>
                <w:bCs/>
                <w:sz w:val="21"/>
                <w:szCs w:val="21"/>
              </w:rPr>
              <w:t>期初余额</w:t>
            </w:r>
          </w:p>
        </w:tc>
        <w:tc>
          <w:tcPr>
            <w:tcW w:w="1851" w:type="dxa"/>
            <w:shd w:val="clear" w:color="auto" w:fill="auto"/>
            <w:noWrap/>
            <w:vAlign w:val="center"/>
          </w:tcPr>
          <w:p>
            <w:pPr>
              <w:jc w:val="right"/>
              <w:rPr>
                <w:rFonts w:ascii="Arial" w:hAnsi="Arial" w:cs="Arial"/>
                <w:b/>
                <w:bCs/>
                <w:sz w:val="21"/>
                <w:szCs w:val="21"/>
              </w:rPr>
            </w:pPr>
          </w:p>
        </w:tc>
        <w:tc>
          <w:tcPr>
            <w:tcW w:w="1812"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31,645,188.99 </w:t>
            </w:r>
          </w:p>
        </w:tc>
        <w:tc>
          <w:tcPr>
            <w:tcW w:w="1956"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15,274,200.93 </w:t>
            </w:r>
          </w:p>
        </w:tc>
        <w:tc>
          <w:tcPr>
            <w:tcW w:w="2004" w:type="dxa"/>
            <w:shd w:val="clear" w:color="auto" w:fill="auto"/>
            <w:noWrap/>
            <w:vAlign w:val="center"/>
          </w:tcPr>
          <w:p>
            <w:pPr>
              <w:jc w:val="right"/>
              <w:textAlignment w:val="center"/>
              <w:rPr>
                <w:rFonts w:ascii="Arial" w:hAnsi="Arial" w:cs="Arial"/>
                <w:sz w:val="21"/>
                <w:szCs w:val="21"/>
              </w:rPr>
            </w:pPr>
            <w:r>
              <w:rPr>
                <w:rFonts w:ascii="Arial" w:hAnsi="Arial" w:cs="Arial"/>
                <w:b/>
                <w:bCs/>
                <w:color w:val="000000"/>
                <w:sz w:val="21"/>
                <w:szCs w:val="21"/>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38" w:type="dxa"/>
            <w:shd w:val="clear" w:color="auto" w:fill="auto"/>
            <w:noWrap/>
            <w:vAlign w:val="center"/>
          </w:tcPr>
          <w:p>
            <w:pPr>
              <w:rPr>
                <w:rFonts w:ascii="Arial" w:hAnsi="Arial" w:cs="Arial"/>
                <w:b/>
                <w:bCs/>
                <w:sz w:val="21"/>
                <w:szCs w:val="21"/>
              </w:rPr>
            </w:pPr>
            <w:r>
              <w:rPr>
                <w:rFonts w:ascii="Arial" w:hAnsi="Arial" w:cs="Arial"/>
                <w:b/>
                <w:bCs/>
                <w:sz w:val="21"/>
                <w:szCs w:val="21"/>
              </w:rPr>
              <w:t>期末余额</w:t>
            </w:r>
          </w:p>
        </w:tc>
        <w:tc>
          <w:tcPr>
            <w:tcW w:w="1851" w:type="dxa"/>
            <w:shd w:val="clear" w:color="auto" w:fill="auto"/>
            <w:noWrap/>
            <w:vAlign w:val="center"/>
          </w:tcPr>
          <w:p>
            <w:pPr>
              <w:jc w:val="right"/>
              <w:rPr>
                <w:rFonts w:ascii="Arial" w:hAnsi="Arial" w:cs="Arial"/>
                <w:b/>
                <w:bCs/>
                <w:sz w:val="21"/>
                <w:szCs w:val="21"/>
              </w:rPr>
            </w:pPr>
          </w:p>
        </w:tc>
        <w:tc>
          <w:tcPr>
            <w:tcW w:w="1812"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24,531,786.35 </w:t>
            </w:r>
          </w:p>
        </w:tc>
        <w:tc>
          <w:tcPr>
            <w:tcW w:w="1956"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24,531,786.35 </w:t>
            </w:r>
          </w:p>
        </w:tc>
        <w:tc>
          <w:tcPr>
            <w:tcW w:w="2004" w:type="dxa"/>
            <w:shd w:val="clear" w:color="auto" w:fill="auto"/>
            <w:noWrap/>
            <w:vAlign w:val="center"/>
          </w:tcPr>
          <w:p>
            <w:pPr>
              <w:jc w:val="right"/>
              <w:textAlignment w:val="center"/>
              <w:rPr>
                <w:rFonts w:ascii="Arial" w:hAnsi="Arial" w:cs="Arial"/>
                <w:b/>
                <w:bCs/>
                <w:sz w:val="21"/>
                <w:szCs w:val="21"/>
              </w:rPr>
            </w:pPr>
            <w:r>
              <w:rPr>
                <w:rFonts w:ascii="Arial" w:hAnsi="Arial" w:cs="Arial"/>
                <w:b/>
                <w:bCs/>
                <w:color w:val="000000"/>
                <w:sz w:val="21"/>
                <w:szCs w:val="21"/>
                <w:lang w:bidi="ar"/>
              </w:rPr>
              <w:t xml:space="preserve">24,531,786.35 </w:t>
            </w:r>
          </w:p>
        </w:tc>
      </w:tr>
    </w:tbl>
    <w:p>
      <w:pPr>
        <w:pStyle w:val="2"/>
        <w:ind w:firstLine="0" w:firstLineChars="0"/>
        <w:rPr>
          <w:rFonts w:ascii="Arial" w:hAnsi="Arial" w:cs="Arial"/>
          <w:bCs/>
          <w:szCs w:val="21"/>
        </w:rPr>
      </w:pPr>
      <w:r>
        <w:rPr>
          <w:rFonts w:ascii="Arial" w:hAnsi="Arial" w:cs="Arial"/>
          <w:bCs/>
          <w:szCs w:val="21"/>
        </w:rPr>
        <w:t>注：已将银行利息收入冲抵财务费用。</w:t>
      </w:r>
    </w:p>
    <w:p>
      <w:pPr>
        <w:pStyle w:val="3"/>
        <w:rPr>
          <w:rFonts w:cs="Arial"/>
        </w:rPr>
      </w:pPr>
      <w:bookmarkStart w:id="23" w:name="_Toc69160062"/>
      <w:bookmarkStart w:id="24" w:name="_Toc19397"/>
      <w:r>
        <w:rPr>
          <w:rFonts w:cs="Arial"/>
        </w:rPr>
        <w:t>九、融资情况</w:t>
      </w:r>
      <w:bookmarkEnd w:id="23"/>
      <w:bookmarkEnd w:id="24"/>
    </w:p>
    <w:p>
      <w:pPr>
        <w:pStyle w:val="32"/>
        <w:numPr>
          <w:ilvl w:val="0"/>
          <w:numId w:val="3"/>
        </w:numPr>
        <w:spacing w:line="360" w:lineRule="auto"/>
        <w:ind w:firstLineChars="0"/>
        <w:rPr>
          <w:rFonts w:ascii="Arial" w:hAnsi="Arial" w:cs="Arial"/>
          <w:b/>
          <w:sz w:val="21"/>
          <w:szCs w:val="21"/>
        </w:rPr>
      </w:pPr>
      <w:r>
        <w:rPr>
          <w:rFonts w:ascii="Arial" w:hAnsi="Arial" w:cs="Arial"/>
          <w:b/>
          <w:sz w:val="21"/>
          <w:szCs w:val="21"/>
        </w:rPr>
        <w:t>开发贷款</w:t>
      </w:r>
    </w:p>
    <w:p>
      <w:pPr>
        <w:pStyle w:val="32"/>
        <w:spacing w:line="360" w:lineRule="auto"/>
        <w:ind w:firstLine="480"/>
        <w:rPr>
          <w:rFonts w:ascii="Arial" w:hAnsi="Arial" w:cs="Arial"/>
          <w:bCs/>
          <w:sz w:val="21"/>
          <w:szCs w:val="21"/>
        </w:rPr>
      </w:pPr>
      <w:r>
        <w:rPr>
          <w:rFonts w:ascii="Arial" w:hAnsi="Arial" w:cs="Arial"/>
          <w:color w:val="000000"/>
        </w:rPr>
        <w:t>项目因四证办理进度原因，目前还未产生开发贷。</w:t>
      </w:r>
    </w:p>
    <w:p>
      <w:pPr>
        <w:pStyle w:val="32"/>
        <w:numPr>
          <w:ilvl w:val="0"/>
          <w:numId w:val="3"/>
        </w:numPr>
        <w:spacing w:line="360" w:lineRule="auto"/>
        <w:ind w:firstLineChars="0"/>
        <w:rPr>
          <w:rFonts w:ascii="Arial" w:hAnsi="Arial" w:cs="Arial"/>
          <w:b/>
          <w:sz w:val="21"/>
          <w:szCs w:val="21"/>
        </w:rPr>
      </w:pPr>
      <w:r>
        <w:rPr>
          <w:rFonts w:ascii="Arial" w:hAnsi="Arial" w:cs="Arial"/>
          <w:b/>
          <w:sz w:val="21"/>
          <w:szCs w:val="21"/>
        </w:rPr>
        <w:t>其他融资</w:t>
      </w:r>
    </w:p>
    <w:p>
      <w:pPr>
        <w:spacing w:line="360" w:lineRule="auto"/>
        <w:ind w:firstLine="420" w:firstLineChars="175"/>
        <w:rPr>
          <w:rFonts w:ascii="Arial" w:hAnsi="Arial" w:cs="Arial"/>
          <w:bCs/>
          <w:sz w:val="21"/>
          <w:szCs w:val="21"/>
        </w:rPr>
      </w:pPr>
      <w:r>
        <w:rPr>
          <w:rFonts w:ascii="Arial" w:hAnsi="Arial" w:cs="Arial"/>
          <w:color w:val="000000"/>
        </w:rPr>
        <w:t>截至本月，项目未发生商业承兑以及商业保理等形式的融资</w:t>
      </w:r>
      <w:r>
        <w:rPr>
          <w:rFonts w:hint="eastAsia" w:ascii="Arial" w:hAnsi="Arial" w:cs="Arial"/>
          <w:color w:val="000000"/>
        </w:rPr>
        <w:t>。</w:t>
      </w:r>
    </w:p>
    <w:p>
      <w:pPr>
        <w:pStyle w:val="3"/>
        <w:numPr>
          <w:ilvl w:val="0"/>
          <w:numId w:val="4"/>
        </w:numPr>
        <w:rPr>
          <w:rFonts w:cs="Arial"/>
        </w:rPr>
      </w:pPr>
      <w:bookmarkStart w:id="25" w:name="_Toc69160063"/>
      <w:bookmarkStart w:id="26" w:name="_Toc24403"/>
      <w:r>
        <w:rPr>
          <w:rFonts w:cs="Arial"/>
        </w:rPr>
        <w:t>项目周边竞品情况分析</w:t>
      </w:r>
      <w:bookmarkEnd w:id="25"/>
      <w:bookmarkEnd w:id="26"/>
    </w:p>
    <w:p>
      <w:pPr>
        <w:jc w:val="center"/>
        <w:rPr>
          <w:rFonts w:ascii="宋体" w:hAnsi="宋体" w:cs="宋体"/>
          <w:b/>
          <w:bCs/>
          <w:color w:val="000000"/>
          <w:sz w:val="21"/>
          <w:szCs w:val="21"/>
        </w:rPr>
      </w:pPr>
      <w:r>
        <w:rPr>
          <w:rFonts w:hint="eastAsia" w:ascii="宋体" w:hAnsi="宋体" w:cs="宋体"/>
          <w:b/>
          <w:bCs/>
          <w:sz w:val="21"/>
          <w:szCs w:val="21"/>
        </w:rPr>
        <w:t>项目周边竞品情况</w:t>
      </w:r>
    </w:p>
    <w:tbl>
      <w:tblPr>
        <w:tblStyle w:val="18"/>
        <w:tblW w:w="8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472"/>
        <w:gridCol w:w="2110"/>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088" w:type="dxa"/>
            <w:vAlign w:val="center"/>
          </w:tcPr>
          <w:p>
            <w:pPr>
              <w:jc w:val="center"/>
              <w:textAlignment w:val="center"/>
              <w:rPr>
                <w:rFonts w:ascii="Arial" w:hAnsi="Arial" w:cs="Arial"/>
                <w:sz w:val="21"/>
                <w:szCs w:val="21"/>
                <w:lang w:bidi="ar"/>
              </w:rPr>
            </w:pPr>
            <w:r>
              <w:rPr>
                <w:rFonts w:ascii="Arial" w:hAnsi="Arial" w:cs="Arial"/>
                <w:sz w:val="21"/>
                <w:szCs w:val="21"/>
                <w:lang w:bidi="ar"/>
              </w:rPr>
              <w:t>名称</w:t>
            </w:r>
          </w:p>
        </w:tc>
        <w:tc>
          <w:tcPr>
            <w:tcW w:w="2472" w:type="dxa"/>
            <w:vAlign w:val="center"/>
          </w:tcPr>
          <w:p>
            <w:pPr>
              <w:jc w:val="center"/>
              <w:textAlignment w:val="center"/>
              <w:rPr>
                <w:rFonts w:ascii="Arial" w:hAnsi="Arial" w:cs="Arial"/>
                <w:sz w:val="21"/>
                <w:szCs w:val="21"/>
                <w:lang w:bidi="ar"/>
              </w:rPr>
            </w:pPr>
            <w:r>
              <w:rPr>
                <w:rFonts w:hint="eastAsia" w:ascii="Arial" w:hAnsi="Arial" w:cs="Arial"/>
                <w:sz w:val="21"/>
                <w:szCs w:val="21"/>
                <w:lang w:bidi="ar"/>
              </w:rPr>
              <w:t>阳光城都会</w:t>
            </w:r>
          </w:p>
        </w:tc>
        <w:tc>
          <w:tcPr>
            <w:tcW w:w="2110" w:type="dxa"/>
            <w:vAlign w:val="center"/>
          </w:tcPr>
          <w:p>
            <w:pPr>
              <w:jc w:val="center"/>
              <w:textAlignment w:val="center"/>
              <w:rPr>
                <w:rFonts w:ascii="Arial" w:hAnsi="Arial" w:cs="Arial"/>
                <w:sz w:val="21"/>
                <w:szCs w:val="21"/>
                <w:lang w:bidi="ar"/>
              </w:rPr>
            </w:pPr>
            <w:r>
              <w:rPr>
                <w:rFonts w:hint="eastAsia" w:ascii="Arial" w:hAnsi="Arial" w:cs="Arial"/>
                <w:sz w:val="21"/>
                <w:szCs w:val="21"/>
                <w:lang w:bidi="ar"/>
              </w:rPr>
              <w:t>首开·国仕府</w:t>
            </w:r>
          </w:p>
        </w:tc>
        <w:tc>
          <w:tcPr>
            <w:tcW w:w="2064" w:type="dxa"/>
            <w:vAlign w:val="center"/>
          </w:tcPr>
          <w:p>
            <w:pPr>
              <w:jc w:val="center"/>
              <w:textAlignment w:val="center"/>
              <w:rPr>
                <w:rFonts w:ascii="Arial" w:hAnsi="Arial" w:cs="Arial"/>
                <w:sz w:val="21"/>
                <w:szCs w:val="21"/>
                <w:lang w:bidi="ar"/>
              </w:rPr>
            </w:pPr>
            <w:r>
              <w:rPr>
                <w:rFonts w:hint="eastAsia" w:ascii="Arial" w:hAnsi="Arial" w:cs="Arial"/>
                <w:sz w:val="21"/>
                <w:szCs w:val="21"/>
                <w:lang w:bidi="ar"/>
              </w:rPr>
              <w:t>泰禾福州湾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088" w:type="dxa"/>
            <w:vAlign w:val="center"/>
          </w:tcPr>
          <w:p>
            <w:pPr>
              <w:jc w:val="center"/>
              <w:textAlignment w:val="center"/>
              <w:rPr>
                <w:rFonts w:ascii="Arial" w:hAnsi="Arial" w:cs="Arial"/>
                <w:sz w:val="21"/>
                <w:szCs w:val="21"/>
                <w:lang w:bidi="ar"/>
              </w:rPr>
            </w:pPr>
            <w:r>
              <w:rPr>
                <w:rFonts w:hint="eastAsia" w:ascii="Arial" w:hAnsi="Arial" w:cs="Arial"/>
                <w:sz w:val="21"/>
                <w:szCs w:val="21"/>
                <w:lang w:bidi="ar"/>
              </w:rPr>
              <w:t>项目位置</w:t>
            </w:r>
          </w:p>
        </w:tc>
        <w:tc>
          <w:tcPr>
            <w:tcW w:w="2472"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仓山区环岛路北侧，火车南站西侧，环站新城地块</w:t>
            </w:r>
          </w:p>
        </w:tc>
        <w:tc>
          <w:tcPr>
            <w:tcW w:w="2110" w:type="dxa"/>
            <w:vAlign w:val="center"/>
          </w:tcPr>
          <w:p>
            <w:pPr>
              <w:pStyle w:val="2"/>
              <w:ind w:firstLine="0" w:firstLineChars="0"/>
            </w:pPr>
            <w:r>
              <w:rPr>
                <w:rFonts w:hint="eastAsia" w:ascii="Arial" w:hAnsi="Arial" w:cs="Arial"/>
                <w:kern w:val="0"/>
                <w:szCs w:val="21"/>
                <w:lang w:bidi="ar"/>
              </w:rPr>
              <w:t>仓山区南三环路以南，螺洲大桥东侧，螺洲小镇地块</w:t>
            </w:r>
          </w:p>
        </w:tc>
        <w:tc>
          <w:tcPr>
            <w:tcW w:w="2064"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仓山区，福厦高速路连接线东侧，三江口高级中学南侧，规划南江滨路北侧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088"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关联企业</w:t>
            </w:r>
          </w:p>
        </w:tc>
        <w:tc>
          <w:tcPr>
            <w:tcW w:w="2472" w:type="dxa"/>
            <w:vAlign w:val="center"/>
          </w:tcPr>
          <w:p>
            <w:pPr>
              <w:widowControl w:val="0"/>
              <w:jc w:val="center"/>
              <w:textAlignment w:val="center"/>
              <w:rPr>
                <w:rFonts w:ascii="Arial" w:hAnsi="Arial" w:cs="Arial"/>
                <w:sz w:val="21"/>
                <w:szCs w:val="21"/>
                <w:lang w:bidi="ar"/>
              </w:rPr>
            </w:pPr>
            <w:r>
              <w:fldChar w:fldCharType="begin"/>
            </w:r>
            <w:r>
              <w:instrText xml:space="preserve"> HYPERLINK "https://creis.fang.com/city/enterprise/Detail?sCompanyID=b452e672-36c8-48b0-814b-6b96552fbe4b" \t "https://creis.fang.com/city/Land/_blank" </w:instrText>
            </w:r>
            <w:r>
              <w:fldChar w:fldCharType="separate"/>
            </w:r>
            <w:r>
              <w:rPr>
                <w:rFonts w:hint="eastAsia" w:ascii="Arial" w:hAnsi="Arial" w:cs="Arial"/>
                <w:sz w:val="21"/>
                <w:szCs w:val="21"/>
                <w:lang w:bidi="ar"/>
              </w:rPr>
              <w:t>阳光城集团股份有限公司</w:t>
            </w:r>
            <w:r>
              <w:rPr>
                <w:rFonts w:hint="eastAsia" w:ascii="Arial" w:hAnsi="Arial" w:cs="Arial"/>
                <w:sz w:val="21"/>
                <w:szCs w:val="21"/>
                <w:lang w:bidi="ar"/>
              </w:rPr>
              <w:fldChar w:fldCharType="end"/>
            </w:r>
          </w:p>
        </w:tc>
        <w:tc>
          <w:tcPr>
            <w:tcW w:w="2110" w:type="dxa"/>
            <w:vAlign w:val="center"/>
          </w:tcPr>
          <w:p>
            <w:pPr>
              <w:widowControl w:val="0"/>
              <w:jc w:val="center"/>
              <w:textAlignment w:val="center"/>
              <w:rPr>
                <w:rFonts w:ascii="Arial" w:hAnsi="Arial" w:cs="Arial"/>
                <w:sz w:val="21"/>
                <w:szCs w:val="21"/>
                <w:lang w:bidi="ar"/>
              </w:rPr>
            </w:pPr>
            <w:r>
              <w:fldChar w:fldCharType="begin"/>
            </w:r>
            <w:r>
              <w:instrText xml:space="preserve"> HYPERLINK "https://creis.fang.com/city/Enterprise/detail?sCompanyID=422d084f-4ee0-4116-9cd6-562b6ec60cd5" \t "https://creis.fang.com/city/House/_blank" </w:instrText>
            </w:r>
            <w:r>
              <w:fldChar w:fldCharType="separate"/>
            </w:r>
            <w:r>
              <w:rPr>
                <w:rFonts w:hint="eastAsia" w:ascii="Arial" w:hAnsi="Arial" w:cs="Arial"/>
                <w:sz w:val="21"/>
                <w:szCs w:val="21"/>
                <w:lang w:bidi="ar"/>
              </w:rPr>
              <w:t>福晟集团有限公司</w:t>
            </w:r>
            <w:r>
              <w:rPr>
                <w:rFonts w:hint="eastAsia" w:ascii="Arial" w:hAnsi="Arial" w:cs="Arial"/>
                <w:sz w:val="21"/>
                <w:szCs w:val="21"/>
                <w:lang w:bidi="ar"/>
              </w:rPr>
              <w:fldChar w:fldCharType="end"/>
            </w:r>
            <w:r>
              <w:fldChar w:fldCharType="begin"/>
            </w:r>
            <w:r>
              <w:instrText xml:space="preserve"> HYPERLINK "https://creis.fang.com/city/Enterprise/detail?sCompanyID=B4C3733E-D111-4573-B5E6-60B4B9819B05" \t "https://creis.fang.com/city/House/_blank" </w:instrText>
            </w:r>
            <w:r>
              <w:fldChar w:fldCharType="separate"/>
            </w:r>
            <w:r>
              <w:rPr>
                <w:rFonts w:hint="eastAsia" w:ascii="Arial" w:hAnsi="Arial" w:cs="Arial"/>
                <w:sz w:val="21"/>
                <w:szCs w:val="21"/>
                <w:lang w:bidi="ar"/>
              </w:rPr>
              <w:t>北京首都开发股份有限公司</w:t>
            </w:r>
            <w:r>
              <w:rPr>
                <w:rFonts w:hint="eastAsia" w:ascii="Arial" w:hAnsi="Arial" w:cs="Arial"/>
                <w:sz w:val="21"/>
                <w:szCs w:val="21"/>
                <w:lang w:bidi="ar"/>
              </w:rPr>
              <w:fldChar w:fldCharType="end"/>
            </w:r>
          </w:p>
        </w:tc>
        <w:tc>
          <w:tcPr>
            <w:tcW w:w="2064" w:type="dxa"/>
            <w:vAlign w:val="center"/>
          </w:tcPr>
          <w:p>
            <w:pPr>
              <w:widowControl w:val="0"/>
              <w:jc w:val="center"/>
              <w:textAlignment w:val="center"/>
              <w:rPr>
                <w:rFonts w:ascii="Arial" w:hAnsi="Arial" w:cs="Arial"/>
                <w:sz w:val="21"/>
                <w:szCs w:val="21"/>
                <w:lang w:bidi="ar"/>
              </w:rPr>
            </w:pPr>
            <w:r>
              <w:fldChar w:fldCharType="begin"/>
            </w:r>
            <w:r>
              <w:instrText xml:space="preserve"> HYPERLINK "https://creis.fang.com/city/Enterprise/detail?sCompanyID=48c88d65-0581-40d9-b43c-71b5405a6eec" \t "https://creis.fang.com/city/House/_blank" </w:instrText>
            </w:r>
            <w:r>
              <w:fldChar w:fldCharType="separate"/>
            </w:r>
            <w:r>
              <w:rPr>
                <w:rFonts w:hint="eastAsia" w:ascii="Arial" w:hAnsi="Arial" w:cs="Arial"/>
                <w:sz w:val="21"/>
                <w:szCs w:val="21"/>
                <w:lang w:bidi="ar"/>
              </w:rPr>
              <w:t>福州城市建设投资集团有限公司</w:t>
            </w:r>
            <w:r>
              <w:rPr>
                <w:rFonts w:hint="eastAsia" w:ascii="Arial" w:hAnsi="Arial" w:cs="Arial"/>
                <w:sz w:val="21"/>
                <w:szCs w:val="21"/>
                <w:lang w:bidi="ar"/>
              </w:rPr>
              <w:fldChar w:fldCharType="end"/>
            </w:r>
          </w:p>
          <w:p>
            <w:pPr>
              <w:widowControl w:val="0"/>
              <w:jc w:val="center"/>
              <w:textAlignment w:val="center"/>
              <w:rPr>
                <w:rFonts w:ascii="Arial" w:hAnsi="Arial" w:cs="Arial"/>
                <w:sz w:val="21"/>
                <w:szCs w:val="21"/>
                <w:lang w:bidi="ar"/>
              </w:rPr>
            </w:pPr>
            <w:r>
              <w:fldChar w:fldCharType="begin"/>
            </w:r>
            <w:r>
              <w:instrText xml:space="preserve"> HYPERLINK "https://creis.fang.com/city/Enterprise/detail?sCompanyID=d6a531c4-5541-4a91-9883-b9eef92d0d48" \t "https://creis.fang.com/city/House/_blank" </w:instrText>
            </w:r>
            <w:r>
              <w:fldChar w:fldCharType="separate"/>
            </w:r>
            <w:r>
              <w:rPr>
                <w:rFonts w:hint="eastAsia" w:ascii="Arial" w:hAnsi="Arial" w:cs="Arial"/>
                <w:sz w:val="21"/>
                <w:szCs w:val="21"/>
                <w:lang w:bidi="ar"/>
              </w:rPr>
              <w:t>泰禾集团股份有限公</w:t>
            </w:r>
            <w:r>
              <w:rPr>
                <w:rFonts w:hint="eastAsia" w:ascii="Arial" w:hAnsi="Arial" w:cs="Arial"/>
                <w:sz w:val="21"/>
                <w:szCs w:val="21"/>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88" w:type="dxa"/>
            <w:vAlign w:val="center"/>
          </w:tcPr>
          <w:p>
            <w:pPr>
              <w:jc w:val="center"/>
              <w:textAlignment w:val="center"/>
              <w:rPr>
                <w:rFonts w:ascii="Arial" w:hAnsi="Arial" w:cs="Arial"/>
                <w:sz w:val="21"/>
                <w:szCs w:val="21"/>
                <w:lang w:bidi="ar"/>
              </w:rPr>
            </w:pPr>
            <w:r>
              <w:rPr>
                <w:rFonts w:ascii="Arial" w:hAnsi="Arial" w:cs="Arial"/>
                <w:sz w:val="21"/>
                <w:szCs w:val="21"/>
                <w:lang w:bidi="ar"/>
              </w:rPr>
              <w:t>业态</w:t>
            </w:r>
          </w:p>
        </w:tc>
        <w:tc>
          <w:tcPr>
            <w:tcW w:w="2472"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高层</w:t>
            </w:r>
          </w:p>
        </w:tc>
        <w:tc>
          <w:tcPr>
            <w:tcW w:w="2110" w:type="dxa"/>
            <w:vAlign w:val="center"/>
          </w:tcPr>
          <w:p>
            <w:pPr>
              <w:widowControl w:val="0"/>
              <w:jc w:val="center"/>
              <w:textAlignment w:val="center"/>
              <w:rPr>
                <w:rFonts w:ascii="Calibri" w:hAnsi="Calibri"/>
                <w:kern w:val="2"/>
                <w:sz w:val="21"/>
              </w:rPr>
            </w:pPr>
            <w:r>
              <w:rPr>
                <w:rFonts w:hint="eastAsia"/>
              </w:rPr>
              <w:t>小</w:t>
            </w:r>
            <w:r>
              <w:t>高层</w:t>
            </w:r>
            <w:r>
              <w:rPr>
                <w:rFonts w:hint="eastAsia"/>
              </w:rPr>
              <w:t>、</w:t>
            </w:r>
            <w:r>
              <w:rPr>
                <w:rFonts w:hint="eastAsia" w:ascii="Arial" w:hAnsi="Arial" w:cs="Arial"/>
                <w:sz w:val="21"/>
                <w:szCs w:val="21"/>
              </w:rPr>
              <w:t>高层</w:t>
            </w:r>
          </w:p>
        </w:tc>
        <w:tc>
          <w:tcPr>
            <w:tcW w:w="2064" w:type="dxa"/>
            <w:vAlign w:val="center"/>
          </w:tcPr>
          <w:p>
            <w:pPr>
              <w:widowControl w:val="0"/>
              <w:jc w:val="center"/>
              <w:textAlignment w:val="center"/>
              <w:rPr>
                <w:rFonts w:ascii="Arial" w:hAnsi="Arial" w:cs="Arial"/>
                <w:sz w:val="21"/>
                <w:szCs w:val="21"/>
              </w:rPr>
            </w:pPr>
            <w:r>
              <w:rPr>
                <w:rFonts w:hint="eastAsia" w:ascii="Arial" w:hAnsi="Arial" w:cs="Arial"/>
                <w:sz w:val="21"/>
                <w:szCs w:val="21"/>
              </w:rPr>
              <w:t>高层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088" w:type="dxa"/>
            <w:vAlign w:val="center"/>
          </w:tcPr>
          <w:p>
            <w:pPr>
              <w:jc w:val="center"/>
              <w:textAlignment w:val="center"/>
              <w:rPr>
                <w:rFonts w:ascii="Arial" w:hAnsi="Arial" w:cs="Arial"/>
                <w:sz w:val="21"/>
                <w:szCs w:val="21"/>
                <w:lang w:bidi="ar"/>
              </w:rPr>
            </w:pPr>
            <w:r>
              <w:rPr>
                <w:rFonts w:hint="eastAsia" w:ascii="Arial" w:hAnsi="Arial" w:cs="Arial"/>
                <w:sz w:val="21"/>
                <w:szCs w:val="21"/>
                <w:lang w:bidi="ar"/>
              </w:rPr>
              <w:t>当前</w:t>
            </w:r>
            <w:r>
              <w:rPr>
                <w:rFonts w:ascii="Arial" w:hAnsi="Arial" w:cs="Arial"/>
                <w:sz w:val="21"/>
                <w:szCs w:val="21"/>
                <w:lang w:bidi="ar"/>
              </w:rPr>
              <w:t>可售面积</w:t>
            </w:r>
          </w:p>
          <w:p>
            <w:pPr>
              <w:widowControl w:val="0"/>
              <w:jc w:val="center"/>
              <w:textAlignment w:val="center"/>
              <w:rPr>
                <w:rFonts w:ascii="Arial" w:hAnsi="Arial" w:cs="Arial"/>
                <w:sz w:val="21"/>
                <w:szCs w:val="21"/>
                <w:lang w:bidi="ar"/>
              </w:rPr>
            </w:pPr>
            <w:r>
              <w:rPr>
                <w:rFonts w:ascii="Arial" w:hAnsi="Arial" w:cs="Arial"/>
                <w:sz w:val="21"/>
                <w:szCs w:val="21"/>
                <w:lang w:bidi="ar"/>
              </w:rPr>
              <w:t>（万平米）</w:t>
            </w:r>
          </w:p>
        </w:tc>
        <w:tc>
          <w:tcPr>
            <w:tcW w:w="2472"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10.55</w:t>
            </w:r>
          </w:p>
        </w:tc>
        <w:tc>
          <w:tcPr>
            <w:tcW w:w="2110"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6.08</w:t>
            </w:r>
          </w:p>
        </w:tc>
        <w:tc>
          <w:tcPr>
            <w:tcW w:w="2064"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088" w:type="dxa"/>
            <w:vAlign w:val="center"/>
          </w:tcPr>
          <w:p>
            <w:pPr>
              <w:jc w:val="center"/>
              <w:textAlignment w:val="center"/>
              <w:rPr>
                <w:rFonts w:ascii="Arial" w:hAnsi="Arial" w:cs="Arial"/>
                <w:sz w:val="21"/>
                <w:szCs w:val="21"/>
                <w:lang w:bidi="ar"/>
              </w:rPr>
            </w:pPr>
            <w:r>
              <w:rPr>
                <w:rFonts w:ascii="Arial" w:hAnsi="Arial" w:cs="Arial"/>
                <w:sz w:val="21"/>
                <w:szCs w:val="21"/>
                <w:lang w:bidi="ar"/>
              </w:rPr>
              <w:t>已推出面积</w:t>
            </w:r>
          </w:p>
          <w:p>
            <w:pPr>
              <w:widowControl w:val="0"/>
              <w:jc w:val="center"/>
              <w:textAlignment w:val="center"/>
              <w:rPr>
                <w:rFonts w:ascii="Arial" w:hAnsi="Arial" w:cs="Arial"/>
                <w:sz w:val="21"/>
                <w:szCs w:val="21"/>
                <w:lang w:bidi="ar"/>
              </w:rPr>
            </w:pPr>
            <w:r>
              <w:rPr>
                <w:rFonts w:ascii="Arial" w:hAnsi="Arial" w:cs="Arial"/>
                <w:sz w:val="21"/>
                <w:szCs w:val="21"/>
                <w:lang w:bidi="ar"/>
              </w:rPr>
              <w:t>（万平米）</w:t>
            </w:r>
          </w:p>
        </w:tc>
        <w:tc>
          <w:tcPr>
            <w:tcW w:w="2472"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61.06</w:t>
            </w:r>
          </w:p>
        </w:tc>
        <w:tc>
          <w:tcPr>
            <w:tcW w:w="2110"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9.02</w:t>
            </w:r>
          </w:p>
        </w:tc>
        <w:tc>
          <w:tcPr>
            <w:tcW w:w="2064"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19.58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88" w:type="dxa"/>
            <w:vAlign w:val="center"/>
          </w:tcPr>
          <w:p>
            <w:pPr>
              <w:jc w:val="center"/>
              <w:textAlignment w:val="center"/>
              <w:rPr>
                <w:rFonts w:ascii="Arial" w:hAnsi="Arial" w:cs="Arial"/>
                <w:sz w:val="21"/>
                <w:szCs w:val="21"/>
                <w:lang w:bidi="ar"/>
              </w:rPr>
            </w:pPr>
            <w:r>
              <w:rPr>
                <w:rFonts w:ascii="Arial" w:hAnsi="Arial" w:cs="Arial"/>
                <w:sz w:val="21"/>
                <w:szCs w:val="21"/>
                <w:lang w:bidi="ar"/>
              </w:rPr>
              <w:t>已售面积</w:t>
            </w:r>
          </w:p>
          <w:p>
            <w:pPr>
              <w:widowControl w:val="0"/>
              <w:jc w:val="center"/>
              <w:textAlignment w:val="center"/>
              <w:rPr>
                <w:rFonts w:ascii="Arial" w:hAnsi="Arial" w:cs="Arial"/>
                <w:sz w:val="21"/>
                <w:szCs w:val="21"/>
                <w:lang w:bidi="ar"/>
              </w:rPr>
            </w:pPr>
            <w:r>
              <w:rPr>
                <w:rFonts w:ascii="Arial" w:hAnsi="Arial" w:cs="Arial"/>
                <w:sz w:val="21"/>
                <w:szCs w:val="21"/>
                <w:lang w:bidi="ar"/>
              </w:rPr>
              <w:t>（万平米）</w:t>
            </w:r>
          </w:p>
        </w:tc>
        <w:tc>
          <w:tcPr>
            <w:tcW w:w="2472"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41.31</w:t>
            </w:r>
          </w:p>
        </w:tc>
        <w:tc>
          <w:tcPr>
            <w:tcW w:w="2110"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2.86</w:t>
            </w:r>
          </w:p>
        </w:tc>
        <w:tc>
          <w:tcPr>
            <w:tcW w:w="2064"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088" w:type="dxa"/>
            <w:vAlign w:val="center"/>
          </w:tcPr>
          <w:p>
            <w:pPr>
              <w:jc w:val="center"/>
              <w:textAlignment w:val="center"/>
              <w:rPr>
                <w:rFonts w:ascii="Arial" w:hAnsi="Arial" w:cs="Arial"/>
                <w:sz w:val="21"/>
                <w:szCs w:val="21"/>
                <w:lang w:bidi="ar"/>
              </w:rPr>
            </w:pPr>
            <w:r>
              <w:rPr>
                <w:rFonts w:ascii="Arial" w:hAnsi="Arial" w:cs="Arial"/>
                <w:sz w:val="21"/>
                <w:szCs w:val="21"/>
                <w:lang w:bidi="ar"/>
              </w:rPr>
              <w:t>销售均价</w:t>
            </w:r>
          </w:p>
          <w:p>
            <w:pPr>
              <w:widowControl w:val="0"/>
              <w:jc w:val="center"/>
              <w:textAlignment w:val="center"/>
              <w:rPr>
                <w:rFonts w:ascii="Arial" w:hAnsi="Arial" w:cs="Arial"/>
                <w:sz w:val="21"/>
                <w:szCs w:val="21"/>
                <w:lang w:bidi="ar"/>
              </w:rPr>
            </w:pPr>
            <w:r>
              <w:rPr>
                <w:rFonts w:ascii="Arial" w:hAnsi="Arial" w:cs="Arial"/>
                <w:sz w:val="21"/>
                <w:szCs w:val="21"/>
                <w:lang w:bidi="ar"/>
              </w:rPr>
              <w:t>（万元/平米）</w:t>
            </w:r>
          </w:p>
        </w:tc>
        <w:tc>
          <w:tcPr>
            <w:tcW w:w="2472"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2.26</w:t>
            </w:r>
          </w:p>
        </w:tc>
        <w:tc>
          <w:tcPr>
            <w:tcW w:w="2110"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2.61</w:t>
            </w:r>
          </w:p>
        </w:tc>
        <w:tc>
          <w:tcPr>
            <w:tcW w:w="2064" w:type="dxa"/>
            <w:vAlign w:val="center"/>
          </w:tcPr>
          <w:p>
            <w:pPr>
              <w:widowControl w:val="0"/>
              <w:jc w:val="center"/>
              <w:textAlignment w:val="center"/>
              <w:rPr>
                <w:rFonts w:ascii="Arial" w:hAnsi="Arial" w:cs="Arial"/>
                <w:color w:val="FF0000"/>
                <w:sz w:val="21"/>
                <w:szCs w:val="21"/>
                <w:lang w:bidi="ar"/>
              </w:rPr>
            </w:pPr>
            <w:r>
              <w:rPr>
                <w:rFonts w:hint="eastAsia" w:ascii="Arial" w:hAnsi="Arial" w:cs="Arial"/>
                <w:color w:val="000000" w:themeColor="text1"/>
                <w:sz w:val="21"/>
                <w:szCs w:val="21"/>
                <w:lang w:bidi="ar"/>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88" w:type="dxa"/>
            <w:vAlign w:val="center"/>
          </w:tcPr>
          <w:p>
            <w:pPr>
              <w:jc w:val="center"/>
              <w:rPr>
                <w:rFonts w:ascii="Arial" w:hAnsi="Arial" w:cs="Arial"/>
                <w:sz w:val="21"/>
                <w:szCs w:val="21"/>
              </w:rPr>
            </w:pPr>
            <w:r>
              <w:rPr>
                <w:rFonts w:ascii="Arial" w:hAnsi="Arial" w:cs="Arial"/>
                <w:sz w:val="21"/>
                <w:szCs w:val="21"/>
              </w:rPr>
              <w:t>容积率</w:t>
            </w:r>
          </w:p>
        </w:tc>
        <w:tc>
          <w:tcPr>
            <w:tcW w:w="2472"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3.0</w:t>
            </w:r>
          </w:p>
        </w:tc>
        <w:tc>
          <w:tcPr>
            <w:tcW w:w="2110" w:type="dxa"/>
            <w:vAlign w:val="center"/>
          </w:tcPr>
          <w:p>
            <w:pPr>
              <w:jc w:val="center"/>
              <w:textAlignment w:val="center"/>
              <w:rPr>
                <w:rFonts w:ascii="Arial" w:hAnsi="Arial" w:cs="Arial"/>
                <w:sz w:val="21"/>
                <w:szCs w:val="21"/>
                <w:lang w:bidi="ar"/>
              </w:rPr>
            </w:pPr>
            <w:r>
              <w:rPr>
                <w:rFonts w:hint="eastAsia" w:ascii="Arial" w:hAnsi="Arial" w:cs="Arial"/>
                <w:sz w:val="21"/>
                <w:szCs w:val="21"/>
                <w:lang w:bidi="ar"/>
              </w:rPr>
              <w:t>2.0</w:t>
            </w:r>
          </w:p>
        </w:tc>
        <w:tc>
          <w:tcPr>
            <w:tcW w:w="2064"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088" w:type="dxa"/>
            <w:vAlign w:val="center"/>
          </w:tcPr>
          <w:p>
            <w:pPr>
              <w:jc w:val="center"/>
              <w:rPr>
                <w:rFonts w:ascii="Arial" w:hAnsi="Arial" w:cs="Arial"/>
                <w:sz w:val="21"/>
                <w:szCs w:val="21"/>
              </w:rPr>
            </w:pPr>
            <w:r>
              <w:rPr>
                <w:rFonts w:ascii="Arial" w:hAnsi="Arial" w:cs="Arial"/>
                <w:sz w:val="21"/>
                <w:szCs w:val="21"/>
              </w:rPr>
              <w:t>装修状况</w:t>
            </w:r>
          </w:p>
        </w:tc>
        <w:tc>
          <w:tcPr>
            <w:tcW w:w="2472"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毛坯</w:t>
            </w:r>
          </w:p>
        </w:tc>
        <w:tc>
          <w:tcPr>
            <w:tcW w:w="2110" w:type="dxa"/>
            <w:vAlign w:val="center"/>
          </w:tcPr>
          <w:p>
            <w:pPr>
              <w:jc w:val="center"/>
              <w:textAlignment w:val="center"/>
              <w:rPr>
                <w:rFonts w:ascii="Arial" w:hAnsi="Arial" w:cs="Arial"/>
                <w:sz w:val="21"/>
                <w:szCs w:val="21"/>
                <w:lang w:bidi="ar"/>
              </w:rPr>
            </w:pPr>
            <w:r>
              <w:rPr>
                <w:rFonts w:hint="eastAsia" w:ascii="Arial" w:hAnsi="Arial" w:cs="Arial"/>
                <w:sz w:val="21"/>
                <w:szCs w:val="21"/>
                <w:lang w:bidi="ar"/>
              </w:rPr>
              <w:t>毛坯</w:t>
            </w:r>
          </w:p>
        </w:tc>
        <w:tc>
          <w:tcPr>
            <w:tcW w:w="2064" w:type="dxa"/>
            <w:vAlign w:val="center"/>
          </w:tcPr>
          <w:p>
            <w:pPr>
              <w:widowControl w:val="0"/>
              <w:jc w:val="center"/>
              <w:textAlignment w:val="center"/>
              <w:rPr>
                <w:rFonts w:ascii="Arial" w:hAnsi="Arial" w:cs="Arial"/>
                <w:sz w:val="21"/>
                <w:szCs w:val="21"/>
                <w:lang w:bidi="ar"/>
              </w:rPr>
            </w:pPr>
            <w:r>
              <w:rPr>
                <w:rFonts w:hint="eastAsia" w:ascii="Arial" w:hAnsi="Arial" w:cs="Arial"/>
                <w:sz w:val="21"/>
                <w:szCs w:val="21"/>
                <w:lang w:bidi="ar"/>
              </w:rPr>
              <w:t>毛坯</w:t>
            </w:r>
          </w:p>
        </w:tc>
      </w:tr>
    </w:tbl>
    <w:p>
      <w:pPr>
        <w:pStyle w:val="2"/>
        <w:ind w:firstLine="0" w:firstLineChars="0"/>
        <w:rPr>
          <w:rFonts w:ascii="Arial" w:hAnsi="Arial" w:cs="Arial"/>
          <w:b/>
          <w:bCs/>
          <w:color w:val="FF0000"/>
          <w:szCs w:val="21"/>
        </w:rPr>
      </w:pPr>
    </w:p>
    <w:p>
      <w:pPr>
        <w:pStyle w:val="3"/>
        <w:rPr>
          <w:rFonts w:cs="Arial"/>
        </w:rPr>
      </w:pPr>
      <w:bookmarkStart w:id="27" w:name="_Toc69160064"/>
      <w:bookmarkStart w:id="28" w:name="_Toc24629"/>
      <w:r>
        <w:rPr>
          <w:rFonts w:cs="Arial"/>
        </w:rPr>
        <w:t>十一、区域市场情况分析</w:t>
      </w:r>
      <w:bookmarkEnd w:id="27"/>
      <w:bookmarkEnd w:id="28"/>
    </w:p>
    <w:p>
      <w:pPr>
        <w:pStyle w:val="32"/>
        <w:numPr>
          <w:ilvl w:val="0"/>
          <w:numId w:val="5"/>
        </w:numPr>
        <w:ind w:left="360" w:hanging="360" w:firstLineChars="0"/>
        <w:rPr>
          <w:rFonts w:ascii="Arial" w:hAnsi="Arial" w:cs="Arial"/>
          <w:b/>
          <w:bCs/>
          <w:sz w:val="21"/>
          <w:szCs w:val="21"/>
        </w:rPr>
      </w:pPr>
      <w:r>
        <w:rPr>
          <w:rFonts w:ascii="Arial" w:hAnsi="Arial" w:cs="Arial"/>
          <w:b/>
          <w:bCs/>
          <w:sz w:val="21"/>
          <w:szCs w:val="21"/>
        </w:rPr>
        <w:t>客群情况分析</w:t>
      </w:r>
    </w:p>
    <w:p>
      <w:pPr>
        <w:spacing w:line="360" w:lineRule="auto"/>
        <w:ind w:firstLine="480" w:firstLineChars="200"/>
        <w:rPr>
          <w:rFonts w:ascii="Arial" w:hAnsi="Arial" w:cs="Arial"/>
          <w:szCs w:val="21"/>
        </w:rPr>
      </w:pPr>
      <w:r>
        <w:rPr>
          <w:rFonts w:ascii="Arial" w:hAnsi="Arial" w:cs="Arial"/>
          <w:szCs w:val="21"/>
        </w:rPr>
        <w:t>该区域近年拆迁规模大，存在较大基数的地缘性客户；同时伴随着未来地铁通车及老仓山旧改推进，将带来外围进城客户和主城区外溢客户进入该片区的置业机会，因此客户主要为以下三种类型：</w:t>
      </w:r>
    </w:p>
    <w:p>
      <w:pPr>
        <w:spacing w:line="360" w:lineRule="auto"/>
        <w:ind w:firstLine="480" w:firstLineChars="200"/>
        <w:rPr>
          <w:rFonts w:ascii="Arial" w:hAnsi="Arial" w:cs="Arial"/>
          <w:szCs w:val="21"/>
        </w:rPr>
      </w:pPr>
      <w:r>
        <w:rPr>
          <w:rFonts w:hint="eastAsia" w:ascii="Arial" w:hAnsi="Arial" w:cs="Arial"/>
          <w:szCs w:val="21"/>
        </w:rPr>
        <w:t>（1）</w:t>
      </w:r>
      <w:r>
        <w:rPr>
          <w:rFonts w:ascii="Arial" w:hAnsi="Arial" w:cs="Arial"/>
          <w:szCs w:val="21"/>
        </w:rPr>
        <w:t>核心客群：项目周边及仓山地缘性客户为主（占比50%）</w:t>
      </w:r>
    </w:p>
    <w:p>
      <w:pPr>
        <w:spacing w:line="360" w:lineRule="auto"/>
        <w:ind w:firstLine="480" w:firstLineChars="200"/>
        <w:rPr>
          <w:rFonts w:ascii="Arial" w:hAnsi="Arial" w:cs="Arial"/>
          <w:szCs w:val="21"/>
        </w:rPr>
      </w:pPr>
      <w:r>
        <w:rPr>
          <w:rFonts w:ascii="Arial" w:hAnsi="Arial" w:cs="Arial"/>
          <w:szCs w:val="21"/>
        </w:rPr>
        <w:t>来源构成：生活或工作半径在此的客户，包括老仓山旧城拆迁户、品质提升户、地铁沿线上班的新福州人，因地缘性的首次置业或家庭结构调整的改善置业，有一定经济实力，看重紧邻三环路和地铁追求满足功能性居住需求，少部分支付能力强的品质改善客户。</w:t>
      </w:r>
    </w:p>
    <w:p>
      <w:pPr>
        <w:spacing w:line="360" w:lineRule="auto"/>
        <w:ind w:firstLine="480" w:firstLineChars="200"/>
        <w:rPr>
          <w:rFonts w:ascii="Arial" w:hAnsi="Arial" w:cs="Arial"/>
          <w:szCs w:val="21"/>
        </w:rPr>
      </w:pPr>
      <w:r>
        <w:rPr>
          <w:rFonts w:hint="eastAsia" w:ascii="Arial" w:hAnsi="Arial" w:cs="Arial"/>
          <w:szCs w:val="21"/>
        </w:rPr>
        <w:t>（2）</w:t>
      </w:r>
      <w:r>
        <w:rPr>
          <w:rFonts w:ascii="Arial" w:hAnsi="Arial" w:cs="Arial"/>
          <w:szCs w:val="21"/>
        </w:rPr>
        <w:t>重点客群：鼓楼、台江、晋安等外溢市区客户（30%）</w:t>
      </w:r>
    </w:p>
    <w:p>
      <w:pPr>
        <w:spacing w:line="360" w:lineRule="auto"/>
        <w:ind w:firstLine="480" w:firstLineChars="200"/>
        <w:rPr>
          <w:rFonts w:ascii="Arial" w:hAnsi="Arial" w:cs="Arial"/>
          <w:szCs w:val="21"/>
        </w:rPr>
      </w:pPr>
      <w:r>
        <w:rPr>
          <w:rFonts w:ascii="Arial" w:hAnsi="Arial" w:cs="Arial"/>
          <w:szCs w:val="21"/>
        </w:rPr>
        <w:t>来源构成：随着交通升级改善，地铁1号线的运营、地铁4号线和地铁5号线的相继通车，将带动鼓楼、台江、晋安客户以地铁沿线工作区域为主的客户置业。</w:t>
      </w:r>
    </w:p>
    <w:p>
      <w:pPr>
        <w:spacing w:line="360" w:lineRule="auto"/>
        <w:ind w:firstLine="480" w:firstLineChars="200"/>
        <w:rPr>
          <w:rFonts w:ascii="Arial" w:hAnsi="Arial" w:cs="Arial"/>
          <w:szCs w:val="21"/>
        </w:rPr>
      </w:pPr>
      <w:r>
        <w:rPr>
          <w:rFonts w:hint="eastAsia" w:ascii="Arial" w:hAnsi="Arial" w:cs="Arial"/>
          <w:szCs w:val="21"/>
        </w:rPr>
        <w:t>（3）</w:t>
      </w:r>
      <w:r>
        <w:rPr>
          <w:rFonts w:ascii="Arial" w:hAnsi="Arial" w:cs="Arial"/>
          <w:szCs w:val="21"/>
        </w:rPr>
        <w:t>补充客群：长乐、福清等周边县市进城客户（20%）</w:t>
      </w:r>
    </w:p>
    <w:p>
      <w:pPr>
        <w:spacing w:line="360" w:lineRule="auto"/>
        <w:ind w:firstLine="480" w:firstLineChars="200"/>
        <w:rPr>
          <w:rFonts w:ascii="Arial" w:hAnsi="Arial" w:cs="Arial"/>
          <w:szCs w:val="21"/>
        </w:rPr>
      </w:pPr>
      <w:r>
        <w:rPr>
          <w:rFonts w:ascii="Arial" w:hAnsi="Arial" w:cs="Arial"/>
          <w:szCs w:val="21"/>
        </w:rPr>
        <w:t>来源构成：以长乐为代表的周边县市进城客户，认可项目周边成熟的交通及教育配套资源，尤其是地铁和三环路所带来的交通便利性，将福州城区价位相近的楼盘客户分流至本案。</w:t>
      </w:r>
    </w:p>
    <w:p>
      <w:pPr>
        <w:spacing w:line="360" w:lineRule="auto"/>
        <w:ind w:firstLine="480" w:firstLineChars="200"/>
        <w:rPr>
          <w:rFonts w:ascii="Arial" w:hAnsi="Arial" w:cs="Arial"/>
          <w:b/>
          <w:bCs/>
        </w:rPr>
      </w:pPr>
      <w:r>
        <w:rPr>
          <w:rFonts w:ascii="Arial" w:hAnsi="Arial" w:cs="Arial"/>
          <w:szCs w:val="21"/>
        </w:rPr>
        <w:t>从客户类型上判断，本项目的产品定位主要为刚需、刚改类产品。</w:t>
      </w:r>
    </w:p>
    <w:p>
      <w:pPr>
        <w:pStyle w:val="32"/>
        <w:numPr>
          <w:ilvl w:val="0"/>
          <w:numId w:val="5"/>
        </w:numPr>
        <w:ind w:left="360" w:hanging="360" w:firstLineChars="0"/>
        <w:rPr>
          <w:rFonts w:ascii="Arial" w:hAnsi="Arial" w:cs="Arial"/>
          <w:b/>
          <w:bCs/>
          <w:sz w:val="21"/>
          <w:szCs w:val="21"/>
        </w:rPr>
      </w:pPr>
      <w:r>
        <w:rPr>
          <w:rFonts w:ascii="Arial" w:hAnsi="Arial" w:cs="Arial"/>
          <w:b/>
          <w:bCs/>
          <w:sz w:val="21"/>
          <w:szCs w:val="21"/>
        </w:rPr>
        <w:t>政策分析</w:t>
      </w:r>
    </w:p>
    <w:p>
      <w:pPr>
        <w:spacing w:line="360" w:lineRule="auto"/>
        <w:ind w:firstLine="480" w:firstLineChars="200"/>
        <w:rPr>
          <w:rFonts w:ascii="Arial" w:hAnsi="Arial" w:cs="Arial"/>
          <w:szCs w:val="21"/>
        </w:rPr>
      </w:pPr>
      <w:r>
        <w:rPr>
          <w:rFonts w:ascii="Arial" w:hAnsi="Arial" w:cs="Arial"/>
          <w:szCs w:val="21"/>
        </w:rPr>
        <w:t>（1）预售政策：</w:t>
      </w:r>
    </w:p>
    <w:p>
      <w:pPr>
        <w:spacing w:line="360" w:lineRule="auto"/>
        <w:ind w:firstLine="480" w:firstLineChars="200"/>
        <w:rPr>
          <w:rFonts w:ascii="Arial" w:hAnsi="Arial" w:cs="Arial"/>
          <w:szCs w:val="21"/>
        </w:rPr>
      </w:pPr>
      <w:r>
        <w:rPr>
          <w:rFonts w:ascii="Arial" w:hAnsi="Arial" w:cs="Arial"/>
          <w:szCs w:val="21"/>
        </w:rPr>
        <w:t>福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三分之一（非PC部分施工形象进度须达到总层数的三分之一，PC部分达到正负零）；已在项目所在地的银行设立商品房预售款监管专用账户；白蚁防治合同、备案表已取得；已办理楼盘表备案及一房一价备案表。</w:t>
      </w:r>
    </w:p>
    <w:p>
      <w:pPr>
        <w:spacing w:line="360" w:lineRule="auto"/>
        <w:ind w:firstLine="480" w:firstLineChars="200"/>
        <w:rPr>
          <w:rFonts w:ascii="Arial" w:hAnsi="Arial" w:cs="Arial"/>
          <w:szCs w:val="21"/>
        </w:rPr>
      </w:pPr>
      <w:r>
        <w:rPr>
          <w:rFonts w:ascii="Arial" w:hAnsi="Arial" w:cs="Arial"/>
          <w:szCs w:val="21"/>
        </w:rPr>
        <w:t>（2）限购政策：</w:t>
      </w:r>
    </w:p>
    <w:p>
      <w:pPr>
        <w:spacing w:line="360" w:lineRule="auto"/>
        <w:ind w:firstLine="480" w:firstLineChars="200"/>
        <w:rPr>
          <w:rFonts w:ascii="Arial" w:hAnsi="Arial" w:cs="Arial"/>
          <w:szCs w:val="21"/>
        </w:rPr>
      </w:pPr>
      <w:r>
        <w:rPr>
          <w:rFonts w:ascii="Arial" w:hAnsi="Arial" w:cs="Arial"/>
          <w:szCs w:val="21"/>
        </w:rPr>
        <w:t>福州市限购政策为：本市五城区内户口以家庭为单位，第三套限购；非五城区户口，需提供两年内在本市五城区内累计缴交一年的社保或个税证明，第二套限购；购买144平方以上的住宅产权房产不限购。</w:t>
      </w:r>
    </w:p>
    <w:p>
      <w:pPr>
        <w:spacing w:line="360" w:lineRule="auto"/>
        <w:ind w:firstLine="480" w:firstLineChars="200"/>
        <w:rPr>
          <w:rFonts w:ascii="Arial" w:hAnsi="Arial" w:cs="Arial"/>
          <w:szCs w:val="21"/>
        </w:rPr>
      </w:pPr>
      <w:r>
        <w:rPr>
          <w:rFonts w:ascii="Arial" w:hAnsi="Arial" w:cs="Arial"/>
          <w:szCs w:val="21"/>
        </w:rPr>
        <w:t>福州市限售政策为：本市五城区内户口购买第二套住房，非本市五城区内户口购买第一套住房。取得不动产权证未满2年的限售。</w:t>
      </w:r>
    </w:p>
    <w:p>
      <w:pPr>
        <w:spacing w:line="360" w:lineRule="auto"/>
        <w:ind w:firstLine="480" w:firstLineChars="200"/>
        <w:rPr>
          <w:rFonts w:ascii="Arial" w:hAnsi="Arial" w:cs="Arial"/>
          <w:szCs w:val="21"/>
        </w:rPr>
      </w:pPr>
      <w:r>
        <w:rPr>
          <w:rFonts w:ascii="Arial" w:hAnsi="Arial" w:cs="Arial"/>
          <w:szCs w:val="21"/>
        </w:rPr>
        <w:t>（3）限价政策：</w:t>
      </w:r>
    </w:p>
    <w:p>
      <w:pPr>
        <w:spacing w:line="360" w:lineRule="auto"/>
        <w:ind w:firstLine="480" w:firstLineChars="200"/>
        <w:rPr>
          <w:rFonts w:ascii="Arial" w:hAnsi="Arial" w:cs="Arial"/>
          <w:szCs w:val="21"/>
        </w:rPr>
      </w:pPr>
      <w:r>
        <w:rPr>
          <w:rFonts w:ascii="Arial" w:hAnsi="Arial" w:cs="Arial"/>
          <w:szCs w:val="21"/>
        </w:rPr>
        <w:t>项目所在区域最高备案价27,726.00元/平米，本项目商品房拟上报备案价为2</w:t>
      </w:r>
      <w:r>
        <w:rPr>
          <w:rFonts w:hint="eastAsia" w:ascii="Arial" w:hAnsi="Arial" w:cs="Arial"/>
          <w:szCs w:val="21"/>
        </w:rPr>
        <w:t>5</w:t>
      </w:r>
      <w:r>
        <w:rPr>
          <w:rFonts w:ascii="Arial" w:hAnsi="Arial" w:cs="Arial"/>
          <w:szCs w:val="21"/>
        </w:rPr>
        <w:t>,500.00 元/平米。</w:t>
      </w:r>
    </w:p>
    <w:p>
      <w:pPr>
        <w:pStyle w:val="2"/>
      </w:pPr>
    </w:p>
    <w:p>
      <w:pPr>
        <w:pStyle w:val="32"/>
        <w:numPr>
          <w:ilvl w:val="0"/>
          <w:numId w:val="5"/>
        </w:numPr>
        <w:spacing w:line="360" w:lineRule="auto"/>
        <w:ind w:left="360" w:hanging="360" w:firstLineChars="0"/>
        <w:rPr>
          <w:rFonts w:ascii="Arial" w:hAnsi="Arial" w:cs="Arial"/>
          <w:b/>
          <w:bCs/>
          <w:sz w:val="21"/>
          <w:szCs w:val="21"/>
        </w:rPr>
      </w:pPr>
      <w:r>
        <w:rPr>
          <w:rFonts w:ascii="Arial" w:hAnsi="Arial" w:cs="Arial"/>
          <w:b/>
          <w:bCs/>
          <w:sz w:val="21"/>
          <w:szCs w:val="21"/>
        </w:rPr>
        <w:t>同业态售房成交量分析</w:t>
      </w:r>
    </w:p>
    <w:p>
      <w:pPr>
        <w:spacing w:line="360" w:lineRule="auto"/>
        <w:ind w:firstLine="480" w:firstLineChars="200"/>
        <w:rPr>
          <w:rFonts w:ascii="Arial" w:hAnsi="Arial" w:cs="Arial"/>
          <w:color w:val="FF0000"/>
          <w:szCs w:val="21"/>
        </w:rPr>
      </w:pPr>
      <w:r>
        <w:rPr>
          <w:rFonts w:ascii="Arial" w:hAnsi="Arial" w:cs="Arial"/>
          <w:szCs w:val="21"/>
        </w:rPr>
        <w:t>过去的9月福州五行政区住宅签约套数出现断崖式下跌，签约套数仅报出</w:t>
      </w:r>
      <w:r>
        <w:rPr>
          <w:rFonts w:hint="eastAsia" w:ascii="Arial" w:hAnsi="Arial" w:cs="Arial"/>
          <w:szCs w:val="21"/>
        </w:rPr>
        <w:t>2,</w:t>
      </w:r>
      <w:r>
        <w:rPr>
          <w:rFonts w:ascii="Arial" w:hAnsi="Arial" w:cs="Arial"/>
          <w:szCs w:val="21"/>
        </w:rPr>
        <w:t>686套，环比8月大幅减少2</w:t>
      </w:r>
      <w:r>
        <w:rPr>
          <w:rFonts w:hint="eastAsia" w:ascii="Arial" w:hAnsi="Arial" w:cs="Arial"/>
          <w:szCs w:val="21"/>
        </w:rPr>
        <w:t>,</w:t>
      </w:r>
      <w:r>
        <w:rPr>
          <w:rFonts w:ascii="Arial" w:hAnsi="Arial" w:cs="Arial"/>
          <w:szCs w:val="21"/>
        </w:rPr>
        <w:t>832套。签约面积方面，时隔六个月之后再度跌破30万平米大关，9月报出266</w:t>
      </w:r>
      <w:r>
        <w:rPr>
          <w:rFonts w:hint="eastAsia" w:ascii="Arial" w:hAnsi="Arial" w:cs="Arial"/>
          <w:szCs w:val="21"/>
        </w:rPr>
        <w:t>,</w:t>
      </w:r>
      <w:r>
        <w:rPr>
          <w:rFonts w:ascii="Arial" w:hAnsi="Arial" w:cs="Arial"/>
          <w:szCs w:val="21"/>
        </w:rPr>
        <w:t>698㎡，环比8月减少244</w:t>
      </w:r>
      <w:r>
        <w:rPr>
          <w:rFonts w:hint="eastAsia" w:ascii="Arial" w:hAnsi="Arial" w:cs="Arial"/>
          <w:szCs w:val="21"/>
        </w:rPr>
        <w:t>,</w:t>
      </w:r>
      <w:r>
        <w:rPr>
          <w:rFonts w:ascii="Arial" w:hAnsi="Arial" w:cs="Arial"/>
          <w:szCs w:val="21"/>
        </w:rPr>
        <w:t>710㎡，降幅为47.85%。两组数据均创下3月以来的最低值。此外，9月福州所辖七县（市）区住宅签约套数报出2</w:t>
      </w:r>
      <w:r>
        <w:rPr>
          <w:rFonts w:hint="eastAsia" w:ascii="Arial" w:hAnsi="Arial" w:cs="Arial"/>
          <w:szCs w:val="21"/>
        </w:rPr>
        <w:t>,</w:t>
      </w:r>
      <w:r>
        <w:rPr>
          <w:rFonts w:ascii="Arial" w:hAnsi="Arial" w:cs="Arial"/>
          <w:szCs w:val="21"/>
        </w:rPr>
        <w:t>748套，环比8月增加159套。签约面积方面，9月则报出300</w:t>
      </w:r>
      <w:r>
        <w:rPr>
          <w:rFonts w:hint="eastAsia" w:ascii="Arial" w:hAnsi="Arial" w:cs="Arial"/>
          <w:szCs w:val="21"/>
        </w:rPr>
        <w:t>,</w:t>
      </w:r>
      <w:r>
        <w:rPr>
          <w:rFonts w:ascii="Arial" w:hAnsi="Arial" w:cs="Arial"/>
          <w:szCs w:val="21"/>
        </w:rPr>
        <w:t>423㎡，环比8月增加27</w:t>
      </w:r>
      <w:r>
        <w:rPr>
          <w:rFonts w:hint="eastAsia" w:ascii="Arial" w:hAnsi="Arial" w:cs="Arial"/>
          <w:szCs w:val="21"/>
        </w:rPr>
        <w:t>,</w:t>
      </w:r>
      <w:r>
        <w:rPr>
          <w:rFonts w:ascii="Arial" w:hAnsi="Arial" w:cs="Arial"/>
          <w:szCs w:val="21"/>
        </w:rPr>
        <w:t>247㎡，增幅为9.97%。通过测算，9月福州全市住宅总签约套数合计5</w:t>
      </w:r>
      <w:r>
        <w:rPr>
          <w:rFonts w:hint="eastAsia" w:ascii="Arial" w:hAnsi="Arial" w:cs="Arial"/>
          <w:szCs w:val="21"/>
        </w:rPr>
        <w:t>,</w:t>
      </w:r>
      <w:r>
        <w:rPr>
          <w:rFonts w:ascii="Arial" w:hAnsi="Arial" w:cs="Arial"/>
          <w:szCs w:val="21"/>
        </w:rPr>
        <w:t>434套，环比8月的8</w:t>
      </w:r>
      <w:r>
        <w:rPr>
          <w:rFonts w:hint="eastAsia" w:ascii="Arial" w:hAnsi="Arial" w:cs="Arial"/>
          <w:szCs w:val="21"/>
        </w:rPr>
        <w:t>,</w:t>
      </w:r>
      <w:r>
        <w:rPr>
          <w:rFonts w:ascii="Arial" w:hAnsi="Arial" w:cs="Arial"/>
          <w:szCs w:val="21"/>
        </w:rPr>
        <w:t>107套减少2</w:t>
      </w:r>
      <w:r>
        <w:rPr>
          <w:rFonts w:hint="eastAsia" w:ascii="Arial" w:hAnsi="Arial" w:cs="Arial"/>
          <w:szCs w:val="21"/>
        </w:rPr>
        <w:t>,</w:t>
      </w:r>
      <w:r>
        <w:rPr>
          <w:rFonts w:ascii="Arial" w:hAnsi="Arial" w:cs="Arial"/>
          <w:szCs w:val="21"/>
        </w:rPr>
        <w:t>673套，缩水32.97%。可以看到，尽管七县（市）区住宅网签数据出现小幅增加，但显然无法弥补五行政区所留下的缺口</w:t>
      </w:r>
      <w:r>
        <w:rPr>
          <w:rFonts w:hint="eastAsia" w:ascii="Arial" w:hAnsi="Arial" w:cs="Arial"/>
          <w:szCs w:val="21"/>
        </w:rPr>
        <w:t>。</w:t>
      </w:r>
    </w:p>
    <w:p>
      <w:pPr>
        <w:pStyle w:val="15"/>
        <w:shd w:val="clear" w:color="auto" w:fill="FFFFFF"/>
        <w:spacing w:line="360" w:lineRule="auto"/>
        <w:ind w:firstLine="480"/>
        <w:rPr>
          <w:rFonts w:ascii="Arial" w:hAnsi="Arial" w:cs="Arial"/>
          <w:szCs w:val="21"/>
        </w:rPr>
      </w:pPr>
      <w:r>
        <w:rPr>
          <w:rFonts w:hint="eastAsia" w:ascii="Arial" w:hAnsi="Arial" w:cs="Arial"/>
          <w:szCs w:val="21"/>
        </w:rPr>
        <w:drawing>
          <wp:inline distT="0" distB="0" distL="114300" distR="114300">
            <wp:extent cx="5151120" cy="3284220"/>
            <wp:effectExtent l="0" t="0" r="0" b="7620"/>
            <wp:docPr id="22" name="图片 22" descr="1633656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3656685(1)"/>
                    <pic:cNvPicPr>
                      <a:picLocks noChangeAspect="1"/>
                    </pic:cNvPicPr>
                  </pic:nvPicPr>
                  <pic:blipFill>
                    <a:blip r:embed="rId9"/>
                    <a:stretch>
                      <a:fillRect/>
                    </a:stretch>
                  </pic:blipFill>
                  <pic:spPr>
                    <a:xfrm>
                      <a:off x="0" y="0"/>
                      <a:ext cx="5151120" cy="3284220"/>
                    </a:xfrm>
                    <a:prstGeom prst="rect">
                      <a:avLst/>
                    </a:prstGeom>
                  </pic:spPr>
                </pic:pic>
              </a:graphicData>
            </a:graphic>
          </wp:inline>
        </w:drawing>
      </w:r>
    </w:p>
    <w:p>
      <w:pPr>
        <w:spacing w:line="360" w:lineRule="auto"/>
        <w:ind w:firstLine="480" w:firstLineChars="200"/>
        <w:rPr>
          <w:rFonts w:ascii="Arial" w:hAnsi="Arial" w:cs="Arial"/>
          <w:color w:val="FF0000"/>
          <w:szCs w:val="21"/>
        </w:rPr>
      </w:pPr>
      <w:r>
        <w:rPr>
          <w:rFonts w:hint="eastAsia" w:ascii="Arial" w:hAnsi="Arial" w:cs="Arial"/>
          <w:szCs w:val="21"/>
        </w:rPr>
        <w:t>2021年</w:t>
      </w:r>
      <w:r>
        <w:rPr>
          <w:rFonts w:ascii="Arial" w:hAnsi="Arial" w:cs="Arial"/>
          <w:szCs w:val="21"/>
        </w:rPr>
        <w:t>前9月福州五行政区住宅签约套数突破四万套，报出41</w:t>
      </w:r>
      <w:r>
        <w:rPr>
          <w:rFonts w:hint="eastAsia" w:ascii="Arial" w:hAnsi="Arial" w:cs="Arial"/>
          <w:szCs w:val="21"/>
        </w:rPr>
        <w:t>,</w:t>
      </w:r>
      <w:r>
        <w:rPr>
          <w:rFonts w:ascii="Arial" w:hAnsi="Arial" w:cs="Arial"/>
          <w:szCs w:val="21"/>
        </w:rPr>
        <w:t>251套，与2020年同期相比，增加20</w:t>
      </w:r>
      <w:r>
        <w:rPr>
          <w:rFonts w:hint="eastAsia" w:ascii="Arial" w:hAnsi="Arial" w:cs="Arial"/>
          <w:szCs w:val="21"/>
        </w:rPr>
        <w:t>,</w:t>
      </w:r>
      <w:r>
        <w:rPr>
          <w:rFonts w:ascii="Arial" w:hAnsi="Arial" w:cs="Arial"/>
          <w:szCs w:val="21"/>
        </w:rPr>
        <w:t>264套，增幅高达96.55%。签约面积方面，今年前9月五行政区报出3</w:t>
      </w:r>
      <w:r>
        <w:rPr>
          <w:rFonts w:hint="eastAsia" w:ascii="Arial" w:hAnsi="Arial" w:cs="Arial"/>
          <w:szCs w:val="21"/>
        </w:rPr>
        <w:t>,</w:t>
      </w:r>
      <w:r>
        <w:rPr>
          <w:rFonts w:ascii="Arial" w:hAnsi="Arial" w:cs="Arial"/>
          <w:szCs w:val="21"/>
        </w:rPr>
        <w:t>905</w:t>
      </w:r>
      <w:r>
        <w:rPr>
          <w:rFonts w:hint="eastAsia" w:ascii="Arial" w:hAnsi="Arial" w:cs="Arial"/>
          <w:szCs w:val="21"/>
        </w:rPr>
        <w:t>,</w:t>
      </w:r>
      <w:r>
        <w:rPr>
          <w:rFonts w:ascii="Arial" w:hAnsi="Arial" w:cs="Arial"/>
          <w:szCs w:val="21"/>
        </w:rPr>
        <w:t>144㎡，与2020年同期相比，增加1</w:t>
      </w:r>
      <w:r>
        <w:rPr>
          <w:rFonts w:hint="eastAsia" w:ascii="Arial" w:hAnsi="Arial" w:cs="Arial"/>
          <w:szCs w:val="21"/>
        </w:rPr>
        <w:t>,</w:t>
      </w:r>
      <w:r>
        <w:rPr>
          <w:rFonts w:ascii="Arial" w:hAnsi="Arial" w:cs="Arial"/>
          <w:szCs w:val="21"/>
        </w:rPr>
        <w:t>930</w:t>
      </w:r>
      <w:r>
        <w:rPr>
          <w:rFonts w:hint="eastAsia" w:ascii="Arial" w:hAnsi="Arial" w:cs="Arial"/>
          <w:szCs w:val="21"/>
        </w:rPr>
        <w:t>,</w:t>
      </w:r>
      <w:r>
        <w:rPr>
          <w:rFonts w:ascii="Arial" w:hAnsi="Arial" w:cs="Arial"/>
          <w:szCs w:val="21"/>
        </w:rPr>
        <w:t>884㎡，增幅高达97.80%。此外，今年前9月福州所辖七县（市）区住宅签约套数报出24</w:t>
      </w:r>
      <w:r>
        <w:rPr>
          <w:rFonts w:hint="eastAsia" w:ascii="Arial" w:hAnsi="Arial" w:cs="Arial"/>
          <w:szCs w:val="21"/>
        </w:rPr>
        <w:t>,</w:t>
      </w:r>
      <w:r>
        <w:rPr>
          <w:rFonts w:ascii="Arial" w:hAnsi="Arial" w:cs="Arial"/>
          <w:szCs w:val="21"/>
        </w:rPr>
        <w:t>317套，与去年同期相比，增加1391套，增幅为6.06%。签约面积方面，近年前9月福州所辖七县（市）区住宅报出2</w:t>
      </w:r>
      <w:r>
        <w:rPr>
          <w:rFonts w:hint="eastAsia" w:ascii="Arial" w:hAnsi="Arial" w:cs="Arial"/>
          <w:szCs w:val="21"/>
        </w:rPr>
        <w:t>,</w:t>
      </w:r>
      <w:r>
        <w:rPr>
          <w:rFonts w:ascii="Arial" w:hAnsi="Arial" w:cs="Arial"/>
          <w:szCs w:val="21"/>
        </w:rPr>
        <w:t>648</w:t>
      </w:r>
      <w:r>
        <w:rPr>
          <w:rFonts w:hint="eastAsia" w:ascii="Arial" w:hAnsi="Arial" w:cs="Arial"/>
          <w:szCs w:val="21"/>
        </w:rPr>
        <w:t>,</w:t>
      </w:r>
      <w:r>
        <w:rPr>
          <w:rFonts w:ascii="Arial" w:hAnsi="Arial" w:cs="Arial"/>
          <w:szCs w:val="21"/>
        </w:rPr>
        <w:t>293㎡，与2020年同期相比，增加301</w:t>
      </w:r>
      <w:r>
        <w:rPr>
          <w:rFonts w:hint="eastAsia" w:ascii="Arial" w:hAnsi="Arial" w:cs="Arial"/>
          <w:szCs w:val="21"/>
        </w:rPr>
        <w:t>,</w:t>
      </w:r>
      <w:r>
        <w:rPr>
          <w:rFonts w:ascii="Arial" w:hAnsi="Arial" w:cs="Arial"/>
          <w:szCs w:val="21"/>
        </w:rPr>
        <w:t>234㎡，增幅为12.83%。</w:t>
      </w:r>
    </w:p>
    <w:p>
      <w:pPr>
        <w:pStyle w:val="15"/>
        <w:shd w:val="clear" w:color="auto" w:fill="FFFFFF"/>
        <w:spacing w:line="360" w:lineRule="auto"/>
        <w:ind w:firstLine="480"/>
        <w:rPr>
          <w:rFonts w:ascii="Arial" w:hAnsi="Arial" w:cs="Arial"/>
          <w:szCs w:val="21"/>
        </w:rPr>
      </w:pPr>
      <w:r>
        <w:rPr>
          <w:rFonts w:hint="eastAsia" w:ascii="Arial" w:hAnsi="Arial" w:cs="Arial"/>
          <w:szCs w:val="21"/>
        </w:rPr>
        <w:drawing>
          <wp:inline distT="0" distB="0" distL="114300" distR="114300">
            <wp:extent cx="5143500" cy="1508760"/>
            <wp:effectExtent l="0" t="0" r="7620" b="0"/>
            <wp:docPr id="28" name="图片 28" descr="1633656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3656863(1)"/>
                    <pic:cNvPicPr>
                      <a:picLocks noChangeAspect="1"/>
                    </pic:cNvPicPr>
                  </pic:nvPicPr>
                  <pic:blipFill>
                    <a:blip r:embed="rId10"/>
                    <a:stretch>
                      <a:fillRect/>
                    </a:stretch>
                  </pic:blipFill>
                  <pic:spPr>
                    <a:xfrm>
                      <a:off x="0" y="0"/>
                      <a:ext cx="5143500" cy="1508760"/>
                    </a:xfrm>
                    <a:prstGeom prst="rect">
                      <a:avLst/>
                    </a:prstGeom>
                  </pic:spPr>
                </pic:pic>
              </a:graphicData>
            </a:graphic>
          </wp:inline>
        </w:drawing>
      </w:r>
    </w:p>
    <w:p>
      <w:pPr>
        <w:pStyle w:val="32"/>
        <w:numPr>
          <w:ilvl w:val="0"/>
          <w:numId w:val="5"/>
        </w:numPr>
        <w:ind w:left="360" w:hanging="360" w:firstLineChars="0"/>
        <w:rPr>
          <w:rFonts w:ascii="Arial" w:hAnsi="Arial" w:cs="Arial"/>
          <w:b/>
          <w:bCs/>
          <w:sz w:val="21"/>
          <w:szCs w:val="21"/>
        </w:rPr>
      </w:pPr>
      <w:r>
        <w:rPr>
          <w:rFonts w:ascii="Arial" w:hAnsi="Arial" w:cs="Arial"/>
          <w:b/>
          <w:bCs/>
          <w:sz w:val="21"/>
          <w:szCs w:val="21"/>
        </w:rPr>
        <w:t>土地成交量分析</w:t>
      </w:r>
    </w:p>
    <w:p>
      <w:pPr>
        <w:spacing w:line="360" w:lineRule="auto"/>
        <w:ind w:firstLine="480" w:firstLineChars="200"/>
        <w:rPr>
          <w:rFonts w:ascii="Arial" w:hAnsi="Arial" w:cs="Arial"/>
          <w:szCs w:val="21"/>
        </w:rPr>
      </w:pPr>
      <w:r>
        <w:rPr>
          <w:rFonts w:hint="eastAsia" w:ascii="Arial" w:hAnsi="Arial" w:cs="Arial"/>
          <w:szCs w:val="21"/>
        </w:rPr>
        <w:t>2021</w:t>
      </w:r>
      <w:r>
        <w:rPr>
          <w:rFonts w:ascii="Arial" w:hAnsi="Arial" w:cs="Arial"/>
          <w:szCs w:val="21"/>
        </w:rPr>
        <w:t>年9月，福州市以住宅用地成交为主，占比92.8%。9月，福州市累计成交各类用地25宗，共计197.11万㎡，环比增长99.94%，同比减少3.96%。其中，成交住宅用地15宗，共计102.02万㎡，同比减少3.56%；商办用地2宗，共计7.86万㎡，同比减少14.72%。</w:t>
      </w:r>
      <w:r>
        <w:rPr>
          <w:rFonts w:hint="eastAsia" w:ascii="Arial" w:hAnsi="Arial" w:cs="Arial"/>
          <w:szCs w:val="21"/>
        </w:rPr>
        <w:t>2021年9月福州市土地出让金为82.41亿元，同比增长34.4%，溢价率为12.0%，较去年同期降低22.0个百分点。其中，住宅土地出让金为79.97亿元，同比增长50.2%，溢价率为12.0%，较去年同期降低28.4个百分点；商办</w:t>
      </w:r>
      <w:r>
        <w:rPr>
          <w:rFonts w:ascii="Arial" w:hAnsi="Arial" w:cs="Arial"/>
          <w:szCs w:val="21"/>
        </w:rPr>
        <w:t>土地出让金为1.32亿元，同比下降74.2%，溢价率为0.8</w:t>
      </w:r>
      <w:r>
        <w:rPr>
          <w:rFonts w:hint="eastAsia" w:ascii="Arial" w:hAnsi="Arial" w:cs="Arial"/>
          <w:szCs w:val="21"/>
        </w:rPr>
        <w:t xml:space="preserve">%。  </w:t>
      </w:r>
    </w:p>
    <w:p>
      <w:pPr>
        <w:spacing w:line="360" w:lineRule="auto"/>
        <w:ind w:firstLine="480" w:firstLineChars="200"/>
        <w:rPr>
          <w:rFonts w:ascii="Arial" w:hAnsi="Arial" w:cs="Arial"/>
          <w:szCs w:val="21"/>
        </w:rPr>
      </w:pPr>
    </w:p>
    <w:p>
      <w:pPr>
        <w:pStyle w:val="32"/>
        <w:numPr>
          <w:ilvl w:val="0"/>
          <w:numId w:val="5"/>
        </w:numPr>
        <w:ind w:left="360" w:hanging="360" w:firstLineChars="0"/>
        <w:rPr>
          <w:rFonts w:ascii="Arial" w:hAnsi="Arial" w:cs="Arial"/>
          <w:b/>
          <w:bCs/>
          <w:sz w:val="21"/>
          <w:szCs w:val="21"/>
        </w:rPr>
      </w:pPr>
      <w:r>
        <w:rPr>
          <w:rFonts w:ascii="Arial" w:hAnsi="Arial" w:cs="Arial"/>
          <w:b/>
          <w:bCs/>
          <w:sz w:val="21"/>
          <w:szCs w:val="21"/>
        </w:rPr>
        <w:t>其他</w:t>
      </w:r>
      <w:r>
        <w:rPr>
          <w:rFonts w:hint="eastAsia" w:ascii="Arial" w:hAnsi="Arial" w:cs="Arial"/>
          <w:b/>
          <w:bCs/>
          <w:sz w:val="21"/>
          <w:szCs w:val="21"/>
        </w:rPr>
        <w:t>（无）</w:t>
      </w:r>
    </w:p>
    <w:p>
      <w:pPr>
        <w:pStyle w:val="3"/>
        <w:rPr>
          <w:rFonts w:cs="Arial"/>
        </w:rPr>
      </w:pPr>
      <w:bookmarkStart w:id="29" w:name="_Toc14559"/>
      <w:bookmarkStart w:id="30" w:name="_Toc69160065"/>
      <w:r>
        <w:rPr>
          <w:rFonts w:cs="Arial"/>
        </w:rPr>
        <w:t>十二、项目公司资金计划执行情况</w:t>
      </w:r>
      <w:bookmarkEnd w:id="29"/>
      <w:bookmarkEnd w:id="30"/>
    </w:p>
    <w:p>
      <w:pPr>
        <w:jc w:val="center"/>
        <w:rPr>
          <w:rFonts w:ascii="Arial" w:hAnsi="Arial" w:cs="Arial"/>
        </w:rPr>
      </w:pPr>
      <w:r>
        <w:rPr>
          <w:rFonts w:ascii="Arial" w:hAnsi="Arial" w:cs="Arial"/>
          <w:b/>
          <w:bCs/>
          <w:color w:val="000000"/>
          <w:sz w:val="21"/>
          <w:szCs w:val="21"/>
        </w:rPr>
        <w:t>2021</w:t>
      </w:r>
      <w:r>
        <w:rPr>
          <w:rFonts w:ascii="Arial" w:hAnsi="Arial" w:cs="Arial"/>
          <w:b/>
          <w:bCs/>
          <w:sz w:val="21"/>
          <w:szCs w:val="21"/>
        </w:rPr>
        <w:t>年</w:t>
      </w:r>
      <w:r>
        <w:rPr>
          <w:rFonts w:hint="eastAsia" w:ascii="Arial" w:hAnsi="Arial" w:cs="Arial"/>
          <w:b/>
          <w:bCs/>
          <w:sz w:val="21"/>
          <w:szCs w:val="21"/>
        </w:rPr>
        <w:t>9</w:t>
      </w:r>
      <w:r>
        <w:rPr>
          <w:rFonts w:ascii="Arial" w:hAnsi="Arial" w:cs="Arial"/>
          <w:b/>
          <w:bCs/>
          <w:sz w:val="21"/>
          <w:szCs w:val="21"/>
        </w:rPr>
        <w:t>月资金计划执行情况</w:t>
      </w:r>
    </w:p>
    <w:tbl>
      <w:tblPr>
        <w:tblStyle w:val="18"/>
        <w:tblW w:w="8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946"/>
        <w:gridCol w:w="1795"/>
        <w:gridCol w:w="2052"/>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blHeader/>
          <w:jc w:val="center"/>
        </w:trPr>
        <w:tc>
          <w:tcPr>
            <w:tcW w:w="2170"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支出项目</w:t>
            </w:r>
          </w:p>
        </w:tc>
        <w:tc>
          <w:tcPr>
            <w:tcW w:w="1946"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计划金额（万元）</w:t>
            </w:r>
          </w:p>
        </w:tc>
        <w:tc>
          <w:tcPr>
            <w:tcW w:w="1795"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实际金额（万元）</w:t>
            </w:r>
          </w:p>
        </w:tc>
        <w:tc>
          <w:tcPr>
            <w:tcW w:w="2052"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差异金额（万元）</w:t>
            </w:r>
          </w:p>
        </w:tc>
        <w:tc>
          <w:tcPr>
            <w:tcW w:w="712"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土地款支出 </w:t>
            </w:r>
          </w:p>
        </w:tc>
        <w:tc>
          <w:tcPr>
            <w:tcW w:w="1946" w:type="dxa"/>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tcPr>
          <w:p>
            <w:pPr>
              <w:jc w:val="center"/>
              <w:rPr>
                <w:rFonts w:ascii="Arial" w:hAnsi="Arial" w:cs="Arial"/>
                <w:color w:val="000000"/>
                <w:sz w:val="21"/>
                <w:szCs w:val="21"/>
                <w:lang w:bidi="ar"/>
              </w:rPr>
            </w:pPr>
            <w:r>
              <w:rPr>
                <w:rFonts w:ascii="Arial" w:hAnsi="Arial" w:cs="Arial"/>
                <w:color w:val="000000"/>
                <w:sz w:val="21"/>
                <w:szCs w:val="21"/>
                <w:lang w:bidi="ar"/>
              </w:rPr>
              <w:t>-</w:t>
            </w:r>
          </w:p>
        </w:tc>
        <w:tc>
          <w:tcPr>
            <w:tcW w:w="2052" w:type="dxa"/>
          </w:tcPr>
          <w:p>
            <w:pPr>
              <w:jc w:val="center"/>
              <w:textAlignment w:val="top"/>
              <w:rPr>
                <w:rFonts w:ascii="Arial" w:hAnsi="Arial" w:cs="Arial"/>
                <w:color w:val="000000"/>
                <w:sz w:val="21"/>
                <w:szCs w:val="21"/>
                <w:lang w:bidi="ar"/>
              </w:rPr>
            </w:pPr>
            <w:r>
              <w:rPr>
                <w:rFonts w:ascii="Arial" w:hAnsi="Arial" w:cs="Arial"/>
                <w:color w:val="000000"/>
                <w:sz w:val="21"/>
                <w:szCs w:val="21"/>
                <w:lang w:bidi="ar"/>
              </w:rPr>
              <w:t>-</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大配套支出 </w:t>
            </w:r>
          </w:p>
        </w:tc>
        <w:tc>
          <w:tcPr>
            <w:tcW w:w="1946" w:type="dxa"/>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tcPr>
          <w:p>
            <w:pPr>
              <w:jc w:val="center"/>
              <w:rPr>
                <w:rFonts w:ascii="Arial" w:hAnsi="Arial" w:cs="Arial"/>
                <w:color w:val="000000"/>
                <w:sz w:val="21"/>
                <w:szCs w:val="21"/>
                <w:lang w:bidi="ar"/>
              </w:rPr>
            </w:pPr>
            <w:r>
              <w:rPr>
                <w:rFonts w:ascii="Arial" w:hAnsi="Arial" w:cs="Arial"/>
                <w:color w:val="000000"/>
                <w:sz w:val="21"/>
                <w:szCs w:val="21"/>
                <w:lang w:bidi="ar"/>
              </w:rPr>
              <w:t>-</w:t>
            </w:r>
          </w:p>
        </w:tc>
        <w:tc>
          <w:tcPr>
            <w:tcW w:w="2052" w:type="dxa"/>
          </w:tcPr>
          <w:p>
            <w:pPr>
              <w:jc w:val="center"/>
              <w:textAlignment w:val="top"/>
              <w:rPr>
                <w:rFonts w:ascii="Arial" w:hAnsi="Arial" w:cs="Arial"/>
                <w:color w:val="000000"/>
                <w:sz w:val="21"/>
                <w:szCs w:val="21"/>
                <w:lang w:bidi="ar"/>
              </w:rPr>
            </w:pPr>
            <w:r>
              <w:rPr>
                <w:rFonts w:ascii="Arial" w:hAnsi="Arial" w:cs="Arial"/>
                <w:color w:val="000000"/>
                <w:sz w:val="21"/>
                <w:szCs w:val="21"/>
                <w:lang w:bidi="ar"/>
              </w:rPr>
              <w:t>-</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工程款支出 </w:t>
            </w:r>
          </w:p>
        </w:tc>
        <w:tc>
          <w:tcPr>
            <w:tcW w:w="1946"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1,406.68</w:t>
            </w:r>
          </w:p>
        </w:tc>
        <w:tc>
          <w:tcPr>
            <w:tcW w:w="1795"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486.95 </w:t>
            </w:r>
          </w:p>
        </w:tc>
        <w:tc>
          <w:tcPr>
            <w:tcW w:w="2052"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-919.73 </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销售费用 </w:t>
            </w:r>
          </w:p>
        </w:tc>
        <w:tc>
          <w:tcPr>
            <w:tcW w:w="1946"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267.52</w:t>
            </w:r>
          </w:p>
        </w:tc>
        <w:tc>
          <w:tcPr>
            <w:tcW w:w="1795"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186.44 </w:t>
            </w:r>
          </w:p>
        </w:tc>
        <w:tc>
          <w:tcPr>
            <w:tcW w:w="2052"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-81.08 </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管理费用 </w:t>
            </w:r>
          </w:p>
        </w:tc>
        <w:tc>
          <w:tcPr>
            <w:tcW w:w="1946"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9.90</w:t>
            </w:r>
          </w:p>
        </w:tc>
        <w:tc>
          <w:tcPr>
            <w:tcW w:w="1795"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39.98</w:t>
            </w:r>
          </w:p>
        </w:tc>
        <w:tc>
          <w:tcPr>
            <w:tcW w:w="2052"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30.08 </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财务费用 </w:t>
            </w:r>
          </w:p>
        </w:tc>
        <w:tc>
          <w:tcPr>
            <w:tcW w:w="1946" w:type="dxa"/>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0.03 </w:t>
            </w:r>
          </w:p>
        </w:tc>
        <w:tc>
          <w:tcPr>
            <w:tcW w:w="2052"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0.03 </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营业税金及附加 </w:t>
            </w:r>
          </w:p>
        </w:tc>
        <w:tc>
          <w:tcPr>
            <w:tcW w:w="1946" w:type="dxa"/>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tcPr>
          <w:p>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2052"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土地增值税 </w:t>
            </w:r>
          </w:p>
        </w:tc>
        <w:tc>
          <w:tcPr>
            <w:tcW w:w="1946" w:type="dxa"/>
            <w:vAlign w:val="center"/>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tcPr>
          <w:p>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2052" w:type="dxa"/>
          </w:tcPr>
          <w:p>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所得税 </w:t>
            </w:r>
          </w:p>
        </w:tc>
        <w:tc>
          <w:tcPr>
            <w:tcW w:w="1946" w:type="dxa"/>
            <w:vAlign w:val="center"/>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tcPr>
          <w:p>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2052" w:type="dxa"/>
          </w:tcPr>
          <w:p>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其他净支出 </w:t>
            </w:r>
          </w:p>
        </w:tc>
        <w:tc>
          <w:tcPr>
            <w:tcW w:w="1946" w:type="dxa"/>
            <w:vAlign w:val="center"/>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tcPr>
          <w:p>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2052" w:type="dxa"/>
          </w:tcPr>
          <w:p>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与融创集团内各公司往来 </w:t>
            </w:r>
          </w:p>
        </w:tc>
        <w:tc>
          <w:tcPr>
            <w:tcW w:w="1946" w:type="dxa"/>
            <w:vAlign w:val="center"/>
          </w:tcPr>
          <w:p>
            <w:pPr>
              <w:jc w:val="center"/>
              <w:textAlignment w:val="center"/>
              <w:rPr>
                <w:rFonts w:ascii="Arial" w:hAnsi="Arial" w:cs="Arial"/>
                <w:sz w:val="21"/>
                <w:szCs w:val="21"/>
                <w:lang w:bidi="ar"/>
              </w:rPr>
            </w:pPr>
            <w:r>
              <w:rPr>
                <w:rFonts w:ascii="Arial" w:hAnsi="Arial" w:cs="Arial"/>
                <w:sz w:val="21"/>
                <w:szCs w:val="21"/>
                <w:lang w:bidi="ar"/>
              </w:rPr>
              <w:t>-</w:t>
            </w:r>
          </w:p>
        </w:tc>
        <w:tc>
          <w:tcPr>
            <w:tcW w:w="1795" w:type="dxa"/>
            <w:vAlign w:val="center"/>
          </w:tcPr>
          <w:p>
            <w:pPr>
              <w:jc w:val="center"/>
              <w:textAlignment w:val="center"/>
              <w:rPr>
                <w:rFonts w:ascii="Arial" w:hAnsi="Arial" w:cs="Arial"/>
                <w:sz w:val="21"/>
                <w:szCs w:val="21"/>
              </w:rPr>
            </w:pPr>
            <w:r>
              <w:rPr>
                <w:rFonts w:ascii="Arial" w:hAnsi="Arial" w:cs="Arial"/>
                <w:color w:val="000000"/>
                <w:sz w:val="21"/>
                <w:szCs w:val="21"/>
                <w:lang w:bidi="ar"/>
              </w:rPr>
              <w:t>-</w:t>
            </w:r>
          </w:p>
        </w:tc>
        <w:tc>
          <w:tcPr>
            <w:tcW w:w="2052" w:type="dxa"/>
            <w:vAlign w:val="center"/>
          </w:tcPr>
          <w:p>
            <w:pPr>
              <w:jc w:val="center"/>
              <w:textAlignment w:val="center"/>
              <w:rPr>
                <w:rFonts w:ascii="Arial" w:hAnsi="Arial" w:cs="Arial"/>
                <w:sz w:val="21"/>
                <w:szCs w:val="21"/>
              </w:rPr>
            </w:pPr>
            <w:r>
              <w:rPr>
                <w:rFonts w:ascii="Arial" w:hAnsi="Arial" w:cs="Arial"/>
                <w:color w:val="000000"/>
                <w:sz w:val="21"/>
                <w:szCs w:val="21"/>
                <w:lang w:bidi="ar"/>
              </w:rPr>
              <w:t>-</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170" w:type="dxa"/>
            <w:vAlign w:val="center"/>
          </w:tcPr>
          <w:p>
            <w:pPr>
              <w:jc w:val="center"/>
              <w:textAlignment w:val="center"/>
              <w:rPr>
                <w:rFonts w:ascii="Arial" w:hAnsi="Arial" w:cs="Arial"/>
                <w:color w:val="000000"/>
                <w:sz w:val="21"/>
                <w:szCs w:val="21"/>
                <w:lang w:bidi="ar"/>
              </w:rPr>
            </w:pPr>
            <w:r>
              <w:rPr>
                <w:rFonts w:ascii="Arial" w:hAnsi="Arial" w:cs="Arial"/>
                <w:bCs/>
                <w:color w:val="000000"/>
                <w:sz w:val="21"/>
                <w:szCs w:val="21"/>
              </w:rPr>
              <w:t>不可预见费</w:t>
            </w:r>
          </w:p>
        </w:tc>
        <w:tc>
          <w:tcPr>
            <w:tcW w:w="1946"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200.00</w:t>
            </w:r>
          </w:p>
        </w:tc>
        <w:tc>
          <w:tcPr>
            <w:tcW w:w="1795"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0.00 </w:t>
            </w:r>
          </w:p>
        </w:tc>
        <w:tc>
          <w:tcPr>
            <w:tcW w:w="2052"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-200.00 </w:t>
            </w:r>
          </w:p>
        </w:tc>
        <w:tc>
          <w:tcPr>
            <w:tcW w:w="712" w:type="dxa"/>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170"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946"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1,884.10</w:t>
            </w:r>
          </w:p>
        </w:tc>
        <w:tc>
          <w:tcPr>
            <w:tcW w:w="1795" w:type="dxa"/>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713.40 </w:t>
            </w:r>
          </w:p>
        </w:tc>
        <w:tc>
          <w:tcPr>
            <w:tcW w:w="2052" w:type="dxa"/>
            <w:vAlign w:val="center"/>
          </w:tcPr>
          <w:p>
            <w:pPr>
              <w:jc w:val="center"/>
              <w:textAlignment w:val="center"/>
              <w:rPr>
                <w:rFonts w:ascii="Arial" w:hAnsi="Arial" w:cs="Arial"/>
                <w:sz w:val="21"/>
                <w:szCs w:val="21"/>
                <w:lang w:bidi="ar"/>
              </w:rPr>
            </w:pPr>
            <w:r>
              <w:rPr>
                <w:rFonts w:ascii="Arial" w:hAnsi="Arial" w:cs="Arial"/>
                <w:color w:val="000000"/>
                <w:sz w:val="21"/>
                <w:szCs w:val="21"/>
                <w:lang w:bidi="ar"/>
              </w:rPr>
              <w:t xml:space="preserve">-1,170.70 </w:t>
            </w:r>
          </w:p>
        </w:tc>
        <w:tc>
          <w:tcPr>
            <w:tcW w:w="712" w:type="dxa"/>
            <w:vAlign w:val="center"/>
          </w:tcPr>
          <w:p>
            <w:pPr>
              <w:jc w:val="center"/>
              <w:textAlignment w:val="center"/>
              <w:rPr>
                <w:rFonts w:ascii="Arial" w:hAnsi="Arial" w:cs="Arial"/>
                <w:color w:val="000000"/>
                <w:sz w:val="21"/>
                <w:szCs w:val="21"/>
                <w:lang w:bidi="ar"/>
              </w:rPr>
            </w:pPr>
          </w:p>
        </w:tc>
      </w:tr>
    </w:tbl>
    <w:p>
      <w:pPr>
        <w:ind w:firstLine="360" w:firstLineChars="200"/>
        <w:rPr>
          <w:rFonts w:ascii="Arial" w:hAnsi="Arial" w:cs="Arial"/>
        </w:rPr>
      </w:pPr>
      <w:r>
        <w:rPr>
          <w:rFonts w:ascii="Arial" w:hAnsi="Arial" w:cs="Arial"/>
          <w:bCs/>
          <w:sz w:val="18"/>
          <w:szCs w:val="18"/>
        </w:rPr>
        <w:t>注：超出支出项目付款为不可预见费用付款。</w:t>
      </w:r>
    </w:p>
    <w:p>
      <w:pPr>
        <w:pStyle w:val="3"/>
        <w:rPr>
          <w:rFonts w:cs="Arial"/>
        </w:rPr>
      </w:pPr>
      <w:bookmarkStart w:id="31" w:name="_Toc69160066"/>
      <w:bookmarkStart w:id="32" w:name="_Toc13091"/>
      <w:r>
        <w:rPr>
          <w:rFonts w:cs="Arial"/>
        </w:rPr>
        <w:t>十三、项目公司用印情况</w:t>
      </w:r>
      <w:bookmarkEnd w:id="31"/>
      <w:bookmarkEnd w:id="32"/>
    </w:p>
    <w:p>
      <w:pPr>
        <w:jc w:val="center"/>
        <w:rPr>
          <w:rFonts w:ascii="Arial" w:hAnsi="Arial" w:cs="Arial"/>
        </w:rPr>
      </w:pPr>
      <w:r>
        <w:rPr>
          <w:rFonts w:ascii="Arial" w:hAnsi="Arial" w:cs="Arial"/>
          <w:b/>
          <w:bCs/>
          <w:sz w:val="21"/>
          <w:szCs w:val="21"/>
        </w:rPr>
        <w:t>项目公司用印情况统计表</w:t>
      </w:r>
    </w:p>
    <w:tbl>
      <w:tblPr>
        <w:tblStyle w:val="18"/>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6673"/>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92"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6673"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用途（合同、内部文件等）</w:t>
            </w:r>
          </w:p>
        </w:tc>
        <w:tc>
          <w:tcPr>
            <w:tcW w:w="1554"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92"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6673"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合同类</w:t>
            </w:r>
          </w:p>
        </w:tc>
        <w:tc>
          <w:tcPr>
            <w:tcW w:w="1554"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92"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6673"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日常管理事项用印</w:t>
            </w:r>
          </w:p>
        </w:tc>
        <w:tc>
          <w:tcPr>
            <w:tcW w:w="1554"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92"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6673"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相关政府文件</w:t>
            </w:r>
          </w:p>
        </w:tc>
        <w:tc>
          <w:tcPr>
            <w:tcW w:w="1554"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92"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6673"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其他</w:t>
            </w:r>
          </w:p>
        </w:tc>
        <w:tc>
          <w:tcPr>
            <w:tcW w:w="1554"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92" w:type="dxa"/>
            <w:vAlign w:val="center"/>
          </w:tcPr>
          <w:p>
            <w:pPr>
              <w:rPr>
                <w:rFonts w:ascii="Arial" w:hAnsi="Arial" w:cs="Arial"/>
                <w:sz w:val="21"/>
                <w:szCs w:val="21"/>
              </w:rPr>
            </w:pPr>
          </w:p>
        </w:tc>
        <w:tc>
          <w:tcPr>
            <w:tcW w:w="6673"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554"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26</w:t>
            </w:r>
          </w:p>
        </w:tc>
      </w:tr>
    </w:tbl>
    <w:p>
      <w:pPr>
        <w:ind w:firstLine="360" w:firstLineChars="200"/>
        <w:rPr>
          <w:rFonts w:ascii="Arial" w:hAnsi="Arial" w:cs="Arial"/>
          <w:bCs/>
          <w:sz w:val="18"/>
          <w:szCs w:val="18"/>
        </w:rPr>
      </w:pPr>
      <w:r>
        <w:rPr>
          <w:rFonts w:ascii="Arial" w:hAnsi="Arial" w:cs="Arial"/>
          <w:bCs/>
          <w:sz w:val="18"/>
          <w:szCs w:val="18"/>
        </w:rPr>
        <w:t>注：明细台账作为附件体现</w:t>
      </w:r>
      <w:r>
        <w:rPr>
          <w:rFonts w:hint="eastAsia" w:ascii="Arial" w:hAnsi="Arial" w:cs="Arial"/>
          <w:bCs/>
          <w:sz w:val="18"/>
          <w:szCs w:val="18"/>
        </w:rPr>
        <w:t>。</w:t>
      </w:r>
    </w:p>
    <w:p>
      <w:pPr>
        <w:pStyle w:val="3"/>
        <w:rPr>
          <w:rFonts w:cs="Arial"/>
        </w:rPr>
      </w:pPr>
      <w:bookmarkStart w:id="33" w:name="_Toc13572"/>
      <w:bookmarkStart w:id="34" w:name="_Toc69160067"/>
      <w:r>
        <w:rPr>
          <w:rFonts w:cs="Arial"/>
        </w:rPr>
        <w:t>十四、项目公司印章证照外出使用情况</w:t>
      </w:r>
      <w:bookmarkEnd w:id="33"/>
      <w:bookmarkEnd w:id="34"/>
    </w:p>
    <w:p>
      <w:pPr>
        <w:jc w:val="center"/>
      </w:pPr>
      <w:r>
        <w:rPr>
          <w:rFonts w:hint="eastAsia" w:ascii="宋体" w:hAnsi="宋体" w:cs="宋体"/>
          <w:b/>
          <w:bCs/>
          <w:sz w:val="21"/>
          <w:szCs w:val="21"/>
        </w:rPr>
        <w:t>项目公司印章证照外出使用情况</w:t>
      </w:r>
    </w:p>
    <w:tbl>
      <w:tblPr>
        <w:tblStyle w:val="18"/>
        <w:tblW w:w="10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091"/>
        <w:gridCol w:w="1724"/>
        <w:gridCol w:w="2247"/>
        <w:gridCol w:w="840"/>
        <w:gridCol w:w="938"/>
        <w:gridCol w:w="1151"/>
        <w:gridCol w:w="709"/>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11"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091"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外借时间</w:t>
            </w:r>
          </w:p>
        </w:tc>
        <w:tc>
          <w:tcPr>
            <w:tcW w:w="1724"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印鉴证照名称</w:t>
            </w:r>
          </w:p>
        </w:tc>
        <w:tc>
          <w:tcPr>
            <w:tcW w:w="2247"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事由（银行开户、政府机关报税报件等）</w:t>
            </w:r>
          </w:p>
        </w:tc>
        <w:tc>
          <w:tcPr>
            <w:tcW w:w="840"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经办部门</w:t>
            </w:r>
          </w:p>
        </w:tc>
        <w:tc>
          <w:tcPr>
            <w:tcW w:w="938"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经办人</w:t>
            </w:r>
          </w:p>
        </w:tc>
        <w:tc>
          <w:tcPr>
            <w:tcW w:w="1151"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监印/证人</w:t>
            </w:r>
          </w:p>
        </w:tc>
        <w:tc>
          <w:tcPr>
            <w:tcW w:w="709"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是否陪同</w:t>
            </w:r>
          </w:p>
        </w:tc>
        <w:tc>
          <w:tcPr>
            <w:tcW w:w="993"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09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72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2247" w:type="dxa"/>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84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93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15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7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99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bl>
    <w:p>
      <w:pPr>
        <w:pStyle w:val="2"/>
      </w:pPr>
    </w:p>
    <w:p>
      <w:pPr>
        <w:pStyle w:val="3"/>
        <w:numPr>
          <w:ilvl w:val="0"/>
          <w:numId w:val="6"/>
        </w:numPr>
      </w:pPr>
      <w:bookmarkStart w:id="35" w:name="_Toc69160068"/>
      <w:bookmarkStart w:id="36" w:name="_Toc9476"/>
      <w:r>
        <w:rPr>
          <w:rFonts w:cs="Arial"/>
        </w:rPr>
        <w:t>项目公司本期签约情况</w:t>
      </w:r>
      <w:bookmarkEnd w:id="35"/>
      <w:bookmarkEnd w:id="36"/>
    </w:p>
    <w:p>
      <w:pPr>
        <w:jc w:val="center"/>
        <w:rPr>
          <w:rFonts w:ascii="Arial" w:hAnsi="Arial" w:cs="Arial"/>
        </w:rPr>
      </w:pPr>
      <w:r>
        <w:rPr>
          <w:rFonts w:ascii="Arial" w:hAnsi="Arial" w:cs="Arial"/>
          <w:b/>
          <w:bCs/>
          <w:sz w:val="21"/>
          <w:szCs w:val="21"/>
        </w:rPr>
        <w:t>项目公司本期签约情况统计表</w:t>
      </w:r>
    </w:p>
    <w:tbl>
      <w:tblPr>
        <w:tblStyle w:val="18"/>
        <w:tblW w:w="7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884"/>
        <w:gridCol w:w="410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blHeader/>
          <w:jc w:val="center"/>
        </w:trPr>
        <w:tc>
          <w:tcPr>
            <w:tcW w:w="924"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884"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合同类型</w:t>
            </w:r>
          </w:p>
        </w:tc>
        <w:tc>
          <w:tcPr>
            <w:tcW w:w="4104"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939" w:type="dxa"/>
            <w:vAlign w:val="center"/>
          </w:tcPr>
          <w:p>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24"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88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前期类</w:t>
            </w:r>
          </w:p>
        </w:tc>
        <w:tc>
          <w:tcPr>
            <w:tcW w:w="4104" w:type="dxa"/>
            <w:vAlign w:val="center"/>
          </w:tcPr>
          <w:p>
            <w:pPr>
              <w:jc w:val="center"/>
              <w:textAlignment w:val="center"/>
              <w:rPr>
                <w:rFonts w:ascii="Arial" w:hAnsi="Arial" w:cs="Arial"/>
                <w:color w:val="000000"/>
                <w:sz w:val="21"/>
                <w:szCs w:val="21"/>
              </w:rPr>
            </w:pPr>
            <w:r>
              <w:rPr>
                <w:rFonts w:hint="eastAsia" w:ascii="Arial" w:hAnsi="Arial" w:cs="Arial"/>
                <w:color w:val="000000"/>
                <w:sz w:val="21"/>
                <w:szCs w:val="21"/>
                <w:lang w:bidi="ar"/>
              </w:rPr>
              <w:t>/</w:t>
            </w:r>
          </w:p>
        </w:tc>
        <w:tc>
          <w:tcPr>
            <w:tcW w:w="939"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2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w:t>
            </w:r>
          </w:p>
        </w:tc>
        <w:tc>
          <w:tcPr>
            <w:tcW w:w="188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工程施工类</w:t>
            </w:r>
          </w:p>
        </w:tc>
        <w:tc>
          <w:tcPr>
            <w:tcW w:w="4104"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w:t>
            </w:r>
          </w:p>
        </w:tc>
        <w:tc>
          <w:tcPr>
            <w:tcW w:w="939"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92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188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行政办公类</w:t>
            </w:r>
          </w:p>
        </w:tc>
        <w:tc>
          <w:tcPr>
            <w:tcW w:w="410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24" w:type="dxa"/>
            <w:vMerge w:val="restart"/>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4</w:t>
            </w:r>
          </w:p>
        </w:tc>
        <w:tc>
          <w:tcPr>
            <w:tcW w:w="1884" w:type="dxa"/>
            <w:vMerge w:val="restart"/>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营销类</w:t>
            </w:r>
          </w:p>
        </w:tc>
        <w:tc>
          <w:tcPr>
            <w:tcW w:w="410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2021年榕耀之城第3季度分销合作主合同</w:t>
            </w:r>
          </w:p>
        </w:tc>
        <w:tc>
          <w:tcPr>
            <w:tcW w:w="939" w:type="dxa"/>
            <w:vMerge w:val="restart"/>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24" w:type="dxa"/>
            <w:vMerge w:val="continue"/>
            <w:vAlign w:val="center"/>
          </w:tcPr>
          <w:p>
            <w:pPr>
              <w:widowControl w:val="0"/>
              <w:jc w:val="center"/>
              <w:textAlignment w:val="center"/>
              <w:rPr>
                <w:rFonts w:ascii="Arial" w:hAnsi="Arial" w:cs="Arial"/>
                <w:color w:val="000000"/>
                <w:sz w:val="21"/>
                <w:szCs w:val="21"/>
                <w:lang w:bidi="ar"/>
              </w:rPr>
            </w:pPr>
          </w:p>
        </w:tc>
        <w:tc>
          <w:tcPr>
            <w:tcW w:w="1884" w:type="dxa"/>
            <w:vMerge w:val="continue"/>
            <w:vAlign w:val="center"/>
          </w:tcPr>
          <w:p>
            <w:pPr>
              <w:widowControl w:val="0"/>
              <w:jc w:val="center"/>
              <w:textAlignment w:val="center"/>
              <w:rPr>
                <w:rFonts w:ascii="Arial" w:hAnsi="Arial" w:cs="Arial"/>
                <w:color w:val="000000"/>
                <w:sz w:val="21"/>
                <w:szCs w:val="21"/>
                <w:lang w:bidi="ar"/>
              </w:rPr>
            </w:pPr>
          </w:p>
        </w:tc>
        <w:tc>
          <w:tcPr>
            <w:tcW w:w="410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2021年榕耀之城第3季度分销合作主合同</w:t>
            </w:r>
          </w:p>
        </w:tc>
        <w:tc>
          <w:tcPr>
            <w:tcW w:w="939" w:type="dxa"/>
            <w:vMerge w:val="continue"/>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24" w:type="dxa"/>
            <w:vMerge w:val="continue"/>
            <w:vAlign w:val="center"/>
          </w:tcPr>
          <w:p>
            <w:pPr>
              <w:widowControl w:val="0"/>
              <w:jc w:val="center"/>
              <w:textAlignment w:val="center"/>
              <w:rPr>
                <w:rFonts w:ascii="Arial" w:hAnsi="Arial" w:cs="Arial"/>
                <w:color w:val="000000"/>
                <w:sz w:val="21"/>
                <w:szCs w:val="21"/>
                <w:lang w:bidi="ar"/>
              </w:rPr>
            </w:pPr>
          </w:p>
        </w:tc>
        <w:tc>
          <w:tcPr>
            <w:tcW w:w="1884" w:type="dxa"/>
            <w:vMerge w:val="continue"/>
            <w:vAlign w:val="center"/>
          </w:tcPr>
          <w:p>
            <w:pPr>
              <w:widowControl w:val="0"/>
              <w:jc w:val="center"/>
              <w:textAlignment w:val="center"/>
              <w:rPr>
                <w:rFonts w:ascii="Arial" w:hAnsi="Arial" w:cs="Arial"/>
                <w:color w:val="000000"/>
                <w:sz w:val="21"/>
                <w:szCs w:val="21"/>
                <w:lang w:bidi="ar"/>
              </w:rPr>
            </w:pPr>
          </w:p>
        </w:tc>
        <w:tc>
          <w:tcPr>
            <w:tcW w:w="410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2021年5月安居客广告投放广告发布合同</w:t>
            </w:r>
          </w:p>
        </w:tc>
        <w:tc>
          <w:tcPr>
            <w:tcW w:w="939" w:type="dxa"/>
            <w:vMerge w:val="continue"/>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24" w:type="dxa"/>
            <w:vMerge w:val="continue"/>
            <w:vAlign w:val="center"/>
          </w:tcPr>
          <w:p>
            <w:pPr>
              <w:widowControl w:val="0"/>
              <w:jc w:val="center"/>
              <w:textAlignment w:val="center"/>
              <w:rPr>
                <w:rFonts w:ascii="Arial" w:hAnsi="Arial" w:cs="Arial"/>
                <w:color w:val="000000"/>
                <w:sz w:val="21"/>
                <w:szCs w:val="21"/>
                <w:lang w:bidi="ar"/>
              </w:rPr>
            </w:pPr>
          </w:p>
        </w:tc>
        <w:tc>
          <w:tcPr>
            <w:tcW w:w="1884" w:type="dxa"/>
            <w:vMerge w:val="continue"/>
            <w:vAlign w:val="center"/>
          </w:tcPr>
          <w:p>
            <w:pPr>
              <w:widowControl w:val="0"/>
              <w:jc w:val="center"/>
              <w:textAlignment w:val="center"/>
              <w:rPr>
                <w:rFonts w:ascii="Arial" w:hAnsi="Arial" w:cs="Arial"/>
                <w:color w:val="000000"/>
                <w:sz w:val="21"/>
                <w:szCs w:val="21"/>
                <w:lang w:bidi="ar"/>
              </w:rPr>
            </w:pPr>
          </w:p>
        </w:tc>
        <w:tc>
          <w:tcPr>
            <w:tcW w:w="410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户外大牌服务合同补充协议</w:t>
            </w:r>
          </w:p>
        </w:tc>
        <w:tc>
          <w:tcPr>
            <w:tcW w:w="939" w:type="dxa"/>
            <w:vMerge w:val="continue"/>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24" w:type="dxa"/>
            <w:vMerge w:val="continue"/>
            <w:vAlign w:val="center"/>
          </w:tcPr>
          <w:p>
            <w:pPr>
              <w:widowControl w:val="0"/>
              <w:jc w:val="center"/>
              <w:textAlignment w:val="center"/>
              <w:rPr>
                <w:rFonts w:ascii="Arial" w:hAnsi="Arial" w:cs="Arial"/>
                <w:color w:val="000000"/>
                <w:sz w:val="21"/>
                <w:szCs w:val="21"/>
                <w:lang w:bidi="ar"/>
              </w:rPr>
            </w:pPr>
          </w:p>
        </w:tc>
        <w:tc>
          <w:tcPr>
            <w:tcW w:w="1884" w:type="dxa"/>
            <w:vMerge w:val="continue"/>
            <w:vAlign w:val="center"/>
          </w:tcPr>
          <w:p>
            <w:pPr>
              <w:widowControl w:val="0"/>
              <w:jc w:val="center"/>
              <w:textAlignment w:val="center"/>
              <w:rPr>
                <w:rFonts w:ascii="Arial" w:hAnsi="Arial" w:cs="Arial"/>
                <w:color w:val="000000"/>
                <w:sz w:val="21"/>
                <w:szCs w:val="21"/>
                <w:lang w:bidi="ar"/>
              </w:rPr>
            </w:pPr>
          </w:p>
        </w:tc>
        <w:tc>
          <w:tcPr>
            <w:tcW w:w="410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香薰租赁框架协议补充协议</w:t>
            </w:r>
          </w:p>
        </w:tc>
        <w:tc>
          <w:tcPr>
            <w:tcW w:w="939" w:type="dxa"/>
            <w:vMerge w:val="continue"/>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24" w:type="dxa"/>
            <w:vMerge w:val="continue"/>
            <w:vAlign w:val="center"/>
          </w:tcPr>
          <w:p>
            <w:pPr>
              <w:widowControl w:val="0"/>
              <w:jc w:val="center"/>
              <w:textAlignment w:val="center"/>
              <w:rPr>
                <w:rFonts w:ascii="Arial" w:hAnsi="Arial" w:cs="Arial"/>
                <w:color w:val="000000"/>
                <w:sz w:val="21"/>
                <w:szCs w:val="21"/>
                <w:lang w:bidi="ar"/>
              </w:rPr>
            </w:pPr>
          </w:p>
        </w:tc>
        <w:tc>
          <w:tcPr>
            <w:tcW w:w="1884" w:type="dxa"/>
            <w:vMerge w:val="continue"/>
            <w:vAlign w:val="center"/>
          </w:tcPr>
          <w:p>
            <w:pPr>
              <w:widowControl w:val="0"/>
              <w:jc w:val="center"/>
              <w:textAlignment w:val="center"/>
              <w:rPr>
                <w:rFonts w:ascii="Arial" w:hAnsi="Arial" w:cs="Arial"/>
                <w:color w:val="000000"/>
                <w:sz w:val="21"/>
                <w:szCs w:val="21"/>
                <w:lang w:bidi="ar"/>
              </w:rPr>
            </w:pPr>
          </w:p>
        </w:tc>
        <w:tc>
          <w:tcPr>
            <w:tcW w:w="410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展厅服务合同补充协议</w:t>
            </w:r>
          </w:p>
        </w:tc>
        <w:tc>
          <w:tcPr>
            <w:tcW w:w="939" w:type="dxa"/>
            <w:vMerge w:val="continue"/>
            <w:vAlign w:val="center"/>
          </w:tcPr>
          <w:p>
            <w:pPr>
              <w:jc w:val="center"/>
              <w:textAlignment w:val="center"/>
              <w:rPr>
                <w:rFonts w:ascii="Arial" w:hAnsi="Arial" w:cs="Arial"/>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92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5</w:t>
            </w:r>
          </w:p>
        </w:tc>
        <w:tc>
          <w:tcPr>
            <w:tcW w:w="188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财务及融资类</w:t>
            </w:r>
          </w:p>
        </w:tc>
        <w:tc>
          <w:tcPr>
            <w:tcW w:w="4104" w:type="dxa"/>
            <w:vAlign w:val="center"/>
          </w:tcPr>
          <w:p>
            <w:pPr>
              <w:widowControl w:val="0"/>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w:t>
            </w:r>
          </w:p>
        </w:tc>
        <w:tc>
          <w:tcPr>
            <w:tcW w:w="939"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92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6</w:t>
            </w:r>
          </w:p>
        </w:tc>
        <w:tc>
          <w:tcPr>
            <w:tcW w:w="1884" w:type="dxa"/>
            <w:vAlign w:val="center"/>
          </w:tcPr>
          <w:p>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其他类</w:t>
            </w:r>
          </w:p>
        </w:tc>
        <w:tc>
          <w:tcPr>
            <w:tcW w:w="4104" w:type="dxa"/>
            <w:vAlign w:val="center"/>
          </w:tcPr>
          <w:p>
            <w:pPr>
              <w:jc w:val="center"/>
              <w:textAlignment w:val="center"/>
              <w:rPr>
                <w:rFonts w:ascii="宋体" w:hAnsi="宋体" w:cs="宋体"/>
                <w:color w:val="000000"/>
                <w:sz w:val="20"/>
                <w:szCs w:val="20"/>
              </w:rPr>
            </w:pPr>
            <w:r>
              <w:rPr>
                <w:rFonts w:hint="eastAsia" w:ascii="Arial" w:hAnsi="Arial" w:cs="Arial"/>
                <w:color w:val="000000"/>
                <w:sz w:val="21"/>
                <w:szCs w:val="21"/>
                <w:lang w:bidi="ar"/>
              </w:rPr>
              <w:t>委托代理合同</w:t>
            </w:r>
          </w:p>
        </w:tc>
        <w:tc>
          <w:tcPr>
            <w:tcW w:w="939"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924" w:type="dxa"/>
            <w:vAlign w:val="center"/>
          </w:tcPr>
          <w:p>
            <w:pPr>
              <w:widowControl w:val="0"/>
              <w:jc w:val="both"/>
              <w:textAlignment w:val="center"/>
              <w:rPr>
                <w:rFonts w:ascii="Arial" w:hAnsi="Arial" w:cs="Arial"/>
                <w:color w:val="000000"/>
                <w:sz w:val="21"/>
                <w:szCs w:val="21"/>
                <w:lang w:bidi="ar"/>
              </w:rPr>
            </w:pPr>
          </w:p>
        </w:tc>
        <w:tc>
          <w:tcPr>
            <w:tcW w:w="1884" w:type="dxa"/>
            <w:vAlign w:val="center"/>
          </w:tcPr>
          <w:p>
            <w:pPr>
              <w:widowControl w:val="0"/>
              <w:jc w:val="center"/>
              <w:textAlignment w:val="center"/>
              <w:rPr>
                <w:rFonts w:ascii="Arial" w:hAnsi="Arial" w:cs="Arial"/>
                <w:sz w:val="21"/>
                <w:szCs w:val="21"/>
              </w:rPr>
            </w:pPr>
            <w:r>
              <w:rPr>
                <w:rFonts w:ascii="Arial" w:hAnsi="Arial" w:cs="Arial"/>
                <w:color w:val="000000"/>
                <w:sz w:val="21"/>
                <w:szCs w:val="21"/>
                <w:lang w:bidi="ar"/>
              </w:rPr>
              <w:t>合计</w:t>
            </w:r>
          </w:p>
        </w:tc>
        <w:tc>
          <w:tcPr>
            <w:tcW w:w="4104" w:type="dxa"/>
            <w:vAlign w:val="center"/>
          </w:tcPr>
          <w:p>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pPr>
              <w:jc w:val="center"/>
              <w:textAlignment w:val="center"/>
              <w:rPr>
                <w:rFonts w:ascii="Arial" w:hAnsi="Arial" w:cs="Arial"/>
                <w:color w:val="000000"/>
                <w:sz w:val="21"/>
                <w:szCs w:val="21"/>
                <w:lang w:bidi="ar"/>
              </w:rPr>
            </w:pPr>
            <w:r>
              <w:rPr>
                <w:rFonts w:hint="eastAsia" w:ascii="Arial" w:hAnsi="Arial" w:cs="Arial"/>
                <w:color w:val="000000"/>
                <w:sz w:val="21"/>
                <w:szCs w:val="21"/>
                <w:lang w:bidi="ar"/>
              </w:rPr>
              <w:t>7</w:t>
            </w:r>
          </w:p>
        </w:tc>
      </w:tr>
    </w:tbl>
    <w:p>
      <w:pPr>
        <w:pStyle w:val="3"/>
        <w:rPr>
          <w:rFonts w:cs="Arial"/>
        </w:rPr>
      </w:pPr>
      <w:bookmarkStart w:id="37" w:name="_Toc69160069"/>
      <w:bookmarkStart w:id="38" w:name="_Toc23812"/>
      <w:r>
        <w:rPr>
          <w:rFonts w:cs="Arial"/>
        </w:rPr>
        <w:t>十六、项目整体运行情况分析</w:t>
      </w:r>
      <w:bookmarkEnd w:id="37"/>
      <w:bookmarkEnd w:id="38"/>
    </w:p>
    <w:p>
      <w:pPr>
        <w:numPr>
          <w:ilvl w:val="0"/>
          <w:numId w:val="7"/>
        </w:numPr>
        <w:ind w:firstLine="420" w:firstLineChars="200"/>
        <w:rPr>
          <w:rFonts w:ascii="Arial" w:hAnsi="Arial" w:cs="Arial"/>
          <w:b/>
          <w:bCs/>
          <w:sz w:val="21"/>
          <w:szCs w:val="21"/>
        </w:rPr>
      </w:pPr>
      <w:r>
        <w:rPr>
          <w:rFonts w:ascii="Arial" w:hAnsi="Arial" w:cs="Arial"/>
          <w:b/>
          <w:bCs/>
          <w:sz w:val="21"/>
          <w:szCs w:val="21"/>
        </w:rPr>
        <w:t>项目开发建设情况评价</w:t>
      </w:r>
    </w:p>
    <w:p>
      <w:pPr>
        <w:spacing w:line="360" w:lineRule="auto"/>
        <w:ind w:firstLine="480" w:firstLineChars="200"/>
        <w:rPr>
          <w:rFonts w:ascii="Arial" w:hAnsi="Arial" w:cs="Arial"/>
          <w:szCs w:val="21"/>
        </w:rPr>
      </w:pPr>
      <w:r>
        <w:rPr>
          <w:rFonts w:hint="eastAsia" w:ascii="Arial" w:hAnsi="Arial" w:cs="Arial"/>
          <w:szCs w:val="21"/>
        </w:rPr>
        <w:t>目前项目处于开发建设</w:t>
      </w:r>
      <w:r>
        <w:rPr>
          <w:rFonts w:hint="eastAsia" w:ascii="Arial" w:hAnsi="Arial" w:cs="Arial"/>
          <w:color w:val="auto"/>
          <w:szCs w:val="21"/>
        </w:rPr>
        <w:t>阶段的有C地块和B地块的B1#B2#楼（B6区盖板）B3#B5#楼（B5区盖板），C1#、C2#楼地上主体结构即将封顶，其他在施楼栋处于地下施工阶段，</w:t>
      </w:r>
      <w:r>
        <w:rPr>
          <w:rFonts w:hint="eastAsia" w:ascii="宋体" w:hAnsi="宋体"/>
          <w:color w:val="auto"/>
        </w:rPr>
        <w:t>施工现场质量、安全总体处于可控范围。</w:t>
      </w:r>
      <w:r>
        <w:rPr>
          <w:rFonts w:hint="eastAsia" w:ascii="Arial" w:hAnsi="Arial" w:cs="Arial"/>
          <w:color w:val="auto"/>
          <w:szCs w:val="21"/>
        </w:rPr>
        <w:t>根据监理单位反馈，C区部分楼栋基</w:t>
      </w:r>
      <w:r>
        <w:rPr>
          <w:rFonts w:hint="eastAsia" w:ascii="宋体" w:hAnsi="宋体"/>
          <w:color w:val="auto"/>
        </w:rPr>
        <w:t>坑处</w:t>
      </w:r>
      <w:r>
        <w:rPr>
          <w:rFonts w:hint="eastAsia" w:ascii="宋体" w:hAnsi="宋体"/>
        </w:rPr>
        <w:t>于地下室阶段，已安排专项人员跟进现场安全生产，对人防区域预埋全部复核，避免后续返工发生。</w:t>
      </w:r>
    </w:p>
    <w:p>
      <w:pPr>
        <w:pStyle w:val="2"/>
        <w:rPr>
          <w:rFonts w:ascii="Arial" w:hAnsi="Arial" w:cs="Arial"/>
          <w:szCs w:val="21"/>
        </w:rPr>
      </w:pPr>
    </w:p>
    <w:p>
      <w:pPr>
        <w:numPr>
          <w:ilvl w:val="0"/>
          <w:numId w:val="7"/>
        </w:numPr>
        <w:ind w:firstLine="420" w:firstLineChars="200"/>
        <w:rPr>
          <w:rFonts w:ascii="Arial" w:hAnsi="Arial" w:cs="Arial"/>
          <w:b/>
          <w:bCs/>
          <w:sz w:val="21"/>
          <w:szCs w:val="21"/>
        </w:rPr>
      </w:pPr>
      <w:r>
        <w:rPr>
          <w:rFonts w:ascii="Arial" w:hAnsi="Arial" w:cs="Arial"/>
          <w:b/>
          <w:bCs/>
          <w:sz w:val="21"/>
          <w:szCs w:val="21"/>
        </w:rPr>
        <w:t>项目销售情况评价</w:t>
      </w:r>
    </w:p>
    <w:p>
      <w:pPr>
        <w:spacing w:line="360" w:lineRule="auto"/>
        <w:ind w:firstLine="480" w:firstLineChars="200"/>
        <w:rPr>
          <w:rFonts w:ascii="Arial" w:hAnsi="Arial" w:cs="Arial"/>
          <w:szCs w:val="21"/>
        </w:rPr>
      </w:pPr>
      <w:r>
        <w:rPr>
          <w:rFonts w:hint="eastAsia" w:ascii="Arial" w:hAnsi="Arial" w:cs="Arial"/>
          <w:szCs w:val="21"/>
        </w:rPr>
        <w:t>截至本期期末项目尚未开始销售,已经触发对赌节点。对赌节点预计首次开盘时间2021年6月30后3个月至9月30日。结合项目公司现在的实际办证进度，取得C1、C2预售证时间尚不确定。项目公司已经开始外展推广，根据项目公司介绍截至到现在蓄客约723组（售楼处现场编写）。</w:t>
      </w:r>
    </w:p>
    <w:p>
      <w:pPr>
        <w:spacing w:line="360" w:lineRule="auto"/>
        <w:ind w:firstLine="480" w:firstLineChars="200"/>
        <w:rPr>
          <w:rFonts w:ascii="Arial" w:hAnsi="Arial" w:cs="Arial"/>
          <w:szCs w:val="21"/>
        </w:rPr>
      </w:pPr>
      <w:r>
        <w:rPr>
          <w:rFonts w:hint="eastAsia" w:ascii="Arial" w:hAnsi="Arial" w:cs="Arial"/>
          <w:szCs w:val="21"/>
        </w:rPr>
        <w:t>根据标的项目所在地区政策要求，现浇结构要建到总层数1/3才能取得预售证，装配式结构出正负零才能取得预售证。</w:t>
      </w:r>
    </w:p>
    <w:p>
      <w:pPr>
        <w:spacing w:line="360" w:lineRule="auto"/>
        <w:rPr>
          <w:rFonts w:ascii="Arial" w:hAnsi="Arial" w:cs="Arial"/>
          <w:szCs w:val="21"/>
        </w:rPr>
      </w:pPr>
    </w:p>
    <w:p>
      <w:pPr>
        <w:numPr>
          <w:ilvl w:val="0"/>
          <w:numId w:val="7"/>
        </w:numPr>
        <w:ind w:firstLine="420" w:firstLineChars="200"/>
        <w:rPr>
          <w:rFonts w:ascii="Arial" w:hAnsi="Arial" w:cs="Arial"/>
          <w:b/>
          <w:bCs/>
          <w:sz w:val="21"/>
          <w:szCs w:val="21"/>
        </w:rPr>
      </w:pPr>
      <w:r>
        <w:rPr>
          <w:rFonts w:ascii="Arial" w:hAnsi="Arial" w:cs="Arial"/>
          <w:b/>
          <w:bCs/>
          <w:sz w:val="21"/>
          <w:szCs w:val="21"/>
        </w:rPr>
        <w:t>操作风险评价</w:t>
      </w:r>
    </w:p>
    <w:p>
      <w:pPr>
        <w:spacing w:line="360" w:lineRule="auto"/>
        <w:ind w:firstLine="480" w:firstLineChars="200"/>
        <w:rPr>
          <w:rFonts w:ascii="Arial" w:hAnsi="Arial" w:cs="Arial"/>
          <w:szCs w:val="21"/>
        </w:rPr>
      </w:pPr>
      <w:r>
        <w:rPr>
          <w:rFonts w:ascii="Arial" w:hAnsi="Arial" w:cs="Arial"/>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pStyle w:val="2"/>
      </w:pPr>
    </w:p>
    <w:p>
      <w:pPr>
        <w:numPr>
          <w:ilvl w:val="0"/>
          <w:numId w:val="7"/>
        </w:numPr>
        <w:ind w:firstLine="420" w:firstLineChars="200"/>
        <w:rPr>
          <w:rFonts w:ascii="Arial" w:hAnsi="Arial" w:cs="Arial"/>
          <w:b/>
          <w:bCs/>
          <w:sz w:val="21"/>
          <w:szCs w:val="21"/>
        </w:rPr>
      </w:pPr>
      <w:r>
        <w:rPr>
          <w:rFonts w:ascii="Arial" w:hAnsi="Arial" w:cs="Arial"/>
          <w:b/>
          <w:bCs/>
          <w:sz w:val="21"/>
          <w:szCs w:val="21"/>
        </w:rPr>
        <w:t>其他</w:t>
      </w:r>
    </w:p>
    <w:p>
      <w:pPr>
        <w:pStyle w:val="2"/>
        <w:spacing w:line="360" w:lineRule="auto"/>
        <w:ind w:firstLine="560" w:firstLineChars="0"/>
        <w:rPr>
          <w:rFonts w:ascii="Arial" w:hAnsi="Arial" w:cs="Arial"/>
          <w:color w:val="000000"/>
          <w:sz w:val="24"/>
        </w:rPr>
      </w:pPr>
      <w:r>
        <w:rPr>
          <w:rFonts w:hint="eastAsia" w:ascii="Arial" w:hAnsi="Arial" w:cs="Arial"/>
          <w:color w:val="000000"/>
          <w:sz w:val="24"/>
        </w:rPr>
        <w:t>①</w:t>
      </w:r>
      <w:r>
        <w:rPr>
          <w:rFonts w:ascii="Arial" w:hAnsi="Arial" w:cs="Arial"/>
          <w:color w:val="000000"/>
          <w:sz w:val="24"/>
        </w:rPr>
        <w:t xml:space="preserve"> </w:t>
      </w:r>
      <w:r>
        <w:rPr>
          <w:rFonts w:hint="eastAsia" w:ascii="Arial" w:hAnsi="Arial" w:cs="Arial"/>
          <w:color w:val="000000"/>
          <w:sz w:val="24"/>
        </w:rPr>
        <w:t>项目公司土地款已全部缴清。关于土地滞纳金事项，项目总要求法务每月现场取证1次留痕。为了尽快解决土地款违约金问题，根据与自规局多轮沟通，自规局提出的建议：通过仲裁明确相关事实，以推动政府相关纪要的出具，2021年9月3日项目公司向福州仲裁委员会提起仲裁，请求裁决。由项目公司向福州仲裁委员会提出如下仲裁请求：①自规局向公司支付逾期交付土地违约金（每逾期交付一日，自规局应以未交付部分土地分摊的出让价款为基数，按中国人民银行一年期同期贷款利率的标准支付违约金计至自规局交付全部土地之日止，暂计至2021年8月20日，违约金为12,566,313.42元）；②确认项目公司无需向自规局支付其主张的违约金137,031,290元。</w:t>
      </w:r>
    </w:p>
    <w:p>
      <w:pPr>
        <w:pStyle w:val="2"/>
        <w:spacing w:line="360" w:lineRule="auto"/>
        <w:ind w:firstLine="480"/>
        <w:rPr>
          <w:rFonts w:ascii="Arial" w:hAnsi="Arial" w:cs="Arial"/>
          <w:color w:val="000000"/>
          <w:sz w:val="24"/>
        </w:rPr>
      </w:pPr>
      <w:r>
        <w:rPr>
          <w:rFonts w:hint="eastAsia" w:ascii="Arial" w:hAnsi="Arial" w:cs="Arial"/>
          <w:color w:val="000000"/>
          <w:sz w:val="24"/>
        </w:rPr>
        <w:t>② C地块专用配电房设置在地下室，电力报批新规要求调整至地面，项目公司按旧规已取得工规证，新规可能导致工规证重大变更调整，后期由大区电力施工单位配合处理。开发2021年9月23日前完成工规证变更线下沟通完成，项目总要求开发部2021年10月30日前完成工规证及图纸变更。</w:t>
      </w:r>
    </w:p>
    <w:p>
      <w:pPr>
        <w:pStyle w:val="2"/>
        <w:spacing w:line="360" w:lineRule="auto"/>
        <w:ind w:firstLine="480"/>
        <w:rPr>
          <w:rFonts w:ascii="Arial" w:hAnsi="Arial" w:cs="Arial"/>
          <w:color w:val="000000"/>
          <w:sz w:val="24"/>
        </w:rPr>
      </w:pPr>
      <w:r>
        <w:rPr>
          <w:rFonts w:hint="eastAsia" w:ascii="Arial" w:hAnsi="Arial" w:cs="Arial"/>
          <w:color w:val="000000"/>
          <w:sz w:val="24"/>
        </w:rPr>
        <w:t>③因福州市地铁集团有限公司交地滞后（根据4号线整体工期及现场施工工序安排：白地地块和A1、B5、B6地块交地时间为2021年5月31日前），目前地铁方已移交白地地块以及A1、B5、B6盖板区域面积37.78亩用地，项目公司已确认地保方案，B地块刚着手准备进行钢栈桥施工；及项目公司与政府土地款滞纳金缴纳无法达成一致意见，导致项目无法正常申请土地使用权证和预售证；以上直接导致项目公司建设施工延后，并导致项目公司无法按对赌时间进行首次开盘。</w:t>
      </w:r>
    </w:p>
    <w:p>
      <w:pPr>
        <w:pStyle w:val="2"/>
        <w:spacing w:line="360" w:lineRule="auto"/>
        <w:ind w:firstLine="480"/>
        <w:rPr>
          <w:rFonts w:ascii="Arial" w:hAnsi="Arial" w:cs="Arial"/>
          <w:color w:val="000000"/>
          <w:sz w:val="24"/>
        </w:rPr>
        <w:sectPr>
          <w:footerReference r:id="rId5" w:type="default"/>
          <w:pgSz w:w="11906" w:h="16838"/>
          <w:pgMar w:top="1134" w:right="1134" w:bottom="1134" w:left="1134" w:header="851" w:footer="992" w:gutter="0"/>
          <w:pgNumType w:start="1"/>
          <w:cols w:space="425" w:num="1"/>
          <w:docGrid w:type="linesAndChars" w:linePitch="326" w:charSpace="0"/>
        </w:sectPr>
      </w:pPr>
      <w:r>
        <w:rPr>
          <w:rFonts w:hint="eastAsia" w:ascii="宋体" w:hAnsi="宋体" w:cs="宋体"/>
          <w:color w:val="000000"/>
          <w:sz w:val="24"/>
        </w:rPr>
        <w:t>④</w:t>
      </w:r>
      <w:r>
        <w:rPr>
          <w:rFonts w:hint="eastAsia" w:ascii="Arial" w:hAnsi="Arial" w:cs="Arial"/>
          <w:color w:val="000000"/>
          <w:sz w:val="24"/>
        </w:rPr>
        <w:t>因项目公司的操盘方为福州首开福泰投资有限公司，未能同意增加中航信托印鉴章，至今尚未增加中航信托印鉴章。</w:t>
      </w:r>
    </w:p>
    <w:p>
      <w:pPr>
        <w:rPr>
          <w:rFonts w:cs="Arial"/>
          <w:b/>
          <w:bCs/>
        </w:rPr>
      </w:pPr>
      <w:bookmarkStart w:id="39" w:name="_Toc69160070"/>
      <w:bookmarkStart w:id="40" w:name="_Toc8759"/>
      <w:r>
        <w:rPr>
          <w:rFonts w:cs="Arial"/>
          <w:b/>
          <w:bCs/>
        </w:rPr>
        <w:t>十七、附件</w:t>
      </w:r>
      <w:bookmarkEnd w:id="39"/>
      <w:bookmarkEnd w:id="40"/>
    </w:p>
    <w:p>
      <w:pPr>
        <w:spacing w:line="360" w:lineRule="auto"/>
        <w:rPr>
          <w:rFonts w:ascii="Arial" w:hAnsi="Arial" w:cs="Arial"/>
          <w:b/>
          <w:sz w:val="21"/>
          <w:szCs w:val="21"/>
        </w:rPr>
      </w:pPr>
      <w:r>
        <w:rPr>
          <w:rFonts w:ascii="Arial" w:hAnsi="Arial" w:cs="Arial"/>
          <w:b/>
          <w:sz w:val="21"/>
          <w:szCs w:val="21"/>
        </w:rPr>
        <w:t>附件一：银行账户流水及余额</w:t>
      </w:r>
    </w:p>
    <w:p>
      <w:pPr>
        <w:pStyle w:val="32"/>
        <w:numPr>
          <w:ilvl w:val="0"/>
          <w:numId w:val="8"/>
        </w:numPr>
        <w:spacing w:line="360" w:lineRule="auto"/>
        <w:ind w:left="60" w:firstLineChars="0"/>
        <w:rPr>
          <w:rFonts w:ascii="Arial" w:hAnsi="Arial" w:cs="Arial"/>
          <w:bCs/>
          <w:sz w:val="21"/>
          <w:szCs w:val="21"/>
        </w:rPr>
      </w:pPr>
      <w:r>
        <w:rPr>
          <w:rFonts w:ascii="Arial" w:hAnsi="Arial" w:cs="Arial"/>
          <w:bCs/>
          <w:sz w:val="21"/>
          <w:szCs w:val="21"/>
        </w:rPr>
        <w:t>宁德融熙置业有限公司</w:t>
      </w:r>
    </w:p>
    <w:p>
      <w:pPr>
        <w:pStyle w:val="32"/>
        <w:spacing w:line="360" w:lineRule="auto"/>
        <w:ind w:left="480" w:firstLine="0" w:firstLineChars="0"/>
        <w:rPr>
          <w:rFonts w:ascii="Arial" w:hAnsi="Arial" w:cs="Arial"/>
          <w:bCs/>
          <w:sz w:val="21"/>
          <w:szCs w:val="21"/>
        </w:rPr>
      </w:pPr>
      <w:r>
        <w:rPr>
          <w:rFonts w:ascii="Arial" w:hAnsi="Arial" w:cs="Arial"/>
          <w:bCs/>
          <w:sz w:val="21"/>
          <w:szCs w:val="21"/>
        </w:rPr>
        <w:t>中国建设银行股份有限公司福州金融街支行（账号35050188740700001328）</w:t>
      </w:r>
    </w:p>
    <w:p>
      <w:pPr>
        <w:pStyle w:val="32"/>
        <w:spacing w:line="360" w:lineRule="auto"/>
        <w:ind w:left="0" w:leftChars="0" w:firstLine="0" w:firstLineChars="0"/>
        <w:rPr>
          <w:rFonts w:ascii="Arial" w:hAnsi="Arial" w:cs="Arial"/>
          <w:bCs/>
          <w:sz w:val="21"/>
          <w:szCs w:val="21"/>
        </w:rPr>
      </w:pPr>
      <w:r>
        <w:rPr>
          <w:rFonts w:hint="eastAsia" w:ascii="Arial" w:hAnsi="Arial" w:cs="Arial"/>
          <w:bCs/>
          <w:sz w:val="21"/>
          <w:szCs w:val="21"/>
        </w:rPr>
        <w:drawing>
          <wp:inline distT="0" distB="0" distL="114300" distR="114300">
            <wp:extent cx="6115685" cy="3439795"/>
            <wp:effectExtent l="0" t="0" r="10795" b="4445"/>
            <wp:docPr id="2" name="图片 2" descr="04d912448a9863d3e7b2f3a3bb1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d912448a9863d3e7b2f3a3bb1c005"/>
                    <pic:cNvPicPr>
                      <a:picLocks noChangeAspect="1"/>
                    </pic:cNvPicPr>
                  </pic:nvPicPr>
                  <pic:blipFill>
                    <a:blip r:embed="rId11"/>
                    <a:stretch>
                      <a:fillRect/>
                    </a:stretch>
                  </pic:blipFill>
                  <pic:spPr>
                    <a:xfrm>
                      <a:off x="0" y="0"/>
                      <a:ext cx="6115685" cy="3439795"/>
                    </a:xfrm>
                    <a:prstGeom prst="rect">
                      <a:avLst/>
                    </a:prstGeom>
                  </pic:spPr>
                </pic:pic>
              </a:graphicData>
            </a:graphic>
          </wp:inline>
        </w:drawing>
      </w:r>
    </w:p>
    <w:p>
      <w:pPr>
        <w:pStyle w:val="32"/>
        <w:numPr>
          <w:ilvl w:val="0"/>
          <w:numId w:val="8"/>
        </w:numPr>
        <w:spacing w:line="360" w:lineRule="auto"/>
        <w:ind w:left="60" w:firstLineChars="0"/>
        <w:rPr>
          <w:rFonts w:ascii="Arial" w:hAnsi="Arial" w:cs="Arial"/>
          <w:bCs/>
          <w:sz w:val="21"/>
          <w:szCs w:val="21"/>
        </w:rPr>
      </w:pPr>
      <w:r>
        <w:rPr>
          <w:rFonts w:ascii="Arial" w:hAnsi="Arial" w:cs="Arial"/>
          <w:bCs/>
          <w:sz w:val="21"/>
          <w:szCs w:val="21"/>
        </w:rPr>
        <w:t>福州首融房地产开发有限公司</w:t>
      </w:r>
    </w:p>
    <w:p>
      <w:pPr>
        <w:numPr>
          <w:ilvl w:val="0"/>
          <w:numId w:val="9"/>
        </w:numPr>
        <w:spacing w:line="360" w:lineRule="auto"/>
        <w:ind w:left="480"/>
        <w:rPr>
          <w:rFonts w:ascii="Arial" w:hAnsi="Arial" w:cs="Arial"/>
          <w:bCs/>
          <w:sz w:val="21"/>
          <w:szCs w:val="21"/>
        </w:rPr>
      </w:pPr>
      <w:r>
        <w:rPr>
          <w:rFonts w:ascii="Arial" w:hAnsi="Arial" w:cs="Arial"/>
          <w:bCs/>
          <w:sz w:val="21"/>
          <w:szCs w:val="21"/>
        </w:rPr>
        <w:t>中国建设银行股份有限公司福州城东支行（账号35050161000700006536）</w:t>
      </w:r>
    </w:p>
    <w:p>
      <w:pPr>
        <w:pStyle w:val="2"/>
        <w:ind w:left="0" w:leftChars="0" w:firstLine="0" w:firstLineChars="0"/>
      </w:pPr>
      <w:r>
        <w:rPr>
          <w:rFonts w:hint="eastAsia"/>
        </w:rPr>
        <w:drawing>
          <wp:inline distT="0" distB="0" distL="114300" distR="114300">
            <wp:extent cx="6115685" cy="3439795"/>
            <wp:effectExtent l="0" t="0" r="10795" b="4445"/>
            <wp:docPr id="5" name="图片 5" descr="2e9f84163fdb4e3f5377dc93f333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9f84163fdb4e3f5377dc93f333d9e"/>
                    <pic:cNvPicPr>
                      <a:picLocks noChangeAspect="1"/>
                    </pic:cNvPicPr>
                  </pic:nvPicPr>
                  <pic:blipFill>
                    <a:blip r:embed="rId12"/>
                    <a:stretch>
                      <a:fillRect/>
                    </a:stretch>
                  </pic:blipFill>
                  <pic:spPr>
                    <a:xfrm>
                      <a:off x="0" y="0"/>
                      <a:ext cx="6115685" cy="3439795"/>
                    </a:xfrm>
                    <a:prstGeom prst="rect">
                      <a:avLst/>
                    </a:prstGeom>
                  </pic:spPr>
                </pic:pic>
              </a:graphicData>
            </a:graphic>
          </wp:inline>
        </w:drawing>
      </w:r>
    </w:p>
    <w:p>
      <w:pPr>
        <w:spacing w:line="360" w:lineRule="auto"/>
      </w:pPr>
      <w:r>
        <w:rPr>
          <w:rFonts w:hint="eastAsia"/>
        </w:rPr>
        <w:drawing>
          <wp:inline distT="0" distB="0" distL="114300" distR="114300">
            <wp:extent cx="6115685" cy="3439795"/>
            <wp:effectExtent l="0" t="0" r="10795" b="4445"/>
            <wp:docPr id="6" name="图片 6" descr="fa559eb3ea0004fa2bfc4fee2b85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559eb3ea0004fa2bfc4fee2b85fa7"/>
                    <pic:cNvPicPr>
                      <a:picLocks noChangeAspect="1"/>
                    </pic:cNvPicPr>
                  </pic:nvPicPr>
                  <pic:blipFill>
                    <a:blip r:embed="rId13"/>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7" name="图片 7" descr="c946c24c6812d05ec4dec6d62ee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946c24c6812d05ec4dec6d62ee8986"/>
                    <pic:cNvPicPr>
                      <a:picLocks noChangeAspect="1"/>
                    </pic:cNvPicPr>
                  </pic:nvPicPr>
                  <pic:blipFill>
                    <a:blip r:embed="rId14"/>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9" name="图片 9" descr="70f7470d97313776e30b0338b016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0f7470d97313776e30b0338b016dbc"/>
                    <pic:cNvPicPr>
                      <a:picLocks noChangeAspect="1"/>
                    </pic:cNvPicPr>
                  </pic:nvPicPr>
                  <pic:blipFill>
                    <a:blip r:embed="rId15"/>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10" name="图片 10" descr="175aba5ccaf88ee22952a4dda6af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aba5ccaf88ee22952a4dda6af25a"/>
                    <pic:cNvPicPr>
                      <a:picLocks noChangeAspect="1"/>
                    </pic:cNvPicPr>
                  </pic:nvPicPr>
                  <pic:blipFill>
                    <a:blip r:embed="rId16"/>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11" name="图片 11" descr="e020de4204661869dfa0cdd14668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20de4204661869dfa0cdd146684d1"/>
                    <pic:cNvPicPr>
                      <a:picLocks noChangeAspect="1"/>
                    </pic:cNvPicPr>
                  </pic:nvPicPr>
                  <pic:blipFill>
                    <a:blip r:embed="rId17"/>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12" name="图片 12" descr="d05d84769b45571af077110c8d48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05d84769b45571af077110c8d48b01"/>
                    <pic:cNvPicPr>
                      <a:picLocks noChangeAspect="1"/>
                    </pic:cNvPicPr>
                  </pic:nvPicPr>
                  <pic:blipFill>
                    <a:blip r:embed="rId18"/>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13" name="图片 13" descr="d920e4dfff3bbae031cb4bb67378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920e4dfff3bbae031cb4bb67378df3"/>
                    <pic:cNvPicPr>
                      <a:picLocks noChangeAspect="1"/>
                    </pic:cNvPicPr>
                  </pic:nvPicPr>
                  <pic:blipFill>
                    <a:blip r:embed="rId19"/>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14" name="图片 14" descr="ff0a700c90a35896e4054b9c89e5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f0a700c90a35896e4054b9c89e5ea1"/>
                    <pic:cNvPicPr>
                      <a:picLocks noChangeAspect="1"/>
                    </pic:cNvPicPr>
                  </pic:nvPicPr>
                  <pic:blipFill>
                    <a:blip r:embed="rId20"/>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15" name="图片 15" descr="2ed6ab8b8a914ecb7f5c1ee352b0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ed6ab8b8a914ecb7f5c1ee352b052b"/>
                    <pic:cNvPicPr>
                      <a:picLocks noChangeAspect="1"/>
                    </pic:cNvPicPr>
                  </pic:nvPicPr>
                  <pic:blipFill>
                    <a:blip r:embed="rId21"/>
                    <a:stretch>
                      <a:fillRect/>
                    </a:stretch>
                  </pic:blipFill>
                  <pic:spPr>
                    <a:xfrm>
                      <a:off x="0" y="0"/>
                      <a:ext cx="6115685" cy="3439795"/>
                    </a:xfrm>
                    <a:prstGeom prst="rect">
                      <a:avLst/>
                    </a:prstGeom>
                  </pic:spPr>
                </pic:pic>
              </a:graphicData>
            </a:graphic>
          </wp:inline>
        </w:drawing>
      </w:r>
      <w:r>
        <w:rPr>
          <w:rFonts w:hint="eastAsia"/>
        </w:rPr>
        <w:drawing>
          <wp:inline distT="0" distB="0" distL="114300" distR="114300">
            <wp:extent cx="6115685" cy="3439795"/>
            <wp:effectExtent l="0" t="0" r="10795" b="4445"/>
            <wp:docPr id="16" name="图片 16" descr="6039897470796bba500474f101c2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039897470796bba500474f101c24a1"/>
                    <pic:cNvPicPr>
                      <a:picLocks noChangeAspect="1"/>
                    </pic:cNvPicPr>
                  </pic:nvPicPr>
                  <pic:blipFill>
                    <a:blip r:embed="rId22"/>
                    <a:stretch>
                      <a:fillRect/>
                    </a:stretch>
                  </pic:blipFill>
                  <pic:spPr>
                    <a:xfrm>
                      <a:off x="0" y="0"/>
                      <a:ext cx="6115685" cy="3439795"/>
                    </a:xfrm>
                    <a:prstGeom prst="rect">
                      <a:avLst/>
                    </a:prstGeom>
                  </pic:spPr>
                </pic:pic>
              </a:graphicData>
            </a:graphic>
          </wp:inline>
        </w:drawing>
      </w:r>
    </w:p>
    <w:p>
      <w:pPr>
        <w:numPr>
          <w:ilvl w:val="0"/>
          <w:numId w:val="9"/>
        </w:numPr>
        <w:spacing w:line="360" w:lineRule="auto"/>
        <w:ind w:left="480"/>
        <w:rPr>
          <w:rFonts w:ascii="Arial" w:hAnsi="Arial" w:cs="Arial"/>
          <w:bCs/>
          <w:sz w:val="21"/>
          <w:szCs w:val="21"/>
        </w:rPr>
      </w:pPr>
      <w:r>
        <w:rPr>
          <w:rFonts w:hint="eastAsia" w:ascii="Arial" w:hAnsi="Arial" w:cs="Arial"/>
          <w:bCs/>
          <w:sz w:val="21"/>
          <w:szCs w:val="21"/>
        </w:rPr>
        <w:t>兴业银行福州台江</w:t>
      </w:r>
      <w:r>
        <w:rPr>
          <w:rFonts w:ascii="Arial" w:hAnsi="Arial" w:cs="Arial"/>
          <w:bCs/>
          <w:sz w:val="21"/>
          <w:szCs w:val="21"/>
        </w:rPr>
        <w:t>支行（账号</w:t>
      </w:r>
      <w:r>
        <w:rPr>
          <w:rFonts w:ascii="Arial" w:hAnsi="Arial" w:cs="Arial"/>
          <w:sz w:val="21"/>
          <w:szCs w:val="21"/>
        </w:rPr>
        <w:t>117210100100211982</w:t>
      </w:r>
      <w:r>
        <w:rPr>
          <w:rFonts w:ascii="Arial" w:hAnsi="Arial" w:cs="Arial"/>
          <w:bCs/>
          <w:sz w:val="21"/>
          <w:szCs w:val="21"/>
        </w:rPr>
        <w:t>）</w:t>
      </w:r>
    </w:p>
    <w:p>
      <w:pPr>
        <w:pStyle w:val="2"/>
        <w:ind w:firstLine="0" w:firstLineChars="0"/>
      </w:pPr>
      <w:r>
        <w:rPr>
          <w:rFonts w:hint="eastAsia"/>
        </w:rPr>
        <w:drawing>
          <wp:inline distT="0" distB="0" distL="114300" distR="114300">
            <wp:extent cx="6115685" cy="3439795"/>
            <wp:effectExtent l="0" t="0" r="10795" b="4445"/>
            <wp:docPr id="17" name="图片 17" descr="048bc0e9450b79cfd7e6ea5c05fc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48bc0e9450b79cfd7e6ea5c05fc01d"/>
                    <pic:cNvPicPr>
                      <a:picLocks noChangeAspect="1"/>
                    </pic:cNvPicPr>
                  </pic:nvPicPr>
                  <pic:blipFill>
                    <a:blip r:embed="rId23"/>
                    <a:stretch>
                      <a:fillRect/>
                    </a:stretch>
                  </pic:blipFill>
                  <pic:spPr>
                    <a:xfrm>
                      <a:off x="0" y="0"/>
                      <a:ext cx="6115685" cy="3439795"/>
                    </a:xfrm>
                    <a:prstGeom prst="rect">
                      <a:avLst/>
                    </a:prstGeom>
                  </pic:spPr>
                </pic:pic>
              </a:graphicData>
            </a:graphic>
          </wp:inline>
        </w:drawing>
      </w:r>
    </w:p>
    <w:p>
      <w:pPr>
        <w:numPr>
          <w:ilvl w:val="0"/>
          <w:numId w:val="9"/>
        </w:numPr>
        <w:spacing w:line="360" w:lineRule="auto"/>
        <w:ind w:left="480"/>
        <w:rPr>
          <w:rFonts w:ascii="Arial" w:hAnsi="Arial" w:cs="Arial"/>
          <w:bCs/>
          <w:sz w:val="21"/>
          <w:szCs w:val="21"/>
        </w:rPr>
      </w:pPr>
      <w:r>
        <w:rPr>
          <w:rFonts w:hint="eastAsia" w:ascii="Arial" w:hAnsi="Arial" w:cs="Arial"/>
          <w:bCs/>
          <w:sz w:val="21"/>
          <w:szCs w:val="21"/>
        </w:rPr>
        <w:t>浙商银行福州分行营业部（账号3910000010120100023301）</w:t>
      </w:r>
    </w:p>
    <w:p>
      <w:pPr>
        <w:spacing w:line="360" w:lineRule="auto"/>
        <w:rPr>
          <w:rFonts w:ascii="Arial" w:hAnsi="Arial" w:cs="Arial"/>
          <w:bCs/>
          <w:sz w:val="21"/>
          <w:szCs w:val="21"/>
        </w:rPr>
      </w:pPr>
      <w:r>
        <w:rPr>
          <w:rFonts w:hint="eastAsia" w:ascii="Arial" w:hAnsi="Arial" w:cs="Arial"/>
          <w:bCs/>
          <w:sz w:val="21"/>
          <w:szCs w:val="21"/>
        </w:rPr>
        <w:drawing>
          <wp:inline distT="0" distB="0" distL="114300" distR="114300">
            <wp:extent cx="6115685" cy="3439795"/>
            <wp:effectExtent l="0" t="0" r="10795" b="4445"/>
            <wp:docPr id="18" name="图片 18" descr="80e92765f3b4bb410e05cffb43ad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0e92765f3b4bb410e05cffb43adec6"/>
                    <pic:cNvPicPr>
                      <a:picLocks noChangeAspect="1"/>
                    </pic:cNvPicPr>
                  </pic:nvPicPr>
                  <pic:blipFill>
                    <a:blip r:embed="rId24"/>
                    <a:stretch>
                      <a:fillRect/>
                    </a:stretch>
                  </pic:blipFill>
                  <pic:spPr>
                    <a:xfrm>
                      <a:off x="0" y="0"/>
                      <a:ext cx="6115685" cy="3439795"/>
                    </a:xfrm>
                    <a:prstGeom prst="rect">
                      <a:avLst/>
                    </a:prstGeom>
                  </pic:spPr>
                </pic:pic>
              </a:graphicData>
            </a:graphic>
          </wp:inline>
        </w:drawing>
      </w:r>
    </w:p>
    <w:p>
      <w:pPr>
        <w:numPr>
          <w:ilvl w:val="0"/>
          <w:numId w:val="9"/>
        </w:numPr>
        <w:spacing w:line="360" w:lineRule="auto"/>
        <w:ind w:left="480"/>
        <w:rPr>
          <w:rFonts w:ascii="Arial" w:hAnsi="Arial" w:cs="Arial"/>
          <w:bCs/>
          <w:sz w:val="21"/>
          <w:szCs w:val="21"/>
        </w:rPr>
      </w:pPr>
      <w:r>
        <w:rPr>
          <w:rFonts w:hint="eastAsia" w:ascii="Arial" w:hAnsi="Arial" w:cs="Arial"/>
          <w:bCs/>
          <w:sz w:val="21"/>
          <w:szCs w:val="21"/>
        </w:rPr>
        <w:t>浙商银行福州分行营业部（账号3910000010121800015022）</w:t>
      </w:r>
    </w:p>
    <w:p>
      <w:pPr>
        <w:pStyle w:val="2"/>
        <w:ind w:firstLine="0" w:firstLineChars="0"/>
      </w:pPr>
      <w:r>
        <w:drawing>
          <wp:inline distT="0" distB="0" distL="114300" distR="114300">
            <wp:extent cx="6115685" cy="3439795"/>
            <wp:effectExtent l="0" t="0" r="10795" b="444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5"/>
                    <a:stretch>
                      <a:fillRect/>
                    </a:stretch>
                  </pic:blipFill>
                  <pic:spPr>
                    <a:xfrm>
                      <a:off x="0" y="0"/>
                      <a:ext cx="6115685" cy="3439795"/>
                    </a:xfrm>
                    <a:prstGeom prst="rect">
                      <a:avLst/>
                    </a:prstGeom>
                    <a:noFill/>
                    <a:ln>
                      <a:noFill/>
                    </a:ln>
                  </pic:spPr>
                </pic:pic>
              </a:graphicData>
            </a:graphic>
          </wp:inline>
        </w:drawing>
      </w:r>
    </w:p>
    <w:p>
      <w:pPr>
        <w:ind w:firstLine="360" w:firstLineChars="200"/>
        <w:rPr>
          <w:rFonts w:ascii="Arial" w:hAnsi="Arial" w:cs="Arial"/>
          <w:b/>
          <w:sz w:val="21"/>
          <w:szCs w:val="21"/>
        </w:rPr>
      </w:pPr>
      <w:r>
        <w:rPr>
          <w:rFonts w:hint="eastAsia" w:ascii="Arial" w:hAnsi="Arial" w:cs="Arial"/>
          <w:sz w:val="18"/>
          <w:szCs w:val="18"/>
        </w:rPr>
        <w:t>浙商银行5022户为保证金户为浙商银行3301户内部子账户，未有查询功能。</w:t>
      </w:r>
      <w:r>
        <w:rPr>
          <w:rFonts w:ascii="Arial" w:hAnsi="Arial" w:cs="Arial"/>
          <w:bCs/>
          <w:sz w:val="21"/>
          <w:szCs w:val="21"/>
        </w:rPr>
        <w:br w:type="page"/>
      </w:r>
      <w:r>
        <w:rPr>
          <w:rFonts w:ascii="Arial" w:hAnsi="Arial" w:cs="Arial"/>
          <w:b/>
          <w:sz w:val="21"/>
          <w:szCs w:val="21"/>
        </w:rPr>
        <w:t>附件二：本期合同签约台账</w:t>
      </w:r>
    </w:p>
    <w:tbl>
      <w:tblPr>
        <w:tblStyle w:val="18"/>
        <w:tblW w:w="9709" w:type="dxa"/>
        <w:tblInd w:w="111" w:type="dxa"/>
        <w:tblLayout w:type="fixed"/>
        <w:tblCellMar>
          <w:top w:w="0" w:type="dxa"/>
          <w:left w:w="108" w:type="dxa"/>
          <w:bottom w:w="0" w:type="dxa"/>
          <w:right w:w="108" w:type="dxa"/>
        </w:tblCellMar>
      </w:tblPr>
      <w:tblGrid>
        <w:gridCol w:w="428"/>
        <w:gridCol w:w="1088"/>
        <w:gridCol w:w="1408"/>
        <w:gridCol w:w="1488"/>
        <w:gridCol w:w="2875"/>
        <w:gridCol w:w="1349"/>
        <w:gridCol w:w="702"/>
        <w:gridCol w:w="371"/>
      </w:tblGrid>
      <w:tr>
        <w:tblPrEx>
          <w:tblCellMar>
            <w:top w:w="0" w:type="dxa"/>
            <w:left w:w="108" w:type="dxa"/>
            <w:bottom w:w="0" w:type="dxa"/>
            <w:right w:w="108" w:type="dxa"/>
          </w:tblCellMar>
        </w:tblPrEx>
        <w:trPr>
          <w:cantSplit/>
          <w:trHeight w:val="414" w:hRule="atLeast"/>
          <w:tblHeader/>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序号</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用印日期</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签约对方单位</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合同名称</w:t>
            </w:r>
          </w:p>
        </w:tc>
        <w:tc>
          <w:tcPr>
            <w:tcW w:w="28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合同内容</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合同金额（元）</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审批方式</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CellMar>
            <w:top w:w="0" w:type="dxa"/>
            <w:left w:w="108" w:type="dxa"/>
            <w:bottom w:w="0" w:type="dxa"/>
            <w:right w:w="108" w:type="dxa"/>
          </w:tblCellMar>
        </w:tblPrEx>
        <w:trPr>
          <w:cantSpli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2021/9/9</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上海更赢信息技术有限公司</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2021年榕耀之城第3季度分销合作主合同</w:t>
            </w:r>
          </w:p>
        </w:tc>
        <w:tc>
          <w:tcPr>
            <w:tcW w:w="2875" w:type="dxa"/>
            <w:tcBorders>
              <w:top w:val="single" w:color="auto" w:sz="4" w:space="0"/>
              <w:left w:val="nil"/>
              <w:bottom w:val="single" w:color="auto" w:sz="4" w:space="0"/>
              <w:right w:val="single" w:color="auto"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委托代理销售云洲郡住宅产品。委托代理销售项目地址：福建省仓山区螺城路48号；面积：本项目可售面积或由双方约定楼幢；价格：按照销售面积按房屋建筑面积计算；拟定协议合作期限自2021年9月1日至2021年12月31日止。</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1,772,250.00 </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授权事项</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cantSpli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2021/9/9</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福州房友世纪房地产经纪有限公司</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2021年榕耀之城第3季度分销合作主合同</w:t>
            </w:r>
          </w:p>
        </w:tc>
        <w:tc>
          <w:tcPr>
            <w:tcW w:w="2875" w:type="dxa"/>
            <w:tcBorders>
              <w:top w:val="single" w:color="auto" w:sz="4" w:space="0"/>
              <w:left w:val="nil"/>
              <w:bottom w:val="single" w:color="auto" w:sz="4" w:space="0"/>
              <w:right w:val="single" w:color="auto"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委托代理销售云洲郡住宅产品。委托代理销售项目地址：福建省仓山区螺城路48号；面积：本项目可售面积或由双方约定楼幢；价格：按照销售面积按房屋建筑面积计算；拟定协议合作期限自2021年9月1日至2021年12月31日止。</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1,772,250.00 </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授权事项</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cantSpli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2021/9/10</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福建天衡联合（福州）律师事务所</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委托代理合同</w:t>
            </w:r>
          </w:p>
        </w:tc>
        <w:tc>
          <w:tcPr>
            <w:tcW w:w="2875" w:type="dxa"/>
            <w:tcBorders>
              <w:top w:val="single" w:color="auto" w:sz="4" w:space="0"/>
              <w:left w:val="nil"/>
              <w:bottom w:val="single" w:color="auto" w:sz="4" w:space="0"/>
              <w:right w:val="single" w:color="auto"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代理自规局仲裁案，选定严孙伟作为仲裁员。</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1,660,000.00 </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授权事项</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cantSpli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2021/9/23</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瑞庭网络技术（上海）有限公司福州分公司</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2021年5月安居客广告投放广告发布合同</w:t>
            </w:r>
          </w:p>
        </w:tc>
        <w:tc>
          <w:tcPr>
            <w:tcW w:w="2875" w:type="dxa"/>
            <w:tcBorders>
              <w:top w:val="single" w:color="auto" w:sz="4" w:space="0"/>
              <w:left w:val="nil"/>
              <w:bottom w:val="single" w:color="auto" w:sz="4" w:space="0"/>
              <w:right w:val="single" w:color="auto" w:sz="4" w:space="0"/>
            </w:tcBorders>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2021年5月安居客广告投放广告发布，发布次数30天，具体方案内容详见附件一《报价清单》。</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105,000.00 </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授权事项</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cantSpli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2021/9/23</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福州右岸传媒有限公司</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户外大牌服务合同补充协议</w:t>
            </w:r>
          </w:p>
        </w:tc>
        <w:tc>
          <w:tcPr>
            <w:tcW w:w="2875" w:type="dxa"/>
            <w:tcBorders>
              <w:top w:val="single" w:color="auto" w:sz="4" w:space="0"/>
              <w:left w:val="nil"/>
              <w:bottom w:val="single" w:color="auto" w:sz="4" w:space="0"/>
              <w:right w:val="single" w:color="auto" w:sz="4" w:space="0"/>
            </w:tcBorders>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主合同服务期限为2021年3月21日-4月20日终止服务，现续约周期为2021年4月22日-2021年5月21日终止。</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78,000.00 </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授权事项</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cantSpli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2021/9/23</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杭州迦密科技有限公司</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香薰租赁框架协议补充协议</w:t>
            </w:r>
          </w:p>
        </w:tc>
        <w:tc>
          <w:tcPr>
            <w:tcW w:w="2875" w:type="dxa"/>
            <w:tcBorders>
              <w:top w:val="single" w:color="auto" w:sz="4" w:space="0"/>
              <w:left w:val="nil"/>
              <w:bottom w:val="single" w:color="auto" w:sz="4" w:space="0"/>
              <w:right w:val="single" w:color="auto" w:sz="4" w:space="0"/>
            </w:tcBorders>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原协议期限为2021年3月9日-2021年12月31日，现双方根据合同业务事项，需更变税率，原协议香薰费用（价税合计）为28,602元，其中不含税价格为26,983.02元，增值税税额为1,618.98元（按法定增值税税率6%计算），变更后费用（价税合计）为28,602元，其中不含税价格为25,311.51元，增值税税额为3,290.49元（按法定增值税税率13%计算）。</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授权事项</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cantSpli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2021/9/23</w:t>
            </w:r>
          </w:p>
        </w:tc>
        <w:tc>
          <w:tcPr>
            <w:tcW w:w="140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上海良晓信息科技有限公司</w:t>
            </w:r>
          </w:p>
        </w:tc>
        <w:tc>
          <w:tcPr>
            <w:tcW w:w="1488"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展厅服务合同补充协议</w:t>
            </w:r>
          </w:p>
        </w:tc>
        <w:tc>
          <w:tcPr>
            <w:tcW w:w="2875" w:type="dxa"/>
            <w:tcBorders>
              <w:top w:val="single" w:color="auto" w:sz="4" w:space="0"/>
              <w:left w:val="nil"/>
              <w:bottom w:val="single" w:color="auto" w:sz="4" w:space="0"/>
              <w:right w:val="single" w:color="auto" w:sz="4" w:space="0"/>
            </w:tcBorders>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原协议制作期限为2020年11月1日-2021年1月15日，现乙方根据甲方要求提供增补服务（详见附件一：《费用增补报价单》，需增补相应费用，增补费用（价税合计）合计120,000元，其中不含税价格为113,207.55元，增值税税额为6,792.45元（按法定增值税税率6%计算）;增补事项乙方需在2021年6月20日前完成。</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120,000.00 </w:t>
            </w:r>
          </w:p>
        </w:tc>
        <w:tc>
          <w:tcPr>
            <w:tcW w:w="70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授权事项</w:t>
            </w: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cantSplit/>
          <w:trHeight w:val="338" w:hRule="atLeast"/>
        </w:trPr>
        <w:tc>
          <w:tcPr>
            <w:tcW w:w="728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宋体" w:hAnsi="宋体" w:cs="宋体"/>
                <w:color w:val="000000"/>
                <w:sz w:val="20"/>
                <w:szCs w:val="20"/>
              </w:rPr>
            </w:pPr>
            <w:r>
              <w:rPr>
                <w:rFonts w:hint="eastAsia" w:ascii="Arial" w:hAnsi="Arial" w:cs="Arial"/>
                <w:color w:val="000000"/>
                <w:sz w:val="18"/>
                <w:szCs w:val="18"/>
                <w:lang w:bidi="ar"/>
              </w:rPr>
              <w:t xml:space="preserve">5,507,500.00 </w:t>
            </w:r>
          </w:p>
        </w:tc>
        <w:tc>
          <w:tcPr>
            <w:tcW w:w="70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lang w:bidi="ar"/>
              </w:rPr>
            </w:pPr>
          </w:p>
        </w:tc>
        <w:tc>
          <w:tcPr>
            <w:tcW w:w="37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bl>
    <w:p>
      <w:pPr>
        <w:rPr>
          <w:rFonts w:ascii="Arial" w:hAnsi="Arial" w:cs="Arial"/>
          <w:bCs/>
          <w:sz w:val="21"/>
          <w:szCs w:val="21"/>
        </w:rPr>
        <w:sectPr>
          <w:pgSz w:w="11906" w:h="16838"/>
          <w:pgMar w:top="1134" w:right="1134" w:bottom="1134" w:left="1134" w:header="851" w:footer="992" w:gutter="0"/>
          <w:pgNumType w:start="1"/>
          <w:cols w:space="425" w:num="1"/>
          <w:docGrid w:type="linesAndChars" w:linePitch="326" w:charSpace="0"/>
        </w:sectPr>
      </w:pPr>
    </w:p>
    <w:p>
      <w:pPr>
        <w:spacing w:line="360" w:lineRule="auto"/>
        <w:rPr>
          <w:rFonts w:ascii="Arial" w:hAnsi="Arial" w:cs="Arial"/>
          <w:b/>
          <w:sz w:val="21"/>
          <w:szCs w:val="21"/>
        </w:rPr>
      </w:pPr>
      <w:r>
        <w:rPr>
          <w:rFonts w:ascii="Arial" w:hAnsi="Arial" w:cs="Arial"/>
          <w:b/>
          <w:sz w:val="21"/>
          <w:szCs w:val="21"/>
        </w:rPr>
        <w:t>附件三：本期合同付款台账</w:t>
      </w:r>
    </w:p>
    <w:tbl>
      <w:tblPr>
        <w:tblStyle w:val="18"/>
        <w:tblW w:w="14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100"/>
        <w:gridCol w:w="972"/>
        <w:gridCol w:w="1068"/>
        <w:gridCol w:w="1644"/>
        <w:gridCol w:w="2765"/>
        <w:gridCol w:w="1527"/>
        <w:gridCol w:w="1080"/>
        <w:gridCol w:w="1189"/>
        <w:gridCol w:w="1287"/>
        <w:gridCol w:w="1495"/>
        <w:gridCol w:w="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91" w:type="dxa"/>
            <w:shd w:val="clear" w:color="auto" w:fill="auto"/>
            <w:vAlign w:val="center"/>
          </w:tcPr>
          <w:p>
            <w:pPr>
              <w:jc w:val="center"/>
              <w:rPr>
                <w:rFonts w:ascii="Arial" w:hAnsi="Arial" w:cs="Arial"/>
                <w:b/>
                <w:bCs/>
                <w:sz w:val="18"/>
                <w:szCs w:val="18"/>
              </w:rPr>
            </w:pPr>
            <w:r>
              <w:rPr>
                <w:rFonts w:ascii="Arial" w:hAnsi="Arial" w:cs="Arial"/>
                <w:b/>
                <w:bCs/>
                <w:sz w:val="18"/>
                <w:szCs w:val="18"/>
              </w:rPr>
              <w:t>序号</w:t>
            </w:r>
          </w:p>
        </w:tc>
        <w:tc>
          <w:tcPr>
            <w:tcW w:w="1100" w:type="dxa"/>
            <w:shd w:val="clear" w:color="auto" w:fill="auto"/>
            <w:vAlign w:val="center"/>
          </w:tcPr>
          <w:p>
            <w:pPr>
              <w:jc w:val="center"/>
              <w:rPr>
                <w:rFonts w:ascii="Arial" w:hAnsi="Arial" w:cs="Arial"/>
                <w:b/>
                <w:bCs/>
                <w:sz w:val="18"/>
                <w:szCs w:val="18"/>
              </w:rPr>
            </w:pPr>
            <w:r>
              <w:rPr>
                <w:rFonts w:ascii="Arial" w:hAnsi="Arial" w:cs="Arial"/>
                <w:b/>
                <w:bCs/>
                <w:sz w:val="18"/>
                <w:szCs w:val="18"/>
              </w:rPr>
              <w:t>签约日期</w:t>
            </w:r>
          </w:p>
        </w:tc>
        <w:tc>
          <w:tcPr>
            <w:tcW w:w="972"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068" w:type="dxa"/>
            <w:shd w:val="clear" w:color="auto" w:fill="auto"/>
            <w:vAlign w:val="center"/>
          </w:tcPr>
          <w:p>
            <w:pPr>
              <w:jc w:val="center"/>
              <w:rPr>
                <w:rFonts w:ascii="Arial" w:hAnsi="Arial" w:cs="Arial"/>
                <w:b/>
                <w:bCs/>
                <w:sz w:val="18"/>
                <w:szCs w:val="18"/>
              </w:rPr>
            </w:pPr>
            <w:r>
              <w:rPr>
                <w:rFonts w:ascii="Arial" w:hAnsi="Arial" w:cs="Arial"/>
                <w:b/>
                <w:bCs/>
                <w:sz w:val="18"/>
                <w:szCs w:val="18"/>
              </w:rPr>
              <w:t>合同名称</w:t>
            </w:r>
          </w:p>
        </w:tc>
        <w:tc>
          <w:tcPr>
            <w:tcW w:w="1644"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2765" w:type="dxa"/>
            <w:shd w:val="clear" w:color="auto" w:fill="auto"/>
            <w:vAlign w:val="center"/>
          </w:tcPr>
          <w:p>
            <w:pPr>
              <w:jc w:val="center"/>
              <w:rPr>
                <w:rFonts w:ascii="Arial" w:hAnsi="Arial" w:cs="Arial"/>
                <w:b/>
                <w:bCs/>
                <w:sz w:val="18"/>
                <w:szCs w:val="18"/>
              </w:rPr>
            </w:pPr>
            <w:r>
              <w:rPr>
                <w:rFonts w:ascii="Arial" w:hAnsi="Arial" w:cs="Arial"/>
                <w:b/>
                <w:bCs/>
                <w:sz w:val="18"/>
                <w:szCs w:val="18"/>
              </w:rPr>
              <w:t>付款节点</w:t>
            </w:r>
          </w:p>
        </w:tc>
        <w:tc>
          <w:tcPr>
            <w:tcW w:w="1527"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c>
          <w:tcPr>
            <w:tcW w:w="1080" w:type="dxa"/>
            <w:shd w:val="clear" w:color="auto" w:fill="auto"/>
            <w:vAlign w:val="center"/>
          </w:tcPr>
          <w:p>
            <w:pPr>
              <w:jc w:val="center"/>
              <w:rPr>
                <w:rFonts w:ascii="Arial" w:hAnsi="Arial" w:cs="Arial"/>
                <w:b/>
                <w:bCs/>
                <w:sz w:val="18"/>
                <w:szCs w:val="18"/>
              </w:rPr>
            </w:pPr>
            <w:r>
              <w:rPr>
                <w:rFonts w:ascii="Arial" w:hAnsi="Arial" w:cs="Arial"/>
                <w:b/>
                <w:bCs/>
                <w:sz w:val="18"/>
                <w:szCs w:val="18"/>
              </w:rPr>
              <w:t>合同类别</w:t>
            </w:r>
          </w:p>
        </w:tc>
        <w:tc>
          <w:tcPr>
            <w:tcW w:w="1189" w:type="dxa"/>
            <w:shd w:val="clear" w:color="auto" w:fill="auto"/>
            <w:vAlign w:val="center"/>
          </w:tcPr>
          <w:p>
            <w:pPr>
              <w:jc w:val="center"/>
              <w:rPr>
                <w:rFonts w:ascii="Arial" w:hAnsi="Arial" w:cs="Arial"/>
                <w:b/>
                <w:bCs/>
                <w:sz w:val="18"/>
                <w:szCs w:val="18"/>
              </w:rPr>
            </w:pPr>
            <w:r>
              <w:rPr>
                <w:rFonts w:ascii="Arial" w:hAnsi="Arial" w:cs="Arial"/>
                <w:b/>
                <w:bCs/>
                <w:sz w:val="18"/>
                <w:szCs w:val="18"/>
              </w:rPr>
              <w:t>付款时间</w:t>
            </w:r>
          </w:p>
        </w:tc>
        <w:tc>
          <w:tcPr>
            <w:tcW w:w="1287" w:type="dxa"/>
            <w:shd w:val="clear" w:color="auto" w:fill="auto"/>
            <w:vAlign w:val="center"/>
          </w:tcPr>
          <w:p>
            <w:pPr>
              <w:jc w:val="center"/>
              <w:rPr>
                <w:rFonts w:ascii="Arial" w:hAnsi="Arial" w:cs="Arial"/>
                <w:b/>
                <w:bCs/>
                <w:sz w:val="18"/>
                <w:szCs w:val="18"/>
              </w:rPr>
            </w:pPr>
            <w:r>
              <w:rPr>
                <w:rFonts w:ascii="Arial" w:hAnsi="Arial" w:cs="Arial"/>
                <w:b/>
                <w:bCs/>
                <w:sz w:val="18"/>
                <w:szCs w:val="18"/>
              </w:rPr>
              <w:t>合计金额（元）</w:t>
            </w:r>
          </w:p>
        </w:tc>
        <w:tc>
          <w:tcPr>
            <w:tcW w:w="1495" w:type="dxa"/>
            <w:shd w:val="clear" w:color="auto" w:fill="auto"/>
            <w:vAlign w:val="center"/>
          </w:tcPr>
          <w:p>
            <w:pPr>
              <w:jc w:val="center"/>
              <w:rPr>
                <w:rFonts w:ascii="Arial" w:hAnsi="Arial" w:cs="Arial"/>
                <w:b/>
                <w:bCs/>
                <w:sz w:val="18"/>
                <w:szCs w:val="18"/>
              </w:rPr>
            </w:pPr>
            <w:r>
              <w:rPr>
                <w:rFonts w:ascii="Arial" w:hAnsi="Arial" w:cs="Arial"/>
                <w:b/>
                <w:bCs/>
                <w:sz w:val="18"/>
                <w:szCs w:val="18"/>
              </w:rPr>
              <w:t>未付金额（元）</w:t>
            </w:r>
          </w:p>
        </w:tc>
        <w:tc>
          <w:tcPr>
            <w:tcW w:w="338" w:type="dxa"/>
            <w:shd w:val="clear" w:color="auto" w:fill="auto"/>
            <w:vAlign w:val="center"/>
          </w:tcPr>
          <w:p>
            <w:pPr>
              <w:jc w:val="both"/>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1</w:t>
            </w:r>
          </w:p>
        </w:tc>
        <w:tc>
          <w:tcPr>
            <w:tcW w:w="1100"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2020/7/1</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广州地铁设计研究院股份有限公司</w:t>
            </w:r>
            <w:r>
              <w:rPr>
                <w:rFonts w:ascii="Arial" w:hAnsi="Arial" w:cs="Arial"/>
                <w:color w:val="000000"/>
                <w:sz w:val="18"/>
                <w:szCs w:val="18"/>
                <w:lang w:bidi="ar"/>
              </w:rPr>
              <w:br w:type="textWrapping"/>
            </w:r>
            <w:r>
              <w:rPr>
                <w:rFonts w:ascii="Arial" w:hAnsi="Arial" w:cs="Arial"/>
                <w:color w:val="000000"/>
                <w:sz w:val="18"/>
                <w:szCs w:val="18"/>
                <w:lang w:bidi="ar"/>
              </w:rPr>
              <w:t>北京国科天创建筑设计院有限责任公司江西分公司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仓山宗地2020-08号地块上盖开发及白地基坑开挖对螺洲车辆段影响的安全评估技术咨询合同</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提供仓山宗地2020-08号地块上盖开发对车辆段影响的安全评估技术咨询服务</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预付款支付合同总价的30%，计1,080,000.00元；完成成果报告并提交审核且受到等额合规发票后支付合同总价的30%作为期间成果咨询费，计1,080,000.00元；提交全部成果报告并经地铁公司地保科认可且通过评审，支付合同剩余款项，计1,440,000.00元。</w:t>
            </w:r>
          </w:p>
        </w:tc>
        <w:tc>
          <w:tcPr>
            <w:tcW w:w="152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3,600,000.00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前期类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2020/8/4、2021/2/7、</w:t>
            </w:r>
            <w:r>
              <w:rPr>
                <w:rFonts w:ascii="Arial" w:hAnsi="Arial" w:cs="Arial"/>
                <w:color w:val="000000"/>
                <w:sz w:val="18"/>
                <w:szCs w:val="18"/>
                <w:lang w:bidi="ar"/>
              </w:rPr>
              <w:br w:type="textWrapping"/>
            </w:r>
            <w:r>
              <w:rPr>
                <w:rFonts w:ascii="Arial" w:hAnsi="Arial" w:cs="Arial"/>
                <w:color w:val="000000"/>
                <w:sz w:val="18"/>
                <w:szCs w:val="18"/>
                <w:lang w:bidi="ar"/>
              </w:rPr>
              <w:t>2021/8/24、2021/9/24</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3,600,000.00 </w:t>
            </w:r>
          </w:p>
        </w:tc>
        <w:tc>
          <w:tcPr>
            <w:tcW w:w="1495"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2</w:t>
            </w:r>
          </w:p>
        </w:tc>
        <w:tc>
          <w:tcPr>
            <w:tcW w:w="110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2020/12/3</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福建省华荣建设集团有限公司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建设工程设计合同（幕墙）施工图阶段</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提供玻璃幕墙、石材幕墙、铝单板幕墙、铝合金门窗、格栅、玻璃栏杆、铝合金百叶窗、雨棚等幕墙设计相关劳务。</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1、合同生效后7天内，支付设计费总额的20%,即130,830.00元作为预付款；2、提交初步设计成果文件经审核确认并获取外部批复后7天内，支付设计费总额的20%计130,830.00元;提交完整施工图成果文件经审核确认并完成施工图纸会审15天内，支付设计费总额的40%，计261,660.00元；完成室外总体，市政配套，精装等配合服务工作成果后经审核确认后7天内支付设计费总额的15%；竣工备案结算，在确认完成各项设计任务及施工配合工作后，且设计人无任何违约的前提下，在结算完毕后15天内一次性结清设计费余款。</w:t>
            </w:r>
          </w:p>
        </w:tc>
        <w:tc>
          <w:tcPr>
            <w:tcW w:w="152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654,150.00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工程设计类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2020/12/2</w:t>
            </w:r>
            <w:r>
              <w:rPr>
                <w:rFonts w:hint="eastAsia" w:ascii="Arial" w:hAnsi="Arial" w:cs="Arial"/>
                <w:color w:val="000000"/>
                <w:sz w:val="18"/>
                <w:szCs w:val="18"/>
                <w:lang w:bidi="ar"/>
              </w:rPr>
              <w:t>、</w:t>
            </w: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523,320.00 </w:t>
            </w:r>
          </w:p>
        </w:tc>
        <w:tc>
          <w:tcPr>
            <w:tcW w:w="1495"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130,830.00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3</w:t>
            </w:r>
          </w:p>
        </w:tc>
        <w:tc>
          <w:tcPr>
            <w:tcW w:w="110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2021/1/15</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杭州角动量科技有限公司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关于LED屏及广告机合同</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完成甲方委托的LED显示屏和广告服务等全部事宜</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制作、安装材料全部进场且经初步清点、查验合格后预支付合同总价款的60%，即308,253元；全部完成合同约定LED显示屏和广告机设备设施并经验收合格后15个工作日内支付合同总价款的35% ，即179,814.25元。合同总价款的5%，即25,687.75元作为质保金。质保期届满后，提供申请付款的相关资料，支付剩余合同总价款。</w:t>
            </w:r>
          </w:p>
        </w:tc>
        <w:tc>
          <w:tcPr>
            <w:tcW w:w="152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513,755.00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2021/3/8、2021/9/22</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488,067.25 </w:t>
            </w:r>
          </w:p>
        </w:tc>
        <w:tc>
          <w:tcPr>
            <w:tcW w:w="1495"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25,687.75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4</w:t>
            </w:r>
          </w:p>
        </w:tc>
        <w:tc>
          <w:tcPr>
            <w:tcW w:w="110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2021/3/12</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杭州捷群广告有限公司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螺洲TOD项目2021年度广告服务合同</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广告营销策划（不包括微信服务），合同执行时间：2021年1月1日-2021年12月31日。</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甲方提取每月服务费的10%作为月度绩效服务费；</w:t>
            </w:r>
          </w:p>
        </w:tc>
        <w:tc>
          <w:tcPr>
            <w:tcW w:w="152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1,320,000.00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2021/3/8、</w:t>
            </w:r>
            <w:r>
              <w:rPr>
                <w:rFonts w:ascii="Arial" w:hAnsi="Arial" w:cs="Arial"/>
                <w:color w:val="000000"/>
                <w:sz w:val="18"/>
                <w:szCs w:val="18"/>
                <w:lang w:bidi="ar"/>
              </w:rPr>
              <w:br w:type="textWrapping"/>
            </w:r>
            <w:r>
              <w:rPr>
                <w:rFonts w:ascii="Arial" w:hAnsi="Arial" w:cs="Arial"/>
                <w:color w:val="000000"/>
                <w:sz w:val="18"/>
                <w:szCs w:val="18"/>
                <w:lang w:bidi="ar"/>
              </w:rPr>
              <w:t>2021/6/15、</w:t>
            </w:r>
            <w:r>
              <w:rPr>
                <w:rFonts w:ascii="Arial" w:hAnsi="Arial" w:cs="Arial"/>
                <w:color w:val="000000"/>
                <w:sz w:val="18"/>
                <w:szCs w:val="18"/>
                <w:lang w:bidi="ar"/>
              </w:rPr>
              <w:br w:type="textWrapping"/>
            </w:r>
            <w:r>
              <w:rPr>
                <w:rFonts w:ascii="Arial" w:hAnsi="Arial" w:cs="Arial"/>
                <w:color w:val="000000"/>
                <w:sz w:val="18"/>
                <w:szCs w:val="18"/>
                <w:lang w:bidi="ar"/>
              </w:rPr>
              <w:t>2021/6/21、</w:t>
            </w:r>
            <w:r>
              <w:rPr>
                <w:rFonts w:ascii="Arial" w:hAnsi="Arial" w:cs="Arial"/>
                <w:color w:val="000000"/>
                <w:sz w:val="18"/>
                <w:szCs w:val="18"/>
                <w:lang w:bidi="ar"/>
              </w:rPr>
              <w:br w:type="textWrapping"/>
            </w:r>
            <w:r>
              <w:rPr>
                <w:rFonts w:ascii="Arial" w:hAnsi="Arial" w:cs="Arial"/>
                <w:color w:val="000000"/>
                <w:sz w:val="18"/>
                <w:szCs w:val="18"/>
                <w:lang w:bidi="ar"/>
              </w:rPr>
              <w:t>2021/8/24、2021/9/22</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660,000.00 </w:t>
            </w:r>
          </w:p>
        </w:tc>
        <w:tc>
          <w:tcPr>
            <w:tcW w:w="1495"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660,000.00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5</w:t>
            </w:r>
          </w:p>
        </w:tc>
        <w:tc>
          <w:tcPr>
            <w:tcW w:w="110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2021/4/8</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上海正弘建设工程顾问有限公司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福建公司云洲郡项目造价咨询工程合同</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承包范围：造价咨询工作范围、内容及要求：详见《清单及工作内容》。造价咨询服务咨询起始日期为：2020年6月1日，以甲方书面通知书为准；造价咨询驻场服务咨询</w:t>
            </w:r>
            <w:r>
              <w:rPr>
                <w:rFonts w:ascii="Arial" w:hAnsi="Arial" w:cs="Arial"/>
                <w:color w:val="000000"/>
                <w:sz w:val="18"/>
                <w:szCs w:val="18"/>
                <w:lang w:bidi="ar"/>
              </w:rPr>
              <w:br w:type="textWrapping"/>
            </w:r>
            <w:r>
              <w:rPr>
                <w:rFonts w:ascii="Arial" w:hAnsi="Arial" w:cs="Arial"/>
                <w:color w:val="000000"/>
                <w:sz w:val="18"/>
                <w:szCs w:val="18"/>
                <w:lang w:bidi="ar"/>
              </w:rPr>
              <w:t>服务起始日期为：2020年9月1日，以甲方书面通知书为准。咨询服务费包含基本费及奖励费。合同面积约为404,625平方米。</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本合同工期为1580个日历天（2020年9月1日至2025年1月）。按合同约定，将基本费拆为两部分支付， 定义为“A”和“B”。“A”为基本费用的70%，于项目服务周期内按季度平均发放80%。（如基本费100万，服务周期12个月，则每季度支付100×70%÷（12/3）×80%=14万元）；“B”为基本费用的30%，按以下节点支付：完成示范区总包、门窗、幕墙、精装修、景观清单编制,支付比例5%；完成总包（土建+机电）施工图重计量，付合同价完成20%；幕墙、门窗清单编制/完成幕墙、门窗清单施工图重计量，付合同价10%；完成精装修清单编制/完成精装修施工图重计量，付合同价10%；完成景观清单编制/完成景观施工图重计量，付合同价10%；完成示范区总包、门窗、幕墙、精装修、景观结算，付合同价10%；完成精装修结算，付合同价10%；完成景观结算，付合同价10%；完成总包（土建+机电）结算，付合同价15%。</w:t>
            </w:r>
          </w:p>
        </w:tc>
        <w:tc>
          <w:tcPr>
            <w:tcW w:w="152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4,653,186.79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前期类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2021/5/10、2021/9/22</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671,132.71 </w:t>
            </w:r>
          </w:p>
        </w:tc>
        <w:tc>
          <w:tcPr>
            <w:tcW w:w="1495"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3,982,054.08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6</w:t>
            </w:r>
          </w:p>
        </w:tc>
        <w:tc>
          <w:tcPr>
            <w:tcW w:w="110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2021/5/20</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福州富银信息技术有限公司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B+C地块扬尘监测工程合同</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云洲郡项目安装扬尘在线监测系统，进入福州市建设局“福州市城市扬尘监控平台”，型号规格FY210，35,000元/*1=35,000元，交货时间：2021年5月25日。</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乙方安装完成后，设备成功进入福州市建设局“福州市城市扬尘监控平台”，并符合福州市建设局要求后1个月内，支付全额设备款。</w:t>
            </w:r>
          </w:p>
        </w:tc>
        <w:tc>
          <w:tcPr>
            <w:tcW w:w="152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35,000.00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工程施工类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35,000.00 </w:t>
            </w:r>
          </w:p>
        </w:tc>
        <w:tc>
          <w:tcPr>
            <w:tcW w:w="1495"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7</w:t>
            </w:r>
          </w:p>
        </w:tc>
        <w:tc>
          <w:tcPr>
            <w:tcW w:w="110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2021/5/26</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福建九宫格纸制品有限公司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印刷品合同</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印刷品制作，详见合同1.1印刷品要求。服务期限为31个日历天（包含法定节假日及休息日），暂定自2021年1月1日至 2021年1月31日。</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验收合格后一次性付款。</w:t>
            </w:r>
          </w:p>
        </w:tc>
        <w:tc>
          <w:tcPr>
            <w:tcW w:w="152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22,050.00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22,050.00 </w:t>
            </w:r>
          </w:p>
        </w:tc>
        <w:tc>
          <w:tcPr>
            <w:tcW w:w="1495"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8</w:t>
            </w:r>
          </w:p>
        </w:tc>
        <w:tc>
          <w:tcPr>
            <w:tcW w:w="110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2021/6/2</w:t>
            </w:r>
          </w:p>
        </w:tc>
        <w:tc>
          <w:tcPr>
            <w:tcW w:w="972"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厦门搜居网络科技有限公司</w:t>
            </w:r>
          </w:p>
        </w:tc>
        <w:tc>
          <w:tcPr>
            <w:tcW w:w="1068"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说房视频制作服务合同</w:t>
            </w:r>
          </w:p>
        </w:tc>
        <w:tc>
          <w:tcPr>
            <w:tcW w:w="1644"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孔雀探盘视频，制作“王二说房”视频，交付时间暂定2021年5月10日；“素材类剪辑”交付时间暂定2021年5月31日。</w:t>
            </w:r>
          </w:p>
        </w:tc>
        <w:tc>
          <w:tcPr>
            <w:tcW w:w="2765" w:type="dxa"/>
            <w:shd w:val="clear" w:color="auto" w:fill="auto"/>
            <w:vAlign w:val="center"/>
          </w:tcPr>
          <w:p>
            <w:pPr>
              <w:textAlignment w:val="center"/>
              <w:rPr>
                <w:rFonts w:ascii="Arial" w:hAnsi="Arial" w:cs="Arial"/>
                <w:sz w:val="18"/>
                <w:szCs w:val="18"/>
              </w:rPr>
            </w:pPr>
            <w:r>
              <w:rPr>
                <w:rFonts w:ascii="Arial" w:hAnsi="Arial" w:cs="Arial"/>
                <w:color w:val="000000"/>
                <w:sz w:val="18"/>
                <w:szCs w:val="18"/>
                <w:lang w:bidi="ar"/>
              </w:rPr>
              <w:t>验收合格后一次性支付。</w:t>
            </w:r>
          </w:p>
        </w:tc>
        <w:tc>
          <w:tcPr>
            <w:tcW w:w="152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20,000.00 </w:t>
            </w:r>
          </w:p>
        </w:tc>
        <w:tc>
          <w:tcPr>
            <w:tcW w:w="1080"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20,000.00 </w:t>
            </w:r>
          </w:p>
        </w:tc>
        <w:tc>
          <w:tcPr>
            <w:tcW w:w="1495" w:type="dxa"/>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ascii="Arial" w:hAnsi="Arial" w:cs="Arial"/>
                <w:sz w:val="18"/>
                <w:szCs w:val="18"/>
              </w:rPr>
              <w:t>9</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苏州金螳螂建筑装饰股份有限公司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样板房及大区-装饰装修工程设计合同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大区装饰装修设计合同，委托乙方承担福州市云洲郡样板房及大区装饰装修工程设计任务，设计服务范围和内容详见合同3.设计服务范围和内容 （详见附件2设计任务书）。设计时间节点要求：于2021年6月10日前完成福州市云洲郡样板房及大区室内设计及施工图工作并提交完整设计资料。</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预付款20%；概念方案设计20%；方案扩初设计20%；施工图设计、软装设计30%；施工现场服务、工程完成10%。</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1,285,000.00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工程设计类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2021/9/24</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1,156,500.00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128,500.00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10</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福州壹家文化传播有限公司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活动委托服务合同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活动举办时间：2021年1月1日，活动举办地点：仓山万达展点、白湖亭展点。</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155,400.00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154,000.00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1,400.00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11</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北京微客联盟信息科技有限公司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网络视频、图文广告发布合同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广告发布期限为：2021年3月23日至2021年4月30日。</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12</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融创物业服务集团有限公司福州分公司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福州云洲郡案场物业服务合同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委托负责对案场进行物业服务工作，包括：（1）环境管理（常规保洁）；（2）秩序维护（车辆和人员引导、形象展示、夜勤等）；（3）客户接待（礼宾、水吧、样板间接待等）；（4）增值服务（垃圾清运、镜面养护、协助案场活动布置及活动后现场恢复）。物业服务（编制32人，其中案场经理1人，客服12人、秩序9人，保洁10人）；拟委托服务期限为自2021年1月1日起至2021年12月31日止，最终以实际提供服务的期限为准。</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按编制签订框架协议后，每月根据考勤实际结算，1.考勤验收：策划线针</w:t>
            </w:r>
            <w:r>
              <w:rPr>
                <w:rFonts w:ascii="Arial" w:hAnsi="Arial" w:cs="Arial"/>
                <w:color w:val="000000"/>
                <w:sz w:val="18"/>
                <w:szCs w:val="18"/>
                <w:lang w:bidi="ar"/>
              </w:rPr>
              <w:br w:type="textWrapping"/>
            </w:r>
            <w:r>
              <w:rPr>
                <w:rFonts w:ascii="Arial" w:hAnsi="Arial" w:cs="Arial"/>
                <w:color w:val="000000"/>
                <w:sz w:val="18"/>
                <w:szCs w:val="18"/>
                <w:lang w:bidi="ar"/>
              </w:rPr>
              <w:t>对物业提交考勤，进行复核首开融创主策签字确认。2.验收方式：物业根据复核签字版考勤绘制《验收单》案场负责人签字后，签订对应金额子合同。3.结算方式：以实际考勤及签订合同金额为准。</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3,406,898.85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2021/7/26、2021/9/22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1,315,530.55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2,091,368.30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13</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2021/7/7</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厦门大爱德文化传播有限公司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榕耀之城项目活动委托服务合同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活动举办时间2021年1月，活动举办地点：万达及汇达展点。</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27,591.80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27,591.80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14</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2021/7/7</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福州环球智创文化发展有限公司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示范区开放活动委托服务合同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活动举办地点榕耀之城示范区；活动举办时间2021年3月27日。</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194,000.00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194,000.00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15</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莆田礼匠贸易有限公司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拓客物料采购合同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采购拓客物料：帆布袋800个*7.7元/个=6,160元；纸巾盒500*11.8元/个=5,900元；湿纸巾10,000*0.36元/张=3,600元。</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15,660.00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12,060.00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3,600.00 </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16</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2021/7/29</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福州环旅会展服务有限公司</w:t>
            </w:r>
          </w:p>
        </w:tc>
        <w:tc>
          <w:tcPr>
            <w:tcW w:w="1068"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车辆租赁合同（干租）</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租赁商务看房车1部，车辆费用10,000.00元，油费2,000.00元。</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租赁期满且收到与租赁服务费等额有效的增值税专用发票后一次性支付全部租赁服务费。</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12,000.00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2021/9/24</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12,000.00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17</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2021/8/25</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福建省凡士建设集团有限公司</w:t>
            </w:r>
          </w:p>
        </w:tc>
        <w:tc>
          <w:tcPr>
            <w:tcW w:w="1068"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B+C地块总承包工程（含机电）合同</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协议工程概况：建筑面积约203,113.00㎡，其中高层住宅面积约120,196.00㎡，商业约4,365.00㎡，地库约60,100.00㎡，幼儿园5,100.00㎡,其他配套约13,352.00㎡。结构形式：框剪结构。</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按月度付款（安全文明施工费与实体工程款等比例支付）：承包人在每月完成相应节点工程且达到合同约定的质量标准后，提交中期付款申请书交发包人审批。主体楼栋按以下里程碑进行进度款的支付（过程款支付前开具与当期已完工并完成对应核算产值或结算产值等额的、合法有效的增值税专用发票，并加盖发票专用章，税率为9%。相关节点付款明细如下：①地下室底板完成付款一次，顶板完成付款一次，按确认产值的80%支付；②上部按月进度对应产值的80％；③竣工验收合格，取得竣工验收备案证，填写《工程质量保证书》并向发包人交钥匙和完成物业移交手续以后支付至已完合同金额的85%；④结算完成后支付至结算总价的95%，但开具100%足额增值税专用发票，结算额的5%作为保修金；未按100%支付的产值及预留的保修款均不计息；⑤措施费（除去总包配合费及分包人施工用水、用电）与实体工程款等比例支付；⑥总包配合费及分包人施工用水、用电分两次支付，主体结顶后支付30%，竣备后支付70%；⑦保修金按照《工程质量保修协议》要求支付；⑧总包闭口前按模拟清单对应金额进行支付，闭口后第一次付款按补充协议金额统一调整。</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340,515,610.19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工程施工类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2,546,045.94 </w:t>
            </w:r>
          </w:p>
        </w:tc>
        <w:tc>
          <w:tcPr>
            <w:tcW w:w="1495"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337,969,564.</w:t>
            </w:r>
            <w:r>
              <w:rPr>
                <w:rFonts w:hint="eastAsia" w:ascii="Arial" w:hAnsi="Arial" w:cs="Arial"/>
                <w:color w:val="000000"/>
                <w:sz w:val="18"/>
                <w:szCs w:val="18"/>
                <w:lang w:bidi="ar"/>
              </w:rPr>
              <w:t>2</w:t>
            </w:r>
            <w:r>
              <w:rPr>
                <w:rFonts w:ascii="Arial" w:hAnsi="Arial" w:cs="Arial"/>
                <w:color w:val="000000"/>
                <w:sz w:val="18"/>
                <w:szCs w:val="18"/>
                <w:lang w:bidi="ar"/>
              </w:rPr>
              <w:t>5</w:t>
            </w:r>
          </w:p>
        </w:tc>
        <w:tc>
          <w:tcPr>
            <w:tcW w:w="338" w:type="dxa"/>
            <w:shd w:val="clear" w:color="auto" w:fill="auto"/>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shd w:val="clear" w:color="auto" w:fill="auto"/>
            <w:vAlign w:val="center"/>
          </w:tcPr>
          <w:p>
            <w:pPr>
              <w:jc w:val="center"/>
              <w:rPr>
                <w:rFonts w:ascii="Arial" w:hAnsi="Arial" w:cs="Arial"/>
                <w:sz w:val="18"/>
                <w:szCs w:val="18"/>
              </w:rPr>
            </w:pPr>
            <w:r>
              <w:rPr>
                <w:rFonts w:hint="eastAsia" w:ascii="Arial" w:hAnsi="Arial" w:cs="Arial"/>
                <w:sz w:val="18"/>
                <w:szCs w:val="18"/>
              </w:rPr>
              <w:t>18</w:t>
            </w:r>
          </w:p>
        </w:tc>
        <w:tc>
          <w:tcPr>
            <w:tcW w:w="110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2021/9/23</w:t>
            </w:r>
          </w:p>
        </w:tc>
        <w:tc>
          <w:tcPr>
            <w:tcW w:w="972"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福州右岸传媒有限公司</w:t>
            </w:r>
          </w:p>
        </w:tc>
        <w:tc>
          <w:tcPr>
            <w:tcW w:w="1068"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户外大牌服务合同补充协议</w:t>
            </w:r>
          </w:p>
        </w:tc>
        <w:tc>
          <w:tcPr>
            <w:tcW w:w="1644"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主合同服务期限为2021年3月21日-4月20日终止服务，现续约周期为2021年4月22日-2021年5月21日终止。</w:t>
            </w:r>
          </w:p>
        </w:tc>
        <w:tc>
          <w:tcPr>
            <w:tcW w:w="2765" w:type="dxa"/>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52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78,000.00 </w:t>
            </w:r>
          </w:p>
        </w:tc>
        <w:tc>
          <w:tcPr>
            <w:tcW w:w="1080"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89" w:type="dxa"/>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2021/9/22</w:t>
            </w:r>
          </w:p>
        </w:tc>
        <w:tc>
          <w:tcPr>
            <w:tcW w:w="1287"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78,000.00 </w:t>
            </w:r>
          </w:p>
        </w:tc>
        <w:tc>
          <w:tcPr>
            <w:tcW w:w="1495" w:type="dxa"/>
            <w:shd w:val="clear" w:color="auto" w:fill="auto"/>
            <w:vAlign w:val="center"/>
          </w:tcPr>
          <w:p>
            <w:pPr>
              <w:jc w:val="right"/>
              <w:rPr>
                <w:rFonts w:ascii="Arial" w:hAnsi="Arial" w:cs="Arial"/>
                <w:color w:val="000000"/>
                <w:sz w:val="18"/>
                <w:szCs w:val="18"/>
                <w:lang w:bidi="ar"/>
              </w:rPr>
            </w:pPr>
            <w:r>
              <w:rPr>
                <w:rFonts w:hint="eastAsia" w:ascii="Arial" w:hAnsi="Arial" w:cs="Arial"/>
                <w:color w:val="000000"/>
                <w:sz w:val="18"/>
                <w:szCs w:val="18"/>
                <w:lang w:bidi="ar"/>
              </w:rPr>
              <w:t>0.00</w:t>
            </w:r>
          </w:p>
        </w:tc>
        <w:tc>
          <w:tcPr>
            <w:tcW w:w="338" w:type="dxa"/>
            <w:shd w:val="clear" w:color="auto" w:fill="auto"/>
            <w:vAlign w:val="center"/>
          </w:tcPr>
          <w:p>
            <w:pPr>
              <w:jc w:val="center"/>
              <w:textAlignment w:val="center"/>
              <w:rPr>
                <w:rFonts w:ascii="Arial" w:hAnsi="Arial" w:cs="Arial"/>
                <w:sz w:val="18"/>
                <w:szCs w:val="18"/>
              </w:rPr>
            </w:pPr>
          </w:p>
        </w:tc>
      </w:tr>
    </w:tbl>
    <w:p>
      <w:pPr>
        <w:ind w:firstLine="420" w:firstLineChars="200"/>
        <w:rPr>
          <w:rFonts w:ascii="Arial" w:hAnsi="Arial" w:cs="Arial"/>
          <w:bCs/>
          <w:sz w:val="21"/>
          <w:szCs w:val="21"/>
        </w:rPr>
        <w:sectPr>
          <w:pgSz w:w="16838" w:h="11906" w:orient="landscape"/>
          <w:pgMar w:top="1134" w:right="1134" w:bottom="1134" w:left="1134" w:header="851" w:footer="992" w:gutter="0"/>
          <w:cols w:space="425" w:num="1"/>
          <w:docGrid w:type="linesAndChars" w:linePitch="326" w:charSpace="0"/>
        </w:sectPr>
      </w:pPr>
    </w:p>
    <w:p>
      <w:pPr>
        <w:spacing w:line="360" w:lineRule="auto"/>
        <w:rPr>
          <w:rFonts w:ascii="Arial" w:hAnsi="Arial" w:cs="Arial"/>
          <w:b/>
          <w:sz w:val="21"/>
          <w:szCs w:val="21"/>
        </w:rPr>
      </w:pPr>
      <w:r>
        <w:rPr>
          <w:rFonts w:ascii="Arial" w:hAnsi="Arial" w:cs="Arial"/>
          <w:b/>
          <w:sz w:val="21"/>
          <w:szCs w:val="21"/>
        </w:rPr>
        <w:t>附件四：项目销售回款统计表（项目尚未开始销售）</w:t>
      </w:r>
    </w:p>
    <w:p>
      <w:pPr>
        <w:ind w:firstLine="420" w:firstLineChars="200"/>
        <w:rPr>
          <w:rFonts w:ascii="Arial" w:hAnsi="Arial" w:cs="Arial"/>
          <w:bCs/>
          <w:sz w:val="21"/>
          <w:szCs w:val="21"/>
        </w:rPr>
      </w:pPr>
    </w:p>
    <w:p>
      <w:pPr>
        <w:rPr>
          <w:rFonts w:ascii="Arial" w:hAnsi="Arial" w:cs="Arial"/>
          <w:bCs/>
          <w:sz w:val="21"/>
          <w:szCs w:val="21"/>
        </w:rPr>
      </w:pPr>
      <w:r>
        <w:rPr>
          <w:rFonts w:ascii="Arial" w:hAnsi="Arial" w:cs="Arial"/>
          <w:b/>
          <w:sz w:val="21"/>
          <w:szCs w:val="21"/>
        </w:rPr>
        <w:t>附件五：其他融资情况明细表（无）</w:t>
      </w:r>
    </w:p>
    <w:p>
      <w:pPr>
        <w:ind w:firstLine="420" w:firstLineChars="200"/>
        <w:rPr>
          <w:rFonts w:ascii="Arial" w:hAnsi="Arial" w:cs="Arial"/>
          <w:bCs/>
          <w:sz w:val="21"/>
          <w:szCs w:val="21"/>
        </w:rPr>
      </w:pPr>
    </w:p>
    <w:p>
      <w:pPr>
        <w:spacing w:line="360" w:lineRule="auto"/>
        <w:rPr>
          <w:rFonts w:ascii="Arial" w:hAnsi="Arial" w:cs="Arial"/>
          <w:b/>
          <w:sz w:val="21"/>
          <w:szCs w:val="21"/>
        </w:rPr>
      </w:pPr>
      <w:r>
        <w:rPr>
          <w:rFonts w:ascii="Arial" w:hAnsi="Arial" w:cs="Arial"/>
          <w:b/>
          <w:sz w:val="21"/>
          <w:szCs w:val="21"/>
        </w:rPr>
        <w:t>附件六：本期项目用印台账</w:t>
      </w:r>
    </w:p>
    <w:tbl>
      <w:tblPr>
        <w:tblStyle w:val="18"/>
        <w:tblW w:w="9776" w:type="dxa"/>
        <w:jc w:val="center"/>
        <w:tblLayout w:type="fixed"/>
        <w:tblCellMar>
          <w:top w:w="0" w:type="dxa"/>
          <w:left w:w="0" w:type="dxa"/>
          <w:bottom w:w="0" w:type="dxa"/>
          <w:right w:w="0" w:type="dxa"/>
        </w:tblCellMar>
      </w:tblPr>
      <w:tblGrid>
        <w:gridCol w:w="430"/>
        <w:gridCol w:w="930"/>
        <w:gridCol w:w="657"/>
        <w:gridCol w:w="1709"/>
        <w:gridCol w:w="2106"/>
        <w:gridCol w:w="894"/>
        <w:gridCol w:w="851"/>
        <w:gridCol w:w="1266"/>
        <w:gridCol w:w="933"/>
      </w:tblGrid>
      <w:tr>
        <w:tblPrEx>
          <w:tblCellMar>
            <w:top w:w="0" w:type="dxa"/>
            <w:left w:w="0" w:type="dxa"/>
            <w:bottom w:w="0" w:type="dxa"/>
            <w:right w:w="0" w:type="dxa"/>
          </w:tblCellMar>
        </w:tblPrEx>
        <w:trPr>
          <w:cantSplit/>
          <w:trHeight w:val="289" w:hRule="atLeast"/>
          <w:tblHeader/>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监印人</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审批方式</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2021/9/3</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福州轨道交通保护区范围建设项目安全交底记录表用印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福州轨道交通保护区范围建设项目安全交底记录表（5份）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吴慧清</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2021/9/3</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首融诉自规局仲裁方案用印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营业执照复印件、法人代表人身份证明、授权委托书、法人/经办人身份证复印件、工作证明、仲裁申请书、逾期交付土地违约金计算表、证据清单、股东会决议、（3份）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法律管控部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王丽君</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流程实例IDybsxjclc.90985102</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2021/9/7</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B5区、B6区项目技术管理人员信息登记表</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项目技术管理人员信息登记表（C区、B区B6盖板B1#B2#楼、B区B5盖板B3#B5#楼）（12份）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2021/9/7</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企业产权登记表（国资委检查要求补充初期的材料）用印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企业产权登记表（2份）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唐健</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2021/9/7</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网上企业银行支付管控服务协议用印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网上企业银行支付管控服务协议（3份）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吴慧清</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2021/9/7</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总包凡士《付款申请单》8月（根据福州市仓山区统计局企业投资数据填报要求编制）用印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总包凡士《付款申请单》8月（2份）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吴慧清</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2021/9/8</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推进项目土地办理不动产权登记之仲裁方案及代理律所选聘工作的报告用印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关于推进项目土地办理不动产权登记之仲裁方案及代理律所选聘工作的报告、仲裁方案及律师所报价分析报告、仲裁申请书及证据清单、仲裁申请书、逾期交付土地违约金计算表（各5份）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法律管控部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王丽君</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2021/9/9</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2021年榕耀之城第3季度分销合作主合同-上海更赢用印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2021年榕耀之城第3季度分销合作主合同（6份）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李桐</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2021/9/9</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2021年榕耀之城第3季度分销合作主合同-上海更赢用印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2021年榕耀之城第3季度分销合作主合同（6份）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李桐</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2021/9/10</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福建天衡联合（福州）律师事务所委托代理合同及仲裁员（严孙伟）选定书用印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委托代理合同、仲裁员选定书、授权委托书、营业执照复印件、法人身份证复印件、证明书（各5份）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法律管控部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王丽君</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2021/9/14</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关于申请“福州首融房地产开发有限公司”开发企业资质延期证明的报告用印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关于申请“福州首融房地产开发有限公司”开发企业资质延期证明的报告、授权委托书、暂定资质证书复印件（各2份）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黄榕宁</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2021/9/15</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土地款违约金仲裁方案及选聘代理律所的股东会决议（新增附件三-裁决结果判定图）用印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土地款违约金仲裁方案及选聘代理律所的股东会决议（新增附件三-裁决结果判定图）（5份）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王丽君</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流程实例ID_ybsxjclc.92819338</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2021/9/17</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云洲郡项目学区提升的申请（双方股东）用印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关于云洲郡项目学区提升的申请（2份）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徐达林</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流程实例ID ybsxjclc.928968189</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2021/9/22</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云洲郡C区项目深基坑申请办理夜间施工浇筑混凝土事宜用印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关于云洲郡C区项目申请办理夜(午)间建筑施工作业许可的报告（3份）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2021/9/22</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云洲郡桩基检测技术方案盖章事宜用印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云洲郡桩基检测技术方案-质监站（4份）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2021/9/23</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2021年5月安居客广告投放广告发布合同-瑞庭用印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2021年5月安居客广告投放广告发布合同（5份）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2021/9/23</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户外大牌服务合同补充协议-右岸用印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户外大牌服务合同补充协议（4份）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2021/9/23</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香薰租赁框架协议补充协议-迦密用印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香薰租赁框架协议补充协议（4份）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2021/9/23</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展厅服务合同补充协议-良晓用印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展厅服务合同补充协议（4份）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2021/9/24</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B1B2#楼、C6C7#楼《商品房预售资金监管协议》用印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B1B2#楼、C6C7#楼《商品房预售资金监管协议》（各5份）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徐达林</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2021/9/26</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向质监站和安监站申请取消盖板B5区和B6区第三季度双随机检查说明用印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申请取消盖板B5区和B6区第三季度双随机检查说明-质监站、安监站（3份）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2021/9/27</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BC区地下室后续施工夜间施工申请许可的事宜用印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BC区地下室大方量混凝土施工计划表、C区项目申请办理夜间建筑施工作业许可的报告、BC区噪声治理方案（各2份）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2021/9/27</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人防质监理监督检查申报单盖章事宜用印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人防质监理监督检查申报单（2份）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2021/9/29</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C5#&amp;C6#人防监督检查申报单用印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C5#、C6#人防监督检查申报单（各3份）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2021/9/29</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申请盖板B6区和B5区取消第四季度双随机检查的说明用印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关于申请取消第四季度双随机检查的报告（盖板B6区、B5区）（3份）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tblPrEx>
          <w:tblCellMar>
            <w:top w:w="0" w:type="dxa"/>
            <w:left w:w="0" w:type="dxa"/>
            <w:bottom w:w="0" w:type="dxa"/>
            <w:right w:w="0" w:type="dxa"/>
          </w:tblCellMar>
        </w:tblPrEx>
        <w:trPr>
          <w:cantSplit/>
          <w:trHeight w:val="744" w:hRule="atLeast"/>
          <w:jc w:val="center"/>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2021/9/30</w:t>
            </w:r>
          </w:p>
        </w:tc>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回复质监局要求B6区盖上工作面移交合格认定专项会议的会议纪要用印</w:t>
            </w:r>
          </w:p>
        </w:tc>
        <w:tc>
          <w:tcPr>
            <w:tcW w:w="2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B6区盖上移交专项会议（2份）</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黄操仕</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连世梅、郑敬明</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bl>
    <w:p>
      <w:pPr>
        <w:rPr>
          <w:rFonts w:ascii="Arial" w:hAnsi="Arial" w:cs="Arial"/>
          <w:bCs/>
          <w:sz w:val="21"/>
          <w:szCs w:val="21"/>
        </w:rPr>
      </w:pPr>
    </w:p>
    <w:p>
      <w:pPr>
        <w:rPr>
          <w:rFonts w:ascii="Arial" w:hAnsi="Arial" w:cs="Arial"/>
          <w:bCs/>
          <w:sz w:val="21"/>
          <w:szCs w:val="21"/>
        </w:rPr>
      </w:pPr>
      <w:r>
        <w:rPr>
          <w:rFonts w:ascii="Arial" w:hAnsi="Arial" w:cs="Arial"/>
          <w:bCs/>
          <w:sz w:val="21"/>
          <w:szCs w:val="21"/>
        </w:rPr>
        <w:br w:type="page"/>
      </w:r>
    </w:p>
    <w:p>
      <w:pPr>
        <w:rPr>
          <w:rFonts w:ascii="Arial" w:hAnsi="Arial" w:cs="Arial"/>
          <w:b/>
        </w:rPr>
      </w:pPr>
      <w:r>
        <w:rPr>
          <w:rFonts w:ascii="Arial" w:hAnsi="Arial" w:cs="Arial"/>
          <w:b/>
        </w:rPr>
        <w:t>附件七：项目公司下月资金计划</w:t>
      </w:r>
    </w:p>
    <w:p>
      <w:pPr>
        <w:ind w:firstLine="420" w:firstLineChars="200"/>
        <w:rPr>
          <w:rFonts w:ascii="Arial" w:hAnsi="Arial" w:cs="Arial"/>
          <w:bCs/>
          <w:sz w:val="21"/>
          <w:szCs w:val="21"/>
        </w:rPr>
      </w:pPr>
    </w:p>
    <w:p>
      <w:pPr>
        <w:spacing w:line="360" w:lineRule="auto"/>
        <w:ind w:firstLine="422" w:firstLineChars="200"/>
        <w:jc w:val="center"/>
        <w:rPr>
          <w:rFonts w:ascii="Arial" w:hAnsi="Arial" w:cs="Arial"/>
          <w:b/>
          <w:sz w:val="21"/>
          <w:szCs w:val="21"/>
        </w:rPr>
      </w:pPr>
      <w:r>
        <w:rPr>
          <w:rFonts w:ascii="Arial" w:hAnsi="Arial" w:cs="Arial"/>
          <w:b/>
          <w:sz w:val="21"/>
          <w:szCs w:val="21"/>
        </w:rPr>
        <w:t>2021年</w:t>
      </w:r>
      <w:r>
        <w:rPr>
          <w:rFonts w:hint="eastAsia" w:ascii="Arial" w:hAnsi="Arial" w:cs="Arial"/>
          <w:b/>
          <w:sz w:val="21"/>
          <w:szCs w:val="21"/>
        </w:rPr>
        <w:t>10</w:t>
      </w:r>
      <w:r>
        <w:rPr>
          <w:rFonts w:ascii="Arial" w:hAnsi="Arial" w:cs="Arial"/>
          <w:b/>
          <w:sz w:val="21"/>
          <w:szCs w:val="21"/>
        </w:rPr>
        <w:t>月资金计划</w:t>
      </w:r>
    </w:p>
    <w:tbl>
      <w:tblPr>
        <w:tblStyle w:val="18"/>
        <w:tblW w:w="6278" w:type="dxa"/>
        <w:jc w:val="center"/>
        <w:tblLayout w:type="fixed"/>
        <w:tblCellMar>
          <w:top w:w="0" w:type="dxa"/>
          <w:left w:w="0" w:type="dxa"/>
          <w:bottom w:w="0" w:type="dxa"/>
          <w:right w:w="0" w:type="dxa"/>
        </w:tblCellMar>
      </w:tblPr>
      <w:tblGrid>
        <w:gridCol w:w="3443"/>
        <w:gridCol w:w="2835"/>
      </w:tblGrid>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textAlignment w:val="top"/>
              <w:rPr>
                <w:rFonts w:ascii="Arial" w:hAnsi="Arial" w:cs="Arial"/>
                <w:b/>
                <w:color w:val="000000"/>
                <w:sz w:val="21"/>
                <w:szCs w:val="21"/>
              </w:rPr>
            </w:pPr>
            <w:r>
              <w:rPr>
                <w:rFonts w:ascii="Arial" w:hAnsi="Arial" w:cs="Arial"/>
                <w:b/>
                <w:color w:val="000000"/>
                <w:sz w:val="21"/>
                <w:szCs w:val="21"/>
                <w:lang w:bidi="ar"/>
              </w:rPr>
              <w:t>项目</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textAlignment w:val="top"/>
              <w:rPr>
                <w:rFonts w:ascii="Arial" w:hAnsi="Arial" w:cs="Arial"/>
                <w:b/>
                <w:color w:val="000000"/>
                <w:sz w:val="21"/>
                <w:szCs w:val="21"/>
              </w:rPr>
            </w:pPr>
            <w:r>
              <w:rPr>
                <w:rFonts w:hint="eastAsia" w:ascii="Arial" w:hAnsi="Arial" w:cs="Arial"/>
                <w:b/>
                <w:color w:val="000000"/>
                <w:sz w:val="21"/>
                <w:szCs w:val="21"/>
                <w:lang w:bidi="ar"/>
              </w:rPr>
              <w:t>10</w:t>
            </w:r>
            <w:r>
              <w:rPr>
                <w:rFonts w:ascii="Arial" w:hAnsi="Arial" w:cs="Arial"/>
                <w:b/>
                <w:color w:val="000000"/>
                <w:sz w:val="21"/>
                <w:szCs w:val="21"/>
                <w:lang w:bidi="ar"/>
              </w:rPr>
              <w:t>月计划金额（万元）</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土地款支出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sz w:val="21"/>
                <w:szCs w:val="21"/>
              </w:rPr>
            </w:pPr>
            <w:r>
              <w:rPr>
                <w:rFonts w:ascii="Arial" w:hAnsi="Arial" w:cs="Arial"/>
                <w:sz w:val="21"/>
                <w:szCs w:val="21"/>
              </w:rPr>
              <w:t>-</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大配套支出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sz w:val="21"/>
                <w:szCs w:val="21"/>
              </w:rPr>
            </w:pPr>
            <w:r>
              <w:rPr>
                <w:rFonts w:ascii="Arial" w:hAnsi="Arial" w:cs="Arial"/>
                <w:sz w:val="21"/>
                <w:szCs w:val="21"/>
              </w:rPr>
              <w:t>-</w:t>
            </w:r>
          </w:p>
        </w:tc>
      </w:tr>
      <w:tr>
        <w:tblPrEx>
          <w:tblCellMar>
            <w:top w:w="0" w:type="dxa"/>
            <w:left w:w="0" w:type="dxa"/>
            <w:bottom w:w="0" w:type="dxa"/>
            <w:right w:w="0" w:type="dxa"/>
          </w:tblCellMar>
        </w:tblPrEx>
        <w:trPr>
          <w:trHeight w:val="375"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工程款支出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jc w:val="center"/>
              <w:rPr>
                <w:rFonts w:ascii="Arial" w:hAnsi="Arial" w:cs="Arial"/>
                <w:sz w:val="21"/>
                <w:szCs w:val="21"/>
              </w:rPr>
            </w:pPr>
            <w:r>
              <w:rPr>
                <w:rFonts w:hint="eastAsia" w:ascii="Arial" w:hAnsi="Arial" w:cs="Arial"/>
                <w:sz w:val="21"/>
                <w:szCs w:val="21"/>
              </w:rPr>
              <w:t>975.48</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销售费用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jc w:val="center"/>
              <w:rPr>
                <w:rFonts w:ascii="Arial" w:hAnsi="Arial" w:cs="Arial"/>
                <w:sz w:val="21"/>
                <w:szCs w:val="21"/>
              </w:rPr>
            </w:pPr>
            <w:r>
              <w:rPr>
                <w:rFonts w:hint="eastAsia" w:ascii="Arial" w:hAnsi="Arial" w:cs="Arial"/>
                <w:sz w:val="21"/>
                <w:szCs w:val="21"/>
              </w:rPr>
              <w:t>202.18</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管理费用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jc w:val="center"/>
              <w:rPr>
                <w:rFonts w:ascii="Arial" w:hAnsi="Arial" w:cs="Arial"/>
                <w:sz w:val="21"/>
                <w:szCs w:val="21"/>
              </w:rPr>
            </w:pPr>
            <w:r>
              <w:rPr>
                <w:rFonts w:hint="eastAsia" w:ascii="Arial" w:hAnsi="Arial" w:cs="Arial"/>
                <w:sz w:val="21"/>
                <w:szCs w:val="21"/>
              </w:rPr>
              <w:t>57.90</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财务费用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sz w:val="21"/>
                <w:szCs w:val="21"/>
              </w:rPr>
            </w:pPr>
            <w:r>
              <w:rPr>
                <w:rFonts w:ascii="Arial" w:hAnsi="Arial" w:cs="Arial"/>
                <w:sz w:val="21"/>
                <w:szCs w:val="21"/>
              </w:rPr>
              <w:t>-</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营业税金及附加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sz w:val="21"/>
                <w:szCs w:val="21"/>
              </w:rPr>
            </w:pPr>
            <w:r>
              <w:rPr>
                <w:rFonts w:ascii="Arial" w:hAnsi="Arial" w:cs="Arial"/>
                <w:sz w:val="21"/>
                <w:szCs w:val="21"/>
              </w:rPr>
              <w:t>-</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土地增值税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sz w:val="21"/>
                <w:szCs w:val="21"/>
              </w:rPr>
            </w:pPr>
            <w:r>
              <w:rPr>
                <w:rFonts w:ascii="Arial" w:hAnsi="Arial" w:cs="Arial"/>
                <w:sz w:val="21"/>
                <w:szCs w:val="21"/>
              </w:rPr>
              <w:t>-</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所得税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sz w:val="21"/>
                <w:szCs w:val="21"/>
              </w:rPr>
            </w:pPr>
            <w:r>
              <w:rPr>
                <w:rFonts w:ascii="Arial" w:hAnsi="Arial" w:cs="Arial"/>
                <w:sz w:val="21"/>
                <w:szCs w:val="21"/>
              </w:rPr>
              <w:t>-</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color w:val="000000"/>
                <w:sz w:val="21"/>
                <w:szCs w:val="21"/>
              </w:rPr>
            </w:pPr>
            <w:r>
              <w:rPr>
                <w:rFonts w:ascii="Arial" w:hAnsi="Arial" w:cs="Arial"/>
                <w:color w:val="000000"/>
                <w:sz w:val="21"/>
                <w:szCs w:val="21"/>
                <w:lang w:bidi="ar"/>
              </w:rPr>
              <w:t xml:space="preserve"> 其他净支出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sz w:val="21"/>
                <w:szCs w:val="21"/>
              </w:rPr>
            </w:pPr>
            <w:r>
              <w:rPr>
                <w:rFonts w:hint="eastAsia" w:ascii="Arial" w:hAnsi="Arial" w:cs="Arial"/>
                <w:sz w:val="21"/>
                <w:szCs w:val="21"/>
              </w:rPr>
              <w:t>50.00</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nil"/>
            </w:tcBorders>
            <w:noWrap/>
            <w:tcMar>
              <w:top w:w="12" w:type="dxa"/>
              <w:left w:w="12" w:type="dxa"/>
              <w:bottom w:w="0" w:type="dxa"/>
              <w:right w:w="12" w:type="dxa"/>
            </w:tcMar>
            <w:vAlign w:val="center"/>
          </w:tcPr>
          <w:p>
            <w:pPr>
              <w:jc w:val="center"/>
              <w:textAlignment w:val="center"/>
              <w:rPr>
                <w:rFonts w:ascii="Arial" w:hAnsi="Arial" w:cs="Arial"/>
                <w:b/>
                <w:color w:val="000000"/>
                <w:sz w:val="21"/>
                <w:szCs w:val="21"/>
              </w:rPr>
            </w:pPr>
            <w:r>
              <w:rPr>
                <w:rFonts w:ascii="Arial" w:hAnsi="Arial" w:cs="Arial"/>
                <w:color w:val="000000"/>
                <w:sz w:val="21"/>
                <w:szCs w:val="21"/>
                <w:lang w:bidi="ar"/>
              </w:rPr>
              <w:t xml:space="preserve"> 与融创集团内各公司往来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sz w:val="21"/>
                <w:szCs w:val="21"/>
              </w:rPr>
            </w:pPr>
            <w:r>
              <w:rPr>
                <w:rFonts w:hint="eastAsia" w:ascii="Arial" w:hAnsi="Arial" w:cs="Arial"/>
                <w:sz w:val="21"/>
                <w:szCs w:val="21"/>
              </w:rPr>
              <w:t>-</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nil"/>
            </w:tcBorders>
            <w:noWrap/>
            <w:tcMar>
              <w:top w:w="12" w:type="dxa"/>
              <w:left w:w="12" w:type="dxa"/>
              <w:bottom w:w="0" w:type="dxa"/>
              <w:right w:w="12" w:type="dxa"/>
            </w:tcMar>
            <w:vAlign w:val="center"/>
          </w:tcPr>
          <w:p>
            <w:pPr>
              <w:jc w:val="center"/>
              <w:textAlignment w:val="center"/>
              <w:rPr>
                <w:rFonts w:ascii="Arial" w:hAnsi="Arial" w:cs="Arial"/>
                <w:b/>
                <w:color w:val="000000"/>
                <w:sz w:val="21"/>
                <w:szCs w:val="21"/>
              </w:rPr>
            </w:pPr>
            <w:r>
              <w:rPr>
                <w:rFonts w:ascii="Arial" w:hAnsi="Arial" w:cs="Arial"/>
                <w:bCs/>
                <w:color w:val="000000"/>
                <w:sz w:val="21"/>
                <w:szCs w:val="21"/>
              </w:rPr>
              <w:t>不可预见费</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sz w:val="21"/>
                <w:szCs w:val="21"/>
              </w:rPr>
            </w:pPr>
            <w:r>
              <w:rPr>
                <w:rFonts w:hint="eastAsia" w:ascii="Arial" w:hAnsi="Arial" w:cs="Arial"/>
                <w:sz w:val="21"/>
                <w:szCs w:val="21"/>
              </w:rPr>
              <w:t>1</w:t>
            </w:r>
            <w:r>
              <w:rPr>
                <w:rFonts w:ascii="Arial" w:hAnsi="Arial" w:cs="Arial"/>
                <w:sz w:val="21"/>
                <w:szCs w:val="21"/>
              </w:rPr>
              <w:t>00.00</w:t>
            </w:r>
          </w:p>
        </w:tc>
      </w:tr>
      <w:tr>
        <w:tblPrEx>
          <w:tblCellMar>
            <w:top w:w="0" w:type="dxa"/>
            <w:left w:w="0" w:type="dxa"/>
            <w:bottom w:w="0" w:type="dxa"/>
            <w:right w:w="0" w:type="dxa"/>
          </w:tblCellMar>
        </w:tblPrEx>
        <w:trPr>
          <w:trHeight w:val="361" w:hRule="atLeast"/>
          <w:jc w:val="center"/>
        </w:trPr>
        <w:tc>
          <w:tcPr>
            <w:tcW w:w="3443" w:type="dxa"/>
            <w:tcBorders>
              <w:top w:val="single" w:color="000000" w:sz="4" w:space="0"/>
              <w:left w:val="single" w:color="000000" w:sz="4" w:space="0"/>
              <w:bottom w:val="single" w:color="000000" w:sz="4" w:space="0"/>
              <w:right w:val="nil"/>
            </w:tcBorders>
            <w:noWrap/>
            <w:tcMar>
              <w:top w:w="12" w:type="dxa"/>
              <w:left w:w="12" w:type="dxa"/>
              <w:bottom w:w="0" w:type="dxa"/>
              <w:right w:w="12" w:type="dxa"/>
            </w:tcMar>
            <w:vAlign w:val="center"/>
          </w:tcPr>
          <w:p>
            <w:pPr>
              <w:jc w:val="center"/>
              <w:textAlignment w:val="center"/>
              <w:rPr>
                <w:rFonts w:ascii="Arial" w:hAnsi="Arial" w:cs="Arial"/>
                <w:bCs/>
                <w:color w:val="000000"/>
                <w:sz w:val="21"/>
                <w:szCs w:val="21"/>
              </w:rPr>
            </w:pPr>
            <w:r>
              <w:rPr>
                <w:rFonts w:ascii="Arial" w:hAnsi="Arial" w:cs="Arial"/>
                <w:b/>
                <w:color w:val="000000"/>
                <w:sz w:val="21"/>
                <w:szCs w:val="21"/>
                <w:lang w:bidi="ar"/>
              </w:rPr>
              <w:t xml:space="preserve"> 资金流出小计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sz w:val="21"/>
                <w:szCs w:val="21"/>
              </w:rPr>
            </w:pPr>
            <w:r>
              <w:rPr>
                <w:rFonts w:hint="eastAsia" w:ascii="Arial" w:hAnsi="Arial" w:cs="Arial"/>
                <w:sz w:val="21"/>
                <w:szCs w:val="21"/>
              </w:rPr>
              <w:t>1,385.56</w:t>
            </w:r>
          </w:p>
        </w:tc>
      </w:tr>
    </w:tbl>
    <w:p>
      <w:pPr>
        <w:ind w:firstLine="420" w:firstLineChars="200"/>
        <w:rPr>
          <w:rFonts w:ascii="Arial" w:hAnsi="Arial" w:cs="Arial"/>
          <w:bCs/>
          <w:sz w:val="21"/>
          <w:szCs w:val="21"/>
        </w:rPr>
      </w:pPr>
    </w:p>
    <w:p>
      <w:pPr>
        <w:rPr>
          <w:rFonts w:ascii="Arial" w:hAnsi="Arial" w:cs="Arial"/>
          <w:b/>
        </w:rPr>
      </w:pPr>
      <w:r>
        <w:rPr>
          <w:rFonts w:ascii="Arial" w:hAnsi="Arial" w:cs="Arial"/>
          <w:b/>
        </w:rPr>
        <w:t>附件八：项目公司目标成本</w:t>
      </w:r>
    </w:p>
    <w:p>
      <w:pPr>
        <w:ind w:firstLine="420" w:firstLineChars="200"/>
        <w:rPr>
          <w:rFonts w:ascii="Arial" w:hAnsi="Arial" w:cs="Arial"/>
          <w:bCs/>
          <w:sz w:val="21"/>
          <w:szCs w:val="21"/>
        </w:rPr>
      </w:pPr>
    </w:p>
    <w:tbl>
      <w:tblPr>
        <w:tblStyle w:val="18"/>
        <w:tblW w:w="6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项目</w:t>
            </w:r>
          </w:p>
        </w:tc>
        <w:tc>
          <w:tcPr>
            <w:tcW w:w="4244" w:type="dxa"/>
            <w:noWrap/>
            <w:vAlign w:val="center"/>
          </w:tcPr>
          <w:p>
            <w:pPr>
              <w:jc w:val="center"/>
              <w:rPr>
                <w:rFonts w:ascii="Arial" w:hAnsi="Arial" w:cs="Arial"/>
                <w:b/>
                <w:bCs/>
                <w:color w:val="000000"/>
                <w:sz w:val="21"/>
                <w:szCs w:val="21"/>
              </w:rPr>
            </w:pPr>
            <w:r>
              <w:rPr>
                <w:rFonts w:ascii="Arial" w:hAnsi="Arial" w:cs="Arial"/>
                <w:b/>
                <w:bCs/>
                <w:color w:val="000000"/>
                <w:sz w:val="21"/>
                <w:szCs w:val="21"/>
              </w:rPr>
              <w:t>目标成本（万元）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625" w:type="dxa"/>
            <w:gridSpan w:val="2"/>
            <w:noWrap/>
            <w:vAlign w:val="center"/>
          </w:tcPr>
          <w:p>
            <w:pPr>
              <w:rPr>
                <w:rFonts w:ascii="Arial" w:hAnsi="Arial" w:cs="Arial"/>
                <w:color w:val="000000"/>
                <w:sz w:val="21"/>
                <w:szCs w:val="21"/>
              </w:rPr>
            </w:pPr>
            <w:r>
              <w:rPr>
                <w:rFonts w:ascii="Arial" w:hAnsi="Arial" w:cs="Arial"/>
                <w:color w:val="000000"/>
                <w:sz w:val="21"/>
                <w:szCs w:val="21"/>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土地成本</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295,900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契税</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8,877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25" w:type="dxa"/>
            <w:gridSpan w:val="2"/>
            <w:noWrap/>
            <w:vAlign w:val="center"/>
          </w:tcPr>
          <w:p>
            <w:pPr>
              <w:rPr>
                <w:rFonts w:ascii="Arial" w:hAnsi="Arial" w:cs="Arial"/>
                <w:color w:val="000000"/>
                <w:sz w:val="21"/>
                <w:szCs w:val="21"/>
                <w:lang w:bidi="ar"/>
              </w:rPr>
            </w:pPr>
            <w:r>
              <w:rPr>
                <w:rFonts w:ascii="Arial" w:hAnsi="Arial" w:cs="Arial"/>
                <w:color w:val="000000"/>
                <w:sz w:val="21"/>
                <w:szCs w:val="21"/>
                <w:lang w:bidi="ar"/>
              </w:rPr>
              <w:t>二、开发成本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381" w:type="dxa"/>
            <w:noWrap/>
            <w:vAlign w:val="center"/>
          </w:tcPr>
          <w:p>
            <w:pPr>
              <w:jc w:val="center"/>
              <w:rPr>
                <w:rFonts w:ascii="Arial" w:hAnsi="Arial" w:cs="Arial"/>
                <w:color w:val="000000"/>
                <w:sz w:val="21"/>
                <w:szCs w:val="21"/>
              </w:rPr>
            </w:pPr>
            <w:r>
              <w:rPr>
                <w:rFonts w:ascii="Arial" w:hAnsi="Arial" w:cs="Arial"/>
                <w:b/>
                <w:bCs/>
                <w:color w:val="000000"/>
                <w:sz w:val="21"/>
                <w:szCs w:val="21"/>
              </w:rPr>
              <w:t>前期费用</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6,358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建安工程</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151,649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基础设施费</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18,686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公共配套设施费</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12,254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25" w:type="dxa"/>
            <w:gridSpan w:val="2"/>
            <w:noWrap/>
            <w:vAlign w:val="center"/>
          </w:tcPr>
          <w:p>
            <w:pPr>
              <w:rPr>
                <w:rFonts w:ascii="Arial" w:hAnsi="Arial" w:cs="Arial"/>
                <w:color w:val="000000"/>
                <w:sz w:val="21"/>
                <w:szCs w:val="21"/>
                <w:lang w:bidi="ar"/>
              </w:rPr>
            </w:pPr>
            <w:r>
              <w:rPr>
                <w:rFonts w:ascii="Arial" w:hAnsi="Arial" w:cs="Arial"/>
                <w:color w:val="000000"/>
                <w:sz w:val="21"/>
                <w:szCs w:val="21"/>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财务费用</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17,710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税费</w:t>
            </w:r>
          </w:p>
        </w:tc>
        <w:tc>
          <w:tcPr>
            <w:tcW w:w="4244" w:type="dxa"/>
            <w:noWrap/>
            <w:vAlign w:val="center"/>
          </w:tcPr>
          <w:p>
            <w:pPr>
              <w:jc w:val="center"/>
              <w:rPr>
                <w:rFonts w:ascii="Arial" w:hAnsi="Arial" w:cs="Arial"/>
                <w:color w:val="000000"/>
                <w:sz w:val="21"/>
                <w:szCs w:val="21"/>
              </w:rPr>
            </w:pPr>
            <w:r>
              <w:rPr>
                <w:rFonts w:ascii="Arial" w:hAnsi="Arial" w:cs="Arial"/>
                <w:sz w:val="21"/>
                <w:szCs w:val="21"/>
              </w:rPr>
              <w:t>130,523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管理费用</w:t>
            </w:r>
          </w:p>
        </w:tc>
        <w:tc>
          <w:tcPr>
            <w:tcW w:w="4244" w:type="dxa"/>
            <w:noWrap/>
            <w:vAlign w:val="center"/>
          </w:tcPr>
          <w:p>
            <w:pPr>
              <w:jc w:val="center"/>
              <w:rPr>
                <w:rFonts w:ascii="Arial" w:hAnsi="Arial" w:cs="Arial"/>
                <w:color w:val="000000"/>
                <w:sz w:val="21"/>
                <w:szCs w:val="21"/>
              </w:rPr>
            </w:pPr>
            <w:r>
              <w:rPr>
                <w:rFonts w:ascii="Arial" w:hAnsi="Arial" w:cs="Arial"/>
                <w:sz w:val="21"/>
                <w:szCs w:val="21"/>
              </w:rPr>
              <w:t>15,168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销售费用</w:t>
            </w:r>
          </w:p>
        </w:tc>
        <w:tc>
          <w:tcPr>
            <w:tcW w:w="4244" w:type="dxa"/>
            <w:noWrap/>
            <w:vAlign w:val="center"/>
          </w:tcPr>
          <w:p>
            <w:pPr>
              <w:jc w:val="center"/>
              <w:rPr>
                <w:rFonts w:ascii="Arial" w:hAnsi="Arial" w:cs="Arial"/>
                <w:color w:val="000000"/>
                <w:sz w:val="21"/>
                <w:szCs w:val="21"/>
              </w:rPr>
            </w:pPr>
            <w:r>
              <w:rPr>
                <w:rFonts w:ascii="Arial" w:hAnsi="Arial" w:cs="Arial"/>
                <w:sz w:val="21"/>
                <w:szCs w:val="21"/>
              </w:rPr>
              <w:t xml:space="preserve">13,768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81" w:type="dxa"/>
            <w:noWrap/>
            <w:vAlign w:val="center"/>
          </w:tcPr>
          <w:p>
            <w:pPr>
              <w:jc w:val="center"/>
              <w:rPr>
                <w:rFonts w:ascii="Arial" w:hAnsi="Arial" w:cs="Arial"/>
                <w:b/>
                <w:bCs/>
                <w:color w:val="000000"/>
                <w:sz w:val="21"/>
                <w:szCs w:val="21"/>
              </w:rPr>
            </w:pPr>
            <w:r>
              <w:rPr>
                <w:rFonts w:ascii="Arial" w:hAnsi="Arial" w:cs="Arial"/>
                <w:b/>
                <w:bCs/>
                <w:color w:val="000000"/>
                <w:sz w:val="21"/>
                <w:szCs w:val="21"/>
              </w:rPr>
              <w:t>总计</w:t>
            </w:r>
          </w:p>
        </w:tc>
        <w:tc>
          <w:tcPr>
            <w:tcW w:w="4244" w:type="dxa"/>
            <w:noWrap/>
            <w:vAlign w:val="center"/>
          </w:tcPr>
          <w:p>
            <w:pPr>
              <w:jc w:val="center"/>
              <w:rPr>
                <w:rFonts w:ascii="Arial" w:hAnsi="Arial" w:cs="Arial"/>
                <w:b/>
                <w:bCs/>
                <w:color w:val="000000"/>
                <w:sz w:val="21"/>
                <w:szCs w:val="21"/>
              </w:rPr>
            </w:pPr>
            <w:r>
              <w:rPr>
                <w:rFonts w:ascii="Arial" w:hAnsi="Arial" w:cs="Arial"/>
                <w:b/>
                <w:bCs/>
                <w:sz w:val="21"/>
                <w:szCs w:val="21"/>
              </w:rPr>
              <w:t>670,893</w:t>
            </w:r>
          </w:p>
        </w:tc>
      </w:tr>
    </w:tbl>
    <w:p>
      <w:pPr>
        <w:ind w:firstLine="420" w:firstLineChars="200"/>
        <w:rPr>
          <w:rFonts w:ascii="Arial" w:hAnsi="Arial" w:cs="Arial"/>
          <w:bCs/>
          <w:sz w:val="21"/>
          <w:szCs w:val="21"/>
        </w:rPr>
      </w:pPr>
    </w:p>
    <w:p>
      <w:pPr>
        <w:rPr>
          <w:rFonts w:ascii="Arial" w:hAnsi="Arial" w:cs="Arial"/>
          <w:bCs/>
          <w:sz w:val="21"/>
          <w:szCs w:val="21"/>
        </w:rPr>
      </w:pPr>
      <w:r>
        <w:rPr>
          <w:rFonts w:ascii="Arial" w:hAnsi="Arial" w:cs="Arial"/>
          <w:bCs/>
          <w:sz w:val="21"/>
          <w:szCs w:val="21"/>
        </w:rPr>
        <w:br w:type="page"/>
      </w:r>
    </w:p>
    <w:p>
      <w:pPr>
        <w:spacing w:line="360" w:lineRule="auto"/>
        <w:rPr>
          <w:rFonts w:ascii="Arial" w:hAnsi="Arial" w:cs="Arial"/>
          <w:b/>
        </w:rPr>
      </w:pPr>
      <w:r>
        <w:rPr>
          <w:rFonts w:ascii="Arial" w:hAnsi="Arial" w:cs="Arial"/>
          <w:b/>
        </w:rPr>
        <w:t>附件九：项目形象进度及照片</w:t>
      </w:r>
    </w:p>
    <w:p>
      <w:pPr>
        <w:numPr>
          <w:ilvl w:val="0"/>
          <w:numId w:val="10"/>
        </w:numPr>
        <w:spacing w:line="36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售楼部已完工，并在</w:t>
      </w:r>
      <w:r>
        <w:rPr>
          <w:rFonts w:hint="eastAsia" w:ascii="Arial" w:hAnsi="Arial" w:cs="Arial"/>
          <w:color w:val="000000" w:themeColor="text1"/>
          <w:sz w:val="21"/>
          <w:szCs w:val="21"/>
          <w14:textFill>
            <w14:solidFill>
              <w14:schemeClr w14:val="tx1"/>
            </w14:solidFill>
          </w14:textFill>
        </w:rPr>
        <w:t>2021年</w:t>
      </w:r>
      <w:r>
        <w:rPr>
          <w:rFonts w:ascii="Arial" w:hAnsi="Arial" w:cs="Arial"/>
          <w:color w:val="000000" w:themeColor="text1"/>
          <w:sz w:val="21"/>
          <w:szCs w:val="21"/>
          <w14:textFill>
            <w14:solidFill>
              <w14:schemeClr w14:val="tx1"/>
            </w14:solidFill>
          </w14:textFill>
        </w:rPr>
        <w:t>3月27日正式开放</w:t>
      </w:r>
      <w:r>
        <w:rPr>
          <w:rFonts w:hint="eastAsia" w:ascii="Arial" w:hAnsi="Arial" w:cs="Arial"/>
          <w:color w:val="000000" w:themeColor="text1"/>
          <w:sz w:val="21"/>
          <w:szCs w:val="21"/>
          <w14:textFill>
            <w14:solidFill>
              <w14:schemeClr w14:val="tx1"/>
            </w14:solidFill>
          </w14:textFill>
        </w:rPr>
        <w:t>。</w:t>
      </w:r>
    </w:p>
    <w:tbl>
      <w:tblPr>
        <w:tblStyle w:val="19"/>
        <w:tblW w:w="9132"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4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trPr>
        <w:tc>
          <w:tcPr>
            <w:tcW w:w="4500" w:type="dxa"/>
          </w:tcPr>
          <w:p>
            <w:pPr>
              <w:pStyle w:val="2"/>
              <w:ind w:firstLine="0" w:firstLineChars="0"/>
              <w:jc w:val="left"/>
            </w:pPr>
            <w:r>
              <w:rPr>
                <w:rFonts w:hint="eastAsia"/>
              </w:rPr>
              <w:drawing>
                <wp:inline distT="0" distB="0" distL="114300" distR="114300">
                  <wp:extent cx="2720340" cy="2042160"/>
                  <wp:effectExtent l="0" t="0" r="7620" b="0"/>
                  <wp:docPr id="47" name="图片 47" descr="微信图片_20210901092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09010924053"/>
                          <pic:cNvPicPr>
                            <a:picLocks noChangeAspect="1"/>
                          </pic:cNvPicPr>
                        </pic:nvPicPr>
                        <pic:blipFill>
                          <a:blip r:embed="rId26"/>
                          <a:stretch>
                            <a:fillRect/>
                          </a:stretch>
                        </pic:blipFill>
                        <pic:spPr>
                          <a:xfrm>
                            <a:off x="0" y="0"/>
                            <a:ext cx="2720340" cy="2042160"/>
                          </a:xfrm>
                          <a:prstGeom prst="rect">
                            <a:avLst/>
                          </a:prstGeom>
                        </pic:spPr>
                      </pic:pic>
                    </a:graphicData>
                  </a:graphic>
                </wp:inline>
              </w:drawing>
            </w:r>
          </w:p>
        </w:tc>
        <w:tc>
          <w:tcPr>
            <w:tcW w:w="4632" w:type="dxa"/>
          </w:tcPr>
          <w:p>
            <w:pPr>
              <w:pStyle w:val="2"/>
              <w:ind w:firstLine="0" w:firstLineChars="0"/>
            </w:pPr>
            <w:r>
              <w:rPr>
                <w:rFonts w:hint="eastAsia"/>
              </w:rPr>
              <w:drawing>
                <wp:inline distT="0" distB="0" distL="114300" distR="114300">
                  <wp:extent cx="2781300" cy="2095500"/>
                  <wp:effectExtent l="0" t="0" r="7620" b="7620"/>
                  <wp:docPr id="48" name="图片 48" descr="微信图片_20210901092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9010924061"/>
                          <pic:cNvPicPr>
                            <a:picLocks noChangeAspect="1"/>
                          </pic:cNvPicPr>
                        </pic:nvPicPr>
                        <pic:blipFill>
                          <a:blip r:embed="rId27"/>
                          <a:stretch>
                            <a:fillRect/>
                          </a:stretch>
                        </pic:blipFill>
                        <pic:spPr>
                          <a:xfrm>
                            <a:off x="0" y="0"/>
                            <a:ext cx="2781300"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trPr>
        <w:tc>
          <w:tcPr>
            <w:tcW w:w="4500" w:type="dxa"/>
          </w:tcPr>
          <w:p>
            <w:pPr>
              <w:pStyle w:val="2"/>
              <w:ind w:firstLine="0" w:firstLineChars="0"/>
            </w:pPr>
            <w:r>
              <w:rPr>
                <w:rFonts w:hint="eastAsia"/>
              </w:rPr>
              <w:drawing>
                <wp:inline distT="0" distB="0" distL="114300" distR="114300">
                  <wp:extent cx="2720340" cy="2042160"/>
                  <wp:effectExtent l="0" t="0" r="7620" b="0"/>
                  <wp:docPr id="49" name="图片 49" descr="微信图片_2021090109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10901092406"/>
                          <pic:cNvPicPr>
                            <a:picLocks noChangeAspect="1"/>
                          </pic:cNvPicPr>
                        </pic:nvPicPr>
                        <pic:blipFill>
                          <a:blip r:embed="rId28"/>
                          <a:stretch>
                            <a:fillRect/>
                          </a:stretch>
                        </pic:blipFill>
                        <pic:spPr>
                          <a:xfrm>
                            <a:off x="0" y="0"/>
                            <a:ext cx="2720340" cy="2042160"/>
                          </a:xfrm>
                          <a:prstGeom prst="rect">
                            <a:avLst/>
                          </a:prstGeom>
                        </pic:spPr>
                      </pic:pic>
                    </a:graphicData>
                  </a:graphic>
                </wp:inline>
              </w:drawing>
            </w:r>
          </w:p>
        </w:tc>
        <w:tc>
          <w:tcPr>
            <w:tcW w:w="4632" w:type="dxa"/>
          </w:tcPr>
          <w:p>
            <w:pPr>
              <w:pStyle w:val="2"/>
              <w:ind w:firstLine="0" w:firstLineChars="0"/>
            </w:pPr>
            <w:r>
              <w:rPr>
                <w:rFonts w:hint="eastAsia"/>
              </w:rPr>
              <w:drawing>
                <wp:inline distT="0" distB="0" distL="114300" distR="114300">
                  <wp:extent cx="2781300" cy="2101850"/>
                  <wp:effectExtent l="0" t="0" r="7620" b="1270"/>
                  <wp:docPr id="50" name="图片 50" descr="微信图片_20210901092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109010924062"/>
                          <pic:cNvPicPr>
                            <a:picLocks noChangeAspect="1"/>
                          </pic:cNvPicPr>
                        </pic:nvPicPr>
                        <pic:blipFill>
                          <a:blip r:embed="rId29"/>
                          <a:stretch>
                            <a:fillRect/>
                          </a:stretch>
                        </pic:blipFill>
                        <pic:spPr>
                          <a:xfrm>
                            <a:off x="0" y="0"/>
                            <a:ext cx="2781300" cy="2101850"/>
                          </a:xfrm>
                          <a:prstGeom prst="rect">
                            <a:avLst/>
                          </a:prstGeom>
                        </pic:spPr>
                      </pic:pic>
                    </a:graphicData>
                  </a:graphic>
                </wp:inline>
              </w:drawing>
            </w:r>
          </w:p>
        </w:tc>
      </w:tr>
    </w:tbl>
    <w:p>
      <w:pPr>
        <w:spacing w:line="360" w:lineRule="auto"/>
        <w:rPr>
          <w:rFonts w:ascii="Arial" w:hAnsi="Arial" w:cs="Arial"/>
          <w:color w:val="000000" w:themeColor="text1"/>
          <w:sz w:val="21"/>
          <w:szCs w:val="21"/>
          <w14:textFill>
            <w14:solidFill>
              <w14:schemeClr w14:val="tx1"/>
            </w14:solidFill>
          </w14:textFill>
        </w:rPr>
      </w:pPr>
    </w:p>
    <w:p>
      <w:pPr>
        <w:spacing w:line="36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2、</w:t>
      </w:r>
      <w:r>
        <w:rPr>
          <w:rFonts w:hint="eastAsia" w:ascii="Arial" w:hAnsi="Arial" w:cs="Arial"/>
        </w:rPr>
        <w:t>C1#楼十五层墙柱钢筋绑扎完成100%；C1#楼五层砌体砌筑完成100%；C1#楼六层砌体砌筑完成35%；C1#楼八层二构模板浇捣；C2#楼十五层梁板模板安装完成100%；C2#楼四层砌筑完成85%；C5#楼砖胎膜砌筑完成100%；C5#楼承台钢筋绑扎完成10%；C6#楼地下室承台底板砼浇筑；C7#楼地下室墙柱模板安装完成100%。</w:t>
      </w:r>
    </w:p>
    <w:tbl>
      <w:tblPr>
        <w:tblStyle w:val="19"/>
        <w:tblW w:w="9132"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4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trPr>
        <w:tc>
          <w:tcPr>
            <w:tcW w:w="4500" w:type="dxa"/>
          </w:tcPr>
          <w:p>
            <w:pPr>
              <w:pStyle w:val="2"/>
              <w:ind w:firstLine="0" w:firstLineChars="0"/>
              <w:jc w:val="left"/>
            </w:pPr>
            <w:r>
              <w:rPr>
                <w:rFonts w:hint="eastAsia"/>
              </w:rPr>
              <w:drawing>
                <wp:inline distT="0" distB="0" distL="114300" distR="114300">
                  <wp:extent cx="2710180" cy="2032635"/>
                  <wp:effectExtent l="0" t="0" r="2540" b="9525"/>
                  <wp:docPr id="20" name="图片 20" descr="航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航拍图"/>
                          <pic:cNvPicPr>
                            <a:picLocks noChangeAspect="1"/>
                          </pic:cNvPicPr>
                        </pic:nvPicPr>
                        <pic:blipFill>
                          <a:blip r:embed="rId30"/>
                          <a:stretch>
                            <a:fillRect/>
                          </a:stretch>
                        </pic:blipFill>
                        <pic:spPr>
                          <a:xfrm>
                            <a:off x="0" y="0"/>
                            <a:ext cx="2710180" cy="2032635"/>
                          </a:xfrm>
                          <a:prstGeom prst="rect">
                            <a:avLst/>
                          </a:prstGeom>
                        </pic:spPr>
                      </pic:pic>
                    </a:graphicData>
                  </a:graphic>
                </wp:inline>
              </w:drawing>
            </w:r>
          </w:p>
        </w:tc>
        <w:tc>
          <w:tcPr>
            <w:tcW w:w="4632" w:type="dxa"/>
          </w:tcPr>
          <w:p>
            <w:pPr>
              <w:pStyle w:val="2"/>
              <w:ind w:firstLine="0" w:firstLineChars="0"/>
            </w:pPr>
            <w:r>
              <w:rPr>
                <w:rFonts w:hint="eastAsia"/>
              </w:rPr>
              <w:drawing>
                <wp:inline distT="0" distB="0" distL="114300" distR="114300">
                  <wp:extent cx="2794000" cy="2095500"/>
                  <wp:effectExtent l="0" t="0" r="10160" b="7620"/>
                  <wp:docPr id="21" name="图片 21" descr="a627b1396aecbc81c1241fcffdfe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627b1396aecbc81c1241fcffdfeac5"/>
                          <pic:cNvPicPr>
                            <a:picLocks noChangeAspect="1"/>
                          </pic:cNvPicPr>
                        </pic:nvPicPr>
                        <pic:blipFill>
                          <a:blip r:embed="rId31"/>
                          <a:stretch>
                            <a:fillRect/>
                          </a:stretch>
                        </pic:blipFill>
                        <pic:spPr>
                          <a:xfrm>
                            <a:off x="0" y="0"/>
                            <a:ext cx="2794000"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trPr>
        <w:tc>
          <w:tcPr>
            <w:tcW w:w="4500" w:type="dxa"/>
          </w:tcPr>
          <w:p>
            <w:pPr>
              <w:pStyle w:val="2"/>
              <w:ind w:firstLine="0" w:firstLineChars="0"/>
            </w:pPr>
            <w:r>
              <w:rPr>
                <w:rFonts w:hint="eastAsia"/>
              </w:rPr>
              <w:drawing>
                <wp:inline distT="0" distB="0" distL="114300" distR="114300">
                  <wp:extent cx="2692400" cy="2019300"/>
                  <wp:effectExtent l="0" t="0" r="5080" b="7620"/>
                  <wp:docPr id="24" name="图片 24" descr="0fd27f1238698d5429809586b448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fd27f1238698d5429809586b44837a"/>
                          <pic:cNvPicPr>
                            <a:picLocks noChangeAspect="1"/>
                          </pic:cNvPicPr>
                        </pic:nvPicPr>
                        <pic:blipFill>
                          <a:blip r:embed="rId32"/>
                          <a:stretch>
                            <a:fillRect/>
                          </a:stretch>
                        </pic:blipFill>
                        <pic:spPr>
                          <a:xfrm>
                            <a:off x="0" y="0"/>
                            <a:ext cx="2692400" cy="2019300"/>
                          </a:xfrm>
                          <a:prstGeom prst="rect">
                            <a:avLst/>
                          </a:prstGeom>
                        </pic:spPr>
                      </pic:pic>
                    </a:graphicData>
                  </a:graphic>
                </wp:inline>
              </w:drawing>
            </w:r>
          </w:p>
        </w:tc>
        <w:tc>
          <w:tcPr>
            <w:tcW w:w="4632" w:type="dxa"/>
          </w:tcPr>
          <w:p>
            <w:pPr>
              <w:pStyle w:val="2"/>
              <w:ind w:firstLine="0" w:firstLineChars="0"/>
            </w:pPr>
            <w:r>
              <w:rPr>
                <w:rFonts w:hint="eastAsia"/>
              </w:rPr>
              <w:drawing>
                <wp:inline distT="0" distB="0" distL="114300" distR="114300">
                  <wp:extent cx="2794000" cy="2095500"/>
                  <wp:effectExtent l="0" t="0" r="10160" b="7620"/>
                  <wp:docPr id="25" name="图片 25" descr="547287ad2b90c249c0a5994428b8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47287ad2b90c249c0a5994428b8e87"/>
                          <pic:cNvPicPr>
                            <a:picLocks noChangeAspect="1"/>
                          </pic:cNvPicPr>
                        </pic:nvPicPr>
                        <pic:blipFill>
                          <a:blip r:embed="rId33"/>
                          <a:stretch>
                            <a:fillRect/>
                          </a:stretch>
                        </pic:blipFill>
                        <pic:spPr>
                          <a:xfrm>
                            <a:off x="0" y="0"/>
                            <a:ext cx="2794000"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6" w:hRule="atLeast"/>
        </w:trPr>
        <w:tc>
          <w:tcPr>
            <w:tcW w:w="4500" w:type="dxa"/>
          </w:tcPr>
          <w:p>
            <w:pPr>
              <w:pStyle w:val="2"/>
              <w:ind w:firstLine="0" w:firstLineChars="0"/>
            </w:pPr>
            <w:r>
              <w:rPr>
                <w:rFonts w:hint="eastAsia"/>
              </w:rPr>
              <w:drawing>
                <wp:inline distT="0" distB="0" distL="114300" distR="114300">
                  <wp:extent cx="2720340" cy="2042160"/>
                  <wp:effectExtent l="0" t="0" r="7620" b="0"/>
                  <wp:docPr id="26" name="图片 26" descr="b6b38a00da95050058cdfcaf8a66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6b38a00da95050058cdfcaf8a660c5"/>
                          <pic:cNvPicPr>
                            <a:picLocks noChangeAspect="1"/>
                          </pic:cNvPicPr>
                        </pic:nvPicPr>
                        <pic:blipFill>
                          <a:blip r:embed="rId34"/>
                          <a:stretch>
                            <a:fillRect/>
                          </a:stretch>
                        </pic:blipFill>
                        <pic:spPr>
                          <a:xfrm>
                            <a:off x="0" y="0"/>
                            <a:ext cx="2720340" cy="2042160"/>
                          </a:xfrm>
                          <a:prstGeom prst="rect">
                            <a:avLst/>
                          </a:prstGeom>
                        </pic:spPr>
                      </pic:pic>
                    </a:graphicData>
                  </a:graphic>
                </wp:inline>
              </w:drawing>
            </w:r>
          </w:p>
        </w:tc>
        <w:tc>
          <w:tcPr>
            <w:tcW w:w="4632" w:type="dxa"/>
          </w:tcPr>
          <w:p>
            <w:pPr>
              <w:pStyle w:val="2"/>
              <w:ind w:firstLine="0" w:firstLineChars="0"/>
            </w:pPr>
            <w:r>
              <w:rPr>
                <w:rFonts w:hint="eastAsia"/>
              </w:rPr>
              <w:drawing>
                <wp:inline distT="0" distB="0" distL="114300" distR="114300">
                  <wp:extent cx="2086610" cy="2808605"/>
                  <wp:effectExtent l="0" t="0" r="10795" b="1270"/>
                  <wp:docPr id="27" name="图片 27" descr="c40a0e452d05d675e0f161a85a9b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40a0e452d05d675e0f161a85a9b2bc"/>
                          <pic:cNvPicPr>
                            <a:picLocks noChangeAspect="1"/>
                          </pic:cNvPicPr>
                        </pic:nvPicPr>
                        <pic:blipFill>
                          <a:blip r:embed="rId35"/>
                          <a:stretch>
                            <a:fillRect/>
                          </a:stretch>
                        </pic:blipFill>
                        <pic:spPr>
                          <a:xfrm rot="5400000">
                            <a:off x="0" y="0"/>
                            <a:ext cx="2086610" cy="2808605"/>
                          </a:xfrm>
                          <a:prstGeom prst="rect">
                            <a:avLst/>
                          </a:prstGeom>
                        </pic:spPr>
                      </pic:pic>
                    </a:graphicData>
                  </a:graphic>
                </wp:inline>
              </w:drawing>
            </w:r>
          </w:p>
        </w:tc>
      </w:tr>
    </w:tbl>
    <w:p>
      <w:pPr>
        <w:pStyle w:val="17"/>
        <w:tabs>
          <w:tab w:val="right" w:pos="7676"/>
        </w:tabs>
        <w:spacing w:after="0" w:line="360" w:lineRule="auto"/>
        <w:ind w:firstLine="0" w:firstLineChars="0"/>
        <w:jc w:val="left"/>
        <w:rPr>
          <w:rFonts w:ascii="Arial" w:hAnsi="Arial" w:cs="Arial"/>
          <w:bCs/>
          <w:szCs w:val="21"/>
        </w:rPr>
      </w:pPr>
      <w:r>
        <w:rPr>
          <w:rFonts w:ascii="Arial" w:hAnsi="Arial" w:cs="Arial"/>
          <w:bCs/>
          <w:szCs w:val="21"/>
        </w:rPr>
        <w:br w:type="page"/>
      </w:r>
    </w:p>
    <w:p>
      <w:pPr>
        <w:spacing w:line="360" w:lineRule="auto"/>
        <w:jc w:val="both"/>
        <w:rPr>
          <w:rFonts w:ascii="Arial" w:hAnsi="Arial" w:cs="Arial"/>
          <w:b/>
        </w:rPr>
      </w:pPr>
      <w:r>
        <w:rPr>
          <w:rFonts w:ascii="Arial" w:hAnsi="Arial" w:cs="Arial"/>
          <w:b/>
        </w:rPr>
        <w:t>附件十：项目公司月度财务报表</w:t>
      </w:r>
    </w:p>
    <w:tbl>
      <w:tblPr>
        <w:tblStyle w:val="18"/>
        <w:tblW w:w="987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2"/>
        <w:gridCol w:w="1800"/>
        <w:gridCol w:w="3447"/>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876" w:type="dxa"/>
            <w:gridSpan w:val="4"/>
            <w:shd w:val="clear" w:color="auto" w:fill="auto"/>
            <w:noWrap/>
            <w:vAlign w:val="bottom"/>
          </w:tcPr>
          <w:p>
            <w:pPr>
              <w:jc w:val="center"/>
              <w:textAlignment w:val="bottom"/>
              <w:rPr>
                <w:rFonts w:ascii="Arial" w:hAnsi="Arial" w:cs="Arial"/>
                <w:sz w:val="15"/>
                <w:szCs w:val="15"/>
              </w:rPr>
            </w:pPr>
            <w:r>
              <w:rPr>
                <w:rFonts w:ascii="Arial" w:hAnsi="Arial" w:cs="Arial"/>
                <w:b/>
                <w:bCs/>
                <w:sz w:val="15"/>
                <w:szCs w:val="15"/>
                <w:lang w:bidi="ar"/>
              </w:rPr>
              <w:t>资产负债表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rPr>
                <w:rFonts w:ascii="Arial" w:hAnsi="Arial" w:cs="Arial"/>
                <w:sz w:val="15"/>
                <w:szCs w:val="15"/>
              </w:rPr>
            </w:pPr>
          </w:p>
        </w:tc>
        <w:tc>
          <w:tcPr>
            <w:tcW w:w="3447" w:type="dxa"/>
            <w:shd w:val="clear" w:color="auto" w:fill="auto"/>
            <w:noWrap/>
            <w:vAlign w:val="center"/>
          </w:tcPr>
          <w:p>
            <w:pPr>
              <w:rPr>
                <w:rFonts w:ascii="Arial" w:hAnsi="Arial" w:cs="Arial"/>
                <w:sz w:val="15"/>
                <w:szCs w:val="15"/>
              </w:rPr>
            </w:pPr>
          </w:p>
        </w:tc>
        <w:tc>
          <w:tcPr>
            <w:tcW w:w="1767" w:type="dxa"/>
            <w:shd w:val="clear" w:color="auto" w:fill="auto"/>
            <w:noWrap/>
            <w:vAlign w:val="center"/>
          </w:tcPr>
          <w:p>
            <w:pPr>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62" w:type="dxa"/>
            <w:gridSpan w:val="2"/>
            <w:shd w:val="clear" w:color="auto" w:fill="auto"/>
            <w:noWrap/>
            <w:vAlign w:val="center"/>
          </w:tcPr>
          <w:p>
            <w:pPr>
              <w:rPr>
                <w:rFonts w:ascii="Arial" w:hAnsi="Arial" w:cs="Arial"/>
                <w:sz w:val="15"/>
                <w:szCs w:val="15"/>
              </w:rPr>
            </w:pPr>
            <w:r>
              <w:rPr>
                <w:rFonts w:ascii="Arial" w:hAnsi="Arial" w:cs="Arial"/>
                <w:sz w:val="15"/>
                <w:szCs w:val="15"/>
                <w:lang w:bidi="ar"/>
              </w:rPr>
              <w:t>编制单位：福州首融房地产开发有限公司</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填报期间：2021年0</w:t>
            </w:r>
            <w:r>
              <w:rPr>
                <w:rFonts w:hint="eastAsia" w:ascii="Arial" w:hAnsi="Arial" w:cs="Arial"/>
                <w:sz w:val="15"/>
                <w:szCs w:val="15"/>
                <w:lang w:bidi="ar"/>
              </w:rPr>
              <w:t>9</w:t>
            </w:r>
            <w:r>
              <w:rPr>
                <w:rFonts w:ascii="Arial" w:hAnsi="Arial" w:cs="Arial"/>
                <w:sz w:val="15"/>
                <w:szCs w:val="15"/>
                <w:lang w:bidi="ar"/>
              </w:rPr>
              <w:t>月</w:t>
            </w:r>
          </w:p>
        </w:tc>
        <w:tc>
          <w:tcPr>
            <w:tcW w:w="1767" w:type="dxa"/>
            <w:shd w:val="clear" w:color="auto" w:fill="auto"/>
            <w:noWrap/>
            <w:vAlign w:val="bottom"/>
          </w:tcPr>
          <w:p>
            <w:pPr>
              <w:jc w:val="right"/>
              <w:textAlignment w:val="bottom"/>
              <w:rPr>
                <w:rFonts w:ascii="Arial" w:hAnsi="Arial" w:cs="Arial"/>
                <w:sz w:val="15"/>
                <w:szCs w:val="15"/>
              </w:rPr>
            </w:pPr>
            <w:r>
              <w:rPr>
                <w:rFonts w:ascii="Arial" w:hAnsi="Arial" w:cs="Arial"/>
                <w:sz w:val="15"/>
                <w:szCs w:val="15"/>
                <w:lang w:bidi="ar"/>
              </w:rPr>
              <w:t>金额单位：元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jc w:val="center"/>
              <w:textAlignment w:val="center"/>
              <w:rPr>
                <w:rFonts w:ascii="Arial" w:hAnsi="Arial" w:cs="Arial"/>
                <w:b/>
                <w:bCs/>
                <w:sz w:val="15"/>
                <w:szCs w:val="15"/>
              </w:rPr>
            </w:pPr>
            <w:r>
              <w:rPr>
                <w:rFonts w:ascii="Arial" w:hAnsi="Arial" w:cs="Arial"/>
                <w:b/>
                <w:bCs/>
                <w:sz w:val="15"/>
                <w:szCs w:val="15"/>
                <w:lang w:bidi="ar"/>
              </w:rPr>
              <w:t>项            目</w:t>
            </w:r>
          </w:p>
        </w:tc>
        <w:tc>
          <w:tcPr>
            <w:tcW w:w="1800" w:type="dxa"/>
            <w:shd w:val="clear" w:color="auto" w:fill="auto"/>
            <w:noWrap/>
            <w:vAlign w:val="center"/>
          </w:tcPr>
          <w:p>
            <w:pPr>
              <w:jc w:val="center"/>
              <w:textAlignment w:val="center"/>
              <w:rPr>
                <w:rFonts w:ascii="Arial" w:hAnsi="Arial" w:cs="Arial"/>
                <w:b/>
                <w:bCs/>
                <w:sz w:val="15"/>
                <w:szCs w:val="15"/>
              </w:rPr>
            </w:pPr>
            <w:r>
              <w:rPr>
                <w:rFonts w:ascii="Arial" w:hAnsi="Arial" w:cs="Arial"/>
                <w:b/>
                <w:bCs/>
                <w:sz w:val="15"/>
                <w:szCs w:val="15"/>
                <w:lang w:bidi="ar"/>
              </w:rPr>
              <w:t>期末余额</w:t>
            </w:r>
          </w:p>
        </w:tc>
        <w:tc>
          <w:tcPr>
            <w:tcW w:w="3447" w:type="dxa"/>
            <w:shd w:val="clear" w:color="auto" w:fill="auto"/>
            <w:noWrap/>
            <w:vAlign w:val="center"/>
          </w:tcPr>
          <w:p>
            <w:pPr>
              <w:jc w:val="center"/>
              <w:textAlignment w:val="center"/>
              <w:rPr>
                <w:rFonts w:ascii="Arial" w:hAnsi="Arial" w:cs="Arial"/>
                <w:b/>
                <w:bCs/>
                <w:sz w:val="15"/>
                <w:szCs w:val="15"/>
              </w:rPr>
            </w:pPr>
            <w:r>
              <w:rPr>
                <w:rFonts w:ascii="Arial" w:hAnsi="Arial" w:cs="Arial"/>
                <w:b/>
                <w:bCs/>
                <w:sz w:val="15"/>
                <w:szCs w:val="15"/>
                <w:lang w:bidi="ar"/>
              </w:rPr>
              <w:t>项            目</w:t>
            </w:r>
          </w:p>
        </w:tc>
        <w:tc>
          <w:tcPr>
            <w:tcW w:w="1767" w:type="dxa"/>
            <w:shd w:val="clear" w:color="auto" w:fill="auto"/>
            <w:noWrap/>
            <w:vAlign w:val="center"/>
          </w:tcPr>
          <w:p>
            <w:pPr>
              <w:jc w:val="center"/>
              <w:textAlignment w:val="center"/>
              <w:rPr>
                <w:rFonts w:ascii="Arial" w:hAnsi="Arial" w:cs="Arial"/>
                <w:b/>
                <w:bCs/>
                <w:sz w:val="15"/>
                <w:szCs w:val="15"/>
              </w:rPr>
            </w:pPr>
            <w:r>
              <w:rPr>
                <w:rFonts w:ascii="Arial" w:hAnsi="Arial" w:cs="Arial"/>
                <w:b/>
                <w:bCs/>
                <w:sz w:val="15"/>
                <w:szCs w:val="15"/>
                <w:lang w:bidi="ar"/>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流动资产：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流动负债：</w:t>
            </w:r>
          </w:p>
        </w:tc>
        <w:tc>
          <w:tcPr>
            <w:tcW w:w="1767" w:type="dxa"/>
            <w:shd w:val="clear" w:color="auto" w:fill="auto"/>
            <w:noWrap/>
            <w:vAlign w:val="center"/>
          </w:tcPr>
          <w:p>
            <w:pPr>
              <w:jc w:val="center"/>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货币资金</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24,531,786.35</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短期借款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△结算备付金</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△向中央银行借款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△拆出资金</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△拆入资金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☆交易性金融资产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☆交易性金融负债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衍生金融资产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衍生金融负债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应收票据</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应付票据</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应收账款</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应付账款</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15,488,632.22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☆应收款项融资</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预收款项</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预付款项</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329,885.08</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☆合同负债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△应收保费</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△卖出回购金融资产款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△应收分保账款</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△吸收存款及同业存放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△应收分保合同准备金</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△代理买卖证券款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其他应收款</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676,959.00</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△代理承销证券款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其中：应收股利</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应付职工薪酬</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△买入返售金融资产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其中：应付工资</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存货</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3,204,869,532.62</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应付福利费</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其中：原材料</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#其中：职工奖励及福利基金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库存商品（产成品）</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应交税费</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7,991.81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☆合同资产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其中：应交税金</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7,991.81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持有待售资产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其他应付款</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3,028,383,737.20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一年内到期的非流动资产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其中：应付股利</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其他流动资产</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7,985,384.04</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△应付手续费及佣金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流动资产合计</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3,238,393,547.09</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△应付分保账款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非流动资产：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持有待售负债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△发放贷款和垫款</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一年内到期的非流动负债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☆债权投资</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其他流动负债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☆其他债权投资</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流动负债合计</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3,043,880,361.23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长期应收款</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非流动负债：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长期股权投资</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△保险合同准备金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☆其他权益工具投资</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长期借款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☆其他非流动金融资产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应付债券</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投资性房地产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其中：优先股</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固定资产</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150,409.21</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永续债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其中：固定资产原价</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178,797.10</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☆租赁负债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累计折旧</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28,387.89</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长期应付款</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固定资产减值准备</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长期应付职工薪酬</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在建工程</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预计负债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生产性生物资产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递延收益</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油气资产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递延所得税负债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☆使用权资产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其他非流动负债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无形资产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其中：特准储备基金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开发支出</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 xml:space="preserve">  非流动负债合计</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商誉</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 xml:space="preserve">   负 债 合 计</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3,043,880,361.23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长期待摊费用</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6,434,210.32</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所有者权益（或股东权益）：</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递延所得税资产</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745,917.98</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实收资本（或股本）</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200,000,000.00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其他非流动资产</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国家资本</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其中：特准储备物资</w:t>
            </w: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国有法人资本</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116,000,000.00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 xml:space="preserve">   非流动资产合计</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7,330,537.51</w:t>
            </w: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集体资本</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民营资本</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84,000,000.00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外商资本</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#减：已归还投资</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实收资本（或股本）净额</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200,000,000.00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其他权益工具</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其中：优先股</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永续债</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资本公积</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13,434,900.00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减：库存股</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其他综合收益</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其中：外币报表折算差额</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专项储备</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盈余公积</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其中：法定公积金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任意公积金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#储备基金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#企业发展基金</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#利润归还投资</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△一般风险准备</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未分配利润</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-11,591,176.63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归属于母公司所有者权益（或股东权益）合计</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201,843,723.37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textAlignment w:val="center"/>
              <w:rPr>
                <w:rFonts w:ascii="Arial" w:hAnsi="Arial" w:cs="Arial"/>
                <w:sz w:val="15"/>
                <w:szCs w:val="15"/>
              </w:rPr>
            </w:pPr>
            <w:r>
              <w:rPr>
                <w:rFonts w:ascii="Arial" w:hAnsi="Arial" w:cs="Arial"/>
                <w:sz w:val="15"/>
                <w:szCs w:val="15"/>
                <w:lang w:bidi="ar"/>
              </w:rPr>
              <w:t xml:space="preserve">       *少数股东权益</w:t>
            </w:r>
          </w:p>
        </w:tc>
        <w:tc>
          <w:tcPr>
            <w:tcW w:w="1767" w:type="dxa"/>
            <w:shd w:val="clear" w:color="auto" w:fill="auto"/>
            <w:noWrap/>
            <w:vAlign w:val="center"/>
          </w:tcPr>
          <w:p>
            <w:pPr>
              <w:jc w:val="right"/>
              <w:rPr>
                <w:rFonts w:ascii="Arial" w:hAnsi="Arial" w:cs="Arial"/>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rPr>
                <w:rFonts w:ascii="Arial" w:hAnsi="Arial" w:cs="Arial"/>
                <w:sz w:val="15"/>
                <w:szCs w:val="15"/>
              </w:rPr>
            </w:pPr>
          </w:p>
        </w:tc>
        <w:tc>
          <w:tcPr>
            <w:tcW w:w="1800" w:type="dxa"/>
            <w:shd w:val="clear" w:color="auto" w:fill="auto"/>
            <w:noWrap/>
            <w:vAlign w:val="center"/>
          </w:tcPr>
          <w:p>
            <w:pPr>
              <w:jc w:val="right"/>
              <w:rPr>
                <w:rFonts w:ascii="Arial" w:hAnsi="Arial" w:cs="Arial"/>
                <w:sz w:val="15"/>
                <w:szCs w:val="15"/>
              </w:rPr>
            </w:pPr>
          </w:p>
        </w:tc>
        <w:tc>
          <w:tcPr>
            <w:tcW w:w="3447"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所有者权益（或股东权益）合计</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201,843,723.37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62"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资  产  总  计</w:t>
            </w:r>
          </w:p>
        </w:tc>
        <w:tc>
          <w:tcPr>
            <w:tcW w:w="1800"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3,245,724,084.60</w:t>
            </w:r>
          </w:p>
        </w:tc>
        <w:tc>
          <w:tcPr>
            <w:tcW w:w="3447"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负债和所有者权益（或股东权益）总计</w:t>
            </w:r>
          </w:p>
        </w:tc>
        <w:tc>
          <w:tcPr>
            <w:tcW w:w="1767" w:type="dxa"/>
            <w:shd w:val="clear" w:color="auto" w:fill="auto"/>
            <w:noWrap/>
            <w:vAlign w:val="center"/>
          </w:tcPr>
          <w:p>
            <w:pPr>
              <w:jc w:val="right"/>
              <w:textAlignment w:val="center"/>
              <w:rPr>
                <w:rFonts w:ascii="Arial" w:hAnsi="Arial" w:cs="Arial"/>
                <w:sz w:val="15"/>
                <w:szCs w:val="15"/>
              </w:rPr>
            </w:pPr>
            <w:r>
              <w:rPr>
                <w:rFonts w:ascii="Arial" w:hAnsi="Arial" w:cs="Arial"/>
                <w:sz w:val="15"/>
                <w:szCs w:val="15"/>
                <w:lang w:bidi="ar"/>
              </w:rPr>
              <w:t>3,245,724,084.60</w:t>
            </w:r>
          </w:p>
        </w:tc>
      </w:tr>
    </w:tbl>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tbl>
      <w:tblPr>
        <w:tblStyle w:val="18"/>
        <w:tblW w:w="10178" w:type="dxa"/>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8"/>
        <w:gridCol w:w="240"/>
        <w:gridCol w:w="1014"/>
        <w:gridCol w:w="449"/>
        <w:gridCol w:w="3609"/>
        <w:gridCol w:w="219"/>
        <w:gridCol w:w="972"/>
        <w:gridCol w:w="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78" w:type="dxa"/>
            <w:gridSpan w:val="8"/>
            <w:shd w:val="clear" w:color="auto" w:fill="auto"/>
            <w:noWrap/>
            <w:vAlign w:val="bottom"/>
          </w:tcPr>
          <w:p>
            <w:pPr>
              <w:jc w:val="center"/>
              <w:textAlignment w:val="bottom"/>
              <w:rPr>
                <w:rFonts w:ascii="Arial" w:hAnsi="Arial" w:cs="Arial"/>
                <w:color w:val="000000"/>
                <w:sz w:val="15"/>
                <w:szCs w:val="15"/>
              </w:rPr>
            </w:pPr>
            <w:r>
              <w:rPr>
                <w:rFonts w:ascii="Arial" w:hAnsi="Arial" w:cs="Arial"/>
                <w:b/>
                <w:bCs/>
                <w:color w:val="000000"/>
                <w:sz w:val="15"/>
                <w:szCs w:val="15"/>
                <w:lang w:bidi="ar"/>
              </w:rPr>
              <w:t>利润表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3338" w:type="dxa"/>
            <w:shd w:val="clear" w:color="auto" w:fill="auto"/>
            <w:noWrap/>
            <w:vAlign w:val="center"/>
          </w:tcPr>
          <w:p>
            <w:pPr>
              <w:rPr>
                <w:rFonts w:ascii="Arial" w:hAnsi="Arial" w:cs="Arial"/>
                <w:color w:val="000000"/>
                <w:sz w:val="15"/>
                <w:szCs w:val="15"/>
              </w:rPr>
            </w:pPr>
          </w:p>
        </w:tc>
        <w:tc>
          <w:tcPr>
            <w:tcW w:w="1254" w:type="dxa"/>
            <w:gridSpan w:val="2"/>
            <w:shd w:val="clear" w:color="auto" w:fill="auto"/>
            <w:noWrap/>
            <w:vAlign w:val="center"/>
          </w:tcPr>
          <w:p>
            <w:pPr>
              <w:rPr>
                <w:rFonts w:ascii="Arial" w:hAnsi="Arial" w:cs="Arial"/>
                <w:color w:val="000000"/>
                <w:sz w:val="15"/>
                <w:szCs w:val="15"/>
              </w:rPr>
            </w:pPr>
          </w:p>
        </w:tc>
        <w:tc>
          <w:tcPr>
            <w:tcW w:w="4277" w:type="dxa"/>
            <w:gridSpan w:val="3"/>
            <w:shd w:val="clear" w:color="auto" w:fill="auto"/>
            <w:noWrap/>
            <w:vAlign w:val="center"/>
          </w:tcPr>
          <w:p>
            <w:pPr>
              <w:rPr>
                <w:rFonts w:ascii="Arial" w:hAnsi="Arial" w:cs="Arial"/>
                <w:color w:val="000000"/>
                <w:sz w:val="15"/>
                <w:szCs w:val="15"/>
              </w:rPr>
            </w:pPr>
          </w:p>
        </w:tc>
        <w:tc>
          <w:tcPr>
            <w:tcW w:w="1309" w:type="dxa"/>
            <w:gridSpan w:val="2"/>
            <w:shd w:val="clear" w:color="auto" w:fill="auto"/>
            <w:noWrap/>
            <w:vAlign w:val="center"/>
          </w:tcPr>
          <w:p>
            <w:pPr>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592" w:type="dxa"/>
            <w:gridSpan w:val="3"/>
            <w:shd w:val="clear" w:color="auto" w:fill="auto"/>
            <w:noWrap/>
            <w:vAlign w:val="center"/>
          </w:tcPr>
          <w:p>
            <w:pPr>
              <w:rPr>
                <w:rFonts w:ascii="Arial" w:hAnsi="Arial" w:cs="Arial"/>
                <w:color w:val="000000"/>
                <w:sz w:val="15"/>
                <w:szCs w:val="15"/>
              </w:rPr>
            </w:pPr>
            <w:r>
              <w:rPr>
                <w:rFonts w:ascii="Arial" w:hAnsi="Arial" w:cs="Arial"/>
                <w:color w:val="000000"/>
                <w:sz w:val="15"/>
                <w:szCs w:val="15"/>
                <w:lang w:bidi="ar"/>
              </w:rPr>
              <w:t>编制单位：福州首融房地产开发有限公司</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填报期间：2021年0</w:t>
            </w:r>
            <w:r>
              <w:rPr>
                <w:rFonts w:hint="eastAsia" w:ascii="Arial" w:hAnsi="Arial" w:cs="Arial"/>
                <w:color w:val="000000"/>
                <w:sz w:val="15"/>
                <w:szCs w:val="15"/>
                <w:lang w:bidi="ar"/>
              </w:rPr>
              <w:t>9</w:t>
            </w:r>
            <w:r>
              <w:rPr>
                <w:rFonts w:ascii="Arial" w:hAnsi="Arial" w:cs="Arial"/>
                <w:color w:val="000000"/>
                <w:sz w:val="15"/>
                <w:szCs w:val="15"/>
                <w:lang w:bidi="ar"/>
              </w:rPr>
              <w:t>月</w:t>
            </w:r>
          </w:p>
        </w:tc>
        <w:tc>
          <w:tcPr>
            <w:tcW w:w="1309" w:type="dxa"/>
            <w:gridSpan w:val="2"/>
            <w:shd w:val="clear" w:color="auto" w:fill="auto"/>
            <w:noWrap/>
            <w:vAlign w:val="bottom"/>
          </w:tcPr>
          <w:p>
            <w:pPr>
              <w:jc w:val="right"/>
              <w:textAlignment w:val="bottom"/>
              <w:rPr>
                <w:rFonts w:ascii="Arial" w:hAnsi="Arial" w:cs="Arial"/>
                <w:color w:val="000000"/>
                <w:sz w:val="15"/>
                <w:szCs w:val="15"/>
              </w:rPr>
            </w:pPr>
            <w:r>
              <w:rPr>
                <w:rFonts w:ascii="Arial" w:hAnsi="Arial" w:cs="Arial"/>
                <w:color w:val="000000"/>
                <w:sz w:val="15"/>
                <w:szCs w:val="15"/>
                <w:lang w:bidi="ar"/>
              </w:rPr>
              <w:t>金额单位：元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项            目</w:t>
            </w:r>
          </w:p>
        </w:tc>
        <w:tc>
          <w:tcPr>
            <w:tcW w:w="1254" w:type="dxa"/>
            <w:gridSpan w:val="2"/>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本期金额</w:t>
            </w:r>
          </w:p>
        </w:tc>
        <w:tc>
          <w:tcPr>
            <w:tcW w:w="4277" w:type="dxa"/>
            <w:gridSpan w:val="3"/>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项           目</w:t>
            </w:r>
          </w:p>
        </w:tc>
        <w:tc>
          <w:tcPr>
            <w:tcW w:w="1309" w:type="dxa"/>
            <w:gridSpan w:val="2"/>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本期金额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一、营业总收入</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减：营业外支出</w:t>
            </w:r>
          </w:p>
        </w:tc>
        <w:tc>
          <w:tcPr>
            <w:tcW w:w="1309"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4,576.58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其中：营业收入</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四、利润总额（亏损总额以“－”号填列）</w:t>
            </w:r>
          </w:p>
        </w:tc>
        <w:tc>
          <w:tcPr>
            <w:tcW w:w="1309"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-10,171,320.96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△利息收入</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减：所得税费用</w:t>
            </w:r>
          </w:p>
        </w:tc>
        <w:tc>
          <w:tcPr>
            <w:tcW w:w="1309"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-1,153,832.28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△已赚保费</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五、净利润（净亏损以“－”号填列）</w:t>
            </w:r>
          </w:p>
        </w:tc>
        <w:tc>
          <w:tcPr>
            <w:tcW w:w="1309"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-9,017,488.68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△手续费及佣金收入</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（一）按所有权归属分类:</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二、营业总成本</w:t>
            </w:r>
          </w:p>
        </w:tc>
        <w:tc>
          <w:tcPr>
            <w:tcW w:w="1254"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10,166,744.38</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归属于母公司所有者的净利润</w:t>
            </w:r>
          </w:p>
        </w:tc>
        <w:tc>
          <w:tcPr>
            <w:tcW w:w="1309"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-9,017,488.68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其中：营业成本</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*少数股东损益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△利息支出</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（二）按经营持续性分类:</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△手续费及佣金支出</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持续经营净利润（净亏损以“－”号填列）</w:t>
            </w:r>
          </w:p>
        </w:tc>
        <w:tc>
          <w:tcPr>
            <w:tcW w:w="1309"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-9,017,488.68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△退保金</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终止经营净利润（净亏损以“－”号填列）</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△赔付支出净额</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六、其他综合收益的税后净额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△提取保险责任准备金净额</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归属于母公司所有者的其他综合收益的税后净额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△保单红利支出</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（一）不能重分类进损益的其他综合收益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△分保费用</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1.重新计量设定受益计划变动额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税金及附加</w:t>
            </w:r>
          </w:p>
        </w:tc>
        <w:tc>
          <w:tcPr>
            <w:tcW w:w="1254"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230,111.72</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2.权益法下不能转损益的其他综合收益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销售费用</w:t>
            </w:r>
          </w:p>
        </w:tc>
        <w:tc>
          <w:tcPr>
            <w:tcW w:w="1254"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6,469,988.49</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☆3.其他权益工具投资公允价值变动</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管理费用</w:t>
            </w:r>
          </w:p>
        </w:tc>
        <w:tc>
          <w:tcPr>
            <w:tcW w:w="1254"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3,487,086.06</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☆4.企业自身信用风险公允价值变动</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研发费用</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5.其他</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财务费用</w:t>
            </w:r>
          </w:p>
        </w:tc>
        <w:tc>
          <w:tcPr>
            <w:tcW w:w="1254"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-20,441.89</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（二）将重分类进损益的其他综合收益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其中：利息支出</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1.权益法下可转损益的其他综合收益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利息收入</w:t>
            </w:r>
          </w:p>
        </w:tc>
        <w:tc>
          <w:tcPr>
            <w:tcW w:w="1254"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61,161.69</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☆2.其他债权投资公允价值变动</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汇兑净损失（净收益以“-”号填列）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3.可供出售金融资产公允价值变动损益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其他</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☆4.金融资产重分类计入其他综合收益的金额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加：其他收益</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5.持有至到期投资重分类为可供出售金融资产损益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投资收益（损失以“-”号填列）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☆6.其他债权投资信用减值准备</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其中：对联营企业和合营企业的投资收益</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7.现金流量套期储备（现金流量套期损益的有效部分）</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☆以摊余成本计量的金融资产终止确认收益</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8.外币财务报表折算差额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△汇兑收益（损失以“-”号填列）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9.其他</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☆净敞口套期收益（损失以“-”号填列）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*归属于少数股东的其他综合收益的税后净额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公允价值变动收益（损失以“-”号填列）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七、综合收益总额</w:t>
            </w:r>
          </w:p>
        </w:tc>
        <w:tc>
          <w:tcPr>
            <w:tcW w:w="1309"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-9,017,488.68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☆信用减值损失（损失以“-”号填列）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归属于母公司所有者的综合收益总额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资产减值损失（损失以“-”号填列）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*归属于少数股东的综合收益总额</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资产处置收益（损失以“-”号填列）</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八、每股收益：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三、营业利润（亏损以“－”号填列）</w:t>
            </w:r>
          </w:p>
        </w:tc>
        <w:tc>
          <w:tcPr>
            <w:tcW w:w="1254"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-10,166,744.38</w:t>
            </w: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基本每股收益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加：营业外收入</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稀释每股收益</w:t>
            </w: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338"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其中：政府补助</w:t>
            </w:r>
          </w:p>
        </w:tc>
        <w:tc>
          <w:tcPr>
            <w:tcW w:w="1254" w:type="dxa"/>
            <w:gridSpan w:val="2"/>
            <w:shd w:val="clear" w:color="auto" w:fill="auto"/>
            <w:noWrap/>
            <w:vAlign w:val="center"/>
          </w:tcPr>
          <w:p>
            <w:pPr>
              <w:jc w:val="right"/>
              <w:rPr>
                <w:rFonts w:ascii="Arial" w:hAnsi="Arial" w:cs="Arial"/>
                <w:color w:val="000000"/>
                <w:sz w:val="15"/>
                <w:szCs w:val="15"/>
              </w:rPr>
            </w:pPr>
          </w:p>
        </w:tc>
        <w:tc>
          <w:tcPr>
            <w:tcW w:w="4277" w:type="dxa"/>
            <w:gridSpan w:val="3"/>
            <w:shd w:val="clear" w:color="auto" w:fill="auto"/>
            <w:noWrap/>
            <w:vAlign w:val="center"/>
          </w:tcPr>
          <w:p>
            <w:pPr>
              <w:rPr>
                <w:rFonts w:ascii="Arial" w:hAnsi="Arial" w:cs="Arial"/>
                <w:color w:val="000000"/>
                <w:sz w:val="15"/>
                <w:szCs w:val="15"/>
              </w:rPr>
            </w:pPr>
          </w:p>
        </w:tc>
        <w:tc>
          <w:tcPr>
            <w:tcW w:w="1309"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453" w:hRule="atLeast"/>
        </w:trPr>
        <w:tc>
          <w:tcPr>
            <w:tcW w:w="9841" w:type="dxa"/>
            <w:gridSpan w:val="7"/>
            <w:shd w:val="clear" w:color="auto" w:fill="auto"/>
            <w:noWrap/>
            <w:vAlign w:val="bottom"/>
          </w:tcPr>
          <w:p>
            <w:pPr>
              <w:jc w:val="center"/>
              <w:textAlignment w:val="bottom"/>
              <w:rPr>
                <w:rFonts w:ascii="Arial" w:hAnsi="Arial" w:cs="Arial"/>
                <w:color w:val="000000"/>
                <w:sz w:val="15"/>
                <w:szCs w:val="15"/>
              </w:rPr>
            </w:pPr>
            <w:r>
              <w:rPr>
                <w:rFonts w:ascii="Arial" w:hAnsi="Arial" w:cs="Arial"/>
                <w:b/>
                <w:bCs/>
                <w:color w:val="000000"/>
                <w:sz w:val="15"/>
                <w:szCs w:val="15"/>
                <w:lang w:bidi="ar"/>
              </w:rPr>
              <w:t>现金流量表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rPr>
                <w:rFonts w:ascii="Arial" w:hAnsi="Arial" w:cs="Arial"/>
                <w:color w:val="000000"/>
                <w:sz w:val="15"/>
                <w:szCs w:val="15"/>
              </w:rPr>
            </w:pPr>
          </w:p>
        </w:tc>
        <w:tc>
          <w:tcPr>
            <w:tcW w:w="1463" w:type="dxa"/>
            <w:gridSpan w:val="2"/>
            <w:shd w:val="clear" w:color="auto" w:fill="auto"/>
            <w:noWrap/>
            <w:vAlign w:val="center"/>
          </w:tcPr>
          <w:p>
            <w:pPr>
              <w:rPr>
                <w:rFonts w:ascii="Arial" w:hAnsi="Arial" w:cs="Arial"/>
                <w:color w:val="000000"/>
                <w:sz w:val="15"/>
                <w:szCs w:val="15"/>
              </w:rPr>
            </w:pPr>
          </w:p>
        </w:tc>
        <w:tc>
          <w:tcPr>
            <w:tcW w:w="3609" w:type="dxa"/>
            <w:shd w:val="clear" w:color="auto" w:fill="auto"/>
            <w:noWrap/>
            <w:vAlign w:val="center"/>
          </w:tcPr>
          <w:p>
            <w:pPr>
              <w:rPr>
                <w:rFonts w:ascii="Arial" w:hAnsi="Arial" w:cs="Arial"/>
                <w:color w:val="000000"/>
                <w:sz w:val="15"/>
                <w:szCs w:val="15"/>
              </w:rPr>
            </w:pPr>
          </w:p>
        </w:tc>
        <w:tc>
          <w:tcPr>
            <w:tcW w:w="1191" w:type="dxa"/>
            <w:gridSpan w:val="2"/>
            <w:shd w:val="clear" w:color="auto" w:fill="auto"/>
            <w:noWrap/>
            <w:vAlign w:val="center"/>
          </w:tcPr>
          <w:p>
            <w:pPr>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编制单位：福州首融房地产开发有限公司</w:t>
            </w:r>
          </w:p>
        </w:tc>
        <w:tc>
          <w:tcPr>
            <w:tcW w:w="1463" w:type="dxa"/>
            <w:gridSpan w:val="2"/>
            <w:shd w:val="clear" w:color="auto" w:fill="auto"/>
            <w:noWrap/>
            <w:vAlign w:val="center"/>
          </w:tcPr>
          <w:p>
            <w:pPr>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填报期间：2021年0</w:t>
            </w:r>
            <w:r>
              <w:rPr>
                <w:rFonts w:hint="eastAsia" w:ascii="Arial" w:hAnsi="Arial" w:cs="Arial"/>
                <w:color w:val="000000"/>
                <w:sz w:val="15"/>
                <w:szCs w:val="15"/>
                <w:lang w:bidi="ar"/>
              </w:rPr>
              <w:t>9</w:t>
            </w:r>
            <w:r>
              <w:rPr>
                <w:rFonts w:ascii="Arial" w:hAnsi="Arial" w:cs="Arial"/>
                <w:color w:val="000000"/>
                <w:sz w:val="15"/>
                <w:szCs w:val="15"/>
                <w:lang w:bidi="ar"/>
              </w:rPr>
              <w:t>月</w:t>
            </w:r>
          </w:p>
        </w:tc>
        <w:tc>
          <w:tcPr>
            <w:tcW w:w="1191" w:type="dxa"/>
            <w:gridSpan w:val="2"/>
            <w:shd w:val="clear" w:color="auto" w:fill="auto"/>
            <w:noWrap/>
            <w:vAlign w:val="center"/>
          </w:tcPr>
          <w:p>
            <w:pPr>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项              目</w:t>
            </w:r>
          </w:p>
        </w:tc>
        <w:tc>
          <w:tcPr>
            <w:tcW w:w="1463" w:type="dxa"/>
            <w:gridSpan w:val="2"/>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本期金额</w:t>
            </w:r>
          </w:p>
        </w:tc>
        <w:tc>
          <w:tcPr>
            <w:tcW w:w="3609" w:type="dxa"/>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项            目</w:t>
            </w:r>
          </w:p>
        </w:tc>
        <w:tc>
          <w:tcPr>
            <w:tcW w:w="1191" w:type="dxa"/>
            <w:gridSpan w:val="2"/>
            <w:shd w:val="clear" w:color="auto" w:fill="auto"/>
            <w:noWrap/>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本期金额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一、经营活动产生的现金流量：</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收回投资收到的现金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销售商品、提供劳务收到的现金</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取得投资收益收到的现金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△客户存款和同业存放款项净增加额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处置固定资产、无形资产和其他长期资产收回的现金净额</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△向中央银行借款净增加额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处置子公司及其他营业单位收到的现金净额</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△向其他金融机构拆入资金净增加额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收到其他与投资活动有关的现金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△收到原保险合同保费取得的现金</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投资活动现金流入小计</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△收到再保业务现金净额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购建固定资产、无形资产和其他长期资产支付的现金</w:t>
            </w:r>
          </w:p>
        </w:tc>
        <w:tc>
          <w:tcPr>
            <w:tcW w:w="1191"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82,733.15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△保户储金及投资款净增加额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投资支付的现金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△处置以公允价值计量且其变动计入当期损益的金融资产净增加额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△质押贷款净增加额</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△收取利息、手续费及佣金的现金</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取得子公司及其他营业单位支付的现金净额</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△拆入资金净增加额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支付其他与投资活动有关的现金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△回购业务资金净增加额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投资活动现金流出小计</w:t>
            </w:r>
          </w:p>
        </w:tc>
        <w:tc>
          <w:tcPr>
            <w:tcW w:w="1191"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82,733.15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△代理买卖证券收到的现金净额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投资活动产生的现金流量净额</w:t>
            </w:r>
          </w:p>
        </w:tc>
        <w:tc>
          <w:tcPr>
            <w:tcW w:w="1191"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-82,733.15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收到的税费返还</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三、筹资活动产生的现金流量：</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收到其他与经营活动有关的现金</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2,281,375,169.92</w:t>
            </w: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吸收投资收到的现金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经营活动现金流入小计</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2,281,375,169.92</w:t>
            </w: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其中：子公司吸收少数股东投资收到的现金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购买商品、接受劳务支付的现金</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1,526,921,935.03</w:t>
            </w: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取得借款收到的现金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△客户贷款及垫款净增加额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收到其他与筹资活动有关的现金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△存放中央银行和同业款项净增加额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筹资活动现金流入小计</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△支付原保险合同赔付款项的现金</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偿还债务支付的现金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△拆出资金净增加额</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分配股利、利润或偿付利息支付的现金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△支付利息、手续费及佣金的现金</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其中：子公司支付给少数股东的股利、利润</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△支付保单红利的现金</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支付其他与筹资活动有关的现金</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支付给职工及为职工支付的现金</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105,991.00</w:t>
            </w:r>
          </w:p>
        </w:tc>
        <w:tc>
          <w:tcPr>
            <w:tcW w:w="3609" w:type="dxa"/>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筹资活动现金流出小计</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支付的各项税费</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230,111.72</w:t>
            </w:r>
          </w:p>
        </w:tc>
        <w:tc>
          <w:tcPr>
            <w:tcW w:w="3609" w:type="dxa"/>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筹资活动产生的现金流量净额</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支付其他与经营活动有关的现金</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744,776,813.60</w:t>
            </w: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四、汇率变动对现金及现金等价物的影响</w:t>
            </w:r>
          </w:p>
        </w:tc>
        <w:tc>
          <w:tcPr>
            <w:tcW w:w="1191" w:type="dxa"/>
            <w:gridSpan w:val="2"/>
            <w:shd w:val="clear" w:color="auto" w:fill="auto"/>
            <w:noWrap/>
            <w:vAlign w:val="center"/>
          </w:tcPr>
          <w:p>
            <w:pPr>
              <w:jc w:val="right"/>
              <w:rPr>
                <w:rFonts w:ascii="Arial" w:hAnsi="Arial" w:cs="Arial"/>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经营活动现金流出小计</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2,272,034,851.35</w:t>
            </w: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五、现金及现金等价物净增加额</w:t>
            </w:r>
          </w:p>
        </w:tc>
        <w:tc>
          <w:tcPr>
            <w:tcW w:w="1191"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9,257,585.42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经营活动产生的现金流量净额</w:t>
            </w:r>
          </w:p>
        </w:tc>
        <w:tc>
          <w:tcPr>
            <w:tcW w:w="1463"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9,340,318.57</w:t>
            </w: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    加：期初现金及现金等价物余额</w:t>
            </w:r>
          </w:p>
        </w:tc>
        <w:tc>
          <w:tcPr>
            <w:tcW w:w="1191"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15,274,200.93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7" w:type="dxa"/>
          <w:trHeight w:val="311" w:hRule="atLeast"/>
        </w:trPr>
        <w:tc>
          <w:tcPr>
            <w:tcW w:w="3578" w:type="dxa"/>
            <w:gridSpan w:val="2"/>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二、投资活动产生的现金流量：</w:t>
            </w:r>
          </w:p>
        </w:tc>
        <w:tc>
          <w:tcPr>
            <w:tcW w:w="1463" w:type="dxa"/>
            <w:gridSpan w:val="2"/>
            <w:shd w:val="clear" w:color="auto" w:fill="auto"/>
            <w:noWrap/>
            <w:vAlign w:val="center"/>
          </w:tcPr>
          <w:p>
            <w:pPr>
              <w:jc w:val="right"/>
              <w:rPr>
                <w:rFonts w:ascii="Arial" w:hAnsi="Arial" w:cs="Arial"/>
                <w:color w:val="000000"/>
                <w:sz w:val="15"/>
                <w:szCs w:val="15"/>
              </w:rPr>
            </w:pPr>
          </w:p>
        </w:tc>
        <w:tc>
          <w:tcPr>
            <w:tcW w:w="3609" w:type="dxa"/>
            <w:shd w:val="clear" w:color="auto" w:fill="auto"/>
            <w:noWrap/>
            <w:vAlign w:val="center"/>
          </w:tcPr>
          <w:p>
            <w:pPr>
              <w:textAlignment w:val="center"/>
              <w:rPr>
                <w:rFonts w:ascii="Arial" w:hAnsi="Arial" w:cs="Arial"/>
                <w:color w:val="000000"/>
                <w:sz w:val="15"/>
                <w:szCs w:val="15"/>
              </w:rPr>
            </w:pPr>
            <w:r>
              <w:rPr>
                <w:rFonts w:ascii="Arial" w:hAnsi="Arial" w:cs="Arial"/>
                <w:color w:val="000000"/>
                <w:sz w:val="15"/>
                <w:szCs w:val="15"/>
                <w:lang w:bidi="ar"/>
              </w:rPr>
              <w:t>六、期末现金及现金等价物余额</w:t>
            </w:r>
          </w:p>
        </w:tc>
        <w:tc>
          <w:tcPr>
            <w:tcW w:w="1191" w:type="dxa"/>
            <w:gridSpan w:val="2"/>
            <w:shd w:val="clear" w:color="auto" w:fill="auto"/>
            <w:noWrap/>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24,531,786.35</w:t>
            </w:r>
          </w:p>
        </w:tc>
      </w:tr>
    </w:tbl>
    <w:p>
      <w:pPr>
        <w:pStyle w:val="2"/>
        <w:ind w:firstLine="0" w:firstLineChars="0"/>
      </w:pPr>
    </w:p>
    <w:p>
      <w:pPr>
        <w:pStyle w:val="2"/>
        <w:ind w:firstLine="0" w:firstLineChars="0"/>
        <w:rPr>
          <w:rFonts w:ascii="Arial" w:hAnsi="Arial" w:cs="Arial"/>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howingPlcHdr/>
    </w:sdtPr>
    <w:sdtContent>
      <w:p>
        <w:pPr>
          <w:pStyle w:val="11"/>
          <w:jc w:val="center"/>
        </w:pPr>
        <w:r>
          <w:t xml:space="preserve">     </w:t>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6206008"/>
    </w:sdtPr>
    <w:sdtContent>
      <w:p>
        <w:pPr>
          <w:pStyle w:val="11"/>
          <w:jc w:val="center"/>
        </w:pPr>
        <w:r>
          <w:fldChar w:fldCharType="begin"/>
        </w:r>
        <w:r>
          <w:instrText xml:space="preserve">PAGE   \* MERGEFORMAT</w:instrText>
        </w:r>
        <w:r>
          <w:fldChar w:fldCharType="separate"/>
        </w:r>
        <w:r>
          <w:rPr>
            <w:lang w:val="zh-CN"/>
          </w:rPr>
          <w:t>6</w:t>
        </w:r>
        <w: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0668020"/>
    </w:sdtPr>
    <w:sdtContent>
      <w:p>
        <w:pPr>
          <w:pStyle w:val="11"/>
          <w:jc w:val="center"/>
        </w:pPr>
        <w:r>
          <w:fldChar w:fldCharType="begin"/>
        </w:r>
        <w:r>
          <w:instrText xml:space="preserve">PAGE   \* MERGEFORMAT</w:instrText>
        </w:r>
        <w:r>
          <w:fldChar w:fldCharType="separate"/>
        </w:r>
        <w:r>
          <w:rPr>
            <w:lang w:val="zh-CN"/>
          </w:rPr>
          <w:t>16</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9C3C4"/>
    <w:multiLevelType w:val="singleLevel"/>
    <w:tmpl w:val="94C9C3C4"/>
    <w:lvl w:ilvl="0" w:tentative="0">
      <w:start w:val="1"/>
      <w:numFmt w:val="decimal"/>
      <w:lvlText w:val="%1."/>
      <w:lvlJc w:val="left"/>
      <w:pPr>
        <w:ind w:left="425" w:hanging="425"/>
      </w:pPr>
      <w:rPr>
        <w:rFonts w:hint="default" w:ascii="Arial" w:hAnsi="Arial" w:cs="Arial"/>
        <w:sz w:val="24"/>
        <w:szCs w:val="24"/>
      </w:rPr>
    </w:lvl>
  </w:abstractNum>
  <w:abstractNum w:abstractNumId="1">
    <w:nsid w:val="A29CA5C9"/>
    <w:multiLevelType w:val="singleLevel"/>
    <w:tmpl w:val="A29CA5C9"/>
    <w:lvl w:ilvl="0" w:tentative="0">
      <w:start w:val="1"/>
      <w:numFmt w:val="decimal"/>
      <w:lvlText w:val="%1."/>
      <w:lvlJc w:val="left"/>
      <w:pPr>
        <w:tabs>
          <w:tab w:val="left" w:pos="312"/>
        </w:tabs>
      </w:pPr>
    </w:lvl>
  </w:abstractNum>
  <w:abstractNum w:abstractNumId="2">
    <w:nsid w:val="F0316E64"/>
    <w:multiLevelType w:val="singleLevel"/>
    <w:tmpl w:val="F0316E64"/>
    <w:lvl w:ilvl="0" w:tentative="0">
      <w:start w:val="1"/>
      <w:numFmt w:val="decimal"/>
      <w:suff w:val="nothing"/>
      <w:lvlText w:val="%1、"/>
      <w:lvlJc w:val="left"/>
    </w:lvl>
  </w:abstractNum>
  <w:abstractNum w:abstractNumId="3">
    <w:nsid w:val="005EE7DD"/>
    <w:multiLevelType w:val="singleLevel"/>
    <w:tmpl w:val="005EE7DD"/>
    <w:lvl w:ilvl="0" w:tentative="0">
      <w:start w:val="10"/>
      <w:numFmt w:val="chineseCounting"/>
      <w:suff w:val="nothing"/>
      <w:lvlText w:val="%1、"/>
      <w:lvlJc w:val="left"/>
      <w:rPr>
        <w:rFonts w:hint="eastAsia"/>
      </w:rPr>
    </w:lvl>
  </w:abstractNum>
  <w:abstractNum w:abstractNumId="4">
    <w:nsid w:val="18E2A298"/>
    <w:multiLevelType w:val="singleLevel"/>
    <w:tmpl w:val="18E2A298"/>
    <w:lvl w:ilvl="0" w:tentative="0">
      <w:start w:val="1"/>
      <w:numFmt w:val="decimal"/>
      <w:lvlText w:val="%1."/>
      <w:lvlJc w:val="left"/>
      <w:pPr>
        <w:ind w:left="425" w:hanging="425"/>
      </w:pPr>
      <w:rPr>
        <w:rFonts w:hint="default"/>
      </w:rPr>
    </w:lvl>
  </w:abstractNum>
  <w:abstractNum w:abstractNumId="5">
    <w:nsid w:val="3D118B63"/>
    <w:multiLevelType w:val="singleLevel"/>
    <w:tmpl w:val="3D118B63"/>
    <w:lvl w:ilvl="0" w:tentative="0">
      <w:start w:val="1"/>
      <w:numFmt w:val="decimal"/>
      <w:suff w:val="nothing"/>
      <w:lvlText w:val="%1、"/>
      <w:lvlJc w:val="left"/>
      <w:pPr>
        <w:ind w:left="-360"/>
      </w:pPr>
    </w:lvl>
  </w:abstractNum>
  <w:abstractNum w:abstractNumId="6">
    <w:nsid w:val="441689C1"/>
    <w:multiLevelType w:val="singleLevel"/>
    <w:tmpl w:val="441689C1"/>
    <w:lvl w:ilvl="0" w:tentative="0">
      <w:start w:val="15"/>
      <w:numFmt w:val="chineseCounting"/>
      <w:suff w:val="nothing"/>
      <w:lvlText w:val="%1、"/>
      <w:lvlJc w:val="left"/>
      <w:rPr>
        <w:rFonts w:hint="eastAsia"/>
      </w:rPr>
    </w:lvl>
  </w:abstractNum>
  <w:abstractNum w:abstractNumId="7">
    <w:nsid w:val="647C092A"/>
    <w:multiLevelType w:val="singleLevel"/>
    <w:tmpl w:val="647C092A"/>
    <w:lvl w:ilvl="0" w:tentative="0">
      <w:start w:val="1"/>
      <w:numFmt w:val="decimal"/>
      <w:suff w:val="nothing"/>
      <w:lvlText w:val="（%1）"/>
      <w:lvlJc w:val="left"/>
      <w:pPr>
        <w:ind w:left="60"/>
      </w:pPr>
    </w:lvl>
  </w:abstractNum>
  <w:abstractNum w:abstractNumId="8">
    <w:nsid w:val="6CC6255A"/>
    <w:multiLevelType w:val="multilevel"/>
    <w:tmpl w:val="6CC6255A"/>
    <w:lvl w:ilvl="0" w:tentative="0">
      <w:start w:val="1"/>
      <w:numFmt w:val="decimal"/>
      <w:lvlText w:val="%1."/>
      <w:lvlJc w:val="left"/>
      <w:pPr>
        <w:ind w:left="360" w:hanging="360"/>
      </w:pPr>
      <w:rPr>
        <w:rFonts w:hint="default" w:ascii="Arial" w:hAnsi="Arial" w:eastAsia="宋体" w:cs="Arial"/>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644C625"/>
    <w:multiLevelType w:val="singleLevel"/>
    <w:tmpl w:val="7644C625"/>
    <w:lvl w:ilvl="0" w:tentative="0">
      <w:start w:val="2"/>
      <w:numFmt w:val="decimal"/>
      <w:suff w:val="nothing"/>
      <w:lvlText w:val="（%1）"/>
      <w:lvlJc w:val="left"/>
      <w:rPr>
        <w:rFonts w:hint="default" w:ascii="Arial" w:hAnsi="Arial" w:eastAsia="宋体" w:cs="Arial"/>
        <w:sz w:val="24"/>
        <w:szCs w:val="24"/>
      </w:rPr>
    </w:lvl>
  </w:abstractNum>
  <w:num w:numId="1">
    <w:abstractNumId w:val="9"/>
  </w:num>
  <w:num w:numId="2">
    <w:abstractNumId w:val="4"/>
  </w:num>
  <w:num w:numId="3">
    <w:abstractNumId w:val="8"/>
  </w:num>
  <w:num w:numId="4">
    <w:abstractNumId w:val="3"/>
  </w:num>
  <w:num w:numId="5">
    <w:abstractNumId w:val="0"/>
  </w:num>
  <w:num w:numId="6">
    <w:abstractNumId w:val="6"/>
  </w:num>
  <w:num w:numId="7">
    <w:abstractNumId w:val="1"/>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151AE"/>
    <w:rsid w:val="0002012C"/>
    <w:rsid w:val="000252A7"/>
    <w:rsid w:val="000261EC"/>
    <w:rsid w:val="000301A3"/>
    <w:rsid w:val="0003235F"/>
    <w:rsid w:val="00046CB9"/>
    <w:rsid w:val="00051503"/>
    <w:rsid w:val="00076BD8"/>
    <w:rsid w:val="000839B3"/>
    <w:rsid w:val="00090B71"/>
    <w:rsid w:val="000A629C"/>
    <w:rsid w:val="000C3169"/>
    <w:rsid w:val="000D0414"/>
    <w:rsid w:val="00101C62"/>
    <w:rsid w:val="00102B4E"/>
    <w:rsid w:val="0011094E"/>
    <w:rsid w:val="00111782"/>
    <w:rsid w:val="001124EB"/>
    <w:rsid w:val="00114E49"/>
    <w:rsid w:val="00115F70"/>
    <w:rsid w:val="001237D3"/>
    <w:rsid w:val="001313CF"/>
    <w:rsid w:val="001342EF"/>
    <w:rsid w:val="00152CCA"/>
    <w:rsid w:val="001632F9"/>
    <w:rsid w:val="0018047C"/>
    <w:rsid w:val="00181065"/>
    <w:rsid w:val="00183D43"/>
    <w:rsid w:val="00191B5C"/>
    <w:rsid w:val="001C00A2"/>
    <w:rsid w:val="001C71AD"/>
    <w:rsid w:val="001D1B16"/>
    <w:rsid w:val="001E748E"/>
    <w:rsid w:val="001F0558"/>
    <w:rsid w:val="002060CC"/>
    <w:rsid w:val="00223645"/>
    <w:rsid w:val="00225A5D"/>
    <w:rsid w:val="00250F02"/>
    <w:rsid w:val="0026001F"/>
    <w:rsid w:val="002754A6"/>
    <w:rsid w:val="00282D44"/>
    <w:rsid w:val="00282FD2"/>
    <w:rsid w:val="002856DE"/>
    <w:rsid w:val="00291EFD"/>
    <w:rsid w:val="002A7C5E"/>
    <w:rsid w:val="002B7F0C"/>
    <w:rsid w:val="002C0303"/>
    <w:rsid w:val="002C403A"/>
    <w:rsid w:val="002D310C"/>
    <w:rsid w:val="002F11EC"/>
    <w:rsid w:val="002F3803"/>
    <w:rsid w:val="002F3FBF"/>
    <w:rsid w:val="00313538"/>
    <w:rsid w:val="00317802"/>
    <w:rsid w:val="00325C6A"/>
    <w:rsid w:val="003308FF"/>
    <w:rsid w:val="0033333F"/>
    <w:rsid w:val="00334F24"/>
    <w:rsid w:val="003420C4"/>
    <w:rsid w:val="00342ED6"/>
    <w:rsid w:val="00351FD1"/>
    <w:rsid w:val="0035478D"/>
    <w:rsid w:val="003654DB"/>
    <w:rsid w:val="00372D82"/>
    <w:rsid w:val="00381641"/>
    <w:rsid w:val="00382E94"/>
    <w:rsid w:val="00384022"/>
    <w:rsid w:val="00387637"/>
    <w:rsid w:val="00397771"/>
    <w:rsid w:val="003979AC"/>
    <w:rsid w:val="003A4D82"/>
    <w:rsid w:val="003B1A47"/>
    <w:rsid w:val="003B1B32"/>
    <w:rsid w:val="003B600D"/>
    <w:rsid w:val="003C4239"/>
    <w:rsid w:val="003D3316"/>
    <w:rsid w:val="003E4059"/>
    <w:rsid w:val="003E4262"/>
    <w:rsid w:val="003F19F9"/>
    <w:rsid w:val="003F6A3D"/>
    <w:rsid w:val="004014B4"/>
    <w:rsid w:val="0041177E"/>
    <w:rsid w:val="004261FB"/>
    <w:rsid w:val="0046130C"/>
    <w:rsid w:val="00464951"/>
    <w:rsid w:val="00473296"/>
    <w:rsid w:val="00473ED2"/>
    <w:rsid w:val="00476B31"/>
    <w:rsid w:val="00477DA1"/>
    <w:rsid w:val="004853B4"/>
    <w:rsid w:val="004A2836"/>
    <w:rsid w:val="004A414E"/>
    <w:rsid w:val="004A5376"/>
    <w:rsid w:val="004B08B1"/>
    <w:rsid w:val="004B1192"/>
    <w:rsid w:val="004C2588"/>
    <w:rsid w:val="004C5192"/>
    <w:rsid w:val="004D66C4"/>
    <w:rsid w:val="004E1353"/>
    <w:rsid w:val="00502BB6"/>
    <w:rsid w:val="00505643"/>
    <w:rsid w:val="00511ADB"/>
    <w:rsid w:val="00522788"/>
    <w:rsid w:val="00543C4D"/>
    <w:rsid w:val="005460A7"/>
    <w:rsid w:val="005532B0"/>
    <w:rsid w:val="005657BD"/>
    <w:rsid w:val="0056688A"/>
    <w:rsid w:val="00570507"/>
    <w:rsid w:val="00595607"/>
    <w:rsid w:val="005956C3"/>
    <w:rsid w:val="005A3B1B"/>
    <w:rsid w:val="005A4DA3"/>
    <w:rsid w:val="005A544C"/>
    <w:rsid w:val="005C38C2"/>
    <w:rsid w:val="005C42DD"/>
    <w:rsid w:val="005D4545"/>
    <w:rsid w:val="005D742C"/>
    <w:rsid w:val="005E0306"/>
    <w:rsid w:val="005E650E"/>
    <w:rsid w:val="005F05F0"/>
    <w:rsid w:val="005F15E1"/>
    <w:rsid w:val="00601672"/>
    <w:rsid w:val="00602E4A"/>
    <w:rsid w:val="00603042"/>
    <w:rsid w:val="00606EA7"/>
    <w:rsid w:val="0060787A"/>
    <w:rsid w:val="00610720"/>
    <w:rsid w:val="006164B1"/>
    <w:rsid w:val="00616C0A"/>
    <w:rsid w:val="006200AD"/>
    <w:rsid w:val="006229BF"/>
    <w:rsid w:val="00637ECB"/>
    <w:rsid w:val="0064598C"/>
    <w:rsid w:val="006519AC"/>
    <w:rsid w:val="0065281F"/>
    <w:rsid w:val="00660BF5"/>
    <w:rsid w:val="00660D32"/>
    <w:rsid w:val="00662F07"/>
    <w:rsid w:val="006704F1"/>
    <w:rsid w:val="00674542"/>
    <w:rsid w:val="0068009F"/>
    <w:rsid w:val="0068755C"/>
    <w:rsid w:val="00693FBB"/>
    <w:rsid w:val="006963E3"/>
    <w:rsid w:val="006A2323"/>
    <w:rsid w:val="006A7406"/>
    <w:rsid w:val="006C5E9B"/>
    <w:rsid w:val="006C613B"/>
    <w:rsid w:val="006F708E"/>
    <w:rsid w:val="00713F47"/>
    <w:rsid w:val="0071795E"/>
    <w:rsid w:val="00722CAC"/>
    <w:rsid w:val="00723C28"/>
    <w:rsid w:val="00727DD9"/>
    <w:rsid w:val="007410B8"/>
    <w:rsid w:val="0075535A"/>
    <w:rsid w:val="00761FE0"/>
    <w:rsid w:val="00766504"/>
    <w:rsid w:val="00794EC9"/>
    <w:rsid w:val="00797C9E"/>
    <w:rsid w:val="007A5FD2"/>
    <w:rsid w:val="007C4BA4"/>
    <w:rsid w:val="007C75DF"/>
    <w:rsid w:val="007F3C33"/>
    <w:rsid w:val="007F6FBE"/>
    <w:rsid w:val="0080739F"/>
    <w:rsid w:val="008079BC"/>
    <w:rsid w:val="00827969"/>
    <w:rsid w:val="008401A8"/>
    <w:rsid w:val="00844B5B"/>
    <w:rsid w:val="00846A9E"/>
    <w:rsid w:val="00860CC9"/>
    <w:rsid w:val="00864D4E"/>
    <w:rsid w:val="0086609E"/>
    <w:rsid w:val="00866C73"/>
    <w:rsid w:val="008672A6"/>
    <w:rsid w:val="0087446D"/>
    <w:rsid w:val="00874DD6"/>
    <w:rsid w:val="00891370"/>
    <w:rsid w:val="008959FF"/>
    <w:rsid w:val="008B3598"/>
    <w:rsid w:val="008B3700"/>
    <w:rsid w:val="008B41E2"/>
    <w:rsid w:val="008B6764"/>
    <w:rsid w:val="008B6EB0"/>
    <w:rsid w:val="008C1A1C"/>
    <w:rsid w:val="008C70CF"/>
    <w:rsid w:val="008C77A7"/>
    <w:rsid w:val="008E0555"/>
    <w:rsid w:val="008E0A62"/>
    <w:rsid w:val="008E20FE"/>
    <w:rsid w:val="008E6DB1"/>
    <w:rsid w:val="008F0EC0"/>
    <w:rsid w:val="008F2025"/>
    <w:rsid w:val="008F78E7"/>
    <w:rsid w:val="0090008D"/>
    <w:rsid w:val="00905E63"/>
    <w:rsid w:val="0090612A"/>
    <w:rsid w:val="00907466"/>
    <w:rsid w:val="00911EDD"/>
    <w:rsid w:val="00912B21"/>
    <w:rsid w:val="00914F40"/>
    <w:rsid w:val="0091551D"/>
    <w:rsid w:val="00916AC8"/>
    <w:rsid w:val="00921108"/>
    <w:rsid w:val="00923705"/>
    <w:rsid w:val="00926D88"/>
    <w:rsid w:val="009309C0"/>
    <w:rsid w:val="00947033"/>
    <w:rsid w:val="00947EA5"/>
    <w:rsid w:val="00950A0A"/>
    <w:rsid w:val="00956A89"/>
    <w:rsid w:val="00965E71"/>
    <w:rsid w:val="00977382"/>
    <w:rsid w:val="00977455"/>
    <w:rsid w:val="00977E69"/>
    <w:rsid w:val="00990D31"/>
    <w:rsid w:val="00994BB8"/>
    <w:rsid w:val="009B685B"/>
    <w:rsid w:val="009C13D1"/>
    <w:rsid w:val="009D458D"/>
    <w:rsid w:val="009E0FDC"/>
    <w:rsid w:val="009E272C"/>
    <w:rsid w:val="009F078E"/>
    <w:rsid w:val="009F1D98"/>
    <w:rsid w:val="00A02604"/>
    <w:rsid w:val="00A02A6D"/>
    <w:rsid w:val="00A052D5"/>
    <w:rsid w:val="00A054C0"/>
    <w:rsid w:val="00A057AE"/>
    <w:rsid w:val="00A166D7"/>
    <w:rsid w:val="00A25740"/>
    <w:rsid w:val="00A37542"/>
    <w:rsid w:val="00A42467"/>
    <w:rsid w:val="00A42A19"/>
    <w:rsid w:val="00A54E04"/>
    <w:rsid w:val="00A55650"/>
    <w:rsid w:val="00A6162F"/>
    <w:rsid w:val="00A6705E"/>
    <w:rsid w:val="00A70C81"/>
    <w:rsid w:val="00A73F59"/>
    <w:rsid w:val="00A820A6"/>
    <w:rsid w:val="00A85AF8"/>
    <w:rsid w:val="00AB5C68"/>
    <w:rsid w:val="00AC2A6F"/>
    <w:rsid w:val="00AC6377"/>
    <w:rsid w:val="00AD2ACB"/>
    <w:rsid w:val="00AD6343"/>
    <w:rsid w:val="00AD7F2F"/>
    <w:rsid w:val="00AE0659"/>
    <w:rsid w:val="00AE195E"/>
    <w:rsid w:val="00AE3135"/>
    <w:rsid w:val="00AE4019"/>
    <w:rsid w:val="00AE4322"/>
    <w:rsid w:val="00AE646B"/>
    <w:rsid w:val="00AF3DF8"/>
    <w:rsid w:val="00AF4593"/>
    <w:rsid w:val="00AF58A2"/>
    <w:rsid w:val="00B12D0E"/>
    <w:rsid w:val="00B240E7"/>
    <w:rsid w:val="00B329CD"/>
    <w:rsid w:val="00B54A71"/>
    <w:rsid w:val="00B654B9"/>
    <w:rsid w:val="00B72278"/>
    <w:rsid w:val="00B74200"/>
    <w:rsid w:val="00B742C4"/>
    <w:rsid w:val="00B848D8"/>
    <w:rsid w:val="00BA1137"/>
    <w:rsid w:val="00BA5A03"/>
    <w:rsid w:val="00BA72BE"/>
    <w:rsid w:val="00BC2B0E"/>
    <w:rsid w:val="00BD0FCB"/>
    <w:rsid w:val="00BD590F"/>
    <w:rsid w:val="00BE6C21"/>
    <w:rsid w:val="00BF0DF7"/>
    <w:rsid w:val="00BF0F42"/>
    <w:rsid w:val="00BF3AA4"/>
    <w:rsid w:val="00BF61A2"/>
    <w:rsid w:val="00C10911"/>
    <w:rsid w:val="00C116B9"/>
    <w:rsid w:val="00C15C6D"/>
    <w:rsid w:val="00C207C2"/>
    <w:rsid w:val="00C2430B"/>
    <w:rsid w:val="00C305B6"/>
    <w:rsid w:val="00C62D5F"/>
    <w:rsid w:val="00C85455"/>
    <w:rsid w:val="00C85FB3"/>
    <w:rsid w:val="00C9150D"/>
    <w:rsid w:val="00C92A41"/>
    <w:rsid w:val="00C93377"/>
    <w:rsid w:val="00C96D6C"/>
    <w:rsid w:val="00CA1BBC"/>
    <w:rsid w:val="00CA242F"/>
    <w:rsid w:val="00CB5CA5"/>
    <w:rsid w:val="00CC5134"/>
    <w:rsid w:val="00CC7E48"/>
    <w:rsid w:val="00CF3408"/>
    <w:rsid w:val="00D02696"/>
    <w:rsid w:val="00D07237"/>
    <w:rsid w:val="00D14000"/>
    <w:rsid w:val="00D25075"/>
    <w:rsid w:val="00D25778"/>
    <w:rsid w:val="00D320FC"/>
    <w:rsid w:val="00D3638E"/>
    <w:rsid w:val="00D50902"/>
    <w:rsid w:val="00D54A58"/>
    <w:rsid w:val="00D63D1F"/>
    <w:rsid w:val="00D65551"/>
    <w:rsid w:val="00D75448"/>
    <w:rsid w:val="00D76A84"/>
    <w:rsid w:val="00D770F9"/>
    <w:rsid w:val="00D84D8F"/>
    <w:rsid w:val="00D9478F"/>
    <w:rsid w:val="00D968F1"/>
    <w:rsid w:val="00DB2CB0"/>
    <w:rsid w:val="00DB58EE"/>
    <w:rsid w:val="00DC1F2D"/>
    <w:rsid w:val="00DD59F6"/>
    <w:rsid w:val="00DD5DE4"/>
    <w:rsid w:val="00DE3673"/>
    <w:rsid w:val="00DF223A"/>
    <w:rsid w:val="00DF49B8"/>
    <w:rsid w:val="00E00C21"/>
    <w:rsid w:val="00E01F83"/>
    <w:rsid w:val="00E02321"/>
    <w:rsid w:val="00E1167D"/>
    <w:rsid w:val="00E300C2"/>
    <w:rsid w:val="00E310A3"/>
    <w:rsid w:val="00E34CBC"/>
    <w:rsid w:val="00E371AE"/>
    <w:rsid w:val="00E4648E"/>
    <w:rsid w:val="00E46E8F"/>
    <w:rsid w:val="00E73F5D"/>
    <w:rsid w:val="00E77268"/>
    <w:rsid w:val="00E86425"/>
    <w:rsid w:val="00E974B5"/>
    <w:rsid w:val="00EA385C"/>
    <w:rsid w:val="00EA590D"/>
    <w:rsid w:val="00EB4AD6"/>
    <w:rsid w:val="00EC425F"/>
    <w:rsid w:val="00ED660A"/>
    <w:rsid w:val="00EE37D0"/>
    <w:rsid w:val="00EE392B"/>
    <w:rsid w:val="00EE4B76"/>
    <w:rsid w:val="00EE6FE3"/>
    <w:rsid w:val="00EE7DDF"/>
    <w:rsid w:val="00EF104E"/>
    <w:rsid w:val="00EF4E53"/>
    <w:rsid w:val="00F028F5"/>
    <w:rsid w:val="00F22F01"/>
    <w:rsid w:val="00F370D6"/>
    <w:rsid w:val="00F4721B"/>
    <w:rsid w:val="00F725DF"/>
    <w:rsid w:val="00F731AE"/>
    <w:rsid w:val="00F73B15"/>
    <w:rsid w:val="00F744F3"/>
    <w:rsid w:val="00F75175"/>
    <w:rsid w:val="00F82E5D"/>
    <w:rsid w:val="00F83F02"/>
    <w:rsid w:val="00F9148E"/>
    <w:rsid w:val="00F92BCA"/>
    <w:rsid w:val="00F94577"/>
    <w:rsid w:val="00FA466F"/>
    <w:rsid w:val="00FA765C"/>
    <w:rsid w:val="00FB3090"/>
    <w:rsid w:val="00FB48CF"/>
    <w:rsid w:val="00FC4CF2"/>
    <w:rsid w:val="00FF0CEE"/>
    <w:rsid w:val="00FF33ED"/>
    <w:rsid w:val="010468CE"/>
    <w:rsid w:val="012820D0"/>
    <w:rsid w:val="01544325"/>
    <w:rsid w:val="016A1266"/>
    <w:rsid w:val="0277036D"/>
    <w:rsid w:val="029C07A0"/>
    <w:rsid w:val="036169EF"/>
    <w:rsid w:val="04DC3D30"/>
    <w:rsid w:val="05E07CAB"/>
    <w:rsid w:val="061228D8"/>
    <w:rsid w:val="06F270E4"/>
    <w:rsid w:val="06F67130"/>
    <w:rsid w:val="075D251C"/>
    <w:rsid w:val="08617B29"/>
    <w:rsid w:val="08762471"/>
    <w:rsid w:val="08C3626A"/>
    <w:rsid w:val="08DE3685"/>
    <w:rsid w:val="0A7A200D"/>
    <w:rsid w:val="0AA02BA5"/>
    <w:rsid w:val="0BCB20C9"/>
    <w:rsid w:val="0C0330C3"/>
    <w:rsid w:val="0D0D132F"/>
    <w:rsid w:val="0D224011"/>
    <w:rsid w:val="0D320D25"/>
    <w:rsid w:val="0D8E2264"/>
    <w:rsid w:val="0D930E46"/>
    <w:rsid w:val="0D996A60"/>
    <w:rsid w:val="0DB158AA"/>
    <w:rsid w:val="0DE33A0C"/>
    <w:rsid w:val="0E7921E2"/>
    <w:rsid w:val="0EBE2F7D"/>
    <w:rsid w:val="0F3A5270"/>
    <w:rsid w:val="0F4601DC"/>
    <w:rsid w:val="0F692971"/>
    <w:rsid w:val="0F7566A6"/>
    <w:rsid w:val="0FF67569"/>
    <w:rsid w:val="1071363B"/>
    <w:rsid w:val="109142EC"/>
    <w:rsid w:val="109D2D2F"/>
    <w:rsid w:val="10F13578"/>
    <w:rsid w:val="11074161"/>
    <w:rsid w:val="11A962E3"/>
    <w:rsid w:val="124B2C25"/>
    <w:rsid w:val="12763819"/>
    <w:rsid w:val="12917AB9"/>
    <w:rsid w:val="12E942DD"/>
    <w:rsid w:val="13203176"/>
    <w:rsid w:val="13342461"/>
    <w:rsid w:val="141B1D18"/>
    <w:rsid w:val="1445110B"/>
    <w:rsid w:val="14ED263D"/>
    <w:rsid w:val="152F6C56"/>
    <w:rsid w:val="154B7529"/>
    <w:rsid w:val="155A0901"/>
    <w:rsid w:val="15643600"/>
    <w:rsid w:val="15646945"/>
    <w:rsid w:val="15737E4A"/>
    <w:rsid w:val="15D35CBE"/>
    <w:rsid w:val="15EB136A"/>
    <w:rsid w:val="16961E50"/>
    <w:rsid w:val="16FB2843"/>
    <w:rsid w:val="17AC5B92"/>
    <w:rsid w:val="17AF4638"/>
    <w:rsid w:val="17EF7B46"/>
    <w:rsid w:val="180F33F7"/>
    <w:rsid w:val="18723C70"/>
    <w:rsid w:val="192623B7"/>
    <w:rsid w:val="195B1D80"/>
    <w:rsid w:val="19963FBE"/>
    <w:rsid w:val="1A057006"/>
    <w:rsid w:val="1A1F43B8"/>
    <w:rsid w:val="1A4A226B"/>
    <w:rsid w:val="1A5E6D3C"/>
    <w:rsid w:val="1AD44FE5"/>
    <w:rsid w:val="1B315E0B"/>
    <w:rsid w:val="1B90303B"/>
    <w:rsid w:val="1BE0483D"/>
    <w:rsid w:val="1CC65858"/>
    <w:rsid w:val="1D08314E"/>
    <w:rsid w:val="1D6D5019"/>
    <w:rsid w:val="1DB43E3F"/>
    <w:rsid w:val="1DCF6B1F"/>
    <w:rsid w:val="1E326B28"/>
    <w:rsid w:val="1E9E30B0"/>
    <w:rsid w:val="1EBB3D71"/>
    <w:rsid w:val="1F272843"/>
    <w:rsid w:val="1F5E6849"/>
    <w:rsid w:val="1F6202C0"/>
    <w:rsid w:val="200F2DAA"/>
    <w:rsid w:val="206445D3"/>
    <w:rsid w:val="207E1970"/>
    <w:rsid w:val="22077822"/>
    <w:rsid w:val="220C7860"/>
    <w:rsid w:val="22510D02"/>
    <w:rsid w:val="2256154F"/>
    <w:rsid w:val="22745FE3"/>
    <w:rsid w:val="22776555"/>
    <w:rsid w:val="22E178C2"/>
    <w:rsid w:val="23CB0B58"/>
    <w:rsid w:val="23F07F48"/>
    <w:rsid w:val="23F70689"/>
    <w:rsid w:val="23FA52DF"/>
    <w:rsid w:val="24757FEE"/>
    <w:rsid w:val="24E10DFC"/>
    <w:rsid w:val="25B14BEC"/>
    <w:rsid w:val="25FA4C85"/>
    <w:rsid w:val="26391389"/>
    <w:rsid w:val="270C128C"/>
    <w:rsid w:val="27514E87"/>
    <w:rsid w:val="27812B3D"/>
    <w:rsid w:val="27D660F7"/>
    <w:rsid w:val="27F7568B"/>
    <w:rsid w:val="28BC1649"/>
    <w:rsid w:val="28E11A6D"/>
    <w:rsid w:val="29607C7D"/>
    <w:rsid w:val="296779E2"/>
    <w:rsid w:val="296B7611"/>
    <w:rsid w:val="29733ACB"/>
    <w:rsid w:val="2982498B"/>
    <w:rsid w:val="2A8D3B04"/>
    <w:rsid w:val="2A960018"/>
    <w:rsid w:val="2AFE7C11"/>
    <w:rsid w:val="2B520A75"/>
    <w:rsid w:val="2C024101"/>
    <w:rsid w:val="2C4F000B"/>
    <w:rsid w:val="2CBE2235"/>
    <w:rsid w:val="2D36079F"/>
    <w:rsid w:val="2DA75B63"/>
    <w:rsid w:val="2DCD1009"/>
    <w:rsid w:val="2E04082C"/>
    <w:rsid w:val="2E0D4E5C"/>
    <w:rsid w:val="2E241B2E"/>
    <w:rsid w:val="2E676693"/>
    <w:rsid w:val="2EA77D40"/>
    <w:rsid w:val="2EBD4C4C"/>
    <w:rsid w:val="2EDE433E"/>
    <w:rsid w:val="2EFE4BF8"/>
    <w:rsid w:val="2FD47B32"/>
    <w:rsid w:val="305A1FE6"/>
    <w:rsid w:val="308E17DE"/>
    <w:rsid w:val="30933767"/>
    <w:rsid w:val="309704B3"/>
    <w:rsid w:val="30D835D7"/>
    <w:rsid w:val="31177D77"/>
    <w:rsid w:val="314C1DB9"/>
    <w:rsid w:val="31667C61"/>
    <w:rsid w:val="31CE0D73"/>
    <w:rsid w:val="32307764"/>
    <w:rsid w:val="32587CD6"/>
    <w:rsid w:val="32835A61"/>
    <w:rsid w:val="32E542DD"/>
    <w:rsid w:val="33322670"/>
    <w:rsid w:val="336A0F7A"/>
    <w:rsid w:val="33853D9B"/>
    <w:rsid w:val="34004C16"/>
    <w:rsid w:val="34B15EE7"/>
    <w:rsid w:val="353030A6"/>
    <w:rsid w:val="35AE1869"/>
    <w:rsid w:val="35BD7D40"/>
    <w:rsid w:val="35C0063B"/>
    <w:rsid w:val="361B34A8"/>
    <w:rsid w:val="36716D69"/>
    <w:rsid w:val="36C357F7"/>
    <w:rsid w:val="36E517F2"/>
    <w:rsid w:val="37177C8D"/>
    <w:rsid w:val="37742651"/>
    <w:rsid w:val="37804935"/>
    <w:rsid w:val="38430F1B"/>
    <w:rsid w:val="38F30CEE"/>
    <w:rsid w:val="3AA813DC"/>
    <w:rsid w:val="3AD51BD4"/>
    <w:rsid w:val="3B041ED2"/>
    <w:rsid w:val="3B4B0427"/>
    <w:rsid w:val="3C4331FA"/>
    <w:rsid w:val="3CBA0E6A"/>
    <w:rsid w:val="3CD526BD"/>
    <w:rsid w:val="3CF3011E"/>
    <w:rsid w:val="3D170EBD"/>
    <w:rsid w:val="3D35716B"/>
    <w:rsid w:val="3D64703E"/>
    <w:rsid w:val="3D6F1E71"/>
    <w:rsid w:val="3D6F2C3F"/>
    <w:rsid w:val="3D8A545F"/>
    <w:rsid w:val="3DB34FB8"/>
    <w:rsid w:val="3DD56F54"/>
    <w:rsid w:val="3E4E3581"/>
    <w:rsid w:val="3EC94E4E"/>
    <w:rsid w:val="3ED55799"/>
    <w:rsid w:val="3F635D80"/>
    <w:rsid w:val="3FA36B3F"/>
    <w:rsid w:val="3FB764CB"/>
    <w:rsid w:val="40486427"/>
    <w:rsid w:val="405E4C21"/>
    <w:rsid w:val="4060364A"/>
    <w:rsid w:val="406B7E4E"/>
    <w:rsid w:val="40B82593"/>
    <w:rsid w:val="40EA5F80"/>
    <w:rsid w:val="419C0D3B"/>
    <w:rsid w:val="41F3176E"/>
    <w:rsid w:val="42E9339E"/>
    <w:rsid w:val="42EA1BCB"/>
    <w:rsid w:val="43357CC2"/>
    <w:rsid w:val="434E3E4A"/>
    <w:rsid w:val="43FD1E89"/>
    <w:rsid w:val="46282AC3"/>
    <w:rsid w:val="466B397D"/>
    <w:rsid w:val="46903966"/>
    <w:rsid w:val="46977F6E"/>
    <w:rsid w:val="473062D9"/>
    <w:rsid w:val="478916C1"/>
    <w:rsid w:val="47D76418"/>
    <w:rsid w:val="487B01C5"/>
    <w:rsid w:val="48AD0351"/>
    <w:rsid w:val="48B86518"/>
    <w:rsid w:val="48C13635"/>
    <w:rsid w:val="491243F9"/>
    <w:rsid w:val="49280BC8"/>
    <w:rsid w:val="49382CC0"/>
    <w:rsid w:val="498D5015"/>
    <w:rsid w:val="49BB5702"/>
    <w:rsid w:val="49D03BCB"/>
    <w:rsid w:val="4A261E49"/>
    <w:rsid w:val="4A8B3F68"/>
    <w:rsid w:val="4BD5469E"/>
    <w:rsid w:val="4C0E0D45"/>
    <w:rsid w:val="4C53164E"/>
    <w:rsid w:val="4CC17AAE"/>
    <w:rsid w:val="4CE75E98"/>
    <w:rsid w:val="4D2B5DBC"/>
    <w:rsid w:val="4D70310E"/>
    <w:rsid w:val="4DDE4F98"/>
    <w:rsid w:val="4DF73D4E"/>
    <w:rsid w:val="4E07746C"/>
    <w:rsid w:val="4E4B3537"/>
    <w:rsid w:val="4F371C3A"/>
    <w:rsid w:val="4F5B4BD3"/>
    <w:rsid w:val="4F9506DF"/>
    <w:rsid w:val="50284F3D"/>
    <w:rsid w:val="502B1354"/>
    <w:rsid w:val="50470D94"/>
    <w:rsid w:val="50645161"/>
    <w:rsid w:val="50F7013C"/>
    <w:rsid w:val="516C72D2"/>
    <w:rsid w:val="51AA0FFF"/>
    <w:rsid w:val="51EB6F9D"/>
    <w:rsid w:val="52350361"/>
    <w:rsid w:val="52FA69B1"/>
    <w:rsid w:val="53415897"/>
    <w:rsid w:val="534A5B3E"/>
    <w:rsid w:val="53971522"/>
    <w:rsid w:val="53E40FA8"/>
    <w:rsid w:val="54002B5E"/>
    <w:rsid w:val="543834C2"/>
    <w:rsid w:val="546B7B13"/>
    <w:rsid w:val="547E624F"/>
    <w:rsid w:val="54855107"/>
    <w:rsid w:val="54B96241"/>
    <w:rsid w:val="5539365D"/>
    <w:rsid w:val="55691A62"/>
    <w:rsid w:val="55DA5BDB"/>
    <w:rsid w:val="57240C5E"/>
    <w:rsid w:val="578B2DC5"/>
    <w:rsid w:val="5885336C"/>
    <w:rsid w:val="596553E0"/>
    <w:rsid w:val="59A23AD0"/>
    <w:rsid w:val="59AA61D6"/>
    <w:rsid w:val="59BD1641"/>
    <w:rsid w:val="59F86594"/>
    <w:rsid w:val="5A377667"/>
    <w:rsid w:val="5A3D4AD9"/>
    <w:rsid w:val="5A56577B"/>
    <w:rsid w:val="5A713768"/>
    <w:rsid w:val="5ACA5A87"/>
    <w:rsid w:val="5ACA5DA4"/>
    <w:rsid w:val="5AF84F23"/>
    <w:rsid w:val="5B436025"/>
    <w:rsid w:val="5C860CF2"/>
    <w:rsid w:val="5D20035F"/>
    <w:rsid w:val="5D8D0F79"/>
    <w:rsid w:val="5DE0309E"/>
    <w:rsid w:val="5E20403C"/>
    <w:rsid w:val="5E7A41CC"/>
    <w:rsid w:val="5E9537FD"/>
    <w:rsid w:val="5EA058BF"/>
    <w:rsid w:val="5EB477AB"/>
    <w:rsid w:val="5EDF3BB8"/>
    <w:rsid w:val="5F051003"/>
    <w:rsid w:val="5FAE6320"/>
    <w:rsid w:val="60676888"/>
    <w:rsid w:val="611D5C1D"/>
    <w:rsid w:val="61544483"/>
    <w:rsid w:val="61764EFD"/>
    <w:rsid w:val="62210041"/>
    <w:rsid w:val="62241595"/>
    <w:rsid w:val="623B7798"/>
    <w:rsid w:val="629022D4"/>
    <w:rsid w:val="62A7137F"/>
    <w:rsid w:val="63512B01"/>
    <w:rsid w:val="641E293F"/>
    <w:rsid w:val="645271D0"/>
    <w:rsid w:val="648742E1"/>
    <w:rsid w:val="650C20AF"/>
    <w:rsid w:val="651A24FA"/>
    <w:rsid w:val="653234F0"/>
    <w:rsid w:val="656A6DC7"/>
    <w:rsid w:val="65F40427"/>
    <w:rsid w:val="66477641"/>
    <w:rsid w:val="66C87D2E"/>
    <w:rsid w:val="673141DC"/>
    <w:rsid w:val="67964556"/>
    <w:rsid w:val="67B23013"/>
    <w:rsid w:val="68322D2B"/>
    <w:rsid w:val="68687C99"/>
    <w:rsid w:val="690C19A4"/>
    <w:rsid w:val="690E1B7E"/>
    <w:rsid w:val="692C786C"/>
    <w:rsid w:val="699425AC"/>
    <w:rsid w:val="6A0F1514"/>
    <w:rsid w:val="6A953DBD"/>
    <w:rsid w:val="6AEC4BB9"/>
    <w:rsid w:val="6AF65CD4"/>
    <w:rsid w:val="6CB21C96"/>
    <w:rsid w:val="6D3B0934"/>
    <w:rsid w:val="6D8C209C"/>
    <w:rsid w:val="6DD61D53"/>
    <w:rsid w:val="6E1C717B"/>
    <w:rsid w:val="6E203F4E"/>
    <w:rsid w:val="6E8A0CE5"/>
    <w:rsid w:val="6EA175DC"/>
    <w:rsid w:val="6F13732C"/>
    <w:rsid w:val="6F194E11"/>
    <w:rsid w:val="6F2D10A1"/>
    <w:rsid w:val="6F2E3E63"/>
    <w:rsid w:val="6F355297"/>
    <w:rsid w:val="6F63792B"/>
    <w:rsid w:val="6F8C73BC"/>
    <w:rsid w:val="6F925A04"/>
    <w:rsid w:val="6FB1542D"/>
    <w:rsid w:val="6FCC013F"/>
    <w:rsid w:val="6FE3677E"/>
    <w:rsid w:val="7051638D"/>
    <w:rsid w:val="70A26714"/>
    <w:rsid w:val="70E51973"/>
    <w:rsid w:val="70F10113"/>
    <w:rsid w:val="7131402A"/>
    <w:rsid w:val="71521132"/>
    <w:rsid w:val="71F14B46"/>
    <w:rsid w:val="72150C69"/>
    <w:rsid w:val="72347237"/>
    <w:rsid w:val="72945F32"/>
    <w:rsid w:val="731860CC"/>
    <w:rsid w:val="731C7419"/>
    <w:rsid w:val="73916DB5"/>
    <w:rsid w:val="74C808D2"/>
    <w:rsid w:val="74E42EEB"/>
    <w:rsid w:val="74EA7623"/>
    <w:rsid w:val="757E28F6"/>
    <w:rsid w:val="75B25EEB"/>
    <w:rsid w:val="75D54F71"/>
    <w:rsid w:val="762D4B8C"/>
    <w:rsid w:val="76C67C42"/>
    <w:rsid w:val="772417A7"/>
    <w:rsid w:val="776A2EA4"/>
    <w:rsid w:val="77C812F9"/>
    <w:rsid w:val="78163D7C"/>
    <w:rsid w:val="78464022"/>
    <w:rsid w:val="78490DCD"/>
    <w:rsid w:val="7905014D"/>
    <w:rsid w:val="790E5D15"/>
    <w:rsid w:val="79110DB0"/>
    <w:rsid w:val="79197BC8"/>
    <w:rsid w:val="79723CA2"/>
    <w:rsid w:val="79886FE3"/>
    <w:rsid w:val="79A87828"/>
    <w:rsid w:val="7A235E4F"/>
    <w:rsid w:val="7A3B4A62"/>
    <w:rsid w:val="7AF6323C"/>
    <w:rsid w:val="7AFF6D8E"/>
    <w:rsid w:val="7B21686B"/>
    <w:rsid w:val="7BD635EC"/>
    <w:rsid w:val="7BE1691C"/>
    <w:rsid w:val="7D434892"/>
    <w:rsid w:val="7D8F0E68"/>
    <w:rsid w:val="7DD81827"/>
    <w:rsid w:val="7E071F45"/>
    <w:rsid w:val="7E097C3C"/>
    <w:rsid w:val="7EC65E0A"/>
    <w:rsid w:val="7F0F2BE5"/>
    <w:rsid w:val="7F5A34F8"/>
    <w:rsid w:val="7F841645"/>
    <w:rsid w:val="7F9D7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before="300" w:after="300" w:line="360" w:lineRule="exact"/>
      <w:jc w:val="both"/>
      <w:outlineLvl w:val="0"/>
    </w:pPr>
    <w:rPr>
      <w:rFonts w:ascii="Arial" w:hAnsi="Arial"/>
      <w:b/>
      <w:kern w:val="44"/>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semiHidden/>
    <w:unhideWhenUsed/>
    <w:qFormat/>
    <w:uiPriority w:val="9"/>
    <w:pPr>
      <w:spacing w:beforeAutospacing="1" w:afterAutospacing="1"/>
      <w:outlineLvl w:val="3"/>
    </w:pPr>
    <w:rPr>
      <w:rFonts w:hint="eastAsia" w:ascii="宋体" w:hAnsi="宋体"/>
      <w:b/>
      <w:bCs/>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link w:val="27"/>
    <w:unhideWhenUsed/>
    <w:qFormat/>
    <w:uiPriority w:val="0"/>
  </w:style>
  <w:style w:type="paragraph" w:styleId="8">
    <w:name w:val="Body Text"/>
    <w:basedOn w:val="1"/>
    <w:link w:val="88"/>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8"/>
    <w:unhideWhenUsed/>
    <w:qFormat/>
    <w:uiPriority w:val="99"/>
    <w:pPr>
      <w:widowControl w:val="0"/>
      <w:jc w:val="both"/>
    </w:pPr>
    <w:rPr>
      <w:rFonts w:ascii="宋体" w:hAnsiTheme="minorHAnsi"/>
      <w:sz w:val="18"/>
      <w:szCs w:val="18"/>
    </w:rPr>
  </w:style>
  <w:style w:type="paragraph" w:styleId="11">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1"/>
    <w:semiHidden/>
    <w:unhideWhenUsed/>
    <w:qFormat/>
    <w:uiPriority w:val="99"/>
    <w:rPr>
      <w:b/>
      <w:bCs/>
    </w:rPr>
  </w:style>
  <w:style w:type="paragraph" w:styleId="17">
    <w:name w:val="Body Text First Indent"/>
    <w:basedOn w:val="8"/>
    <w:link w:val="89"/>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20"/>
    <w:unhideWhenUsed/>
    <w:qFormat/>
    <w:uiPriority w:val="0"/>
    <w:rPr>
      <w:sz w:val="21"/>
      <w:szCs w:val="21"/>
    </w:rPr>
  </w:style>
  <w:style w:type="character" w:customStyle="1" w:styleId="24">
    <w:name w:val="标题 1 Char1"/>
    <w:link w:val="3"/>
    <w:qFormat/>
    <w:uiPriority w:val="9"/>
    <w:rPr>
      <w:rFonts w:ascii="Arial" w:hAnsi="Arial"/>
      <w:b/>
      <w:kern w:val="44"/>
      <w:sz w:val="24"/>
      <w:szCs w:val="22"/>
    </w:rPr>
  </w:style>
  <w:style w:type="character" w:customStyle="1" w:styleId="25">
    <w:name w:val="标题 2 Char"/>
    <w:basedOn w:val="20"/>
    <w:link w:val="4"/>
    <w:qFormat/>
    <w:uiPriority w:val="9"/>
    <w:rPr>
      <w:rFonts w:ascii="Arial" w:hAnsi="Arial" w:eastAsia="仿宋_GB2312"/>
      <w:b/>
      <w:kern w:val="2"/>
      <w:sz w:val="30"/>
      <w:szCs w:val="22"/>
    </w:rPr>
  </w:style>
  <w:style w:type="character" w:customStyle="1" w:styleId="26">
    <w:name w:val="标题 3 Char"/>
    <w:basedOn w:val="20"/>
    <w:link w:val="5"/>
    <w:qFormat/>
    <w:uiPriority w:val="9"/>
    <w:rPr>
      <w:rFonts w:ascii="Times New Roman" w:hAnsi="Times New Roman" w:eastAsia="仿宋_GB2312"/>
      <w:b/>
      <w:bCs/>
      <w:kern w:val="2"/>
      <w:sz w:val="28"/>
      <w:szCs w:val="32"/>
    </w:rPr>
  </w:style>
  <w:style w:type="character" w:customStyle="1" w:styleId="27">
    <w:name w:val="批注文字 Char"/>
    <w:basedOn w:val="20"/>
    <w:link w:val="7"/>
    <w:qFormat/>
    <w:uiPriority w:val="0"/>
    <w:rPr>
      <w:rFonts w:ascii="Times New Roman" w:hAnsi="Times New Roman"/>
      <w:szCs w:val="24"/>
    </w:rPr>
  </w:style>
  <w:style w:type="character" w:customStyle="1" w:styleId="28">
    <w:name w:val="批注框文本 Char1"/>
    <w:basedOn w:val="20"/>
    <w:link w:val="10"/>
    <w:semiHidden/>
    <w:qFormat/>
    <w:uiPriority w:val="99"/>
    <w:rPr>
      <w:sz w:val="18"/>
      <w:szCs w:val="18"/>
    </w:rPr>
  </w:style>
  <w:style w:type="character" w:customStyle="1" w:styleId="29">
    <w:name w:val="页脚 Char1"/>
    <w:basedOn w:val="20"/>
    <w:link w:val="11"/>
    <w:qFormat/>
    <w:uiPriority w:val="99"/>
    <w:rPr>
      <w:sz w:val="18"/>
      <w:szCs w:val="18"/>
    </w:rPr>
  </w:style>
  <w:style w:type="character" w:customStyle="1" w:styleId="30">
    <w:name w:val="页眉 Char1"/>
    <w:basedOn w:val="20"/>
    <w:link w:val="12"/>
    <w:qFormat/>
    <w:uiPriority w:val="99"/>
    <w:rPr>
      <w:sz w:val="18"/>
      <w:szCs w:val="18"/>
    </w:rPr>
  </w:style>
  <w:style w:type="character" w:customStyle="1" w:styleId="31">
    <w:name w:val="批注主题 Char"/>
    <w:basedOn w:val="27"/>
    <w:link w:val="16"/>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20"/>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b w:val="0"/>
      <w:color w:val="366091"/>
      <w:kern w:val="0"/>
      <w:szCs w:val="32"/>
    </w:rPr>
  </w:style>
  <w:style w:type="character" w:customStyle="1" w:styleId="88">
    <w:name w:val="正文文本 Char"/>
    <w:basedOn w:val="20"/>
    <w:link w:val="8"/>
    <w:semiHidden/>
    <w:qFormat/>
    <w:uiPriority w:val="99"/>
    <w:rPr>
      <w:rFonts w:ascii="Times New Roman" w:hAnsi="Times New Roman"/>
      <w:sz w:val="24"/>
      <w:szCs w:val="24"/>
    </w:rPr>
  </w:style>
  <w:style w:type="character" w:customStyle="1" w:styleId="89">
    <w:name w:val="正文首行缩进 Char"/>
    <w:basedOn w:val="88"/>
    <w:link w:val="17"/>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semiHidden/>
    <w:qFormat/>
    <w:uiPriority w:val="99"/>
    <w:rPr>
      <w:rFonts w:ascii="Times New Roman" w:hAnsi="Times New Roman" w:eastAsia="宋体" w:cs="Times New Roman"/>
      <w:sz w:val="24"/>
      <w:szCs w:val="24"/>
      <w:lang w:val="en-US" w:eastAsia="zh-CN" w:bidi="ar-SA"/>
    </w:rPr>
  </w:style>
  <w:style w:type="paragraph" w:customStyle="1" w:styleId="92">
    <w:name w:val="修订3"/>
    <w:hidden/>
    <w:unhideWhenUsed/>
    <w:qFormat/>
    <w:uiPriority w:val="99"/>
    <w:rPr>
      <w:rFonts w:ascii="Times New Roman" w:hAnsi="Times New Roman" w:eastAsia="宋体" w:cs="Times New Roman"/>
      <w:sz w:val="24"/>
      <w:szCs w:val="24"/>
      <w:lang w:val="en-US" w:eastAsia="zh-CN" w:bidi="ar-SA"/>
    </w:rPr>
  </w:style>
  <w:style w:type="paragraph" w:customStyle="1" w:styleId="93">
    <w:name w:val="修订4"/>
    <w:hidden/>
    <w:unhideWhenUsed/>
    <w:qFormat/>
    <w:uiPriority w:val="99"/>
    <w:rPr>
      <w:rFonts w:ascii="Times New Roman" w:hAnsi="Times New Roman" w:eastAsia="宋体" w:cs="Times New Roman"/>
      <w:sz w:val="24"/>
      <w:szCs w:val="24"/>
      <w:lang w:val="en-US" w:eastAsia="zh-CN" w:bidi="ar-SA"/>
    </w:rPr>
  </w:style>
  <w:style w:type="paragraph" w:customStyle="1" w:styleId="94">
    <w:name w:val="修订5"/>
    <w:hidden/>
    <w:unhideWhenUsed/>
    <w:qFormat/>
    <w:uiPriority w:val="99"/>
    <w:rPr>
      <w:rFonts w:ascii="Times New Roman" w:hAnsi="Times New Roman" w:eastAsia="宋体" w:cs="Times New Roman"/>
      <w:sz w:val="24"/>
      <w:szCs w:val="24"/>
      <w:lang w:val="en-US" w:eastAsia="zh-CN" w:bidi="ar-SA"/>
    </w:rPr>
  </w:style>
  <w:style w:type="paragraph" w:customStyle="1" w:styleId="95">
    <w:name w:val="修订6"/>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54E74F-B945-4654-A296-6F9FB2029487}">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59</Pages>
  <Words>6195</Words>
  <Characters>35318</Characters>
  <Lines>294</Lines>
  <Paragraphs>82</Paragraphs>
  <TotalTime>4</TotalTime>
  <ScaleCrop>false</ScaleCrop>
  <LinksUpToDate>false</LinksUpToDate>
  <CharactersWithSpaces>41431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2021-10-12T03:04:00Z</dcterms:created>
  <dc:creator>zhsh</dc:creator>
  <cp:lastModifiedBy>紫色三色堇</cp:lastModifiedBy>
  <dcterms:modified xsi:type="dcterms:W3CDTF">2021-10-12T03:19:24Z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F9AAC3E95A3845FCBA13D3C3337B399C</vt:lpwstr>
  </property>
</Properties>
</file>