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宋体"/>
          <w:b/>
          <w:bCs/>
          <w:sz w:val="36"/>
          <w:szCs w:val="36"/>
        </w:rPr>
      </w:pPr>
      <w:r>
        <w:rPr>
          <w:rFonts w:hint="eastAsia" w:ascii="宋体" w:hAnsi="宋体" w:cs="宋体"/>
          <w:b/>
          <w:bCs/>
          <w:sz w:val="36"/>
          <w:szCs w:val="36"/>
        </w:rPr>
        <w:t>关于福州正茂项目</w:t>
      </w:r>
      <w:r>
        <w:rPr>
          <w:rFonts w:hint="eastAsia" w:cs="Arial" w:asciiTheme="minorEastAsia" w:hAnsiTheme="minorEastAsia" w:eastAsiaTheme="minorEastAsia"/>
          <w:b/>
          <w:bCs/>
          <w:sz w:val="36"/>
          <w:szCs w:val="36"/>
        </w:rPr>
        <w:t>2022年3月</w:t>
      </w:r>
      <w:r>
        <w:rPr>
          <w:rFonts w:hint="eastAsia" w:ascii="宋体" w:hAnsi="宋体" w:cs="宋体"/>
          <w:b/>
          <w:bCs/>
          <w:sz w:val="36"/>
          <w:szCs w:val="36"/>
        </w:rPr>
        <w:t>资金计划</w:t>
      </w:r>
    </w:p>
    <w:p>
      <w:pPr>
        <w:jc w:val="center"/>
        <w:rPr>
          <w:rFonts w:ascii="宋体" w:hAnsi="宋体" w:cs="宋体"/>
          <w:b/>
          <w:bCs/>
          <w:sz w:val="36"/>
          <w:szCs w:val="36"/>
        </w:rPr>
      </w:pPr>
      <w:r>
        <w:rPr>
          <w:rFonts w:hint="eastAsia" w:ascii="宋体" w:hAnsi="宋体" w:cs="宋体"/>
          <w:b/>
          <w:bCs/>
          <w:sz w:val="36"/>
          <w:szCs w:val="36"/>
        </w:rPr>
        <w:t>审核说明</w:t>
      </w:r>
    </w:p>
    <w:p>
      <w:pPr>
        <w:spacing w:line="360" w:lineRule="auto"/>
        <w:rPr>
          <w:rFonts w:ascii="宋体" w:hAnsi="宋体"/>
          <w:b/>
          <w:bCs/>
          <w:sz w:val="28"/>
          <w:szCs w:val="28"/>
        </w:rPr>
      </w:pPr>
      <w:r>
        <w:rPr>
          <w:rFonts w:hint="eastAsia" w:ascii="宋体" w:hAnsi="宋体"/>
          <w:b/>
          <w:bCs/>
          <w:sz w:val="28"/>
          <w:szCs w:val="28"/>
        </w:rPr>
        <w:t>中航信托股份有限公司：</w:t>
      </w:r>
    </w:p>
    <w:p>
      <w:pPr>
        <w:spacing w:line="360" w:lineRule="auto"/>
        <w:ind w:firstLine="480" w:firstLineChars="200"/>
        <w:rPr>
          <w:rFonts w:ascii="宋体" w:hAnsi="宋体"/>
          <w:sz w:val="24"/>
          <w:szCs w:val="24"/>
        </w:rPr>
      </w:pPr>
      <w:r>
        <w:rPr>
          <w:rFonts w:hint="eastAsia" w:ascii="宋体" w:hAnsi="宋体"/>
          <w:sz w:val="24"/>
          <w:szCs w:val="24"/>
        </w:rPr>
        <w:t>正茂（福州）投资发展有限公司（以下简称“项目公司”）于2022年3月4</w:t>
      </w:r>
      <w:r>
        <w:rPr>
          <w:rFonts w:ascii="宋体" w:hAnsi="宋体"/>
          <w:sz w:val="24"/>
          <w:szCs w:val="24"/>
        </w:rPr>
        <w:t>日</w:t>
      </w:r>
      <w:r>
        <w:rPr>
          <w:rFonts w:hint="eastAsia" w:ascii="宋体" w:hAnsi="宋体"/>
          <w:sz w:val="24"/>
          <w:szCs w:val="24"/>
        </w:rPr>
        <w:t>提交了2022年3月的资金计划，我司对项目公司申报的资金计划进行了审核，审核结果如下：</w:t>
      </w:r>
    </w:p>
    <w:p>
      <w:pPr>
        <w:numPr>
          <w:ilvl w:val="0"/>
          <w:numId w:val="1"/>
        </w:numPr>
        <w:spacing w:before="156" w:beforeLines="50" w:after="156" w:afterLines="50"/>
        <w:ind w:firstLine="120" w:firstLineChars="50"/>
        <w:rPr>
          <w:rFonts w:ascii="宋体" w:hAnsi="宋体"/>
          <w:b/>
          <w:sz w:val="24"/>
          <w:szCs w:val="24"/>
        </w:rPr>
      </w:pPr>
      <w:r>
        <w:rPr>
          <w:rFonts w:ascii="宋体" w:hAnsi="宋体"/>
          <w:b/>
          <w:sz w:val="24"/>
          <w:szCs w:val="24"/>
          <w:lang w:bidi="zh-CN"/>
        </w:rPr>
        <w:t>福州</w:t>
      </w:r>
      <w:r>
        <w:rPr>
          <w:rFonts w:hint="eastAsia" w:ascii="宋体" w:hAnsi="宋体"/>
          <w:b/>
          <w:sz w:val="24"/>
          <w:szCs w:val="24"/>
          <w:lang w:bidi="zh-CN"/>
        </w:rPr>
        <w:t>正茂</w:t>
      </w:r>
      <w:r>
        <w:rPr>
          <w:rFonts w:hint="eastAsia" w:ascii="宋体" w:hAnsi="宋体"/>
          <w:b/>
          <w:sz w:val="24"/>
          <w:szCs w:val="24"/>
        </w:rPr>
        <w:t>项目公司2022年3月份资金汇总</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项目公司于2022年3月4</w:t>
      </w:r>
      <w:r>
        <w:rPr>
          <w:rFonts w:ascii="宋体" w:hAnsi="宋体"/>
          <w:sz w:val="24"/>
          <w:szCs w:val="24"/>
        </w:rPr>
        <w:t>日</w:t>
      </w:r>
      <w:r>
        <w:rPr>
          <w:rFonts w:hint="eastAsia" w:ascii="宋体" w:hAnsi="宋体"/>
          <w:sz w:val="24"/>
          <w:szCs w:val="24"/>
        </w:rPr>
        <w:t>提交的2022年3月的资金支出计划，</w:t>
      </w:r>
      <w:r>
        <w:rPr>
          <w:rFonts w:ascii="宋体" w:hAnsi="宋体"/>
          <w:sz w:val="24"/>
          <w:szCs w:val="24"/>
        </w:rPr>
        <w:t>计划</w:t>
      </w:r>
      <w:r>
        <w:rPr>
          <w:rFonts w:hint="eastAsia" w:ascii="宋体" w:hAnsi="宋体"/>
          <w:sz w:val="24"/>
          <w:szCs w:val="24"/>
        </w:rPr>
        <w:t>资金支出合计7,039.48万元。其中：工程款支出1,999.48万元，销售费用180.00万元，管理费用100.00万元，财务费用</w:t>
      </w:r>
      <w:r>
        <w:rPr>
          <w:rFonts w:hint="eastAsia" w:ascii="宋体" w:hAnsi="宋体" w:cs="宋体"/>
          <w:bCs/>
          <w:sz w:val="24"/>
          <w:szCs w:val="24"/>
        </w:rPr>
        <w:t>260.00万元，开发贷还本4,500.00万元</w:t>
      </w:r>
      <w:r>
        <w:rPr>
          <w:rFonts w:hint="eastAsia" w:ascii="宋体" w:hAnsi="宋体"/>
          <w:sz w:val="24"/>
          <w:szCs w:val="24"/>
        </w:rPr>
        <w:t>。</w:t>
      </w:r>
    </w:p>
    <w:tbl>
      <w:tblPr>
        <w:tblStyle w:val="12"/>
        <w:tblW w:w="9913" w:type="dxa"/>
        <w:tblInd w:w="-124" w:type="dxa"/>
        <w:tblLayout w:type="fixed"/>
        <w:tblCellMar>
          <w:top w:w="0" w:type="dxa"/>
          <w:left w:w="0" w:type="dxa"/>
          <w:bottom w:w="0" w:type="dxa"/>
          <w:right w:w="0" w:type="dxa"/>
        </w:tblCellMar>
      </w:tblPr>
      <w:tblGrid>
        <w:gridCol w:w="5837"/>
        <w:gridCol w:w="4076"/>
      </w:tblGrid>
      <w:tr>
        <w:tblPrEx>
          <w:tblCellMar>
            <w:top w:w="0" w:type="dxa"/>
            <w:left w:w="0" w:type="dxa"/>
            <w:bottom w:w="0" w:type="dxa"/>
            <w:right w:w="0" w:type="dxa"/>
          </w:tblCellMar>
        </w:tblPrEx>
        <w:trPr>
          <w:trHeight w:val="720" w:hRule="atLeast"/>
        </w:trPr>
        <w:tc>
          <w:tcPr>
            <w:tcW w:w="9913" w:type="dxa"/>
            <w:gridSpan w:val="2"/>
            <w:tcBorders>
              <w:top w:val="single" w:color="auto" w:sz="4" w:space="0"/>
              <w:left w:val="single" w:color="000000" w:sz="4" w:space="0"/>
              <w:bottom w:val="nil"/>
              <w:right w:val="single" w:color="auto" w:sz="4" w:space="0"/>
            </w:tcBorders>
            <w:shd w:val="clear" w:color="auto" w:fill="auto"/>
            <w:tcMar>
              <w:top w:w="12" w:type="dxa"/>
              <w:left w:w="12" w:type="dxa"/>
              <w:right w:w="12" w:type="dxa"/>
            </w:tcMar>
          </w:tcPr>
          <w:p>
            <w:pPr>
              <w:widowControl/>
              <w:jc w:val="center"/>
              <w:textAlignment w:val="top"/>
              <w:rPr>
                <w:rFonts w:ascii="宋体" w:hAnsi="宋体" w:cs="宋体"/>
                <w:b/>
                <w:sz w:val="28"/>
                <w:szCs w:val="28"/>
              </w:rPr>
            </w:pPr>
            <w:r>
              <w:rPr>
                <w:rFonts w:hint="eastAsia" w:ascii="宋体" w:hAnsi="宋体" w:cs="宋体"/>
                <w:b/>
                <w:sz w:val="28"/>
                <w:szCs w:val="28"/>
              </w:rPr>
              <w:t>中航信托•天垣20A099号房地产开发股权投资集合资金信托计划</w:t>
            </w:r>
          </w:p>
        </w:tc>
      </w:tr>
      <w:tr>
        <w:tblPrEx>
          <w:tblCellMar>
            <w:top w:w="0" w:type="dxa"/>
            <w:left w:w="0" w:type="dxa"/>
            <w:bottom w:w="0" w:type="dxa"/>
            <w:right w:w="0" w:type="dxa"/>
          </w:tblCellMar>
        </w:tblPrEx>
        <w:trPr>
          <w:trHeight w:val="375" w:hRule="atLeast"/>
        </w:trPr>
        <w:tc>
          <w:tcPr>
            <w:tcW w:w="9913" w:type="dxa"/>
            <w:gridSpan w:val="2"/>
            <w:tcBorders>
              <w:top w:val="nil"/>
              <w:left w:val="single" w:color="000000" w:sz="4" w:space="0"/>
              <w:bottom w:val="nil"/>
              <w:right w:val="single" w:color="auto" w:sz="4" w:space="0"/>
            </w:tcBorders>
            <w:shd w:val="clear" w:color="auto" w:fill="auto"/>
            <w:tcMar>
              <w:top w:w="12" w:type="dxa"/>
              <w:left w:w="12" w:type="dxa"/>
              <w:right w:w="12" w:type="dxa"/>
            </w:tcMar>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lang w:bidi="ar"/>
              </w:rPr>
              <w:t>正茂（福州）投资发展有限公司2022年3月资金计划</w:t>
            </w:r>
          </w:p>
        </w:tc>
      </w:tr>
      <w:tr>
        <w:tblPrEx>
          <w:tblCellMar>
            <w:top w:w="0" w:type="dxa"/>
            <w:left w:w="0" w:type="dxa"/>
            <w:bottom w:w="0" w:type="dxa"/>
            <w:right w:w="0" w:type="dxa"/>
          </w:tblCellMar>
        </w:tblPrEx>
        <w:trPr>
          <w:trHeight w:val="453" w:hRule="atLeast"/>
        </w:trPr>
        <w:tc>
          <w:tcPr>
            <w:tcW w:w="9913" w:type="dxa"/>
            <w:gridSpan w:val="2"/>
            <w:tcBorders>
              <w:top w:val="nil"/>
              <w:left w:val="single" w:color="000000" w:sz="4" w:space="0"/>
              <w:bottom w:val="single" w:color="000000" w:sz="4" w:space="0"/>
              <w:right w:val="single" w:color="auto" w:sz="4" w:space="0"/>
            </w:tcBorders>
            <w:shd w:val="clear" w:color="auto" w:fill="auto"/>
            <w:tcMar>
              <w:top w:w="12" w:type="dxa"/>
              <w:left w:w="12" w:type="dxa"/>
              <w:right w:w="12" w:type="dxa"/>
            </w:tcMar>
            <w:vAlign w:val="center"/>
          </w:tcPr>
          <w:p>
            <w:pPr>
              <w:widowControl/>
              <w:textAlignment w:val="center"/>
              <w:rPr>
                <w:rFonts w:ascii="宋体" w:hAnsi="宋体" w:cs="宋体"/>
                <w:b/>
                <w:sz w:val="24"/>
                <w:szCs w:val="24"/>
              </w:rPr>
            </w:pPr>
            <w:r>
              <w:rPr>
                <w:rFonts w:hint="eastAsia" w:ascii="宋体" w:hAnsi="宋体" w:cs="宋体"/>
                <w:b/>
                <w:kern w:val="0"/>
                <w:sz w:val="24"/>
                <w:szCs w:val="24"/>
                <w:lang w:bidi="ar"/>
              </w:rPr>
              <w:t>编制单位：正茂（福州）投资发展有限公司                                  单位：万元</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widowControl/>
              <w:jc w:val="center"/>
              <w:textAlignment w:val="top"/>
              <w:rPr>
                <w:rFonts w:ascii="宋体" w:hAnsi="宋体" w:cs="宋体"/>
                <w:b/>
                <w:sz w:val="24"/>
                <w:szCs w:val="24"/>
              </w:rPr>
            </w:pPr>
            <w:r>
              <w:rPr>
                <w:rFonts w:hint="eastAsia" w:ascii="宋体" w:hAnsi="宋体" w:cs="宋体"/>
                <w:b/>
                <w:kern w:val="0"/>
                <w:sz w:val="24"/>
                <w:szCs w:val="24"/>
                <w:lang w:bidi="ar"/>
              </w:rPr>
              <w:t>项目</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tcPr>
          <w:p>
            <w:pPr>
              <w:widowControl/>
              <w:jc w:val="center"/>
              <w:textAlignment w:val="top"/>
              <w:rPr>
                <w:rFonts w:ascii="宋体" w:hAnsi="宋体" w:cs="宋体"/>
                <w:b/>
                <w:sz w:val="24"/>
                <w:szCs w:val="24"/>
              </w:rPr>
            </w:pPr>
            <w:r>
              <w:rPr>
                <w:rFonts w:hint="eastAsia" w:ascii="宋体" w:hAnsi="宋体" w:cs="宋体"/>
                <w:b/>
                <w:kern w:val="0"/>
                <w:sz w:val="24"/>
                <w:szCs w:val="24"/>
                <w:lang w:bidi="ar"/>
              </w:rPr>
              <w:t>3月计划金额</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 土地款支出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Arial" w:hAnsi="Arial" w:cs="Arial"/>
                <w:sz w:val="18"/>
                <w:szCs w:val="18"/>
              </w:rPr>
            </w:pPr>
            <w:r>
              <w:rPr>
                <w:rFonts w:ascii="Arial" w:hAnsi="Arial" w:cs="Arial"/>
                <w:sz w:val="18"/>
                <w:szCs w:val="18"/>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 大配套支出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Arial" w:hAnsi="Arial" w:cs="Arial"/>
                <w:sz w:val="18"/>
                <w:szCs w:val="18"/>
              </w:rPr>
            </w:pPr>
            <w:r>
              <w:rPr>
                <w:rFonts w:ascii="Arial" w:hAnsi="Arial" w:cs="Arial"/>
                <w:sz w:val="18"/>
                <w:szCs w:val="18"/>
              </w:rPr>
              <w:t>-</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 工程款支出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Arial" w:hAnsi="Arial" w:cs="Arial"/>
                <w:sz w:val="18"/>
                <w:szCs w:val="18"/>
              </w:rPr>
            </w:pPr>
            <w:r>
              <w:rPr>
                <w:rFonts w:hint="eastAsia" w:ascii="Arial" w:hAnsi="Arial" w:cs="Arial"/>
                <w:sz w:val="18"/>
                <w:szCs w:val="18"/>
              </w:rPr>
              <w:t>1,999.48</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 销售费用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Arial" w:hAnsi="Arial" w:cs="Arial"/>
                <w:sz w:val="18"/>
                <w:szCs w:val="18"/>
              </w:rPr>
            </w:pPr>
            <w:r>
              <w:rPr>
                <w:rFonts w:hint="eastAsia" w:ascii="Arial" w:hAnsi="Arial" w:cs="Arial"/>
                <w:sz w:val="18"/>
                <w:szCs w:val="18"/>
              </w:rPr>
              <w:t>180.00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 管理费用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rPr>
                <w:rFonts w:ascii="Arial" w:hAnsi="Arial" w:cs="Arial"/>
                <w:sz w:val="18"/>
                <w:szCs w:val="18"/>
              </w:rPr>
            </w:pPr>
            <w:r>
              <w:rPr>
                <w:rFonts w:hint="eastAsia" w:ascii="Arial" w:hAnsi="Arial" w:cs="Arial"/>
                <w:sz w:val="18"/>
                <w:szCs w:val="18"/>
              </w:rPr>
              <w:t>100.00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sz w:val="24"/>
                <w:szCs w:val="24"/>
              </w:rPr>
            </w:pPr>
            <w:r>
              <w:rPr>
                <w:rFonts w:hint="eastAsia" w:ascii="宋体" w:hAnsi="宋体" w:cs="宋体"/>
                <w:kern w:val="0"/>
                <w:sz w:val="24"/>
                <w:szCs w:val="24"/>
                <w:lang w:bidi="ar"/>
              </w:rPr>
              <w:t xml:space="preserve"> 财务费用 </w:t>
            </w:r>
          </w:p>
        </w:tc>
        <w:tc>
          <w:tcPr>
            <w:tcW w:w="407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Arial" w:hAnsi="Arial" w:cs="Arial"/>
                <w:sz w:val="18"/>
                <w:szCs w:val="18"/>
              </w:rPr>
            </w:pPr>
            <w:r>
              <w:rPr>
                <w:rFonts w:hint="eastAsia" w:ascii="Arial" w:hAnsi="Arial" w:cs="Arial"/>
                <w:sz w:val="18"/>
                <w:szCs w:val="18"/>
              </w:rPr>
              <w:t>260.00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Cs/>
                <w:sz w:val="24"/>
                <w:szCs w:val="24"/>
              </w:rPr>
            </w:pPr>
            <w:r>
              <w:rPr>
                <w:rFonts w:hint="eastAsia" w:ascii="宋体" w:hAnsi="宋体" w:cs="宋体"/>
                <w:bCs/>
                <w:sz w:val="24"/>
                <w:szCs w:val="24"/>
              </w:rPr>
              <w:t>本月到期商票</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rPr>
                <w:rFonts w:ascii="Arial" w:hAnsi="Arial" w:cs="Arial"/>
                <w:sz w:val="18"/>
                <w:szCs w:val="18"/>
              </w:rPr>
            </w:pPr>
            <w:r>
              <w:rPr>
                <w:rFonts w:hint="eastAsia" w:ascii="Arial" w:hAnsi="Arial" w:cs="Arial"/>
                <w:sz w:val="18"/>
                <w:szCs w:val="18"/>
              </w:rPr>
              <w:t>0.00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Cs/>
                <w:sz w:val="24"/>
                <w:szCs w:val="24"/>
              </w:rPr>
            </w:pPr>
            <w:r>
              <w:rPr>
                <w:rFonts w:hint="eastAsia" w:ascii="宋体" w:hAnsi="宋体" w:cs="宋体"/>
                <w:bCs/>
                <w:sz w:val="24"/>
                <w:szCs w:val="24"/>
              </w:rPr>
              <w:t>开发贷还本</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rPr>
                <w:rFonts w:ascii="Arial" w:hAnsi="Arial" w:cs="Arial"/>
                <w:sz w:val="18"/>
                <w:szCs w:val="18"/>
              </w:rPr>
            </w:pPr>
            <w:r>
              <w:rPr>
                <w:rFonts w:hint="eastAsia" w:ascii="Arial" w:hAnsi="Arial" w:cs="Arial"/>
                <w:sz w:val="18"/>
                <w:szCs w:val="18"/>
              </w:rPr>
              <w:t>4,500.00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
                <w:sz w:val="24"/>
                <w:szCs w:val="24"/>
              </w:rPr>
            </w:pPr>
            <w:r>
              <w:rPr>
                <w:rFonts w:hint="eastAsia" w:ascii="宋体" w:hAnsi="宋体" w:cs="宋体"/>
                <w:bCs/>
                <w:sz w:val="24"/>
                <w:szCs w:val="24"/>
              </w:rPr>
              <w:t>不可预见费</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rPr>
                <w:rFonts w:ascii="Arial" w:hAnsi="Arial" w:cs="Arial"/>
                <w:sz w:val="18"/>
                <w:szCs w:val="18"/>
              </w:rPr>
            </w:pPr>
            <w:r>
              <w:rPr>
                <w:rFonts w:hint="eastAsia" w:ascii="Arial" w:hAnsi="Arial" w:cs="Arial"/>
                <w:sz w:val="18"/>
                <w:szCs w:val="18"/>
              </w:rPr>
              <w:t>0.00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Cs/>
                <w:sz w:val="24"/>
                <w:szCs w:val="24"/>
                <w:lang w:bidi="ar"/>
              </w:rPr>
            </w:pPr>
            <w:r>
              <w:rPr>
                <w:rFonts w:hint="eastAsia" w:ascii="宋体" w:hAnsi="宋体" w:cs="宋体"/>
                <w:bCs/>
                <w:sz w:val="24"/>
                <w:szCs w:val="24"/>
                <w:lang w:bidi="ar"/>
              </w:rPr>
              <w:t>分配资金</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宋体" w:hAnsi="宋体" w:cs="宋体"/>
                <w:bCs/>
                <w:sz w:val="24"/>
                <w:szCs w:val="24"/>
              </w:rPr>
            </w:pPr>
            <w:r>
              <w:rPr>
                <w:rFonts w:ascii="Arial" w:hAnsi="Arial" w:cs="Arial"/>
                <w:sz w:val="18"/>
                <w:szCs w:val="18"/>
              </w:rPr>
              <w:t>0.00</w:t>
            </w:r>
          </w:p>
        </w:tc>
      </w:tr>
      <w:tr>
        <w:tblPrEx>
          <w:tblCellMar>
            <w:top w:w="0" w:type="dxa"/>
            <w:left w:w="0" w:type="dxa"/>
            <w:bottom w:w="0" w:type="dxa"/>
            <w:right w:w="0" w:type="dxa"/>
          </w:tblCellMar>
        </w:tblPrEx>
        <w:trPr>
          <w:trHeight w:val="406" w:hRule="atLeast"/>
        </w:trPr>
        <w:tc>
          <w:tcPr>
            <w:tcW w:w="5837" w:type="dxa"/>
            <w:tcBorders>
              <w:top w:val="single" w:color="000000" w:sz="4" w:space="0"/>
              <w:left w:val="single" w:color="000000" w:sz="4" w:space="0"/>
              <w:bottom w:val="single" w:color="000000" w:sz="4" w:space="0"/>
              <w:right w:val="nil"/>
            </w:tcBorders>
            <w:shd w:val="clear" w:color="auto" w:fill="auto"/>
            <w:noWrap/>
            <w:tcMar>
              <w:top w:w="12" w:type="dxa"/>
              <w:left w:w="12" w:type="dxa"/>
              <w:right w:w="12" w:type="dxa"/>
            </w:tcMar>
            <w:vAlign w:val="center"/>
          </w:tcPr>
          <w:p>
            <w:pPr>
              <w:widowControl/>
              <w:jc w:val="center"/>
              <w:textAlignment w:val="center"/>
              <w:rPr>
                <w:rFonts w:ascii="宋体" w:hAnsi="宋体" w:cs="宋体"/>
                <w:b/>
                <w:sz w:val="24"/>
                <w:szCs w:val="24"/>
              </w:rPr>
            </w:pPr>
            <w:r>
              <w:rPr>
                <w:rFonts w:hint="eastAsia" w:ascii="宋体" w:hAnsi="宋体" w:cs="宋体"/>
                <w:b/>
                <w:kern w:val="0"/>
                <w:sz w:val="24"/>
                <w:szCs w:val="24"/>
                <w:lang w:bidi="ar"/>
              </w:rPr>
              <w:t xml:space="preserve"> 资金流出小计 </w:t>
            </w:r>
          </w:p>
        </w:tc>
        <w:tc>
          <w:tcPr>
            <w:tcW w:w="4076"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Arial" w:hAnsi="Arial" w:cs="Arial"/>
                <w:b/>
                <w:sz w:val="18"/>
                <w:szCs w:val="18"/>
              </w:rPr>
            </w:pPr>
            <w:r>
              <w:rPr>
                <w:rFonts w:hint="eastAsia" w:ascii="Arial" w:hAnsi="Arial" w:cs="Arial"/>
                <w:b/>
                <w:sz w:val="18"/>
                <w:szCs w:val="18"/>
              </w:rPr>
              <w:t>7,039.48</w:t>
            </w:r>
          </w:p>
        </w:tc>
      </w:tr>
    </w:tbl>
    <w:p>
      <w:pPr>
        <w:numPr>
          <w:ilvl w:val="0"/>
          <w:numId w:val="1"/>
        </w:numPr>
        <w:spacing w:before="156" w:beforeLines="50" w:after="156" w:afterLines="50"/>
        <w:ind w:firstLine="120" w:firstLineChars="50"/>
        <w:rPr>
          <w:rFonts w:ascii="宋体" w:hAnsi="宋体"/>
          <w:b/>
          <w:sz w:val="24"/>
          <w:szCs w:val="24"/>
          <w:lang w:bidi="zh-CN"/>
        </w:rPr>
      </w:pPr>
      <w:r>
        <w:rPr>
          <w:rFonts w:ascii="宋体" w:hAnsi="宋体"/>
          <w:b/>
          <w:sz w:val="24"/>
          <w:szCs w:val="24"/>
          <w:lang w:bidi="zh-CN"/>
        </w:rPr>
        <w:t>福州</w:t>
      </w:r>
      <w:r>
        <w:rPr>
          <w:rFonts w:hint="eastAsia" w:ascii="宋体" w:hAnsi="宋体"/>
          <w:b/>
          <w:sz w:val="24"/>
          <w:szCs w:val="24"/>
          <w:lang w:bidi="zh-CN"/>
        </w:rPr>
        <w:t>正茂</w:t>
      </w:r>
      <w:r>
        <w:rPr>
          <w:rFonts w:ascii="宋体" w:hAnsi="宋体"/>
          <w:b/>
          <w:sz w:val="24"/>
          <w:szCs w:val="24"/>
          <w:lang w:bidi="zh-CN"/>
        </w:rPr>
        <w:t>项目公司</w:t>
      </w:r>
      <w:r>
        <w:rPr>
          <w:rFonts w:ascii="宋体" w:hAnsi="宋体"/>
          <w:b/>
          <w:sz w:val="24"/>
          <w:szCs w:val="24"/>
          <w:lang w:val="zh-CN" w:bidi="zh-CN"/>
        </w:rPr>
        <w:t>资金计划情况</w:t>
      </w:r>
      <w:r>
        <w:rPr>
          <w:rFonts w:ascii="宋体" w:hAnsi="宋体"/>
          <w:b/>
          <w:sz w:val="24"/>
          <w:szCs w:val="24"/>
          <w:lang w:bidi="zh-CN"/>
        </w:rPr>
        <w:t>审核说明</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（一）工程款资金支出计划说明</w:t>
      </w:r>
    </w:p>
    <w:p>
      <w:pPr>
        <w:spacing w:before="156" w:beforeLines="50" w:after="156" w:afterLines="50" w:line="360" w:lineRule="auto"/>
        <w:ind w:firstLine="480" w:firstLineChars="200"/>
        <w:rPr>
          <w:rFonts w:ascii="宋体" w:hAnsi="宋体"/>
          <w:bCs/>
          <w:sz w:val="24"/>
          <w:szCs w:val="24"/>
          <w:lang w:bidi="zh-CN"/>
        </w:rPr>
      </w:pPr>
      <w:r>
        <w:rPr>
          <w:rFonts w:hint="eastAsia" w:ascii="宋体" w:hAnsi="宋体"/>
          <w:bCs/>
          <w:sz w:val="24"/>
          <w:szCs w:val="24"/>
          <w:lang w:bidi="zh-CN"/>
        </w:rPr>
        <w:t>项目公司在2022年3月工程款计划支出金额共计</w:t>
      </w:r>
      <w:r>
        <w:rPr>
          <w:rFonts w:hint="eastAsia" w:ascii="宋体" w:hAnsi="宋体"/>
          <w:sz w:val="24"/>
          <w:szCs w:val="24"/>
        </w:rPr>
        <w:t>1,999.48</w:t>
      </w:r>
      <w:r>
        <w:rPr>
          <w:rFonts w:hint="eastAsia" w:ascii="宋体" w:hAnsi="宋体"/>
          <w:bCs/>
          <w:sz w:val="24"/>
          <w:szCs w:val="24"/>
          <w:lang w:bidi="zh-CN"/>
        </w:rPr>
        <w:t>万元，具体分析如下：</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签订的《正茂望山筑项目总承包工程》，项目公司委托中国核工业华兴建设有限公司承担本项目施工建设任务。合同总价款为32,267.34万元，付款节点见下表，目前已累计支付工程款共计16,255.74万元，项目公司累计核定产值为24,176.80万元，累计应付金额17,845.37万元，计划在3月份使用银行存款支付该合同的部分工程款772.00万元，支付时我司根据实际情况复核付款的合理性、合规性；</w:t>
      </w:r>
    </w:p>
    <w:tbl>
      <w:tblPr>
        <w:tblStyle w:val="12"/>
        <w:tblW w:w="9064" w:type="dxa"/>
        <w:jc w:val="center"/>
        <w:tblLayout w:type="autofit"/>
        <w:tblCellMar>
          <w:top w:w="0" w:type="dxa"/>
          <w:left w:w="108" w:type="dxa"/>
          <w:bottom w:w="0" w:type="dxa"/>
          <w:right w:w="108" w:type="dxa"/>
        </w:tblCellMar>
      </w:tblPr>
      <w:tblGrid>
        <w:gridCol w:w="3884"/>
        <w:gridCol w:w="2750"/>
        <w:gridCol w:w="2430"/>
      </w:tblGrid>
      <w:tr>
        <w:tblPrEx>
          <w:tblCellMar>
            <w:top w:w="0" w:type="dxa"/>
            <w:left w:w="108" w:type="dxa"/>
            <w:bottom w:w="0" w:type="dxa"/>
            <w:right w:w="108" w:type="dxa"/>
          </w:tblCellMar>
        </w:tblPrEx>
        <w:trPr>
          <w:trHeight w:val="312"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节点</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付款比例</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付款支付形成</w:t>
            </w:r>
          </w:p>
        </w:tc>
      </w:tr>
      <w:tr>
        <w:tblPrEx>
          <w:tblCellMar>
            <w:top w:w="0" w:type="dxa"/>
            <w:left w:w="108" w:type="dxa"/>
            <w:bottom w:w="0" w:type="dxa"/>
            <w:right w:w="108" w:type="dxa"/>
          </w:tblCellMar>
        </w:tblPrEx>
        <w:trPr>
          <w:trHeight w:val="56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ascii="宋体" w:hAnsi="宋体" w:cs="宋体"/>
                <w:sz w:val="18"/>
                <w:szCs w:val="18"/>
              </w:rPr>
            </w:pP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应付款垫资至首栋达到预售，此部分垫资利息按年华8%补偿</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预售前地下室顶板封顶完成（按达标面积算）</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50%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开工批次达1层顶</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50%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开工批次到预售条件后</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60%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单体结构完成30%、60%两个节点付款</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60%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封顶</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预售后地下室顶板封顶完成（按达标面积算）</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砌体每完成30%付一次，一共付三次</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单栋结构验收</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单栋内墙抹灰每完成50%付一次，一共付两次</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单栋外墙抹灰每完成50%付一次，一共付两次</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保温、涂料每完成50%付一次，一共付两次</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单栋主体落外架</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75%</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单栋精装修交接完成</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75%</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回填土完成</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75%</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开工批次工程竣工</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85%</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整体交付（交付率达90%）</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90%</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合同结算完毕</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97%</w:t>
            </w: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现金或ABS50%、商票50%</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保修期满1年</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1%</w:t>
            </w:r>
          </w:p>
        </w:tc>
        <w:tc>
          <w:tcPr>
            <w:tcW w:w="24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现金</w:t>
            </w: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保修期满2年</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2%</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r>
      <w:tr>
        <w:tblPrEx>
          <w:tblCellMar>
            <w:top w:w="0" w:type="dxa"/>
            <w:left w:w="108" w:type="dxa"/>
            <w:bottom w:w="0" w:type="dxa"/>
            <w:right w:w="108" w:type="dxa"/>
          </w:tblCellMar>
        </w:tblPrEx>
        <w:trPr>
          <w:trHeight w:val="280" w:hRule="atLeast"/>
          <w:jc w:val="center"/>
        </w:trPr>
        <w:tc>
          <w:tcPr>
            <w:tcW w:w="388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left"/>
              <w:textAlignment w:val="center"/>
              <w:rPr>
                <w:rFonts w:ascii="宋体" w:hAnsi="宋体" w:cs="宋体"/>
                <w:sz w:val="18"/>
                <w:szCs w:val="18"/>
              </w:rPr>
            </w:pPr>
            <w:r>
              <w:rPr>
                <w:rFonts w:hint="eastAsia" w:ascii="宋体" w:hAnsi="宋体" w:cs="宋体"/>
                <w:kern w:val="0"/>
                <w:sz w:val="18"/>
                <w:szCs w:val="18"/>
                <w:lang w:bidi="ar"/>
              </w:rPr>
              <w:t>保修期满3年</w:t>
            </w:r>
          </w:p>
        </w:tc>
        <w:tc>
          <w:tcPr>
            <w:tcW w:w="275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sz w:val="18"/>
                <w:szCs w:val="18"/>
              </w:rPr>
            </w:pPr>
            <w:r>
              <w:rPr>
                <w:rFonts w:hint="eastAsia" w:ascii="宋体" w:hAnsi="宋体" w:cs="宋体"/>
                <w:kern w:val="0"/>
                <w:sz w:val="18"/>
                <w:szCs w:val="18"/>
                <w:lang w:bidi="ar"/>
              </w:rPr>
              <w:t>0%</w:t>
            </w:r>
          </w:p>
        </w:tc>
        <w:tc>
          <w:tcPr>
            <w:tcW w:w="24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sz w:val="18"/>
                <w:szCs w:val="18"/>
              </w:rPr>
            </w:pPr>
          </w:p>
        </w:tc>
      </w:tr>
    </w:tbl>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2020年7月9日用印的《正茂望山筑项目监理工程合同》，合同约定由福建省京闽工程顾问有限公司为正茂望山筑项目提供工程监理服务,合同总价款为152.04万元。付款节点为：预付开办费用10%；月进度款分三部分，基本监理费（开工接受监理的相应各栋号建筑面积*监理费单方报价/（各栋号房建合同工期月份+2个月）*70%*（1-20%监理考核金））、监理考核金、监理人员个人监理考核金；竣工结算至总金额的97%；验收合格满一年后一个月内付清预留的3%。目前累计支付合同金额31.79万元，项目公司累计核定产值77.75万元，累计应付金额59.99万元，计划在3月份使用银行存款支付该合同的部分工程款25.20万元，符合合同的规定；</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根据项目公司2021年1月12日签订的《福州正茂望山筑项目电梯设备购销合同》，合同总金额为</w:t>
      </w:r>
      <w:r>
        <w:rPr>
          <w:rFonts w:ascii="宋体" w:hAnsi="宋体"/>
          <w:bCs/>
          <w:sz w:val="24"/>
          <w:szCs w:val="24"/>
          <w:lang w:bidi="zh-CN"/>
        </w:rPr>
        <w:t>507.</w:t>
      </w:r>
      <w:r>
        <w:rPr>
          <w:rFonts w:hint="eastAsia" w:ascii="宋体" w:hAnsi="宋体"/>
          <w:bCs/>
          <w:sz w:val="24"/>
          <w:szCs w:val="24"/>
          <w:lang w:bidi="zh-CN"/>
        </w:rPr>
        <w:t>30万元，对方单位：上海三菱电梯有限公司，约定合同签订后需方将合理安排设备进场计划并通知乙方生产，收到乙方保函后需支付所排产电梯设备款20%给乙方；乙方于《电梯生产安排通知》指定交货日前35天开具该批次设备总价35%“见索即付”银行保函，正茂方于收到保函之日起15个工作日内向乙方支付相应批次设备总价的35%；排产货物全部到工地并经需方验收合格之日起10个工作日内支付设备总价的25%；乙方取得政府主管部门颁发的电梯证明等相关文件移交给需方10个工作日内，需方与乙方结清该批次设备余款。截至目前已收到全部货物，已核定产值507.30万元，合同已支付332.73万元，本次计划在3月份支付合同价款52.69万元，符合合同规定，该笔计划支付款项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根据项目公司2021年9月27日签订的《正茂望山筑项目城市展厅精装修工程》，对方单位：福建嘉立信建设有限公司，合同总金额为</w:t>
      </w:r>
      <w:r>
        <w:rPr>
          <w:rFonts w:hint="eastAsia" w:ascii="宋体" w:hAnsi="宋体"/>
          <w:bCs/>
          <w:sz w:val="24"/>
          <w:szCs w:val="24"/>
          <w:lang w:val="en-US" w:bidi="zh-CN"/>
        </w:rPr>
        <w:t>98.99</w:t>
      </w:r>
      <w:r>
        <w:rPr>
          <w:rFonts w:hint="eastAsia" w:ascii="宋体" w:hAnsi="宋体"/>
          <w:bCs/>
          <w:sz w:val="24"/>
          <w:szCs w:val="24"/>
          <w:lang w:bidi="zh-CN"/>
        </w:rPr>
        <w:t>万元，付款节点为：承包人应于每月[ 25]日前向发包人报送工程款支付申请、经监理人确认的当月完成工程量。发包人应在收到上述资料后[15]个工作日内容完成审核确认，并且由承包人提供符合合同约定的发票后，发包人按审核确认的产值支付相应的进度款。工程进度款按以下计算公式计取并支付：每月进度款=[每月实际完成工程产值（按合同取费标准）]×[ 70 ]%—当期应扣费用月进度累计支付不超过合同金额的70%。工程全部完工，并通过发包人组织的竣工验收（若因发包人原因，工程不能及时进行竣工验收，但工程实际已交付或交付使用，则视同已实际竣工，唯承包人仍应积极主动并配合发包人进行工程竣工验收）并交付发包人后一个月内，付至签约合同价的[85]％（即竣工进度款）。工程结算完成之日[60]日内支付至结算价款的[97]％。工程结算价款的3%作为质保金。项目公司累计核定产值99.00万元，累计应付金额84.15万元，计划在3月份使用银行存款支付该合同的部分工程款84.13万元，符合合同的规定，该笔计划支付款项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12月27日签订的《正茂望山筑项目城市展厅景观工程施工合同》，合同总金额为38.16万元，对方单位：一鼎（福建）生态园林建设有限公司，付款方式为：每月进度款=[每月实际完成工程产值（按合同取费标准）]×[ 70 ]%—当期应扣费用；竣工进度款付至签约合同价的[85]％；工程结算完成之日[30]日内支付至结算价款的[97]％；工程结算价款的3%作为质保金。项目公司累计核定产值38.16万元，累计应付金额26.71万元，计划在3月份使用银行存款支付该合同的部分工程款26.71万元，符合合同的规定，该笔计划支付款项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3月27日签订的《正茂望山筑消防与通风工程施工合同》，合同总金额为1,068.04万元，对方单位：福建文博建设工程有限公司，付款方式为：每月进度款=[每月实际完成工程产值（按合同取费标准）]×[ 70 ]%—当期应扣费用月进度累计支付不超过合同金额的70%。工程全部完工，付至签约合同价的[85]％（即竣工进度款）。工程结算完成之日[60]日内支付至结算价款的[97]％。工程结算价款的3%作为质保金。目前累计支付合同金额63.08万元，项目公司累计核定产值144.68万元，累计应付金额101.27万元，计划在3月份使用银行存款支付该合同的部分工程款38.18万元，符合合同的规定，该笔计划支付款项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6月15日签订的《正茂望山筑项目大区幕墙工程》，对方单位：中建远泰幕墙装饰工程有限公司，合同总金额为588.62万元，付款节点为：每月进度款=[每月实际完成工程产量-甲供材料]*70%-当前应扣费用；工程全部完工，付至签约合同价的85%；工程结算完成之日60日内支付至结算价款的97%；工程结算款的3%作为质保金。目前累计支付合同金额150.00万元，项目公司累计核定产值239.40万元，累计应付金额167.58万元，计划在3月份使用银行存款支付该合同的工程款17.57万元，符合合同的规定，该笔计划支付款项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w:t>
      </w:r>
      <w:r>
        <w:rPr>
          <w:rFonts w:ascii="宋体" w:hAnsi="宋体"/>
          <w:bCs/>
          <w:sz w:val="24"/>
          <w:szCs w:val="24"/>
          <w:lang w:bidi="zh-CN"/>
        </w:rPr>
        <w:t>项目公司</w:t>
      </w:r>
      <w:r>
        <w:rPr>
          <w:rFonts w:hint="eastAsia" w:ascii="宋体" w:hAnsi="宋体"/>
          <w:bCs/>
          <w:sz w:val="24"/>
          <w:szCs w:val="24"/>
          <w:lang w:bidi="zh-CN"/>
        </w:rPr>
        <w:t>在</w:t>
      </w:r>
      <w:r>
        <w:rPr>
          <w:rFonts w:ascii="宋体" w:hAnsi="宋体"/>
          <w:bCs/>
          <w:sz w:val="24"/>
          <w:szCs w:val="24"/>
          <w:lang w:bidi="zh-CN"/>
        </w:rPr>
        <w:t>202</w:t>
      </w:r>
      <w:r>
        <w:rPr>
          <w:rFonts w:hint="eastAsia" w:ascii="宋体" w:hAnsi="宋体"/>
          <w:bCs/>
          <w:sz w:val="24"/>
          <w:szCs w:val="24"/>
          <w:lang w:bidi="zh-CN"/>
        </w:rPr>
        <w:t>1</w:t>
      </w:r>
      <w:r>
        <w:rPr>
          <w:rFonts w:ascii="宋体" w:hAnsi="宋体"/>
          <w:bCs/>
          <w:sz w:val="24"/>
          <w:szCs w:val="24"/>
          <w:lang w:bidi="zh-CN"/>
        </w:rPr>
        <w:t>年</w:t>
      </w:r>
      <w:r>
        <w:rPr>
          <w:rFonts w:hint="eastAsia" w:ascii="宋体" w:hAnsi="宋体"/>
          <w:bCs/>
          <w:sz w:val="24"/>
          <w:szCs w:val="24"/>
          <w:lang w:bidi="zh-CN"/>
        </w:rPr>
        <w:t>8月11日</w:t>
      </w:r>
      <w:r>
        <w:rPr>
          <w:rFonts w:ascii="宋体" w:hAnsi="宋体"/>
          <w:bCs/>
          <w:sz w:val="24"/>
          <w:szCs w:val="24"/>
          <w:lang w:bidi="zh-CN"/>
        </w:rPr>
        <w:t>签</w:t>
      </w:r>
      <w:r>
        <w:rPr>
          <w:rFonts w:hint="eastAsia" w:ascii="宋体" w:hAnsi="宋体"/>
          <w:bCs/>
          <w:sz w:val="24"/>
          <w:szCs w:val="24"/>
          <w:lang w:bidi="zh-CN"/>
        </w:rPr>
        <w:t>约</w:t>
      </w:r>
      <w:r>
        <w:rPr>
          <w:rFonts w:ascii="宋体" w:hAnsi="宋体"/>
          <w:bCs/>
          <w:sz w:val="24"/>
          <w:szCs w:val="24"/>
          <w:lang w:bidi="zh-CN"/>
        </w:rPr>
        <w:t>《</w:t>
      </w:r>
      <w:r>
        <w:rPr>
          <w:rFonts w:hint="eastAsia" w:ascii="宋体" w:hAnsi="宋体"/>
          <w:bCs/>
          <w:sz w:val="24"/>
          <w:szCs w:val="24"/>
          <w:lang w:bidi="zh-CN"/>
        </w:rPr>
        <w:t>正茂望山筑项目栏杆施工及供货合同</w:t>
      </w:r>
      <w:r>
        <w:rPr>
          <w:rFonts w:ascii="宋体" w:hAnsi="宋体"/>
          <w:bCs/>
          <w:sz w:val="24"/>
          <w:szCs w:val="24"/>
          <w:lang w:bidi="zh-CN"/>
        </w:rPr>
        <w:t>》，</w:t>
      </w:r>
      <w:r>
        <w:rPr>
          <w:rFonts w:hint="eastAsia" w:ascii="宋体" w:hAnsi="宋体"/>
          <w:bCs/>
          <w:sz w:val="24"/>
          <w:szCs w:val="24"/>
          <w:lang w:bidi="zh-CN"/>
        </w:rPr>
        <w:t>对方单位：杭州浩瀚机电设备有限公司</w:t>
      </w:r>
      <w:r>
        <w:rPr>
          <w:rFonts w:ascii="宋体" w:hAnsi="宋体"/>
          <w:bCs/>
          <w:sz w:val="24"/>
          <w:szCs w:val="24"/>
          <w:lang w:bidi="zh-CN"/>
        </w:rPr>
        <w:t>，</w:t>
      </w:r>
      <w:r>
        <w:rPr>
          <w:rFonts w:hint="eastAsia" w:ascii="宋体" w:hAnsi="宋体"/>
          <w:bCs/>
          <w:sz w:val="24"/>
          <w:szCs w:val="24"/>
          <w:lang w:bidi="zh-CN"/>
        </w:rPr>
        <w:t>合同总价款413.2</w:t>
      </w:r>
      <w:r>
        <w:rPr>
          <w:rFonts w:hint="eastAsia" w:ascii="宋体" w:hAnsi="宋体"/>
          <w:bCs/>
          <w:sz w:val="24"/>
          <w:szCs w:val="24"/>
          <w:lang w:val="en-US" w:bidi="zh-CN"/>
        </w:rPr>
        <w:t>1</w:t>
      </w:r>
      <w:r>
        <w:rPr>
          <w:rFonts w:hint="eastAsia" w:ascii="宋体" w:hAnsi="宋体"/>
          <w:bCs/>
          <w:sz w:val="24"/>
          <w:szCs w:val="24"/>
          <w:lang w:bidi="zh-CN"/>
        </w:rPr>
        <w:t>万元，</w:t>
      </w:r>
      <w:r>
        <w:rPr>
          <w:rFonts w:ascii="宋体" w:hAnsi="宋体"/>
          <w:bCs/>
          <w:sz w:val="24"/>
          <w:szCs w:val="24"/>
          <w:lang w:bidi="zh-CN"/>
        </w:rPr>
        <w:t>付款节点：</w:t>
      </w:r>
      <w:r>
        <w:rPr>
          <w:rFonts w:hint="eastAsia" w:ascii="宋体" w:hAnsi="宋体"/>
          <w:bCs/>
          <w:sz w:val="24"/>
          <w:szCs w:val="24"/>
          <w:lang w:bidi="zh-CN"/>
        </w:rPr>
        <w:t>非玻璃栏杆单栋栏杆成品进场安装完成后，经检验符合要求，支付至该栋号栏杆工程施工和供货合同价款的70%；玻璃栏杆单栋栏杆外框安装完成后，经检验符合要求，支付至该幢号栏杆工程施工和供货合同价款的30%；单栋栏杆玻璃安装完成后，经检验符合要求，支付至该幢号栏杆工程施工和供货合同价款的70%；工程全部完工，并通过发包人组织的竣工验收并交付发包人后一个月内，付至签约合同价的85％（即竣工进度款）；本工程所依附房建总承包工程竣工验收合格，承包人完成工程内业竣工资料，经发包人办理完成工程结算手续之日起30日内支付至结算价款的97％</w:t>
      </w:r>
      <w:r>
        <w:rPr>
          <w:rFonts w:ascii="宋体" w:hAnsi="宋体"/>
          <w:bCs/>
          <w:sz w:val="24"/>
          <w:szCs w:val="24"/>
          <w:lang w:bidi="zh-CN"/>
        </w:rPr>
        <w:t>；</w:t>
      </w:r>
      <w:r>
        <w:rPr>
          <w:rFonts w:hint="eastAsia" w:ascii="宋体" w:hAnsi="宋体"/>
          <w:bCs/>
          <w:sz w:val="24"/>
          <w:szCs w:val="24"/>
          <w:lang w:bidi="zh-CN"/>
        </w:rPr>
        <w:t>工程结算价款的3％作为质保金</w:t>
      </w:r>
      <w:r>
        <w:rPr>
          <w:rFonts w:ascii="宋体" w:hAnsi="宋体"/>
          <w:bCs/>
          <w:sz w:val="24"/>
          <w:szCs w:val="24"/>
          <w:lang w:bidi="zh-CN"/>
        </w:rPr>
        <w:t>。</w:t>
      </w:r>
      <w:r>
        <w:rPr>
          <w:rFonts w:hint="eastAsia" w:ascii="宋体" w:hAnsi="宋体"/>
          <w:bCs/>
          <w:sz w:val="24"/>
          <w:szCs w:val="24"/>
          <w:lang w:bidi="zh-CN"/>
        </w:rPr>
        <w:t>目前累计支付合同金额126.76万元，项目公司累计核定产值279.32万元，累计应付金额195.52万元，计划在3月份使用银行存款支付该合同的工程款68.76万元，符合合同的规定，该笔计划支付款项合理；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w:t>
      </w:r>
      <w:r>
        <w:rPr>
          <w:rFonts w:ascii="宋体" w:hAnsi="宋体"/>
          <w:bCs/>
          <w:sz w:val="24"/>
          <w:szCs w:val="24"/>
          <w:lang w:bidi="zh-CN"/>
        </w:rPr>
        <w:t>项目公司</w:t>
      </w:r>
      <w:r>
        <w:rPr>
          <w:rFonts w:hint="eastAsia" w:ascii="宋体" w:hAnsi="宋体"/>
          <w:bCs/>
          <w:sz w:val="24"/>
          <w:szCs w:val="24"/>
          <w:lang w:bidi="zh-CN"/>
        </w:rPr>
        <w:t>在</w:t>
      </w:r>
      <w:r>
        <w:rPr>
          <w:rFonts w:ascii="宋体" w:hAnsi="宋体"/>
          <w:bCs/>
          <w:sz w:val="24"/>
          <w:szCs w:val="24"/>
          <w:lang w:bidi="zh-CN"/>
        </w:rPr>
        <w:t>202</w:t>
      </w:r>
      <w:r>
        <w:rPr>
          <w:rFonts w:hint="eastAsia" w:ascii="宋体" w:hAnsi="宋体"/>
          <w:bCs/>
          <w:sz w:val="24"/>
          <w:szCs w:val="24"/>
          <w:lang w:bidi="zh-CN"/>
        </w:rPr>
        <w:t>1</w:t>
      </w:r>
      <w:r>
        <w:rPr>
          <w:rFonts w:ascii="宋体" w:hAnsi="宋体"/>
          <w:bCs/>
          <w:sz w:val="24"/>
          <w:szCs w:val="24"/>
          <w:lang w:bidi="zh-CN"/>
        </w:rPr>
        <w:t>年</w:t>
      </w:r>
      <w:r>
        <w:rPr>
          <w:rFonts w:hint="eastAsia" w:ascii="宋体" w:hAnsi="宋体"/>
          <w:bCs/>
          <w:sz w:val="24"/>
          <w:szCs w:val="24"/>
          <w:lang w:bidi="zh-CN"/>
        </w:rPr>
        <w:t>8月11日</w:t>
      </w:r>
      <w:r>
        <w:rPr>
          <w:rFonts w:ascii="宋体" w:hAnsi="宋体"/>
          <w:bCs/>
          <w:sz w:val="24"/>
          <w:szCs w:val="24"/>
          <w:lang w:bidi="zh-CN"/>
        </w:rPr>
        <w:t>签</w:t>
      </w:r>
      <w:r>
        <w:rPr>
          <w:rFonts w:hint="eastAsia" w:ascii="宋体" w:hAnsi="宋体"/>
          <w:bCs/>
          <w:sz w:val="24"/>
          <w:szCs w:val="24"/>
          <w:lang w:bidi="zh-CN"/>
        </w:rPr>
        <w:t>约《正茂望山筑项目防水工程供货及施工承包合同》</w:t>
      </w:r>
      <w:r>
        <w:rPr>
          <w:rFonts w:ascii="宋体" w:hAnsi="宋体"/>
          <w:bCs/>
          <w:sz w:val="24"/>
          <w:szCs w:val="24"/>
          <w:lang w:bidi="zh-CN"/>
        </w:rPr>
        <w:t>，</w:t>
      </w:r>
      <w:r>
        <w:rPr>
          <w:rFonts w:hint="eastAsia" w:ascii="宋体" w:hAnsi="宋体"/>
          <w:bCs/>
          <w:sz w:val="24"/>
          <w:szCs w:val="24"/>
          <w:lang w:bidi="zh-CN"/>
        </w:rPr>
        <w:t>对方单位：上海东方雨虹防水工程有限公司</w:t>
      </w:r>
      <w:r>
        <w:rPr>
          <w:rFonts w:ascii="宋体" w:hAnsi="宋体"/>
          <w:bCs/>
          <w:sz w:val="24"/>
          <w:szCs w:val="24"/>
          <w:lang w:bidi="zh-CN"/>
        </w:rPr>
        <w:t>，</w:t>
      </w:r>
      <w:r>
        <w:rPr>
          <w:rFonts w:hint="eastAsia" w:ascii="宋体" w:hAnsi="宋体"/>
          <w:bCs/>
          <w:sz w:val="24"/>
          <w:szCs w:val="24"/>
          <w:lang w:bidi="zh-CN"/>
        </w:rPr>
        <w:t>合同总价款77</w:t>
      </w:r>
      <w:r>
        <w:rPr>
          <w:rFonts w:hint="eastAsia" w:ascii="宋体" w:hAnsi="宋体"/>
          <w:bCs/>
          <w:sz w:val="24"/>
          <w:szCs w:val="24"/>
          <w:lang w:val="en-US" w:bidi="zh-CN"/>
        </w:rPr>
        <w:t>2.89</w:t>
      </w:r>
      <w:r>
        <w:rPr>
          <w:rFonts w:hint="eastAsia" w:ascii="宋体" w:hAnsi="宋体"/>
          <w:bCs/>
          <w:sz w:val="24"/>
          <w:szCs w:val="24"/>
          <w:lang w:bidi="zh-CN"/>
        </w:rPr>
        <w:t>万元，</w:t>
      </w:r>
      <w:r>
        <w:rPr>
          <w:rFonts w:ascii="宋体" w:hAnsi="宋体"/>
          <w:bCs/>
          <w:sz w:val="24"/>
          <w:szCs w:val="24"/>
          <w:lang w:bidi="zh-CN"/>
        </w:rPr>
        <w:t>付款节点：</w:t>
      </w:r>
      <w:r>
        <w:rPr>
          <w:rFonts w:hint="eastAsia" w:ascii="宋体" w:hAnsi="宋体"/>
          <w:bCs/>
          <w:sz w:val="24"/>
          <w:szCs w:val="24"/>
          <w:lang w:bidi="zh-CN"/>
        </w:rPr>
        <w:t>本合同无预付款；乙方将当月付款申请主送需方，经甲方、监理等各方校核实际已完工工程量后，甲方将在30个日历天内支付已完工程产值的75%；防水工程竣工验收合格后30个日历天内，付至已完工程产值的90%；防水工程全部竣工验收合格，结算手续办理完成后 30 个日历天内，付至结算价款 的 100%。目前累计支付合同金额343.00万元，项目公司累计核定产值510.48万元，累计应付金额382.86万元，计划在3月份使用银行存款支付该合同的工程款39.20万元，符合合同的规定，该笔计划支付款项合理；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5月27日签订的《正茂望山筑项目防火门及防火窗供货及安装工程合同》，合同总金额为588.62万元，对方单位：福建省金盾消防科技有限公司，付款方式为：单体门框安装完成付款至该批次货款的30%；单体门扇安装完成付款至该批次货款的70%；本工程通过最终的竣工验收及消防验收，并且交付给发包人甲方后付款至合同总价的80%；发包人甲方、承包人乙方双方办理完结算手续后，发包人甲方在28个工作日内，向承包人乙方支付至结算款的97%；结算款的3%作为质量保修金，该质量保修金在该甲方项目防火门制作安装工程保修期(质量保修期至少为24个月，如乙方承诺的产品质量保修期超过前述期限的，则以乙方承诺的产品质量保修期限为准)满后30个日历天内，由需方扣除保修期间发生的有关维修费、管理费及赔偿金后，将剩余款项无息支付给乙方。项目公司累计核定产值148.30万元，累计应付金额44.49万元，计划在3月份使用银行存款支付该合同的工程款44.48万元，符合合同的规定，该笔计划支付款项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11月3日签订的《正茂望山筑项目铝合金门窗采购合同》，合同总金额为975.66万元，对方单位：福州百佳汇建筑装饰有限公司，付款方式为：进度款支付按不超过已完工程量70%核定【进度达到单体门窗外框安装完成时，甲方支付该单体合同价的30%(有节能副框或钢副框的项目，副框安装完成支付该单体合同价的10%，窗框安装完成时，甲方支付至该单体合同价的40%)；进度达到单体门窗扇安装完成时，甲方支付该单体合同价的40%(有节能副框或钢副框的项目，进度达到单体门窗扇安装完成时，甲方支付该单体合同价的30%)；铝合金栏杆也以单体为单位进度达到单体铝合金栏杆安装完成时甲方支付该单体铝合金栏杆部分合同金额的70%。】；施工完毕并经甲方验收通过，支付至合同总价的80%；工程结算完毕，支付至结算款的97%，乙方向甲方提供100%全额增值税专用发票；剩余结算总价的3%将作为工程质量保修金。本次项目公司核定产值378.47万元，累计应付金额378.47万元，已支付196.61万元，项目公司计划在3月份支付119.00万元</w:t>
      </w:r>
      <w:r>
        <w:rPr>
          <w:rFonts w:ascii="宋体" w:hAnsi="宋体"/>
          <w:bCs/>
          <w:sz w:val="24"/>
          <w:szCs w:val="24"/>
          <w:lang w:bidi="zh-CN"/>
        </w:rPr>
        <w:t>，</w:t>
      </w:r>
      <w:r>
        <w:rPr>
          <w:rFonts w:hint="eastAsia" w:ascii="宋体" w:hAnsi="宋体"/>
          <w:bCs/>
          <w:sz w:val="24"/>
          <w:szCs w:val="24"/>
          <w:lang w:bidi="zh-CN"/>
        </w:rPr>
        <w:t>符合合同规定，</w:t>
      </w:r>
      <w:r>
        <w:rPr>
          <w:rFonts w:ascii="宋体" w:hAnsi="宋体"/>
          <w:bCs/>
          <w:sz w:val="24"/>
          <w:szCs w:val="24"/>
          <w:lang w:bidi="zh-CN"/>
        </w:rPr>
        <w:t>该项支付</w:t>
      </w:r>
      <w:r>
        <w:rPr>
          <w:rFonts w:hint="eastAsia" w:ascii="宋体" w:hAnsi="宋体"/>
          <w:bCs/>
          <w:sz w:val="24"/>
          <w:szCs w:val="24"/>
          <w:lang w:bidi="zh-CN"/>
        </w:rPr>
        <w:t>计划合理；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11月3日签订的《正茂望山筑项目铝合金门窗工程施工合同》，合同总金额为464.93万元，对方单位：福州百佳汇建筑装饰有限公司，付款方式为：进度款支付按不超过已完工程量70%核定；进度达到单体门窗外框安装完成时，甲方支付该单体合同价的30%(有节能副框或钢副框的项目，副框安装完成支付该单体合同价的10%，窗框安装完成时，甲方支付至该单体合同价的40%)；进度达到单体门窗扇安装完成时，发包人支付该单体合同价的40%(有节能副框或钢副框的项目，进度达到单体门窗扇安装完成时，发包人支付该单体合同价的30</w:t>
      </w:r>
      <w:r>
        <w:rPr>
          <w:rFonts w:hint="eastAsia" w:ascii="宋体" w:hAnsi="宋体"/>
          <w:bCs/>
          <w:sz w:val="24"/>
          <w:szCs w:val="24"/>
          <w:lang w:val="en-US" w:bidi="zh-CN"/>
        </w:rPr>
        <w:t>%；铝合金栏杆也以单体为单位，进度达到单体铝合金栏杆安装完成时发包人支付该单体铝合金栏杆部分合同金额的70%；采光顶及格栅按当月产值70%支付；</w:t>
      </w:r>
      <w:r>
        <w:rPr>
          <w:rFonts w:hint="eastAsia" w:ascii="宋体" w:hAnsi="宋体"/>
          <w:bCs/>
          <w:sz w:val="24"/>
          <w:szCs w:val="24"/>
          <w:lang w:bidi="zh-CN"/>
        </w:rPr>
        <w:t>工程全部完工，并通过发包人组织的竣工验收（若因发包人原因，工程不能及时进行竣工验收，但工程实际已</w:t>
      </w:r>
      <w:bookmarkStart w:id="0" w:name="_GoBack"/>
      <w:bookmarkEnd w:id="0"/>
      <w:r>
        <w:rPr>
          <w:rFonts w:hint="eastAsia" w:ascii="宋体" w:hAnsi="宋体"/>
          <w:bCs/>
          <w:sz w:val="24"/>
          <w:szCs w:val="24"/>
          <w:lang w:bidi="zh-CN"/>
        </w:rPr>
        <w:t>交付或交付使用，则视同已实际竣工，唯承包人仍应积极主动并配合发包人进行工程竣工验收）并交付发包人后一个月内，付至签约合同价的[ 80 ]％（即竣工进度款）；工程结算完成之日[30]日内支付至结算价款的[97]％；工程结算价款的3%作为质保金。本次项目公司核定产值181.46万元，累计应付金额181.46万元，已支付113.88万元，项目公司计划在3月份支付67.58万元</w:t>
      </w:r>
      <w:r>
        <w:rPr>
          <w:rFonts w:ascii="宋体" w:hAnsi="宋体"/>
          <w:bCs/>
          <w:sz w:val="24"/>
          <w:szCs w:val="24"/>
          <w:lang w:bidi="zh-CN"/>
        </w:rPr>
        <w:t>，</w:t>
      </w:r>
      <w:r>
        <w:rPr>
          <w:rFonts w:hint="eastAsia" w:ascii="宋体" w:hAnsi="宋体"/>
          <w:bCs/>
          <w:sz w:val="24"/>
          <w:szCs w:val="24"/>
          <w:lang w:bidi="zh-CN"/>
        </w:rPr>
        <w:t>符合合同规定，</w:t>
      </w:r>
      <w:r>
        <w:rPr>
          <w:rFonts w:ascii="宋体" w:hAnsi="宋体"/>
          <w:bCs/>
          <w:sz w:val="24"/>
          <w:szCs w:val="24"/>
          <w:lang w:bidi="zh-CN"/>
        </w:rPr>
        <w:t>该项支付</w:t>
      </w:r>
      <w:r>
        <w:rPr>
          <w:rFonts w:hint="eastAsia" w:ascii="宋体" w:hAnsi="宋体"/>
          <w:bCs/>
          <w:sz w:val="24"/>
          <w:szCs w:val="24"/>
          <w:lang w:bidi="zh-CN"/>
        </w:rPr>
        <w:t>计划合理；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11月3日签订的《正茂望山筑项目外墙涂料工程供货及施工承包合同》，合同总金额为677.81万元，对方单位：德爱威建设工程有限公司，付款方式为：涂料施工工程款按每月已完产值的50%付款；单体完工（指大面施工完毕，不包括非施工单位原因导致无法施工的局部工作面，如塔吊、施工电梯未拆除等情况）确认后付至已完产值的80%；单体涂料施工项目验收合格后付至已完产值的90%；结算完成后付至结算款的97%，剩余3%作为质保金。本次项目公司核定产值310.00万元，累计应付金额155.00万元，已支付0.00万元，项目公司计划在3月份支付核定产值的50%，即155.00万元</w:t>
      </w:r>
      <w:r>
        <w:rPr>
          <w:rFonts w:ascii="宋体" w:hAnsi="宋体"/>
          <w:bCs/>
          <w:sz w:val="24"/>
          <w:szCs w:val="24"/>
          <w:lang w:bidi="zh-CN"/>
        </w:rPr>
        <w:t>，</w:t>
      </w:r>
      <w:r>
        <w:rPr>
          <w:rFonts w:hint="eastAsia" w:ascii="宋体" w:hAnsi="宋体"/>
          <w:bCs/>
          <w:sz w:val="24"/>
          <w:szCs w:val="24"/>
          <w:lang w:bidi="zh-CN"/>
        </w:rPr>
        <w:t>符合合同规定，</w:t>
      </w:r>
      <w:r>
        <w:rPr>
          <w:rFonts w:ascii="宋体" w:hAnsi="宋体"/>
          <w:bCs/>
          <w:sz w:val="24"/>
          <w:szCs w:val="24"/>
          <w:lang w:bidi="zh-CN"/>
        </w:rPr>
        <w:t>该项支付</w:t>
      </w:r>
      <w:r>
        <w:rPr>
          <w:rFonts w:hint="eastAsia" w:ascii="宋体" w:hAnsi="宋体"/>
          <w:bCs/>
          <w:sz w:val="24"/>
          <w:szCs w:val="24"/>
          <w:lang w:bidi="zh-CN"/>
        </w:rPr>
        <w:t>计划合理；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w:t>
      </w:r>
      <w:r>
        <w:rPr>
          <w:rFonts w:ascii="宋体" w:hAnsi="宋体"/>
          <w:bCs/>
          <w:sz w:val="24"/>
          <w:szCs w:val="24"/>
          <w:lang w:bidi="zh-CN"/>
        </w:rPr>
        <w:t>项目公司</w:t>
      </w:r>
      <w:r>
        <w:rPr>
          <w:rFonts w:hint="eastAsia" w:ascii="宋体" w:hAnsi="宋体"/>
          <w:bCs/>
          <w:sz w:val="24"/>
          <w:szCs w:val="24"/>
          <w:lang w:bidi="zh-CN"/>
        </w:rPr>
        <w:t>在</w:t>
      </w:r>
      <w:r>
        <w:rPr>
          <w:rFonts w:ascii="宋体" w:hAnsi="宋体"/>
          <w:bCs/>
          <w:sz w:val="24"/>
          <w:szCs w:val="24"/>
          <w:lang w:bidi="zh-CN"/>
        </w:rPr>
        <w:t>202</w:t>
      </w:r>
      <w:r>
        <w:rPr>
          <w:rFonts w:hint="eastAsia" w:ascii="宋体" w:hAnsi="宋体"/>
          <w:bCs/>
          <w:sz w:val="24"/>
          <w:szCs w:val="24"/>
          <w:lang w:bidi="zh-CN"/>
        </w:rPr>
        <w:t>1</w:t>
      </w:r>
      <w:r>
        <w:rPr>
          <w:rFonts w:ascii="宋体" w:hAnsi="宋体"/>
          <w:bCs/>
          <w:sz w:val="24"/>
          <w:szCs w:val="24"/>
          <w:lang w:bidi="zh-CN"/>
        </w:rPr>
        <w:t>年</w:t>
      </w:r>
      <w:r>
        <w:rPr>
          <w:rFonts w:hint="eastAsia" w:ascii="宋体" w:hAnsi="宋体"/>
          <w:bCs/>
          <w:sz w:val="24"/>
          <w:szCs w:val="24"/>
          <w:lang w:bidi="zh-CN"/>
        </w:rPr>
        <w:t>6月16日</w:t>
      </w:r>
      <w:r>
        <w:rPr>
          <w:rFonts w:ascii="宋体" w:hAnsi="宋体"/>
          <w:bCs/>
          <w:sz w:val="24"/>
          <w:szCs w:val="24"/>
          <w:lang w:bidi="zh-CN"/>
        </w:rPr>
        <w:t>签</w:t>
      </w:r>
      <w:r>
        <w:rPr>
          <w:rFonts w:hint="eastAsia" w:ascii="宋体" w:hAnsi="宋体"/>
          <w:bCs/>
          <w:sz w:val="24"/>
          <w:szCs w:val="24"/>
          <w:lang w:bidi="zh-CN"/>
        </w:rPr>
        <w:t>约《福州正茂望山筑项目电线电缆采购工程供货合同》</w:t>
      </w:r>
      <w:r>
        <w:rPr>
          <w:rFonts w:ascii="宋体" w:hAnsi="宋体"/>
          <w:bCs/>
          <w:sz w:val="24"/>
          <w:szCs w:val="24"/>
          <w:lang w:bidi="zh-CN"/>
        </w:rPr>
        <w:t>，</w:t>
      </w:r>
      <w:r>
        <w:rPr>
          <w:rFonts w:hint="eastAsia" w:ascii="宋体" w:hAnsi="宋体"/>
          <w:bCs/>
          <w:sz w:val="24"/>
          <w:szCs w:val="24"/>
          <w:lang w:bidi="zh-CN"/>
        </w:rPr>
        <w:t>对方单位：东莞市民兴电缆有限公司</w:t>
      </w:r>
      <w:r>
        <w:rPr>
          <w:rFonts w:ascii="宋体" w:hAnsi="宋体"/>
          <w:bCs/>
          <w:sz w:val="24"/>
          <w:szCs w:val="24"/>
          <w:lang w:bidi="zh-CN"/>
        </w:rPr>
        <w:t>，</w:t>
      </w:r>
      <w:r>
        <w:rPr>
          <w:rFonts w:hint="eastAsia" w:ascii="宋体" w:hAnsi="宋体"/>
          <w:bCs/>
          <w:sz w:val="24"/>
          <w:szCs w:val="24"/>
          <w:lang w:bidi="zh-CN"/>
        </w:rPr>
        <w:t>合同总价款766.80万元，</w:t>
      </w:r>
      <w:r>
        <w:rPr>
          <w:rFonts w:ascii="宋体" w:hAnsi="宋体"/>
          <w:bCs/>
          <w:sz w:val="24"/>
          <w:szCs w:val="24"/>
          <w:lang w:bidi="zh-CN"/>
        </w:rPr>
        <w:t>付款节点：</w:t>
      </w:r>
      <w:r>
        <w:rPr>
          <w:rFonts w:hint="eastAsia" w:ascii="宋体" w:hAnsi="宋体"/>
          <w:bCs/>
          <w:sz w:val="24"/>
          <w:szCs w:val="24"/>
          <w:lang w:bidi="zh-CN"/>
        </w:rPr>
        <w:t>货到甲方指定地点后由甲方组织入库，甲乙双方办理完到货确认手续后30日历天内甲方支付到货货物总价的100% ；货到工地3个月内付清货款。目前累计支付合同金额0.00万元，项目公司累计核定产值132.01万元，累计应付金额132.01万元，计划在3月份使用银行存款支付该合同的工程款</w:t>
      </w:r>
      <w:r>
        <w:rPr>
          <w:rFonts w:hint="eastAsia" w:ascii="宋体" w:hAnsi="宋体"/>
          <w:bCs/>
          <w:sz w:val="24"/>
          <w:szCs w:val="24"/>
          <w:lang w:val="en-US" w:bidi="zh-CN"/>
        </w:rPr>
        <w:t>90</w:t>
      </w:r>
      <w:r>
        <w:rPr>
          <w:rFonts w:hint="eastAsia" w:ascii="宋体" w:hAnsi="宋体"/>
          <w:bCs/>
          <w:sz w:val="24"/>
          <w:szCs w:val="24"/>
          <w:lang w:bidi="zh-CN"/>
        </w:rPr>
        <w:t>.00万元，符合合同的规定，该笔计划支付款项合理；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9月签订的《正茂望山筑项目市政供水及一户一表工程施工合同》，合同总金额为729.08万元，对方单位：福建宏盛建设集团有限公司，付款方式为：合同签订后30个工作日内支付合同价款的80%(其中发包人收到自来水公司缴款通知后，2个工作日内将应交于自来水公司的款项另行直接汇入相关账户该部分款项也包含在本合同总价中，发包人向自来水公司支付的款项即视为发包人向承包人支付了工程款，在包干总价中予以扣除;合同价款的80%的剩余款项发包人应汇入承包人指定账户);完全通水、经相关部门验收合格并办理好一户一表转交自来水公司的手续且结算办理完毕后一个月内支付至结算总价的100%。目前累计支付合同金额0.00万元，项目公司累计核定产值583.22万元，累计应付款583.22万元，计划在3月份使用银行存款支付该合同的工程款183.00万元，符合合同的规定，该笔计划支付款项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根据项目公司2020年8月16日签订的《福州金鸡新苑项目地质勘察工程合同》，合同总金额为83.18万元，对方单位：福建泉成勘察有限公司，付款方式为：    勘察报告经图审部门审查通过30个工作日内付至已完合格勘查工程造价总价的50%；桩基工程验收通过后30个工作日内付至已完合格勘查工程造价总价的70%；工程施工完成付至实际结算勘察费的100%。目前累计支付合同金额41.11万元，项目公司累计核定产值81.76万元，累计应付金额57.24万元，计划在3月份使用银行存款支付该合同的工程款16.12万元，符合合同的规定，该笔计划支付款项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6月21日签订的《正茂望山筑项目基坑监测及房屋沉降观测工程施工合同》，合同总金额为28.96万元，对方单位：福建省现代工程勘察院，付款方式为：基坑各区域进行布点且进行检测1个月后，甲方支付乙方基坑监测费用40%；基坑监测继结束后，乙方提交正式检测报告并经甲方审核确认后15个工作日内日，甲方支付剩余基坑监测费用；主体结构封顶后，支付上部检测费用的50%；工程竣工验收后，支付上部检测费用的40%；                               全部检测结束后，乙方应于三日内提交检测报告，经甲方审核合格后15个工作日内日，甲方付清余款。目前累计支付合同金额0.00万元，项目公司累计核定产值20.44万元，累计应付金额8.18万元，计划在3月份使用银行存款支付该合同的工程款8.18万元，符合合同的规定，该笔计划支付款项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6月11日签订的《正茂望山筑通信工程合同》，合同总金额为35.37万元，对方单位：福建省冠通通信技术有限公司，付款方式为：第一次进度款:本合同约定的由承包人提供的材料进场，并开始施工后[10]个工作日内，承包人向发包人报送付款申请，发包人在完整收到上述资料[15]个工作日内完成审核确认，并且由承包人提供10.4.3条约定要求的发票以及通信方案审批通过后，发包人向承包人支付至合同总价的30%；第二次进度款:工程(包括小区红线外电信管井到地下室桥架的管道、通信布线、竖井通信桥架及地下室无线桥架)完成后，经发包人验收合格，且满足至少两家运营商开通网络，经甲方确认后10个工作日内，承包人向发包人报送付款申请，发包人在完整收到上述资料[15]个工作日内完成审核确认，并且由承包人提供10.4.3条约定要求的发票后，发包人向承包人支付至合同总价的80%；第三次进度款:待工程按发包人要求结算完毕后，发包人向承包人支付至结算总价的97%；合同总价的3%作为工程保修金(不计利息)，缺陷责任期满扣除相关保修金及赔偿金后无息返还承包人。目前累计支付合同金额0.00万元，项目公司累计核定产值10.61万元，累计应付金额10.61万元，计划在3月份使用银行存款支付该合同的工程款10.61万元，符合合同的规定，该笔计划支付款项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7月5日签订的《商业燃气预留工程设计合同》，合同总金额为7.32万元，对方单位：华润（南京）市政设计有限公司，付款方式为：乙方在收到甲方的书面委托及设计所需的基础资料后，乙方应按正常的设计进度并符合甲方合理的时间要求来完成设计。在甲方按合同约定支付设计费后，乙方根据甲方要求的地点交付施工图8份。交付截止时间:甲方支付全部设计费后15日内交付施工图。目前累计支付合同金额0.00万元，按照合同约定计划在3月份使用银行存款支付该合同的工程款7.32万元，符合合同的规定，该笔计划支付款项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2022年1月26日签订的《二化电房、省二医院污水厂拆除协调工程》，合同总金额为62.60万元，对方单位：福建兆亿建设工程有限公司，付款方式为：工程完工及验收合格后,承包方提供等额的增值税发票后，支付至合同金额的 100%。目前累计支付合同金额0.00万元，项目公司累计核定产值62.60万元，累计应付金额62.60万元，计划在3月份使用银行存款支付该合同的工程款62.60万元，符合合同的规定，该笔计划支付款项合理；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8月18日签订的《正茂望山筑项目柴油发电机组供货安装及机房降噪工程合同》，合同总金额为67.82万元，对方单位：福州吉耐特机电设备有限公司，付款方式为：1、柴油发电机组：发包人向承包人发出排产通知［20］个工作日内，支付所排产设备货款的［10］%作为排产款；待该批设备运至发包人指定地点，并经发包人验收合格之日起［20］个工作日内，发包人支付该批设备货款的［60］%作为到货款；承包人将该批设备安装、试车完成，并经发包人内部验收合格之日起［20］个工作日内，发包人支付至该批设备货款的［10］%；消防工程验收合格且配合完成环保验收并办理移交手续后，办理验收付款，发包人在承包人提交验收合格报告及相关资料，结算完成，且付款申请资料齐全的情况下，［20］个工作日内一次性付至设备货款结算款的［97］%；剩余设备货款结算款的［3］%作为质量保修金。2、发电机房降噪：降噪工程完工并经发包方竣工验收合格后，发包方支付至合同该部分价款的 85%；承包方移交所有相关资料并且发包方、承包方双方办理完结算手续（结算结果经发包方、承包方双方确认）后，支付至该部分发电机机房降噪结算总价的 97%；剩余 3%作为质量保修金。项目柴油发电机已排产，现申请排产款6.02万元，计划在3月份使用银行存款支付排产款6.02万元，符合合同的规定，该笔计划支付款项合理；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2020年10月签订的《正茂望山筑景观设计服务合同》，合同总金额为82.06万元，对方单位：上海骏地建筑设计事务所股份有限公司，付款方式为：合同签署付20%；方案设计完成经甲方书面确认后十日内付20%；扩初设计完成经甲方书面确认后十日内付25%；施工图涉及咨询完成经甲方书面确认后十日内付25%；工程现场设计服务完成经甲方书面确认后十日内付5%；工程竣工验收付5%。目前累计支付合同金额16.41万元，项目公司累计核定产值53.34万元，计划在3月份使用银行存款支付该合同的工程款36.93万元，符合合同的规定，该笔计划支付款项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2020年12月4日签订的《正茂望山筑施工图设计合同》，合同总金额为273.44万元，对方单位：浙江华洲国际设计工程顾问有限公司，付款方式为：合同签订后30个工作日内付20%；基坑支护设计配合完成后，桩基施工图审查通过后，经甲方书面确认后，30个工作日内依照实际完成工作比例支付10%；施工图获得政府审批通过后30个工作日，依照实际完成工作比例支付40%；配合各项施工图评审，评分高于85分，根据室内设计单位提供准确的设计条件完成建筑一次装修设计，景观相关施工图配合完成后30个工作日，依照实际完成工作比例支付15%；结构封顶后30个工作日，依照实际完成工作比例支付10%；项目竣工验收后30个工作日依照实际完成工作比例支付5%，且结清余款。目前累计支付合同金额191.41万元，项目公司累计核定产值259.77万元，计划在3月份使用银行存款支付该合同的工程款38.36万元，符合合同的规定，该笔计划支付款项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签订的《正茂望山筑项目氡检测、绿色建筑和海绵城市设计合同》，合同总金额为29.00万元，对方单位：福建中科绿色技术咨询有限公司，付款方式：合同签订后至领取成果前付50%；甲方收到成果后10日内付50%。目前累计支付合同金额14.50万元，项目公司累计核定产值29.00万元，计划在3月份使用银行存款支付该合同的工程款14.50万元，符合合同的规定，该笔计划支付款项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签订的《正茂望山筑公区室内精装设计及深化设计合同》，合同总金额为48.79万元，对方单位：上海朵马建筑设计咨询有限公司，付款方式为：本合同签订后，甲方书面通知开始设计的30日内，甲方支付暂定合同总价款的20%；调整方案经甲方确认，施工图齐全提交并经甲方确认后30日内支付暂定合同总价款的60%；材料样板、概算提交并经甲方确认后30日内支付暂定合同总价款的15%；装饰工程完工后30日内，甲方付清设计费余款5%。目前累计支付合同金额0.00万元，项目公司累计核定产值9.76万元，计划在3月份使用银行存款支付该合同的工程款9.76万元，符合合同的规定，该笔计划支付款项合理；</w:t>
      </w:r>
    </w:p>
    <w:p>
      <w:pPr>
        <w:pStyle w:val="16"/>
        <w:numPr>
          <w:ilvl w:val="0"/>
          <w:numId w:val="2"/>
        </w:numPr>
        <w:spacing w:before="156" w:beforeLines="50" w:after="156" w:afterLines="50" w:line="360" w:lineRule="auto"/>
        <w:ind w:firstLineChars="0"/>
        <w:rPr>
          <w:rFonts w:ascii="宋体" w:hAnsi="宋体"/>
          <w:bCs/>
          <w:sz w:val="24"/>
          <w:szCs w:val="24"/>
          <w:lang w:bidi="zh-CN"/>
        </w:rPr>
      </w:pPr>
      <w:r>
        <w:rPr>
          <w:rFonts w:hint="eastAsia" w:ascii="宋体" w:hAnsi="宋体"/>
          <w:bCs/>
          <w:sz w:val="24"/>
          <w:szCs w:val="24"/>
          <w:lang w:bidi="zh-CN"/>
        </w:rPr>
        <w:t>根据项目公司2021年6月9日签订的《福州正茂望山筑项目二化社区拆除、协调合同》，合同总金额为49.87万元，对方单位：福州中讯贸易有限公司，付款方式为：租金标准:每月60元/平方米，合计租金每月1.8万元，自租赁合同生效起后支付租金（第一年自2021年3月1日至2022年12月30日止），每三个月支付一次租金，租赁期间物业管理费6.67万元，与第一笔租金一同支付。目前累计支付合同金额29.18万元，项目公司计划在3月份使用银行存款支付该合租金5.59万元，符合合同的规定，该笔计划支付款项合理；</w:t>
      </w:r>
    </w:p>
    <w:p>
      <w:pPr>
        <w:spacing w:before="156" w:beforeLines="50" w:after="156" w:afterLines="50" w:line="360" w:lineRule="auto"/>
        <w:ind w:firstLine="720" w:firstLineChars="300"/>
        <w:rPr>
          <w:rFonts w:ascii="宋体" w:hAnsi="宋体"/>
          <w:sz w:val="24"/>
          <w:szCs w:val="24"/>
          <w:lang w:bidi="zh-CN"/>
        </w:rPr>
      </w:pPr>
      <w:r>
        <w:rPr>
          <w:rFonts w:hint="eastAsia" w:ascii="宋体" w:hAnsi="宋体"/>
          <w:sz w:val="24"/>
          <w:szCs w:val="24"/>
          <w:lang w:bidi="zh-CN"/>
        </w:rPr>
        <w:t>经审核，</w:t>
      </w:r>
      <w:r>
        <w:rPr>
          <w:rFonts w:hint="eastAsia" w:ascii="宋体" w:hAnsi="宋体"/>
          <w:sz w:val="24"/>
          <w:szCs w:val="24"/>
        </w:rPr>
        <w:t>根据项目公司提供的资金计划表，上述计划支付内容与计划开发进度基本相符，</w:t>
      </w:r>
      <w:r>
        <w:rPr>
          <w:rFonts w:hint="eastAsia" w:ascii="宋体" w:hAnsi="宋体"/>
          <w:sz w:val="24"/>
          <w:szCs w:val="24"/>
          <w:lang w:bidi="zh-CN"/>
        </w:rPr>
        <w:t>我司认为3月项目公司有关工程款支出的资金计划编制合理。后期我司会对合同签订严格把控，实际支付时，我司会对付款申请、发票、流程、工程合同、现场签证等依据进行审核、计算，根据实际情况复核付款的合理性、合规性。</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（二）销售费用资金支出计划说明</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项目公司计划2022年3月的销售费用支出金额共计180.00万元，具体分析如下：</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预计本期支付工资社保费用60.00万元，职工福利费20.00万元，企划费用100.00万元。</w:t>
      </w:r>
    </w:p>
    <w:p>
      <w:pPr>
        <w:spacing w:before="156" w:beforeLines="50" w:after="156" w:afterLines="50" w:line="360" w:lineRule="auto"/>
        <w:ind w:firstLine="480" w:firstLineChars="200"/>
        <w:rPr>
          <w:rFonts w:ascii="宋体" w:hAnsi="宋体"/>
          <w:sz w:val="24"/>
          <w:szCs w:val="24"/>
        </w:rPr>
      </w:pPr>
      <w:r>
        <w:rPr>
          <w:rFonts w:hint="eastAsia" w:ascii="宋体" w:hAnsi="宋体"/>
          <w:bCs/>
          <w:sz w:val="24"/>
          <w:szCs w:val="24"/>
          <w:lang w:bidi="zh-CN"/>
        </w:rPr>
        <w:t>项目公司营销计划及人员工作计划尚未排定，届时将根据实际人员安排进行支付</w:t>
      </w:r>
      <w:r>
        <w:rPr>
          <w:rFonts w:hint="eastAsia" w:ascii="宋体" w:hAnsi="宋体"/>
          <w:sz w:val="24"/>
          <w:szCs w:val="24"/>
          <w:lang w:bidi="zh-CN"/>
        </w:rPr>
        <w:t>相应费用</w:t>
      </w:r>
      <w:r>
        <w:rPr>
          <w:rFonts w:ascii="宋体" w:hAnsi="宋体"/>
          <w:sz w:val="24"/>
          <w:szCs w:val="24"/>
          <w:lang w:bidi="zh-CN"/>
        </w:rPr>
        <w:t>，</w:t>
      </w:r>
      <w:r>
        <w:rPr>
          <w:rFonts w:hint="eastAsia" w:ascii="宋体" w:hAnsi="宋体"/>
          <w:sz w:val="24"/>
          <w:szCs w:val="24"/>
        </w:rPr>
        <w:t>后期申请</w:t>
      </w:r>
      <w:r>
        <w:rPr>
          <w:rFonts w:ascii="宋体" w:hAnsi="宋体"/>
          <w:sz w:val="24"/>
          <w:szCs w:val="24"/>
        </w:rPr>
        <w:t>相关款项</w:t>
      </w:r>
      <w:r>
        <w:rPr>
          <w:rFonts w:ascii="宋体" w:hAnsi="宋体"/>
          <w:sz w:val="24"/>
          <w:szCs w:val="24"/>
          <w:lang w:bidi="zh-CN"/>
        </w:rPr>
        <w:t>支付时，我司会对付款申请、发票、流程、合同等依据进行审核，严格把控，确保资金支付合理、合规。</w:t>
      </w:r>
    </w:p>
    <w:p>
      <w:p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（三）管理费用资金支出计划说明</w:t>
      </w:r>
    </w:p>
    <w:p>
      <w:p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项目公司计划在2022年3月的管理费用支出金额共计100.00万元，具体分析如下：</w:t>
      </w:r>
    </w:p>
    <w:p>
      <w:pPr>
        <w:numPr>
          <w:ilvl w:val="0"/>
          <w:numId w:val="3"/>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预计本期支付工资社保费用20.00万元，水电费10.00万元，招待费用及其他70.00万元。</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经审核，我司认为3月管理费用资金支出</w:t>
      </w:r>
      <w:r>
        <w:rPr>
          <w:rFonts w:ascii="宋体" w:hAnsi="宋体"/>
          <w:sz w:val="24"/>
          <w:szCs w:val="24"/>
          <w:lang w:bidi="zh-CN"/>
        </w:rPr>
        <w:t>计划编制合理</w:t>
      </w:r>
      <w:r>
        <w:rPr>
          <w:rFonts w:hint="eastAsia" w:ascii="宋体" w:hAnsi="宋体"/>
          <w:sz w:val="24"/>
          <w:szCs w:val="24"/>
          <w:lang w:bidi="zh-CN"/>
        </w:rPr>
        <w:t>，实际支付时，我司会对付款申请、发票、流程、协议等依据进行审核，</w:t>
      </w:r>
      <w:r>
        <w:rPr>
          <w:rFonts w:ascii="宋体" w:hAnsi="宋体"/>
          <w:sz w:val="24"/>
          <w:szCs w:val="24"/>
          <w:lang w:bidi="zh-CN"/>
        </w:rPr>
        <w:t>严格把控，</w:t>
      </w:r>
      <w:r>
        <w:rPr>
          <w:rFonts w:hint="eastAsia" w:ascii="宋体" w:hAnsi="宋体"/>
          <w:sz w:val="24"/>
          <w:szCs w:val="24"/>
          <w:lang w:bidi="zh-CN"/>
        </w:rPr>
        <w:t>确保资金支付合理、合规。</w:t>
      </w:r>
    </w:p>
    <w:p>
      <w:pPr>
        <w:numPr>
          <w:ilvl w:val="0"/>
          <w:numId w:val="4"/>
        </w:num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财务费用资金支出计划说明</w:t>
      </w:r>
    </w:p>
    <w:p>
      <w:pPr>
        <w:numPr>
          <w:ilvl w:val="255"/>
          <w:numId w:val="0"/>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项目公司计划在2022年3月的财务费用支出为应付开发贷利息，金额260.00万元，具体分析如下：</w:t>
      </w:r>
    </w:p>
    <w:p>
      <w:pPr>
        <w:numPr>
          <w:ilvl w:val="255"/>
          <w:numId w:val="0"/>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截至2021年2月28日，项目公司未归还的开发贷款金额为62,690.00万元，利率4.75%，开发贷利息按月支付。</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经审核，我司认为3月财务费用资金支出</w:t>
      </w:r>
      <w:r>
        <w:rPr>
          <w:rFonts w:ascii="宋体" w:hAnsi="宋体"/>
          <w:sz w:val="24"/>
          <w:szCs w:val="24"/>
          <w:lang w:bidi="zh-CN"/>
        </w:rPr>
        <w:t>计划编制合理</w:t>
      </w:r>
      <w:r>
        <w:rPr>
          <w:rFonts w:hint="eastAsia" w:ascii="宋体" w:hAnsi="宋体"/>
          <w:sz w:val="24"/>
          <w:szCs w:val="24"/>
          <w:lang w:bidi="zh-CN"/>
        </w:rPr>
        <w:t>，实际支付时，我司会对付款申请、流程、协议等依据进行审核，</w:t>
      </w:r>
      <w:r>
        <w:rPr>
          <w:rFonts w:ascii="宋体" w:hAnsi="宋体"/>
          <w:sz w:val="24"/>
          <w:szCs w:val="24"/>
          <w:lang w:bidi="zh-CN"/>
        </w:rPr>
        <w:t>严格把控，</w:t>
      </w:r>
      <w:r>
        <w:rPr>
          <w:rFonts w:hint="eastAsia" w:ascii="宋体" w:hAnsi="宋体"/>
          <w:sz w:val="24"/>
          <w:szCs w:val="24"/>
          <w:lang w:bidi="zh-CN"/>
        </w:rPr>
        <w:t>确保资金支付合理、合规。</w:t>
      </w:r>
    </w:p>
    <w:p>
      <w:pPr>
        <w:numPr>
          <w:ilvl w:val="0"/>
          <w:numId w:val="4"/>
        </w:numPr>
        <w:spacing w:before="156" w:beforeLines="50" w:after="156" w:afterLines="50" w:line="360" w:lineRule="auto"/>
        <w:rPr>
          <w:rFonts w:ascii="宋体" w:hAnsi="宋体"/>
          <w:b/>
          <w:bCs/>
          <w:sz w:val="24"/>
          <w:szCs w:val="24"/>
          <w:lang w:bidi="zh-CN"/>
        </w:rPr>
      </w:pPr>
      <w:r>
        <w:rPr>
          <w:rFonts w:hint="eastAsia" w:ascii="宋体" w:hAnsi="宋体"/>
          <w:b/>
          <w:bCs/>
          <w:sz w:val="24"/>
          <w:szCs w:val="24"/>
          <w:lang w:bidi="zh-CN"/>
        </w:rPr>
        <w:t>开发贷还本资金支出计划说明</w:t>
      </w:r>
    </w:p>
    <w:p>
      <w:pPr>
        <w:numPr>
          <w:ilvl w:val="255"/>
          <w:numId w:val="0"/>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项目公司计划在2022年3月还本开发贷4,500.00万元，具体分析如下：</w:t>
      </w:r>
    </w:p>
    <w:p>
      <w:pPr>
        <w:numPr>
          <w:ilvl w:val="255"/>
          <w:numId w:val="0"/>
        </w:numPr>
        <w:spacing w:before="156" w:beforeLines="50" w:after="156" w:afterLines="50" w:line="360" w:lineRule="auto"/>
        <w:ind w:firstLine="480" w:firstLineChars="200"/>
        <w:rPr>
          <w:rFonts w:ascii="宋体" w:hAnsi="宋体"/>
          <w:sz w:val="24"/>
          <w:szCs w:val="24"/>
        </w:rPr>
      </w:pPr>
      <w:r>
        <w:rPr>
          <w:rFonts w:hint="eastAsia" w:ascii="宋体" w:hAnsi="宋体"/>
          <w:sz w:val="24"/>
          <w:szCs w:val="24"/>
        </w:rPr>
        <w:t>截至2021年2月28日，未归还的开发贷款金额为62,690.00万元。开发贷收支明细如下表：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5"/>
        <w:gridCol w:w="2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5" w:type="dxa"/>
          </w:tcPr>
          <w:p>
            <w:pPr>
              <w:pStyle w:val="2"/>
              <w:ind w:firstLine="422"/>
              <w:rPr>
                <w:rFonts w:ascii="宋体" w:hAnsi="宋体" w:cs="宋体"/>
                <w:b/>
                <w:bCs/>
              </w:rPr>
            </w:pPr>
            <w:r>
              <w:rPr>
                <w:rFonts w:hint="eastAsia" w:ascii="宋体" w:hAnsi="宋体" w:cs="宋体"/>
                <w:b/>
                <w:bCs/>
              </w:rPr>
              <w:t>日期</w:t>
            </w:r>
          </w:p>
        </w:tc>
        <w:tc>
          <w:tcPr>
            <w:tcW w:w="2630" w:type="dxa"/>
          </w:tcPr>
          <w:p>
            <w:pPr>
              <w:pStyle w:val="2"/>
              <w:ind w:firstLine="422"/>
              <w:rPr>
                <w:rFonts w:ascii="宋体" w:hAnsi="宋体" w:cs="宋体"/>
                <w:b/>
                <w:bCs/>
              </w:rPr>
            </w:pPr>
            <w:r>
              <w:rPr>
                <w:rFonts w:hint="eastAsia" w:ascii="宋体" w:hAnsi="宋体" w:cs="宋体"/>
                <w:b/>
                <w:bCs/>
              </w:rPr>
              <w:t>收款金额（万元）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5" w:type="dxa"/>
          </w:tcPr>
          <w:p>
            <w:pPr>
              <w:pStyle w:val="2"/>
              <w:rPr>
                <w:rFonts w:ascii="宋体" w:hAnsi="宋体" w:cs="宋体"/>
              </w:rPr>
            </w:pPr>
            <w:r>
              <w:rPr>
                <w:rFonts w:hint="eastAsia" w:ascii="宋体" w:hAnsi="宋体" w:cs="宋体"/>
              </w:rPr>
              <w:t>2021-3-1</w:t>
            </w:r>
          </w:p>
        </w:tc>
        <w:tc>
          <w:tcPr>
            <w:tcW w:w="2630" w:type="dxa"/>
          </w:tcPr>
          <w:p>
            <w:pPr>
              <w:pStyle w:val="2"/>
              <w:jc w:val="right"/>
              <w:rPr>
                <w:rFonts w:ascii="宋体" w:hAnsi="宋体" w:cs="宋体"/>
              </w:rPr>
            </w:pPr>
            <w:r>
              <w:rPr>
                <w:rFonts w:hint="eastAsia" w:ascii="宋体" w:hAnsi="宋体" w:cs="宋体"/>
              </w:rPr>
              <w:t>54,500.00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5" w:type="dxa"/>
          </w:tcPr>
          <w:p>
            <w:pPr>
              <w:pStyle w:val="2"/>
              <w:rPr>
                <w:rFonts w:ascii="宋体" w:hAnsi="宋体" w:cs="宋体"/>
              </w:rPr>
            </w:pPr>
            <w:r>
              <w:rPr>
                <w:rFonts w:hint="eastAsia" w:ascii="宋体" w:hAnsi="宋体" w:cs="宋体"/>
              </w:rPr>
              <w:t>2021-6-22</w:t>
            </w:r>
          </w:p>
        </w:tc>
        <w:tc>
          <w:tcPr>
            <w:tcW w:w="2630" w:type="dxa"/>
          </w:tcPr>
          <w:p>
            <w:pPr>
              <w:pStyle w:val="2"/>
              <w:jc w:val="right"/>
              <w:rPr>
                <w:rFonts w:ascii="宋体" w:hAnsi="宋体" w:cs="宋体"/>
              </w:rPr>
            </w:pPr>
            <w:r>
              <w:rPr>
                <w:rFonts w:hint="eastAsia" w:ascii="宋体" w:hAnsi="宋体" w:cs="宋体"/>
              </w:rPr>
              <w:t>-110.00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5" w:type="dxa"/>
          </w:tcPr>
          <w:p>
            <w:pPr>
              <w:pStyle w:val="2"/>
              <w:rPr>
                <w:rFonts w:ascii="宋体" w:hAnsi="宋体" w:cs="宋体"/>
              </w:rPr>
            </w:pPr>
            <w:r>
              <w:rPr>
                <w:rFonts w:hint="eastAsia" w:ascii="宋体" w:hAnsi="宋体" w:cs="宋体"/>
              </w:rPr>
              <w:t>2021-6-29</w:t>
            </w:r>
          </w:p>
        </w:tc>
        <w:tc>
          <w:tcPr>
            <w:tcW w:w="2630" w:type="dxa"/>
          </w:tcPr>
          <w:p>
            <w:pPr>
              <w:pStyle w:val="2"/>
              <w:jc w:val="right"/>
              <w:rPr>
                <w:rFonts w:ascii="宋体" w:hAnsi="宋体" w:cs="宋体"/>
              </w:rPr>
            </w:pPr>
            <w:r>
              <w:rPr>
                <w:rFonts w:hint="eastAsia" w:ascii="宋体" w:hAnsi="宋体" w:cs="宋体"/>
              </w:rPr>
              <w:t>12,300.00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5" w:type="dxa"/>
          </w:tcPr>
          <w:p>
            <w:pPr>
              <w:pStyle w:val="2"/>
              <w:rPr>
                <w:rFonts w:ascii="宋体" w:hAnsi="宋体" w:cs="宋体"/>
              </w:rPr>
            </w:pPr>
            <w:r>
              <w:rPr>
                <w:rFonts w:hint="eastAsia" w:ascii="宋体" w:hAnsi="宋体" w:cs="宋体"/>
              </w:rPr>
              <w:t>2021-8-23</w:t>
            </w:r>
          </w:p>
        </w:tc>
        <w:tc>
          <w:tcPr>
            <w:tcW w:w="2630" w:type="dxa"/>
          </w:tcPr>
          <w:p>
            <w:pPr>
              <w:pStyle w:val="2"/>
              <w:jc w:val="right"/>
              <w:rPr>
                <w:rFonts w:ascii="宋体" w:hAnsi="宋体" w:cs="宋体"/>
              </w:rPr>
            </w:pPr>
            <w:r>
              <w:rPr>
                <w:rFonts w:hint="eastAsia" w:ascii="宋体" w:hAnsi="宋体" w:cs="宋体"/>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5" w:type="dxa"/>
          </w:tcPr>
          <w:p>
            <w:pPr>
              <w:pStyle w:val="2"/>
              <w:rPr>
                <w:rFonts w:ascii="宋体" w:hAnsi="宋体" w:cs="宋体"/>
              </w:rPr>
            </w:pPr>
            <w:r>
              <w:rPr>
                <w:rFonts w:hint="eastAsia" w:ascii="宋体" w:hAnsi="宋体" w:cs="宋体"/>
              </w:rPr>
              <w:t>2021-10-28</w:t>
            </w:r>
          </w:p>
        </w:tc>
        <w:tc>
          <w:tcPr>
            <w:tcW w:w="2630" w:type="dxa"/>
          </w:tcPr>
          <w:p>
            <w:pPr>
              <w:pStyle w:val="2"/>
              <w:jc w:val="right"/>
              <w:rPr>
                <w:rFonts w:ascii="宋体" w:hAnsi="宋体" w:cs="宋体"/>
              </w:rPr>
            </w:pPr>
            <w:r>
              <w:rPr>
                <w:rFonts w:hint="eastAsia" w:ascii="宋体" w:hAnsi="宋体" w:cs="宋体"/>
              </w:rPr>
              <w:t>-2,000.00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5" w:type="dxa"/>
          </w:tcPr>
          <w:p>
            <w:pPr>
              <w:pStyle w:val="2"/>
              <w:rPr>
                <w:rFonts w:ascii="宋体" w:hAnsi="宋体" w:cs="宋体"/>
              </w:rPr>
            </w:pPr>
            <w:r>
              <w:rPr>
                <w:rFonts w:hint="eastAsia" w:ascii="宋体" w:hAnsi="宋体" w:cs="宋体"/>
              </w:rPr>
              <w:t>2021-11-22</w:t>
            </w:r>
          </w:p>
        </w:tc>
        <w:tc>
          <w:tcPr>
            <w:tcW w:w="2630" w:type="dxa"/>
          </w:tcPr>
          <w:p>
            <w:pPr>
              <w:pStyle w:val="2"/>
              <w:jc w:val="right"/>
              <w:rPr>
                <w:rFonts w:ascii="宋体" w:hAnsi="宋体" w:cs="宋体"/>
              </w:rPr>
            </w:pPr>
            <w:r>
              <w:rPr>
                <w:rFonts w:hint="eastAsia" w:ascii="宋体" w:hAnsi="宋体" w:cs="宋体"/>
              </w:rPr>
              <w:t>-1,000.00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5" w:type="dxa"/>
          </w:tcPr>
          <w:p>
            <w:pPr>
              <w:pStyle w:val="2"/>
              <w:rPr>
                <w:rFonts w:ascii="宋体" w:hAnsi="宋体" w:cs="宋体"/>
              </w:rPr>
            </w:pPr>
            <w:r>
              <w:rPr>
                <w:rFonts w:hint="eastAsia" w:ascii="宋体" w:hAnsi="宋体" w:cs="宋体"/>
              </w:rPr>
              <w:t>2021-12-4</w:t>
            </w:r>
          </w:p>
        </w:tc>
        <w:tc>
          <w:tcPr>
            <w:tcW w:w="2630" w:type="dxa"/>
          </w:tcPr>
          <w:p>
            <w:pPr>
              <w:pStyle w:val="2"/>
              <w:jc w:val="right"/>
              <w:rPr>
                <w:rFonts w:ascii="宋体" w:hAnsi="宋体" w:cs="宋体"/>
              </w:rPr>
            </w:pPr>
            <w:r>
              <w:rPr>
                <w:rFonts w:hint="eastAsia" w:ascii="宋体" w:hAnsi="宋体" w:cs="宋体"/>
              </w:rPr>
              <w:t>4,000.00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5" w:type="dxa"/>
          </w:tcPr>
          <w:p>
            <w:pPr>
              <w:pStyle w:val="2"/>
              <w:rPr>
                <w:rFonts w:ascii="宋体" w:hAnsi="宋体" w:cs="宋体"/>
              </w:rPr>
            </w:pPr>
            <w:r>
              <w:rPr>
                <w:rFonts w:hint="eastAsia" w:ascii="宋体" w:hAnsi="宋体" w:cs="宋体"/>
              </w:rPr>
              <w:t>2021-12-22</w:t>
            </w:r>
          </w:p>
        </w:tc>
        <w:tc>
          <w:tcPr>
            <w:tcW w:w="2630" w:type="dxa"/>
          </w:tcPr>
          <w:p>
            <w:pPr>
              <w:pStyle w:val="2"/>
              <w:jc w:val="right"/>
              <w:rPr>
                <w:rFonts w:ascii="宋体" w:hAnsi="宋体" w:cs="宋体"/>
              </w:rPr>
            </w:pPr>
            <w:r>
              <w:rPr>
                <w:rFonts w:hint="eastAsia" w:ascii="宋体" w:hAnsi="宋体" w:cs="宋体"/>
              </w:rPr>
              <w:t>-330.00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5" w:type="dxa"/>
          </w:tcPr>
          <w:p>
            <w:pPr>
              <w:pStyle w:val="2"/>
              <w:rPr>
                <w:rFonts w:ascii="宋体" w:hAnsi="宋体" w:cs="宋体"/>
              </w:rPr>
            </w:pPr>
            <w:r>
              <w:rPr>
                <w:rFonts w:hint="eastAsia" w:ascii="宋体" w:hAnsi="宋体" w:cs="宋体"/>
              </w:rPr>
              <w:t>2022-1-21</w:t>
            </w:r>
          </w:p>
        </w:tc>
        <w:tc>
          <w:tcPr>
            <w:tcW w:w="2630" w:type="dxa"/>
          </w:tcPr>
          <w:p>
            <w:pPr>
              <w:pStyle w:val="2"/>
              <w:jc w:val="right"/>
              <w:rPr>
                <w:rFonts w:ascii="宋体" w:hAnsi="宋体" w:cs="宋体"/>
              </w:rPr>
            </w:pPr>
            <w:r>
              <w:rPr>
                <w:rFonts w:hint="eastAsia" w:ascii="宋体" w:hAnsi="宋体" w:cs="宋体"/>
              </w:rPr>
              <w:t>-3,670.00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55" w:type="dxa"/>
          </w:tcPr>
          <w:p>
            <w:pPr>
              <w:pStyle w:val="2"/>
              <w:rPr>
                <w:rFonts w:ascii="宋体" w:hAnsi="宋体" w:cs="宋体"/>
              </w:rPr>
            </w:pPr>
            <w:r>
              <w:rPr>
                <w:rFonts w:hint="eastAsia" w:ascii="宋体" w:hAnsi="宋体" w:cs="宋体"/>
              </w:rPr>
              <w:t>合计：</w:t>
            </w:r>
          </w:p>
        </w:tc>
        <w:tc>
          <w:tcPr>
            <w:tcW w:w="2630" w:type="dxa"/>
          </w:tcPr>
          <w:p>
            <w:pPr>
              <w:pStyle w:val="2"/>
              <w:jc w:val="right"/>
              <w:rPr>
                <w:rFonts w:ascii="宋体" w:hAnsi="宋体" w:cs="宋体"/>
              </w:rPr>
            </w:pPr>
            <w:r>
              <w:rPr>
                <w:rFonts w:hint="eastAsia" w:ascii="宋体" w:hAnsi="宋体" w:cs="宋体"/>
              </w:rPr>
              <w:t>62,690.00</w:t>
            </w:r>
          </w:p>
        </w:tc>
      </w:tr>
    </w:tbl>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rPr>
        <w:t>截至2021年2月28日，中航信托本金还款比例35.36%，开发贷累计还款比例（含3月份计划数）17.20%。</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sz w:val="24"/>
          <w:szCs w:val="24"/>
          <w:lang w:bidi="zh-CN"/>
        </w:rPr>
        <w:t>经审核，我司认为3月份开发贷还本资金支出</w:t>
      </w:r>
      <w:r>
        <w:rPr>
          <w:rFonts w:ascii="宋体" w:hAnsi="宋体"/>
          <w:sz w:val="24"/>
          <w:szCs w:val="24"/>
          <w:lang w:bidi="zh-CN"/>
        </w:rPr>
        <w:t>计划编制合理</w:t>
      </w:r>
      <w:r>
        <w:rPr>
          <w:rFonts w:hint="eastAsia" w:ascii="宋体" w:hAnsi="宋体"/>
          <w:sz w:val="24"/>
          <w:szCs w:val="24"/>
          <w:lang w:bidi="zh-CN"/>
        </w:rPr>
        <w:t>，实际支付时，我司会对付款申请、流程、协议等依据进行审核，</w:t>
      </w:r>
      <w:r>
        <w:rPr>
          <w:rFonts w:ascii="宋体" w:hAnsi="宋体"/>
          <w:sz w:val="24"/>
          <w:szCs w:val="24"/>
          <w:lang w:bidi="zh-CN"/>
        </w:rPr>
        <w:t>严格把控，</w:t>
      </w:r>
      <w:r>
        <w:rPr>
          <w:rFonts w:hint="eastAsia" w:ascii="宋体" w:hAnsi="宋体"/>
          <w:sz w:val="24"/>
          <w:szCs w:val="24"/>
          <w:lang w:bidi="zh-CN"/>
        </w:rPr>
        <w:t>确保资金支付合理、合规。</w:t>
      </w:r>
    </w:p>
    <w:p>
      <w:pPr>
        <w:numPr>
          <w:ilvl w:val="0"/>
          <w:numId w:val="1"/>
        </w:numPr>
        <w:spacing w:before="156" w:beforeLines="50" w:after="156" w:afterLines="50"/>
        <w:ind w:firstLine="120" w:firstLineChars="50"/>
        <w:rPr>
          <w:rFonts w:ascii="宋体" w:hAnsi="宋体"/>
          <w:b/>
          <w:sz w:val="24"/>
          <w:szCs w:val="24"/>
          <w:lang w:bidi="zh-CN"/>
        </w:rPr>
      </w:pPr>
      <w:r>
        <w:rPr>
          <w:rFonts w:ascii="宋体" w:hAnsi="宋体"/>
          <w:b/>
          <w:sz w:val="24"/>
          <w:szCs w:val="24"/>
          <w:lang w:bidi="zh-CN"/>
        </w:rPr>
        <w:t>结论：</w:t>
      </w:r>
    </w:p>
    <w:p>
      <w:pPr>
        <w:pStyle w:val="16"/>
        <w:spacing w:before="156" w:beforeLines="50" w:after="156" w:afterLines="50" w:line="360" w:lineRule="auto"/>
        <w:ind w:firstLine="480"/>
        <w:rPr>
          <w:rFonts w:ascii="宋体" w:hAnsi="宋体"/>
          <w:sz w:val="24"/>
          <w:szCs w:val="24"/>
          <w:lang w:bidi="zh-CN"/>
        </w:rPr>
      </w:pPr>
      <w:r>
        <w:rPr>
          <w:rFonts w:hint="eastAsia" w:ascii="宋体" w:hAnsi="宋体"/>
          <w:sz w:val="24"/>
          <w:szCs w:val="24"/>
        </w:rPr>
        <w:t>项目公司本次提交的2022年3月资金计划按款项类别分类，</w:t>
      </w:r>
      <w:r>
        <w:rPr>
          <w:rFonts w:ascii="宋体" w:hAnsi="宋体"/>
          <w:bCs/>
          <w:sz w:val="24"/>
          <w:szCs w:val="24"/>
          <w:lang w:bidi="zh-CN"/>
        </w:rPr>
        <w:t>分类信息明确，直观，费用明细与现场实际情况基本吻合</w:t>
      </w:r>
      <w:r>
        <w:rPr>
          <w:rFonts w:hint="eastAsia" w:ascii="宋体" w:hAnsi="宋体"/>
          <w:bCs/>
          <w:sz w:val="24"/>
          <w:szCs w:val="24"/>
          <w:lang w:bidi="zh-CN"/>
        </w:rPr>
        <w:t>。涉及的合同及付款与开发节奏匹配，部分付款时间较之现金流预测表略有调整。</w:t>
      </w:r>
      <w:r>
        <w:rPr>
          <w:rFonts w:hint="eastAsia" w:ascii="宋体" w:hAnsi="宋体"/>
          <w:sz w:val="24"/>
          <w:szCs w:val="24"/>
          <w:lang w:bidi="zh-CN"/>
        </w:rPr>
        <w:t>实际支付时，我司会对付款申请、发票、流程、合同、现场签证等依据进行审核、计算，根据实际申请情况审核付款的合理性、合规性。</w:t>
      </w:r>
    </w:p>
    <w:p>
      <w:pPr>
        <w:spacing w:before="156" w:beforeLines="50" w:after="156" w:afterLines="50" w:line="360" w:lineRule="auto"/>
        <w:ind w:firstLine="480" w:firstLineChars="200"/>
        <w:rPr>
          <w:rFonts w:ascii="宋体" w:hAnsi="宋体"/>
          <w:sz w:val="24"/>
          <w:szCs w:val="24"/>
          <w:lang w:bidi="zh-CN"/>
        </w:rPr>
      </w:pPr>
      <w:r>
        <w:rPr>
          <w:rFonts w:hint="eastAsia" w:ascii="宋体" w:hAnsi="宋体"/>
          <w:bCs/>
          <w:sz w:val="24"/>
          <w:szCs w:val="24"/>
          <w:lang w:bidi="zh-CN"/>
        </w:rPr>
        <w:t>我司拟同意项目公司2022年3月份的资金计划，并以此作为付款的依据。待实际支付时，我司人员将对相关付款资料的合理、合规性一一核实，据实支付，请审批。</w:t>
      </w:r>
    </w:p>
    <w:p>
      <w:pPr>
        <w:spacing w:before="156" w:beforeLines="50" w:after="156" w:afterLines="50" w:line="360" w:lineRule="auto"/>
        <w:ind w:firstLine="480" w:firstLineChars="200"/>
        <w:rPr>
          <w:rFonts w:ascii="宋体" w:hAnsi="宋体"/>
          <w:sz w:val="24"/>
          <w:szCs w:val="24"/>
        </w:rPr>
      </w:pPr>
    </w:p>
    <w:p>
      <w:pPr>
        <w:spacing w:line="360" w:lineRule="auto"/>
        <w:ind w:firstLine="5060" w:firstLineChars="2100"/>
        <w:rPr>
          <w:rFonts w:ascii="宋体" w:hAnsi="宋体"/>
          <w:b/>
          <w:sz w:val="24"/>
          <w:lang w:bidi="zh-CN"/>
        </w:rPr>
      </w:pPr>
      <w:r>
        <w:rPr>
          <w:rFonts w:hint="eastAsia" w:ascii="宋体" w:hAnsi="宋体"/>
          <w:b/>
          <w:sz w:val="24"/>
          <w:lang w:bidi="zh-CN"/>
        </w:rPr>
        <w:t xml:space="preserve">       北京康信君安资产管理有限公司</w:t>
      </w:r>
    </w:p>
    <w:p>
      <w:pPr>
        <w:spacing w:before="156" w:beforeLines="50" w:line="360" w:lineRule="auto"/>
        <w:ind w:left="420" w:leftChars="200" w:firstLine="482" w:firstLineChars="200"/>
        <w:rPr>
          <w:rFonts w:ascii="宋体" w:hAnsi="宋体"/>
          <w:b/>
          <w:sz w:val="24"/>
          <w:lang w:bidi="zh-CN"/>
        </w:rPr>
      </w:pPr>
      <w:r>
        <w:rPr>
          <w:rFonts w:hint="eastAsia" w:ascii="宋体" w:hAnsi="宋体"/>
          <w:b/>
          <w:sz w:val="24"/>
          <w:lang w:bidi="zh-CN"/>
        </w:rPr>
        <w:t xml:space="preserve">                                              </w:t>
      </w:r>
      <w:r>
        <w:rPr>
          <w:rFonts w:hint="eastAsia" w:ascii="宋体" w:hAnsi="宋体"/>
          <w:b/>
          <w:bCs/>
          <w:sz w:val="24"/>
          <w:lang w:bidi="zh-CN"/>
        </w:rPr>
        <w:t xml:space="preserve"> 2022年3月5</w:t>
      </w:r>
      <w:r>
        <w:rPr>
          <w:rFonts w:ascii="宋体" w:hAnsi="宋体"/>
          <w:b/>
          <w:bCs/>
          <w:sz w:val="24"/>
          <w:lang w:bidi="zh-CN"/>
        </w:rPr>
        <w:t>日</w:t>
      </w:r>
    </w:p>
    <w:sectPr>
      <w:headerReference r:id="rId3" w:type="default"/>
      <w:footerReference r:id="rId4" w:type="default"/>
      <w:pgSz w:w="11906" w:h="16838"/>
      <w:pgMar w:top="1417" w:right="1134" w:bottom="1134" w:left="124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mc:AlternateContent>
        <mc:Choice Requires="wps">
          <w:drawing>
            <wp:anchor distT="0" distB="0" distL="114300" distR="114300" simplePos="0" relativeHeight="251659264" behindDoc="0" locked="0" layoutInCell="1" allowOverlap="1">
              <wp:simplePos x="0" y="0"/>
              <wp:positionH relativeFrom="margin">
                <wp:posOffset>2995295</wp:posOffset>
              </wp:positionH>
              <wp:positionV relativeFrom="paragraph">
                <wp:posOffset>-1905</wp:posOffset>
              </wp:positionV>
              <wp:extent cx="243840" cy="144780"/>
              <wp:effectExtent l="0" t="0" r="3810" b="7620"/>
              <wp:wrapNone/>
              <wp:docPr id="1" name="文本框 1"/>
              <wp:cNvGraphicFramePr/>
              <a:graphic xmlns:a="http://schemas.openxmlformats.org/drawingml/2006/main">
                <a:graphicData uri="http://schemas.microsoft.com/office/word/2010/wordprocessingShape">
                  <wps:wsp>
                    <wps:cNvSpPr txBox="1"/>
                    <wps:spPr>
                      <a:xfrm>
                        <a:off x="0" y="0"/>
                        <a:ext cx="243840" cy="144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35.85pt;margin-top:-0.15pt;height:11.4pt;width:19.2pt;mso-position-horizontal-relative:margin;z-index:251659264;mso-width-relative:page;mso-height-relative:page;" filled="f" stroked="f" coordsize="21600,21600" o:gfxdata="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R17bX1wAAAAgBAAAPAAAAAAAAAAEAIAAAACIAAABkcnMvZG93bnJldi54bWxQ&#10;SwECFAAUAAAACACHTuJAEF+YyDECAABVBAAADgAAAAAAAAABACAAAAAmAQAAZHJzL2Uyb0RvYy54&#10;bWxQSwUGAAAAAAYABgBZAQAAyQUAAAAA&#10;">
              <v:fill on="f" focussize="0,0"/>
              <v:stroke on="f" weight="0.5pt"/>
              <v:imagedata o:title=""/>
              <o:lock v:ext="edit" aspectratio="f"/>
              <v:textbox inset="0mm,0mm,0mm,0mm">
                <w:txbxContent>
                  <w:p>
                    <w:pPr>
                      <w:pStyle w:val="8"/>
                    </w:pPr>
                    <w:r>
                      <w:rPr>
                        <w:rFonts w:hint="eastAsia"/>
                      </w:rPr>
                      <w:fldChar w:fldCharType="begin"/>
                    </w:r>
                    <w:r>
                      <w:rPr>
                        <w:rFonts w:hint="eastAsia"/>
                      </w:rPr>
                      <w:instrText xml:space="preserve"> PAGE  \* MERGEFORMAT </w:instrText>
                    </w:r>
                    <w:r>
                      <w:rPr>
                        <w:rFonts w:hint="eastAsia"/>
                      </w:rPr>
                      <w:fldChar w:fldCharType="separate"/>
                    </w:r>
                    <w:r>
                      <w:t>12</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rFonts w:hint="eastAsia" w:ascii="楷体_GB2312" w:eastAsia="楷体_GB2312"/>
        <w:spacing w:val="-20"/>
        <w:sz w:val="24"/>
      </w:rPr>
      <w:t xml:space="preserve">        </w:t>
    </w:r>
    <w:r>
      <w:drawing>
        <wp:inline distT="0" distB="0" distL="0" distR="0">
          <wp:extent cx="6048375" cy="418465"/>
          <wp:effectExtent l="0" t="0" r="9525" b="63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418465"/>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EF10D7"/>
    <w:multiLevelType w:val="singleLevel"/>
    <w:tmpl w:val="E2EF10D7"/>
    <w:lvl w:ilvl="0" w:tentative="0">
      <w:start w:val="4"/>
      <w:numFmt w:val="chineseCounting"/>
      <w:suff w:val="nothing"/>
      <w:lvlText w:val="（%1）"/>
      <w:lvlJc w:val="left"/>
      <w:rPr>
        <w:rFonts w:hint="eastAsia"/>
      </w:rPr>
    </w:lvl>
  </w:abstractNum>
  <w:abstractNum w:abstractNumId="1">
    <w:nsid w:val="062381DE"/>
    <w:multiLevelType w:val="multilevel"/>
    <w:tmpl w:val="062381DE"/>
    <w:lvl w:ilvl="0" w:tentative="0">
      <w:start w:val="1"/>
      <w:numFmt w:val="decimal"/>
      <w:lvlText w:val="（%1）"/>
      <w:lvlJc w:val="left"/>
      <w:pPr>
        <w:ind w:left="1200" w:hanging="7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2">
    <w:nsid w:val="0D4E1B27"/>
    <w:multiLevelType w:val="singleLevel"/>
    <w:tmpl w:val="0D4E1B27"/>
    <w:lvl w:ilvl="0" w:tentative="0">
      <w:start w:val="1"/>
      <w:numFmt w:val="decimal"/>
      <w:suff w:val="nothing"/>
      <w:lvlText w:val="%1、"/>
      <w:lvlJc w:val="left"/>
    </w:lvl>
  </w:abstractNum>
  <w:abstractNum w:abstractNumId="3">
    <w:nsid w:val="1F5288DA"/>
    <w:multiLevelType w:val="singleLevel"/>
    <w:tmpl w:val="1F5288DA"/>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63D1761"/>
    <w:rsid w:val="000058FE"/>
    <w:rsid w:val="0001211B"/>
    <w:rsid w:val="00040F89"/>
    <w:rsid w:val="000525F4"/>
    <w:rsid w:val="00057AEE"/>
    <w:rsid w:val="00065207"/>
    <w:rsid w:val="000B7B8A"/>
    <w:rsid w:val="000C41A2"/>
    <w:rsid w:val="000E3789"/>
    <w:rsid w:val="000F449D"/>
    <w:rsid w:val="001336E6"/>
    <w:rsid w:val="00136E9B"/>
    <w:rsid w:val="00142260"/>
    <w:rsid w:val="001864A1"/>
    <w:rsid w:val="00191FEF"/>
    <w:rsid w:val="00194BA4"/>
    <w:rsid w:val="001F6BFC"/>
    <w:rsid w:val="00210079"/>
    <w:rsid w:val="00221439"/>
    <w:rsid w:val="00221B7A"/>
    <w:rsid w:val="0023132A"/>
    <w:rsid w:val="00237492"/>
    <w:rsid w:val="002A26CB"/>
    <w:rsid w:val="002B4D97"/>
    <w:rsid w:val="002E58E2"/>
    <w:rsid w:val="002E756A"/>
    <w:rsid w:val="00347099"/>
    <w:rsid w:val="0039037B"/>
    <w:rsid w:val="003B735D"/>
    <w:rsid w:val="004067B8"/>
    <w:rsid w:val="0040756E"/>
    <w:rsid w:val="004474B9"/>
    <w:rsid w:val="00473EDB"/>
    <w:rsid w:val="0049374E"/>
    <w:rsid w:val="004B1C61"/>
    <w:rsid w:val="004C3FCC"/>
    <w:rsid w:val="004D00F4"/>
    <w:rsid w:val="004D1D0F"/>
    <w:rsid w:val="00510E2C"/>
    <w:rsid w:val="00552620"/>
    <w:rsid w:val="00571659"/>
    <w:rsid w:val="005B4A9C"/>
    <w:rsid w:val="005B5D70"/>
    <w:rsid w:val="005F33E5"/>
    <w:rsid w:val="006151EF"/>
    <w:rsid w:val="00622B0D"/>
    <w:rsid w:val="00626BF5"/>
    <w:rsid w:val="00634457"/>
    <w:rsid w:val="00644ECF"/>
    <w:rsid w:val="00647511"/>
    <w:rsid w:val="006E2B52"/>
    <w:rsid w:val="006F6637"/>
    <w:rsid w:val="00757726"/>
    <w:rsid w:val="007A22DB"/>
    <w:rsid w:val="007D279A"/>
    <w:rsid w:val="007D2BDA"/>
    <w:rsid w:val="007E1386"/>
    <w:rsid w:val="00816F02"/>
    <w:rsid w:val="00832436"/>
    <w:rsid w:val="00834091"/>
    <w:rsid w:val="00856600"/>
    <w:rsid w:val="008610EA"/>
    <w:rsid w:val="00877846"/>
    <w:rsid w:val="008847E6"/>
    <w:rsid w:val="00890EE2"/>
    <w:rsid w:val="008E0218"/>
    <w:rsid w:val="008E5A24"/>
    <w:rsid w:val="009004D8"/>
    <w:rsid w:val="009030FB"/>
    <w:rsid w:val="00934FC4"/>
    <w:rsid w:val="00983E7F"/>
    <w:rsid w:val="009A0579"/>
    <w:rsid w:val="00A32A0B"/>
    <w:rsid w:val="00A6720B"/>
    <w:rsid w:val="00A87777"/>
    <w:rsid w:val="00AF7AC5"/>
    <w:rsid w:val="00B21E45"/>
    <w:rsid w:val="00BA58ED"/>
    <w:rsid w:val="00BA68DE"/>
    <w:rsid w:val="00BF5D41"/>
    <w:rsid w:val="00BF7391"/>
    <w:rsid w:val="00C76242"/>
    <w:rsid w:val="00C930E4"/>
    <w:rsid w:val="00C944C0"/>
    <w:rsid w:val="00C95AE7"/>
    <w:rsid w:val="00CC4B81"/>
    <w:rsid w:val="00D306E0"/>
    <w:rsid w:val="00D33A47"/>
    <w:rsid w:val="00D420A0"/>
    <w:rsid w:val="00D628DD"/>
    <w:rsid w:val="00D76CDD"/>
    <w:rsid w:val="00DA6139"/>
    <w:rsid w:val="00DD6217"/>
    <w:rsid w:val="00E10A98"/>
    <w:rsid w:val="00E20E17"/>
    <w:rsid w:val="00E45716"/>
    <w:rsid w:val="00E568EC"/>
    <w:rsid w:val="00E921FE"/>
    <w:rsid w:val="00E9226C"/>
    <w:rsid w:val="00EC70FF"/>
    <w:rsid w:val="00EF25BE"/>
    <w:rsid w:val="00F00B45"/>
    <w:rsid w:val="00F01AF9"/>
    <w:rsid w:val="00F116F1"/>
    <w:rsid w:val="00F362B0"/>
    <w:rsid w:val="00F8220C"/>
    <w:rsid w:val="00FA3166"/>
    <w:rsid w:val="01941947"/>
    <w:rsid w:val="01A714F3"/>
    <w:rsid w:val="04143CD3"/>
    <w:rsid w:val="048146A6"/>
    <w:rsid w:val="04982717"/>
    <w:rsid w:val="04A27A91"/>
    <w:rsid w:val="063D1761"/>
    <w:rsid w:val="067348A4"/>
    <w:rsid w:val="07902E78"/>
    <w:rsid w:val="07E03F89"/>
    <w:rsid w:val="081E244E"/>
    <w:rsid w:val="08EE1EC1"/>
    <w:rsid w:val="095C401C"/>
    <w:rsid w:val="0968187A"/>
    <w:rsid w:val="0A6F7752"/>
    <w:rsid w:val="0A9161E2"/>
    <w:rsid w:val="0B0220AA"/>
    <w:rsid w:val="0BD9562E"/>
    <w:rsid w:val="0BF42BB6"/>
    <w:rsid w:val="0C5374A3"/>
    <w:rsid w:val="0DEB56BA"/>
    <w:rsid w:val="0E4F23EE"/>
    <w:rsid w:val="0EB47384"/>
    <w:rsid w:val="0F2C2C9D"/>
    <w:rsid w:val="122B1285"/>
    <w:rsid w:val="12EE54E0"/>
    <w:rsid w:val="135D0AF5"/>
    <w:rsid w:val="146A512F"/>
    <w:rsid w:val="15567058"/>
    <w:rsid w:val="16FC6FB1"/>
    <w:rsid w:val="178873E1"/>
    <w:rsid w:val="19EB4927"/>
    <w:rsid w:val="1A5D2BE2"/>
    <w:rsid w:val="1ACB2E07"/>
    <w:rsid w:val="1B576203"/>
    <w:rsid w:val="1D043C1A"/>
    <w:rsid w:val="1DCF49CE"/>
    <w:rsid w:val="2086245E"/>
    <w:rsid w:val="20A114EC"/>
    <w:rsid w:val="21100F4E"/>
    <w:rsid w:val="222B6202"/>
    <w:rsid w:val="2247155C"/>
    <w:rsid w:val="23565FC4"/>
    <w:rsid w:val="24DC0284"/>
    <w:rsid w:val="25941A9C"/>
    <w:rsid w:val="25A8047B"/>
    <w:rsid w:val="25DA1FE3"/>
    <w:rsid w:val="26EB4760"/>
    <w:rsid w:val="27154C5C"/>
    <w:rsid w:val="275F1399"/>
    <w:rsid w:val="2A9918BD"/>
    <w:rsid w:val="2B2066F6"/>
    <w:rsid w:val="2D6149CC"/>
    <w:rsid w:val="31BC4B3E"/>
    <w:rsid w:val="31ED37AF"/>
    <w:rsid w:val="33AB2D9C"/>
    <w:rsid w:val="33DF58E5"/>
    <w:rsid w:val="34144D08"/>
    <w:rsid w:val="34D448E3"/>
    <w:rsid w:val="35334DCE"/>
    <w:rsid w:val="35826B17"/>
    <w:rsid w:val="369827D3"/>
    <w:rsid w:val="37052A1D"/>
    <w:rsid w:val="377A5B36"/>
    <w:rsid w:val="37967549"/>
    <w:rsid w:val="379D183F"/>
    <w:rsid w:val="37ED0FBB"/>
    <w:rsid w:val="38B73058"/>
    <w:rsid w:val="392817E4"/>
    <w:rsid w:val="39570990"/>
    <w:rsid w:val="3A0C0074"/>
    <w:rsid w:val="3B62109C"/>
    <w:rsid w:val="3CD27D75"/>
    <w:rsid w:val="3CF828BA"/>
    <w:rsid w:val="3D7C3CA5"/>
    <w:rsid w:val="3DF30266"/>
    <w:rsid w:val="3E4E2F40"/>
    <w:rsid w:val="3F2F596E"/>
    <w:rsid w:val="401251D3"/>
    <w:rsid w:val="407961B2"/>
    <w:rsid w:val="418F0C8B"/>
    <w:rsid w:val="42212FA0"/>
    <w:rsid w:val="437C7673"/>
    <w:rsid w:val="43E87380"/>
    <w:rsid w:val="466923B3"/>
    <w:rsid w:val="46A80D2B"/>
    <w:rsid w:val="47CE79E8"/>
    <w:rsid w:val="480E00CC"/>
    <w:rsid w:val="48B03310"/>
    <w:rsid w:val="48BF0390"/>
    <w:rsid w:val="4A7C41BA"/>
    <w:rsid w:val="4AA870DA"/>
    <w:rsid w:val="4E8809AE"/>
    <w:rsid w:val="4F925B40"/>
    <w:rsid w:val="51BD5B4A"/>
    <w:rsid w:val="54B508D5"/>
    <w:rsid w:val="54BD1A39"/>
    <w:rsid w:val="550D1296"/>
    <w:rsid w:val="570876FE"/>
    <w:rsid w:val="576B5FEF"/>
    <w:rsid w:val="58637208"/>
    <w:rsid w:val="58EF106F"/>
    <w:rsid w:val="59D035A4"/>
    <w:rsid w:val="59DE52E9"/>
    <w:rsid w:val="5A6C6FD9"/>
    <w:rsid w:val="5C2F2581"/>
    <w:rsid w:val="5C41771D"/>
    <w:rsid w:val="5E464A0C"/>
    <w:rsid w:val="64467371"/>
    <w:rsid w:val="64475C87"/>
    <w:rsid w:val="660D7223"/>
    <w:rsid w:val="67B9696D"/>
    <w:rsid w:val="697C6B98"/>
    <w:rsid w:val="697D7370"/>
    <w:rsid w:val="6A8601F9"/>
    <w:rsid w:val="6B421B1B"/>
    <w:rsid w:val="6C1907E0"/>
    <w:rsid w:val="6C850FF7"/>
    <w:rsid w:val="6C9C7B61"/>
    <w:rsid w:val="6D572487"/>
    <w:rsid w:val="6DDD005E"/>
    <w:rsid w:val="6F433989"/>
    <w:rsid w:val="6F592DE9"/>
    <w:rsid w:val="6F8F5E4F"/>
    <w:rsid w:val="6F933C4F"/>
    <w:rsid w:val="702F22F1"/>
    <w:rsid w:val="70F878F3"/>
    <w:rsid w:val="71A0556E"/>
    <w:rsid w:val="7230230F"/>
    <w:rsid w:val="732B4355"/>
    <w:rsid w:val="7349485A"/>
    <w:rsid w:val="73F773CD"/>
    <w:rsid w:val="74AF74FD"/>
    <w:rsid w:val="74B63547"/>
    <w:rsid w:val="7509163E"/>
    <w:rsid w:val="753B70CD"/>
    <w:rsid w:val="7586575E"/>
    <w:rsid w:val="761B4740"/>
    <w:rsid w:val="780C51CB"/>
    <w:rsid w:val="79231988"/>
    <w:rsid w:val="79C755E3"/>
    <w:rsid w:val="79EA73B1"/>
    <w:rsid w:val="7BEB2145"/>
    <w:rsid w:val="7BF77212"/>
    <w:rsid w:val="7CFC6257"/>
    <w:rsid w:val="7D0839FB"/>
    <w:rsid w:val="7D0B103C"/>
    <w:rsid w:val="7D59100C"/>
    <w:rsid w:val="7D8160E8"/>
    <w:rsid w:val="7E01788C"/>
    <w:rsid w:val="7F522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99" w:semiHidden="0" w:name="Normal Indent"/>
    <w:lsdException w:uiPriority="0" w:name="footnote text"/>
    <w:lsdException w:qFormat="1" w:unhideWhenUsed="0" w:uiPriority="0" w:semiHidden="0" w:name="annotation text"/>
    <w:lsdException w:qFormat="1" w:unhideWhenUsed="0" w:uiPriority="0"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99"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unhideWhenUsed/>
    <w:qFormat/>
    <w:uiPriority w:val="0"/>
    <w:pPr>
      <w:keepNext/>
      <w:keepLines/>
      <w:spacing w:before="260" w:after="260" w:line="413" w:lineRule="auto"/>
      <w:outlineLvl w:val="1"/>
    </w:pPr>
    <w:rPr>
      <w:rFonts w:ascii="Arial" w:hAnsi="Arial" w:eastAsia="黑体"/>
      <w:b/>
      <w:sz w:val="32"/>
    </w:rPr>
  </w:style>
  <w:style w:type="character" w:default="1" w:styleId="14">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5">
    <w:name w:val="annotation text"/>
    <w:basedOn w:val="1"/>
    <w:link w:val="22"/>
    <w:qFormat/>
    <w:uiPriority w:val="0"/>
    <w:pPr>
      <w:jc w:val="left"/>
    </w:pPr>
  </w:style>
  <w:style w:type="paragraph" w:styleId="6">
    <w:name w:val="Body Text"/>
    <w:basedOn w:val="1"/>
    <w:semiHidden/>
    <w:unhideWhenUsed/>
    <w:qFormat/>
    <w:uiPriority w:val="99"/>
    <w:pPr>
      <w:spacing w:after="120"/>
    </w:pPr>
  </w:style>
  <w:style w:type="paragraph" w:styleId="7">
    <w:name w:val="Balloon Text"/>
    <w:basedOn w:val="1"/>
    <w:link w:val="17"/>
    <w:qFormat/>
    <w:uiPriority w:val="0"/>
    <w:rPr>
      <w:sz w:val="18"/>
      <w:szCs w:val="18"/>
    </w:rPr>
  </w:style>
  <w:style w:type="paragraph" w:styleId="8">
    <w:name w:val="footer"/>
    <w:basedOn w:val="1"/>
    <w:unhideWhenUsed/>
    <w:qFormat/>
    <w:uiPriority w:val="99"/>
    <w:pPr>
      <w:tabs>
        <w:tab w:val="center" w:pos="4153"/>
        <w:tab w:val="right" w:pos="8306"/>
      </w:tabs>
      <w:snapToGrid w:val="0"/>
      <w:jc w:val="left"/>
    </w:pPr>
    <w:rPr>
      <w:kern w:val="0"/>
      <w:sz w:val="18"/>
      <w:szCs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0">
    <w:name w:val="annotation subject"/>
    <w:basedOn w:val="5"/>
    <w:next w:val="5"/>
    <w:link w:val="23"/>
    <w:qFormat/>
    <w:uiPriority w:val="0"/>
    <w:rPr>
      <w:b/>
      <w:bCs/>
    </w:rPr>
  </w:style>
  <w:style w:type="paragraph" w:styleId="11">
    <w:name w:val="Body Text First Indent"/>
    <w:basedOn w:val="6"/>
    <w:unhideWhenUsed/>
    <w:qFormat/>
    <w:uiPriority w:val="99"/>
    <w:pPr>
      <w:ind w:firstLine="420" w:firstLineChars="100"/>
    </w:pPr>
    <w:rPr>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annotation reference"/>
    <w:basedOn w:val="14"/>
    <w:qFormat/>
    <w:uiPriority w:val="0"/>
    <w:rPr>
      <w:sz w:val="21"/>
      <w:szCs w:val="21"/>
    </w:rPr>
  </w:style>
  <w:style w:type="paragraph" w:styleId="16">
    <w:name w:val="List Paragraph"/>
    <w:basedOn w:val="1"/>
    <w:qFormat/>
    <w:uiPriority w:val="99"/>
    <w:pPr>
      <w:ind w:firstLine="420" w:firstLineChars="200"/>
    </w:pPr>
  </w:style>
  <w:style w:type="character" w:customStyle="1" w:styleId="17">
    <w:name w:val="批注框文本 字符"/>
    <w:basedOn w:val="14"/>
    <w:link w:val="7"/>
    <w:qFormat/>
    <w:uiPriority w:val="0"/>
    <w:rPr>
      <w:kern w:val="2"/>
      <w:sz w:val="18"/>
      <w:szCs w:val="18"/>
    </w:rPr>
  </w:style>
  <w:style w:type="character" w:customStyle="1" w:styleId="18">
    <w:name w:val="font21"/>
    <w:basedOn w:val="14"/>
    <w:qFormat/>
    <w:uiPriority w:val="0"/>
    <w:rPr>
      <w:rFonts w:hint="eastAsia" w:ascii="宋体" w:hAnsi="宋体" w:eastAsia="宋体" w:cs="宋体"/>
      <w:color w:val="000000"/>
      <w:sz w:val="20"/>
      <w:szCs w:val="20"/>
      <w:u w:val="none"/>
    </w:rPr>
  </w:style>
  <w:style w:type="character" w:customStyle="1" w:styleId="19">
    <w:name w:val="font01"/>
    <w:basedOn w:val="14"/>
    <w:qFormat/>
    <w:uiPriority w:val="0"/>
    <w:rPr>
      <w:rFonts w:hint="eastAsia" w:ascii="宋体" w:hAnsi="宋体" w:eastAsia="宋体" w:cs="宋体"/>
      <w:color w:val="000000"/>
      <w:sz w:val="22"/>
      <w:szCs w:val="22"/>
      <w:u w:val="none"/>
    </w:rPr>
  </w:style>
  <w:style w:type="character" w:customStyle="1" w:styleId="20">
    <w:name w:val="font41"/>
    <w:basedOn w:val="14"/>
    <w:qFormat/>
    <w:uiPriority w:val="0"/>
    <w:rPr>
      <w:rFonts w:hint="eastAsia" w:ascii="宋体" w:hAnsi="宋体" w:eastAsia="宋体" w:cs="宋体"/>
      <w:color w:val="000000"/>
      <w:sz w:val="22"/>
      <w:szCs w:val="22"/>
      <w:u w:val="none"/>
    </w:rPr>
  </w:style>
  <w:style w:type="character" w:customStyle="1" w:styleId="21">
    <w:name w:val="font31"/>
    <w:basedOn w:val="14"/>
    <w:qFormat/>
    <w:uiPriority w:val="0"/>
    <w:rPr>
      <w:rFonts w:ascii="Arial" w:hAnsi="Arial" w:cs="Arial"/>
      <w:color w:val="000000"/>
      <w:sz w:val="22"/>
      <w:szCs w:val="22"/>
      <w:u w:val="none"/>
    </w:rPr>
  </w:style>
  <w:style w:type="character" w:customStyle="1" w:styleId="22">
    <w:name w:val="批注文字 字符"/>
    <w:basedOn w:val="14"/>
    <w:link w:val="5"/>
    <w:qFormat/>
    <w:uiPriority w:val="0"/>
    <w:rPr>
      <w:kern w:val="2"/>
      <w:sz w:val="21"/>
      <w:szCs w:val="22"/>
    </w:rPr>
  </w:style>
  <w:style w:type="character" w:customStyle="1" w:styleId="23">
    <w:name w:val="批注主题 字符"/>
    <w:basedOn w:val="22"/>
    <w:link w:val="10"/>
    <w:qFormat/>
    <w:uiPriority w:val="0"/>
    <w:rPr>
      <w:b/>
      <w:bCs/>
      <w:kern w:val="2"/>
      <w:sz w:val="21"/>
      <w:szCs w:val="22"/>
    </w:rPr>
  </w:style>
  <w:style w:type="paragraph" w:customStyle="1" w:styleId="24">
    <w:name w:val="修订1"/>
    <w:hidden/>
    <w:semiHidden/>
    <w:qFormat/>
    <w:uiPriority w:val="99"/>
    <w:rPr>
      <w:rFonts w:ascii="Times New Roman" w:hAnsi="Times New Roman" w:eastAsia="宋体" w:cs="Times New Roman"/>
      <w:kern w:val="2"/>
      <w:sz w:val="21"/>
      <w:szCs w:val="22"/>
      <w:lang w:val="en-US" w:eastAsia="zh-CN" w:bidi="ar-SA"/>
    </w:rPr>
  </w:style>
  <w:style w:type="paragraph" w:customStyle="1" w:styleId="25">
    <w:name w:val="修订2"/>
    <w:hidden/>
    <w:semiHidden/>
    <w:qFormat/>
    <w:uiPriority w:val="99"/>
    <w:rPr>
      <w:rFonts w:ascii="Times New Roman" w:hAnsi="Times New Roman" w:eastAsia="宋体" w:cs="Times New Roman"/>
      <w:kern w:val="2"/>
      <w:sz w:val="21"/>
      <w:szCs w:val="22"/>
      <w:lang w:val="en-US" w:eastAsia="zh-CN" w:bidi="ar-SA"/>
    </w:rPr>
  </w:style>
  <w:style w:type="paragraph" w:customStyle="1" w:styleId="26">
    <w:name w:val="修订3"/>
    <w:hidden/>
    <w:semiHidden/>
    <w:qFormat/>
    <w:uiPriority w:val="99"/>
    <w:rPr>
      <w:rFonts w:ascii="Times New Roman" w:hAnsi="Times New Roman" w:eastAsia="宋体" w:cs="Times New Roman"/>
      <w:kern w:val="2"/>
      <w:sz w:val="21"/>
      <w:szCs w:val="22"/>
      <w:lang w:val="en-US" w:eastAsia="zh-CN" w:bidi="ar-SA"/>
    </w:rPr>
  </w:style>
  <w:style w:type="paragraph" w:customStyle="1" w:styleId="27">
    <w:name w:val="Revision"/>
    <w:hidden/>
    <w:semiHidden/>
    <w:uiPriority w:val="99"/>
    <w:rPr>
      <w:rFonts w:ascii="Times New Roman" w:hAnsi="Times New Roman"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13</Pages>
  <Words>1717</Words>
  <Characters>9790</Characters>
  <Lines>81</Lines>
  <Paragraphs>22</Paragraphs>
  <TotalTime>2</TotalTime>
  <ScaleCrop>false</ScaleCrop>
  <LinksUpToDate>false</LinksUpToDate>
  <CharactersWithSpaces>11485</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2020-08-11T03:39:00Z</dcterms:created>
  <dc:creator>郭胜霖</dc:creator>
  <cp:lastModifiedBy>阿莎</cp:lastModifiedBy>
  <dcterms:modified xsi:type="dcterms:W3CDTF">2022-03-06T08:45:24Z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A2CE9C4AFD3C462AB44323F17E73D188</vt:lpwstr>
  </property>
</Properties>
</file>