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 w:beforeLines="20" w:after="62" w:afterLines="20" w:line="400" w:lineRule="exact"/>
        <w:ind w:right="105" w:firstLine="708"/>
        <w:jc w:val="center"/>
        <w:rPr>
          <w:rFonts w:ascii="黑体" w:hAnsi="宋体" w:eastAsia="黑体"/>
          <w:sz w:val="32"/>
          <w:szCs w:val="32"/>
        </w:rPr>
      </w:pPr>
      <w:bookmarkStart w:id="0" w:name="_GoBack"/>
      <w:bookmarkEnd w:id="0"/>
      <w:r>
        <w:rPr>
          <w:rFonts w:hint="eastAsia" w:ascii="黑体" w:hAnsi="宋体" w:eastAsia="黑体" w:cs="黑体"/>
          <w:sz w:val="32"/>
          <w:szCs w:val="32"/>
        </w:rPr>
        <w:t>不动产估价委托合同</w:t>
      </w:r>
    </w:p>
    <w:p>
      <w:pPr>
        <w:wordWrap w:val="0"/>
        <w:adjustRightInd w:val="0"/>
        <w:spacing w:before="62" w:beforeLines="20" w:after="62" w:afterLines="20" w:line="400" w:lineRule="exact"/>
        <w:jc w:val="right"/>
        <w:rPr>
          <w:rFonts w:ascii="黑体" w:hAnsi="宋体" w:eastAsia="黑体" w:cs="黑体"/>
        </w:rPr>
      </w:pPr>
    </w:p>
    <w:p>
      <w:pPr>
        <w:wordWrap w:val="0"/>
        <w:adjustRightInd w:val="0"/>
        <w:spacing w:before="62" w:beforeLines="20" w:after="62" w:afterLines="20" w:line="400" w:lineRule="exact"/>
        <w:jc w:val="right"/>
        <w:rPr>
          <w:rFonts w:hint="default" w:ascii="黑体" w:hAnsi="宋体" w:eastAsia="黑体" w:cs="黑体"/>
          <w:lang w:val="en-US" w:eastAsia="zh-CN"/>
        </w:rPr>
      </w:pPr>
      <w:r>
        <w:rPr>
          <w:rFonts w:hint="eastAsia" w:ascii="黑体" w:hAnsi="宋体" w:eastAsia="黑体" w:cs="黑体"/>
          <w:lang w:val="en-US" w:eastAsia="zh-CN"/>
        </w:rPr>
        <w:t xml:space="preserve">        </w:t>
      </w:r>
      <w:r>
        <w:rPr>
          <w:rFonts w:ascii="黑体" w:hAnsi="宋体" w:eastAsia="黑体" w:cs="黑体"/>
        </w:rPr>
        <w:t>合同编号：</w:t>
      </w:r>
      <w:r>
        <w:rPr>
          <w:rFonts w:hint="eastAsia" w:ascii="黑体" w:hAnsi="宋体" w:eastAsia="黑体" w:cs="黑体"/>
        </w:rPr>
        <w:t>20230105</w:t>
      </w:r>
      <w:r>
        <w:rPr>
          <w:rFonts w:hint="eastAsia" w:ascii="微软雅黑" w:hAnsi="微软雅黑" w:eastAsia="微软雅黑"/>
          <w:color w:val="000000"/>
          <w:shd w:val="clear" w:color="auto" w:fill="FFFFFF"/>
          <w:lang w:val="en-US" w:eastAsia="zh-CN"/>
        </w:rPr>
        <w:t xml:space="preserve">                       </w:t>
      </w:r>
    </w:p>
    <w:p>
      <w:pPr>
        <w:tabs>
          <w:tab w:val="left" w:pos="7560"/>
        </w:tabs>
        <w:spacing w:before="62" w:beforeLines="20" w:after="62" w:afterLines="20" w:line="480" w:lineRule="auto"/>
        <w:rPr>
          <w:rFonts w:ascii="宋体" w:cs="宋体"/>
          <w:b/>
          <w:bCs/>
          <w:sz w:val="24"/>
          <w:szCs w:val="24"/>
        </w:rPr>
      </w:pPr>
    </w:p>
    <w:p>
      <w:pPr>
        <w:tabs>
          <w:tab w:val="left" w:pos="7560"/>
        </w:tabs>
        <w:spacing w:before="62" w:beforeLines="20" w:after="62" w:afterLines="20" w:line="480" w:lineRule="auto"/>
        <w:ind w:firstLine="482" w:firstLineChars="200"/>
        <w:rPr>
          <w:rFonts w:ascii="宋体"/>
          <w:sz w:val="24"/>
          <w:szCs w:val="24"/>
          <w:u w:val="single"/>
        </w:rPr>
      </w:pPr>
      <w:r>
        <w:rPr>
          <w:rFonts w:hint="eastAsia" w:ascii="宋体" w:hAnsi="宋体" w:cs="宋体"/>
          <w:b/>
          <w:bCs/>
          <w:sz w:val="24"/>
          <w:szCs w:val="24"/>
        </w:rPr>
        <w:t>甲方（委托方）</w:t>
      </w:r>
      <w:r>
        <w:rPr>
          <w:rFonts w:hint="eastAsia" w:ascii="宋体" w:hAnsi="宋体" w:cs="宋体"/>
          <w:sz w:val="24"/>
          <w:szCs w:val="24"/>
        </w:rPr>
        <w:t>：</w:t>
      </w:r>
      <w:r>
        <w:rPr>
          <w:rFonts w:ascii="宋体" w:hAnsi="宋体" w:cs="宋体"/>
          <w:b/>
          <w:bCs/>
          <w:sz w:val="24"/>
          <w:szCs w:val="24"/>
          <w:u w:val="single"/>
        </w:rPr>
        <w:t xml:space="preserve"> </w:t>
      </w:r>
      <w:r>
        <w:rPr>
          <w:rFonts w:hint="eastAsia" w:ascii="宋体" w:hAnsi="宋体" w:cs="宋体"/>
          <w:b/>
          <w:bCs/>
          <w:sz w:val="24"/>
          <w:szCs w:val="24"/>
          <w:u w:val="single"/>
        </w:rPr>
        <w:t>北京中糖物流有限公司</w:t>
      </w:r>
      <w:r>
        <w:rPr>
          <w:rFonts w:ascii="宋体" w:hAnsi="宋体" w:cs="宋体"/>
          <w:b/>
          <w:bCs/>
          <w:sz w:val="24"/>
          <w:szCs w:val="24"/>
          <w:u w:val="single"/>
        </w:rPr>
        <w:t xml:space="preserve"> </w:t>
      </w:r>
    </w:p>
    <w:p>
      <w:pPr>
        <w:spacing w:before="62" w:beforeLines="20" w:after="62" w:afterLines="20" w:line="480" w:lineRule="auto"/>
        <w:ind w:firstLine="482" w:firstLineChars="200"/>
        <w:rPr>
          <w:rFonts w:ascii="宋体"/>
          <w:b/>
          <w:bCs/>
          <w:sz w:val="24"/>
          <w:szCs w:val="24"/>
          <w:u w:val="single"/>
        </w:rPr>
      </w:pPr>
      <w:r>
        <w:rPr>
          <w:rFonts w:hint="eastAsia" w:ascii="宋体" w:hAnsi="宋体" w:cs="宋体"/>
          <w:b/>
          <w:bCs/>
          <w:sz w:val="24"/>
          <w:szCs w:val="24"/>
        </w:rPr>
        <w:t>乙方（受托方）</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b/>
          <w:bCs/>
          <w:sz w:val="24"/>
          <w:szCs w:val="24"/>
          <w:u w:val="single"/>
        </w:rPr>
        <w:t>北京康正宏基房地产评估有限公司</w:t>
      </w:r>
      <w:r>
        <w:rPr>
          <w:rFonts w:ascii="宋体" w:hAnsi="宋体" w:cs="宋体"/>
          <w:b/>
          <w:bCs/>
          <w:sz w:val="24"/>
          <w:szCs w:val="24"/>
          <w:u w:val="single"/>
        </w:rPr>
        <w:t xml:space="preserve"> </w:t>
      </w:r>
    </w:p>
    <w:p>
      <w:pPr>
        <w:spacing w:line="400" w:lineRule="exact"/>
        <w:ind w:firstLine="480" w:firstLineChars="200"/>
        <w:rPr>
          <w:rFonts w:ascii="宋体"/>
          <w:sz w:val="24"/>
          <w:szCs w:val="24"/>
        </w:rPr>
      </w:pPr>
    </w:p>
    <w:p>
      <w:pPr>
        <w:spacing w:line="360" w:lineRule="auto"/>
        <w:ind w:firstLine="480" w:firstLineChars="200"/>
        <w:rPr>
          <w:rFonts w:ascii="宋体"/>
          <w:sz w:val="24"/>
          <w:szCs w:val="24"/>
        </w:rPr>
      </w:pPr>
      <w:r>
        <w:rPr>
          <w:rFonts w:hint="eastAsia" w:ascii="宋体" w:hAnsi="宋体" w:cs="宋体"/>
          <w:sz w:val="24"/>
          <w:szCs w:val="24"/>
        </w:rPr>
        <w:t>依照《中华人民共和国民法典》、《中华人民共和国资产评估法》等法律、行政法规，经双方平等协商，特订立本合同，以资共同信守。</w:t>
      </w:r>
    </w:p>
    <w:p>
      <w:pPr>
        <w:spacing w:line="400" w:lineRule="exact"/>
        <w:ind w:firstLine="480" w:firstLineChars="200"/>
        <w:rPr>
          <w:rFonts w:ascii="宋体"/>
          <w:sz w:val="24"/>
          <w:szCs w:val="24"/>
          <w:u w:val="single"/>
        </w:rPr>
      </w:pPr>
    </w:p>
    <w:p>
      <w:pPr>
        <w:spacing w:after="62" w:afterLines="20" w:line="480" w:lineRule="auto"/>
        <w:ind w:firstLine="482" w:firstLineChars="200"/>
        <w:rPr>
          <w:rFonts w:ascii="宋体"/>
          <w:b/>
          <w:bCs/>
          <w:sz w:val="24"/>
          <w:szCs w:val="24"/>
        </w:rPr>
      </w:pPr>
      <w:r>
        <w:rPr>
          <w:rFonts w:hint="eastAsia" w:ascii="宋体" w:hAnsi="宋体" w:cs="宋体"/>
          <w:b/>
          <w:bCs/>
          <w:sz w:val="24"/>
          <w:szCs w:val="24"/>
        </w:rPr>
        <w:t>一、委托估价项目名称：</w:t>
      </w:r>
      <w:r>
        <w:rPr>
          <w:rFonts w:ascii="宋体" w:hAnsi="宋体" w:cs="宋体"/>
          <w:b/>
          <w:bCs/>
          <w:sz w:val="24"/>
          <w:szCs w:val="24"/>
          <w:u w:val="single"/>
        </w:rPr>
        <w:t xml:space="preserve"> </w:t>
      </w:r>
      <w:r>
        <w:rPr>
          <w:rFonts w:ascii="宋体" w:hAnsi="宋体" w:cs="宋体"/>
          <w:bCs/>
          <w:sz w:val="24"/>
          <w:szCs w:val="24"/>
          <w:u w:val="single"/>
        </w:rPr>
        <w:t xml:space="preserve"> </w:t>
      </w:r>
      <w:r>
        <w:rPr>
          <w:rFonts w:hint="eastAsia" w:ascii="宋体" w:hAnsi="宋体" w:cs="宋体"/>
          <w:bCs/>
          <w:sz w:val="24"/>
          <w:szCs w:val="24"/>
          <w:u w:val="single"/>
        </w:rPr>
        <w:t>北京市大兴区魏善庄</w:t>
      </w:r>
      <w:r>
        <w:rPr>
          <w:rFonts w:hint="eastAsia" w:ascii="宋体" w:hAnsi="宋体" w:cs="宋体"/>
          <w:bCs/>
          <w:sz w:val="24"/>
          <w:szCs w:val="24"/>
          <w:u w:val="single"/>
          <w:lang w:eastAsia="zh-CN"/>
        </w:rPr>
        <w:t>东枣林村北京中糖物流有限公司院内</w:t>
      </w:r>
      <w:r>
        <w:rPr>
          <w:rFonts w:hint="eastAsia" w:ascii="宋体" w:hAnsi="宋体" w:cs="宋体"/>
          <w:bCs/>
          <w:sz w:val="24"/>
          <w:szCs w:val="24"/>
          <w:u w:val="single"/>
        </w:rPr>
        <w:t>35亩</w:t>
      </w:r>
      <w:r>
        <w:rPr>
          <w:rFonts w:hint="eastAsia" w:ascii="宋体" w:hAnsi="宋体" w:cs="宋体"/>
          <w:bCs/>
          <w:sz w:val="24"/>
          <w:szCs w:val="24"/>
          <w:u w:val="single"/>
          <w:lang w:eastAsia="zh-CN"/>
        </w:rPr>
        <w:t>空地租金水平市场价格进行</w:t>
      </w:r>
      <w:r>
        <w:rPr>
          <w:rFonts w:ascii="宋体" w:hAnsi="宋体" w:cs="宋体"/>
          <w:bCs/>
          <w:sz w:val="24"/>
          <w:szCs w:val="24"/>
          <w:u w:val="single"/>
        </w:rPr>
        <w:t>评估</w:t>
      </w:r>
      <w:r>
        <w:rPr>
          <w:rFonts w:hint="eastAsia" w:ascii="宋体" w:hAnsi="宋体" w:cs="宋体"/>
          <w:bCs/>
          <w:sz w:val="24"/>
          <w:szCs w:val="24"/>
          <w:u w:val="single"/>
        </w:rPr>
        <w:t>。</w:t>
      </w:r>
      <w:r>
        <w:rPr>
          <w:rFonts w:ascii="宋体" w:hAnsi="宋体" w:cs="宋体"/>
          <w:b/>
          <w:bCs/>
          <w:sz w:val="24"/>
          <w:szCs w:val="24"/>
          <w:u w:val="single"/>
        </w:rPr>
        <w:t xml:space="preserve">                                                 </w:t>
      </w:r>
    </w:p>
    <w:p>
      <w:pPr>
        <w:spacing w:before="62" w:beforeLines="20" w:after="62" w:afterLines="20" w:line="480" w:lineRule="auto"/>
        <w:ind w:firstLine="482" w:firstLineChars="200"/>
        <w:rPr>
          <w:rFonts w:ascii="宋体"/>
          <w:b/>
          <w:bCs/>
          <w:sz w:val="24"/>
          <w:szCs w:val="24"/>
          <w:u w:val="single"/>
        </w:rPr>
      </w:pPr>
      <w:r>
        <w:rPr>
          <w:rFonts w:hint="eastAsia" w:ascii="宋体" w:hAnsi="宋体" w:cs="宋体"/>
          <w:b/>
          <w:bCs/>
          <w:sz w:val="24"/>
          <w:szCs w:val="24"/>
        </w:rPr>
        <w:t>二、估价目的</w:t>
      </w:r>
      <w:r>
        <w:rPr>
          <w:rFonts w:hint="eastAsia" w:ascii="宋体" w:hAnsi="宋体" w:cs="宋体"/>
          <w:sz w:val="24"/>
          <w:szCs w:val="24"/>
        </w:rPr>
        <w:t>：</w:t>
      </w:r>
      <w:r>
        <w:rPr>
          <w:rFonts w:ascii="宋体" w:hAnsi="宋体" w:cs="宋体"/>
          <w:b/>
          <w:bCs/>
          <w:sz w:val="24"/>
          <w:szCs w:val="24"/>
          <w:u w:val="single"/>
        </w:rPr>
        <w:t xml:space="preserve"> </w:t>
      </w:r>
      <w:r>
        <w:rPr>
          <w:rFonts w:ascii="宋体" w:hAnsi="宋体" w:cs="宋体"/>
          <w:bCs/>
          <w:sz w:val="24"/>
          <w:szCs w:val="24"/>
          <w:u w:val="single"/>
        </w:rPr>
        <w:t xml:space="preserve"> 为估价委托人了解房地产市场租金水平提供参考依据而评估房地产租金价值。</w:t>
      </w:r>
      <w:r>
        <w:rPr>
          <w:rFonts w:ascii="宋体" w:hAnsi="宋体" w:cs="宋体"/>
          <w:b/>
          <w:bCs/>
          <w:sz w:val="24"/>
          <w:szCs w:val="24"/>
          <w:u w:val="single"/>
        </w:rPr>
        <w:t xml:space="preserve">  </w:t>
      </w:r>
    </w:p>
    <w:p>
      <w:pPr>
        <w:pStyle w:val="12"/>
        <w:spacing w:before="62" w:beforeLines="20" w:after="62" w:afterLines="20" w:line="480" w:lineRule="auto"/>
        <w:ind w:firstLine="482" w:firstLineChars="200"/>
        <w:rPr>
          <w:rFonts w:cs="Times New Roman"/>
        </w:rPr>
      </w:pPr>
      <w:r>
        <w:rPr>
          <w:rFonts w:hint="eastAsia"/>
        </w:rPr>
        <w:t>三、估价对象和估价范围（或见附件）：</w:t>
      </w:r>
      <w:r>
        <w:rPr>
          <w:b w:val="0"/>
          <w:bCs w:val="0"/>
          <w:u w:val="single"/>
        </w:rPr>
        <w:t xml:space="preserve">           </w:t>
      </w:r>
      <w:r>
        <w:rPr>
          <w:rFonts w:hint="eastAsia"/>
          <w:b w:val="0"/>
          <w:bCs w:val="0"/>
          <w:u w:val="single"/>
          <w:lang w:val="en-US" w:eastAsia="zh-CN"/>
        </w:rPr>
        <w:t>/</w:t>
      </w:r>
      <w:r>
        <w:rPr>
          <w:b w:val="0"/>
          <w:bCs w:val="0"/>
          <w:u w:val="single"/>
        </w:rPr>
        <w:t xml:space="preserve">                                  </w:t>
      </w:r>
    </w:p>
    <w:p>
      <w:pPr>
        <w:spacing w:before="62" w:beforeLines="20" w:after="62" w:afterLines="20" w:line="480" w:lineRule="auto"/>
        <w:ind w:firstLine="482" w:firstLineChars="200"/>
        <w:rPr>
          <w:rFonts w:ascii="宋体"/>
          <w:sz w:val="24"/>
          <w:szCs w:val="24"/>
        </w:rPr>
      </w:pPr>
      <w:r>
        <w:rPr>
          <w:rFonts w:hint="eastAsia" w:ascii="宋体" w:hAnsi="宋体" w:cs="宋体"/>
          <w:b/>
          <w:bCs/>
          <w:sz w:val="24"/>
          <w:szCs w:val="24"/>
        </w:rPr>
        <w:t>四、价值时点：</w:t>
      </w:r>
      <w:r>
        <w:rPr>
          <w:rFonts w:ascii="宋体" w:hAnsi="宋体" w:cs="宋体"/>
          <w:bCs/>
          <w:sz w:val="24"/>
          <w:szCs w:val="24"/>
          <w:u w:val="single"/>
        </w:rPr>
        <w:t xml:space="preserve"> 202</w:t>
      </w:r>
      <w:r>
        <w:rPr>
          <w:rFonts w:hint="eastAsia" w:ascii="宋体" w:hAnsi="宋体" w:cs="宋体"/>
          <w:bCs/>
          <w:sz w:val="24"/>
          <w:szCs w:val="24"/>
          <w:u w:val="single"/>
          <w:lang w:val="en-US" w:eastAsia="zh-CN"/>
        </w:rPr>
        <w:t>3</w:t>
      </w:r>
      <w:r>
        <w:rPr>
          <w:rFonts w:ascii="宋体" w:hAnsi="宋体" w:cs="宋体"/>
          <w:bCs/>
          <w:sz w:val="24"/>
          <w:szCs w:val="24"/>
          <w:u w:val="single"/>
        </w:rPr>
        <w:t xml:space="preserve">  </w:t>
      </w:r>
      <w:r>
        <w:rPr>
          <w:rFonts w:hint="eastAsia" w:ascii="宋体" w:hAnsi="宋体" w:cs="宋体"/>
          <w:bCs/>
          <w:sz w:val="24"/>
          <w:szCs w:val="24"/>
        </w:rPr>
        <w:t>年</w:t>
      </w:r>
      <w:r>
        <w:rPr>
          <w:rFonts w:ascii="宋体" w:hAnsi="宋体" w:cs="宋体"/>
          <w:bCs/>
          <w:sz w:val="24"/>
          <w:szCs w:val="24"/>
        </w:rPr>
        <w:t xml:space="preserve"> </w:t>
      </w:r>
      <w:r>
        <w:rPr>
          <w:rFonts w:ascii="宋体" w:hAnsi="宋体" w:cs="宋体"/>
          <w:bCs/>
          <w:sz w:val="24"/>
          <w:szCs w:val="24"/>
          <w:u w:val="single"/>
        </w:rPr>
        <w:t xml:space="preserve">  </w:t>
      </w:r>
      <w:r>
        <w:rPr>
          <w:rFonts w:hint="eastAsia" w:ascii="宋体" w:hAnsi="宋体" w:cs="宋体"/>
          <w:bCs/>
          <w:sz w:val="24"/>
          <w:szCs w:val="24"/>
          <w:u w:val="single"/>
          <w:lang w:val="en-US" w:eastAsia="zh-CN"/>
        </w:rPr>
        <w:t>1</w:t>
      </w:r>
      <w:r>
        <w:rPr>
          <w:rFonts w:ascii="宋体" w:hAnsi="宋体" w:cs="宋体"/>
          <w:bCs/>
          <w:sz w:val="24"/>
          <w:szCs w:val="24"/>
          <w:u w:val="single"/>
        </w:rPr>
        <w:t xml:space="preserve">  </w:t>
      </w:r>
      <w:r>
        <w:rPr>
          <w:rFonts w:hint="eastAsia" w:ascii="宋体" w:hAnsi="宋体" w:cs="宋体"/>
          <w:bCs/>
          <w:sz w:val="24"/>
          <w:szCs w:val="24"/>
        </w:rPr>
        <w:t>月</w:t>
      </w:r>
      <w:r>
        <w:rPr>
          <w:rFonts w:ascii="宋体" w:hAnsi="宋体" w:cs="宋体"/>
          <w:bCs/>
          <w:sz w:val="24"/>
          <w:szCs w:val="24"/>
          <w:u w:val="single"/>
        </w:rPr>
        <w:t xml:space="preserve">   </w:t>
      </w:r>
      <w:r>
        <w:rPr>
          <w:rFonts w:hint="eastAsia" w:ascii="宋体" w:hAnsi="宋体" w:cs="宋体"/>
          <w:bCs/>
          <w:sz w:val="24"/>
          <w:szCs w:val="24"/>
          <w:u w:val="single"/>
          <w:lang w:val="en-US" w:eastAsia="zh-CN"/>
        </w:rPr>
        <w:t>11</w:t>
      </w:r>
      <w:r>
        <w:rPr>
          <w:rFonts w:ascii="宋体" w:hAnsi="宋体" w:cs="宋体"/>
          <w:bCs/>
          <w:sz w:val="24"/>
          <w:szCs w:val="24"/>
          <w:u w:val="single"/>
        </w:rPr>
        <w:t xml:space="preserve">  </w:t>
      </w:r>
      <w:r>
        <w:rPr>
          <w:rFonts w:hint="eastAsia" w:ascii="宋体" w:hAnsi="宋体" w:cs="宋体"/>
          <w:bCs/>
          <w:sz w:val="24"/>
          <w:szCs w:val="24"/>
        </w:rPr>
        <w:t>日</w:t>
      </w:r>
      <w:r>
        <w:rPr>
          <w:rFonts w:ascii="宋体" w:hAnsi="宋体" w:cs="宋体"/>
          <w:bCs/>
          <w:sz w:val="24"/>
          <w:szCs w:val="24"/>
        </w:rPr>
        <w:t xml:space="preserve"> </w:t>
      </w:r>
    </w:p>
    <w:p>
      <w:pPr>
        <w:spacing w:before="62" w:beforeLines="20" w:after="62" w:afterLines="20" w:line="480" w:lineRule="auto"/>
        <w:ind w:firstLine="482" w:firstLineChars="200"/>
        <w:rPr>
          <w:rFonts w:ascii="宋体"/>
          <w:b/>
          <w:bCs/>
          <w:sz w:val="24"/>
          <w:szCs w:val="24"/>
        </w:rPr>
      </w:pPr>
      <w:r>
        <w:rPr>
          <w:rFonts w:hint="eastAsia" w:ascii="宋体" w:hAnsi="宋体" w:cs="宋体"/>
          <w:b/>
          <w:bCs/>
          <w:sz w:val="24"/>
          <w:szCs w:val="24"/>
        </w:rPr>
        <w:t>五、价值类型：</w:t>
      </w:r>
      <w:r>
        <w:rPr>
          <w:rFonts w:ascii="宋体" w:hAnsi="宋体" w:cs="宋体"/>
          <w:bCs/>
          <w:sz w:val="24"/>
          <w:szCs w:val="24"/>
          <w:u w:val="single"/>
        </w:rPr>
        <w:t xml:space="preserve">  </w:t>
      </w:r>
      <w:r>
        <w:rPr>
          <w:rFonts w:hint="eastAsia" w:ascii="宋体" w:hAnsi="宋体" w:cs="宋体"/>
          <w:bCs/>
          <w:sz w:val="24"/>
          <w:szCs w:val="24"/>
          <w:u w:val="single"/>
        </w:rPr>
        <w:t>市场</w:t>
      </w:r>
      <w:r>
        <w:rPr>
          <w:rFonts w:hint="eastAsia" w:ascii="宋体" w:hAnsi="宋体" w:cs="宋体"/>
          <w:bCs/>
          <w:sz w:val="24"/>
          <w:szCs w:val="24"/>
          <w:u w:val="single"/>
          <w:lang w:val="en-US" w:eastAsia="zh-CN"/>
        </w:rPr>
        <w:t xml:space="preserve">租金水平  </w:t>
      </w:r>
      <w:r>
        <w:rPr>
          <w:rFonts w:ascii="宋体"/>
          <w:sz w:val="24"/>
          <w:szCs w:val="24"/>
        </w:rPr>
        <w:t xml:space="preserve"> </w:t>
      </w:r>
    </w:p>
    <w:p>
      <w:pPr>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六、评估业务完成期限</w:t>
      </w:r>
    </w:p>
    <w:p>
      <w:pPr>
        <w:spacing w:before="62" w:beforeLines="20" w:after="62" w:afterLines="20" w:line="360" w:lineRule="auto"/>
        <w:ind w:firstLine="480" w:firstLineChars="200"/>
        <w:rPr>
          <w:rFonts w:ascii="宋体"/>
          <w:sz w:val="24"/>
          <w:szCs w:val="24"/>
        </w:rPr>
      </w:pPr>
      <w:r>
        <w:rPr>
          <w:rFonts w:hint="eastAsia" w:ascii="宋体" w:hAnsi="宋体" w:cs="宋体"/>
          <w:sz w:val="24"/>
          <w:szCs w:val="24"/>
        </w:rPr>
        <w:t>根据不动产估价工作时间安排，甲方应先期准备或指定不动产权利人、此次经济行为相关方提供乙方估价所需的不动产权属证明及其他相关资料，并于</w:t>
      </w:r>
      <w:r>
        <w:rPr>
          <w:rFonts w:hint="eastAsia" w:ascii="宋体" w:hAnsi="宋体" w:cs="宋体"/>
          <w:sz w:val="24"/>
          <w:szCs w:val="24"/>
          <w:u w:val="single"/>
          <w:lang w:val="en-US" w:eastAsia="zh-CN"/>
        </w:rPr>
        <w:t>2023</w:t>
      </w:r>
      <w:r>
        <w:rPr>
          <w:rFonts w:hint="eastAsia" w:ascii="宋体" w:hAnsi="宋体" w:cs="宋体"/>
          <w:sz w:val="24"/>
          <w:szCs w:val="24"/>
        </w:rPr>
        <w:t>年</w:t>
      </w:r>
      <w:r>
        <w:rPr>
          <w:rFonts w:hint="eastAsia" w:ascii="宋体" w:hAnsi="宋体" w:cs="宋体"/>
          <w:sz w:val="24"/>
          <w:szCs w:val="24"/>
          <w:u w:val="single"/>
          <w:lang w:val="en-US" w:eastAsia="zh-CN"/>
        </w:rPr>
        <w:t xml:space="preserve"> 1 </w:t>
      </w:r>
      <w:r>
        <w:rPr>
          <w:rFonts w:hint="eastAsia" w:ascii="宋体" w:hAnsi="宋体" w:cs="宋体"/>
          <w:sz w:val="24"/>
          <w:szCs w:val="24"/>
        </w:rPr>
        <w:t>月</w:t>
      </w:r>
      <w:r>
        <w:rPr>
          <w:rFonts w:hint="eastAsia" w:ascii="宋体" w:hAnsi="宋体" w:cs="宋体"/>
          <w:sz w:val="24"/>
          <w:szCs w:val="24"/>
          <w:u w:val="single"/>
          <w:lang w:val="en-US" w:eastAsia="zh-CN"/>
        </w:rPr>
        <w:t>11</w:t>
      </w:r>
      <w:r>
        <w:rPr>
          <w:rFonts w:hint="eastAsia" w:ascii="宋体" w:hAnsi="宋体" w:cs="宋体"/>
          <w:sz w:val="24"/>
          <w:szCs w:val="24"/>
        </w:rPr>
        <w:t>日以前将上述资料交给乙方。在正常情况下，乙方收到上述应提供的全部资料后，组织评估专业人员在十个工作日内完成甲方委托的评估工作，并向甲方提交《不动产估价报告书》</w:t>
      </w:r>
      <w:r>
        <w:rPr>
          <w:rFonts w:ascii="宋体" w:hAnsi="宋体" w:cs="宋体"/>
          <w:sz w:val="24"/>
          <w:szCs w:val="24"/>
          <w:u w:val="single"/>
        </w:rPr>
        <w:t xml:space="preserve"> </w:t>
      </w:r>
      <w:r>
        <w:rPr>
          <w:rFonts w:hint="eastAsia" w:ascii="宋体" w:hAnsi="宋体" w:cs="宋体"/>
          <w:sz w:val="24"/>
          <w:szCs w:val="24"/>
          <w:u w:val="single"/>
          <w:lang w:val="en-US" w:eastAsia="zh-CN"/>
        </w:rPr>
        <w:t>4</w:t>
      </w:r>
      <w:r>
        <w:rPr>
          <w:rFonts w:ascii="宋体" w:hAnsi="宋体" w:cs="宋体"/>
          <w:sz w:val="24"/>
          <w:szCs w:val="24"/>
          <w:u w:val="single"/>
        </w:rPr>
        <w:t xml:space="preserve"> </w:t>
      </w:r>
      <w:r>
        <w:rPr>
          <w:rFonts w:hint="eastAsia" w:ascii="宋体" w:hAnsi="宋体" w:cs="宋体"/>
          <w:sz w:val="24"/>
          <w:szCs w:val="24"/>
        </w:rPr>
        <w:t>份。</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七、评估服务费及支付方式</w:t>
      </w:r>
    </w:p>
    <w:p>
      <w:pPr>
        <w:tabs>
          <w:tab w:val="left" w:pos="720"/>
        </w:tabs>
        <w:spacing w:before="62" w:beforeLines="20" w:after="62" w:afterLines="20" w:line="360" w:lineRule="auto"/>
        <w:ind w:firstLine="480" w:firstLineChars="200"/>
        <w:rPr>
          <w:rFonts w:ascii="宋体" w:hAnsi="宋体" w:cs="宋体"/>
          <w:sz w:val="24"/>
          <w:szCs w:val="24"/>
        </w:rPr>
      </w:pPr>
      <w:r>
        <w:rPr>
          <w:rFonts w:ascii="宋体" w:hAnsi="宋体" w:cs="宋体"/>
          <w:sz w:val="24"/>
          <w:szCs w:val="24"/>
        </w:rPr>
        <w:t>1.</w:t>
      </w:r>
      <w:r>
        <w:rPr>
          <w:sz w:val="24"/>
          <w:szCs w:val="24"/>
        </w:rPr>
        <w:t xml:space="preserve"> </w:t>
      </w:r>
      <w:r>
        <w:rPr>
          <w:rFonts w:hint="eastAsia" w:ascii="宋体" w:hAnsi="宋体" w:cs="宋体"/>
          <w:sz w:val="24"/>
          <w:szCs w:val="24"/>
        </w:rPr>
        <w:t>参考原国家计委、建设部发布的《国家计委、建设部关于房地产中介服务收费的通知》（计价格第</w:t>
      </w:r>
      <w:r>
        <w:rPr>
          <w:rFonts w:ascii="宋体" w:hAnsi="宋体" w:cs="宋体"/>
          <w:sz w:val="24"/>
          <w:szCs w:val="24"/>
        </w:rPr>
        <w:t>971</w:t>
      </w:r>
      <w:r>
        <w:rPr>
          <w:rFonts w:hint="eastAsia" w:ascii="宋体" w:hAnsi="宋体" w:cs="宋体"/>
          <w:sz w:val="24"/>
          <w:szCs w:val="24"/>
        </w:rPr>
        <w:t>号）相关规定、此次评估的特定目的及本项目评估工作的繁简程度，甲乙双方协商本次估价服务费合计为人民币</w:t>
      </w:r>
      <w:r>
        <w:rPr>
          <w:rFonts w:ascii="宋体" w:hAnsi="宋体" w:cs="宋体"/>
          <w:sz w:val="24"/>
          <w:szCs w:val="24"/>
          <w:u w:val="single"/>
        </w:rPr>
        <w:t xml:space="preserve"> </w:t>
      </w:r>
      <w:r>
        <w:rPr>
          <w:rFonts w:hint="eastAsia" w:ascii="宋体" w:hAnsi="宋体" w:cs="宋体"/>
          <w:sz w:val="24"/>
          <w:szCs w:val="24"/>
          <w:u w:val="single"/>
          <w:lang w:val="en-US" w:eastAsia="zh-CN"/>
        </w:rPr>
        <w:t>120</w:t>
      </w:r>
      <w:r>
        <w:rPr>
          <w:rFonts w:ascii="宋体" w:hAnsi="宋体" w:cs="宋体"/>
          <w:sz w:val="24"/>
          <w:szCs w:val="24"/>
          <w:u w:val="single"/>
        </w:rPr>
        <w:t>00</w:t>
      </w:r>
      <w:r>
        <w:rPr>
          <w:rFonts w:hint="eastAsia" w:ascii="宋体" w:hAnsi="宋体" w:cs="宋体"/>
          <w:sz w:val="24"/>
          <w:szCs w:val="24"/>
        </w:rPr>
        <w:t>元（含</w:t>
      </w:r>
      <w:r>
        <w:rPr>
          <w:rFonts w:hint="eastAsia" w:ascii="宋体" w:hAnsi="宋体" w:cs="宋体"/>
          <w:sz w:val="24"/>
          <w:szCs w:val="24"/>
          <w:lang w:val="en-US" w:eastAsia="zh-CN"/>
        </w:rPr>
        <w:t>6%</w:t>
      </w:r>
      <w:r>
        <w:rPr>
          <w:rFonts w:hint="eastAsia" w:ascii="宋体" w:hAnsi="宋体" w:cs="宋体"/>
          <w:sz w:val="24"/>
          <w:szCs w:val="24"/>
        </w:rPr>
        <w:t>税价），不含税价为人民币</w:t>
      </w:r>
      <w:r>
        <w:rPr>
          <w:rFonts w:ascii="宋体" w:hAnsi="宋体" w:cs="宋体"/>
          <w:sz w:val="24"/>
          <w:szCs w:val="24"/>
          <w:u w:val="single"/>
        </w:rPr>
        <w:t xml:space="preserve"> </w:t>
      </w:r>
      <w:r>
        <w:rPr>
          <w:rFonts w:hint="eastAsia" w:ascii="宋体" w:hAnsi="宋体" w:cs="宋体"/>
          <w:sz w:val="24"/>
          <w:szCs w:val="24"/>
          <w:u w:val="single"/>
          <w:lang w:val="en-US" w:eastAsia="zh-CN"/>
        </w:rPr>
        <w:t>11320.75</w:t>
      </w:r>
      <w:r>
        <w:rPr>
          <w:rFonts w:hint="eastAsia" w:ascii="宋体" w:hAnsi="宋体" w:cs="宋体"/>
          <w:sz w:val="24"/>
          <w:szCs w:val="24"/>
        </w:rPr>
        <w:t>元</w:t>
      </w:r>
      <w:r>
        <w:rPr>
          <w:rFonts w:ascii="宋体" w:hAnsi="宋体" w:cs="宋体"/>
          <w:sz w:val="24"/>
          <w:szCs w:val="24"/>
        </w:rPr>
        <w:t>。</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该服务费包含估价服务费、税费、差旅费用（包括乙方人员往来估价对象不动产所在地）</w:t>
      </w:r>
      <w:r>
        <w:rPr>
          <w:rFonts w:ascii="宋体" w:hAnsi="宋体" w:cs="宋体"/>
          <w:sz w:val="24"/>
          <w:szCs w:val="24"/>
        </w:rPr>
        <w:t>、</w:t>
      </w:r>
      <w:r>
        <w:rPr>
          <w:rFonts w:hint="eastAsia" w:ascii="宋体" w:hAnsi="宋体" w:cs="宋体"/>
          <w:sz w:val="24"/>
          <w:szCs w:val="24"/>
        </w:rPr>
        <w:t>乙方工作人员在估价对象不动产所在地食宿、交通、必要的办公场所通讯费用等本合同项下所有费用，除此以外，甲方无需向乙方另行支付其他任何费用。</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支付方式：乙方应在收款前提供等额的增值税专用发票，税率为6</w:t>
      </w:r>
      <w:r>
        <w:rPr>
          <w:rFonts w:ascii="宋体" w:hAnsi="宋体" w:cs="宋体"/>
          <w:sz w:val="24"/>
          <w:szCs w:val="24"/>
        </w:rPr>
        <w:t>%</w:t>
      </w:r>
      <w:r>
        <w:rPr>
          <w:rFonts w:hint="eastAsia" w:ascii="宋体" w:hAnsi="宋体" w:cs="宋体"/>
          <w:sz w:val="24"/>
          <w:szCs w:val="24"/>
          <w:lang w:eastAsia="zh-CN"/>
        </w:rPr>
        <w:t>，</w:t>
      </w:r>
      <w:r>
        <w:rPr>
          <w:rFonts w:hint="eastAsia" w:ascii="宋体" w:hAnsi="宋体" w:cs="宋体"/>
          <w:sz w:val="24"/>
          <w:szCs w:val="24"/>
        </w:rPr>
        <w:t>正式《不动产估价报告书》三日内，甲方支付给乙方</w:t>
      </w:r>
      <w:r>
        <w:rPr>
          <w:rFonts w:ascii="宋体" w:hAnsi="宋体" w:cs="宋体"/>
          <w:sz w:val="24"/>
          <w:szCs w:val="24"/>
          <w:u w:val="single"/>
        </w:rPr>
        <w:t xml:space="preserve"> </w:t>
      </w:r>
      <w:r>
        <w:rPr>
          <w:rFonts w:hint="eastAsia" w:ascii="宋体" w:hAnsi="宋体" w:cs="宋体"/>
          <w:sz w:val="24"/>
          <w:szCs w:val="24"/>
          <w:u w:val="single"/>
          <w:lang w:val="en-US" w:eastAsia="zh-CN"/>
        </w:rPr>
        <w:t>120</w:t>
      </w:r>
      <w:r>
        <w:rPr>
          <w:rFonts w:ascii="宋体" w:hAnsi="宋体" w:cs="宋体"/>
          <w:sz w:val="24"/>
          <w:szCs w:val="24"/>
          <w:u w:val="single"/>
        </w:rPr>
        <w:t xml:space="preserve">00 </w:t>
      </w:r>
      <w:r>
        <w:rPr>
          <w:rFonts w:hint="eastAsia" w:ascii="宋体" w:hAnsi="宋体" w:cs="宋体"/>
          <w:sz w:val="24"/>
          <w:szCs w:val="24"/>
        </w:rPr>
        <w:t>元。</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3</w:t>
      </w:r>
      <w:r>
        <w:rPr>
          <w:rFonts w:ascii="宋体" w:hAnsi="宋体" w:cs="宋体"/>
          <w:sz w:val="24"/>
          <w:szCs w:val="24"/>
        </w:rPr>
        <w:t>.</w:t>
      </w:r>
      <w:r>
        <w:rPr>
          <w:rFonts w:hint="eastAsia" w:ascii="宋体" w:hAnsi="宋体" w:cs="宋体"/>
          <w:sz w:val="24"/>
          <w:szCs w:val="24"/>
        </w:rPr>
        <w:t>乙方指定收款账号如下：</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户</w:t>
      </w:r>
      <w:r>
        <w:rPr>
          <w:rFonts w:ascii="宋体" w:hAnsi="宋体" w:cs="宋体"/>
          <w:sz w:val="24"/>
          <w:szCs w:val="24"/>
        </w:rPr>
        <w:t xml:space="preserve">    </w:t>
      </w:r>
      <w:r>
        <w:rPr>
          <w:rFonts w:hint="eastAsia" w:ascii="宋体" w:hAnsi="宋体" w:cs="宋体"/>
          <w:sz w:val="24"/>
          <w:szCs w:val="24"/>
        </w:rPr>
        <w:t>名：北京康正宏基房地产评估有限公司</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sz w:val="24"/>
          <w:szCs w:val="24"/>
        </w:rPr>
        <w:t>纳税人识别号：91110106722616974K</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开户银行：交通银行北京和平里支行</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开户账号：</w:t>
      </w:r>
      <w:r>
        <w:rPr>
          <w:rFonts w:ascii="宋体" w:hAnsi="宋体" w:cs="宋体"/>
          <w:sz w:val="24"/>
          <w:szCs w:val="24"/>
        </w:rPr>
        <w:t>110060739012015026873</w:t>
      </w:r>
    </w:p>
    <w:p>
      <w:pPr>
        <w:tabs>
          <w:tab w:val="left" w:pos="720"/>
        </w:tabs>
        <w:spacing w:before="62" w:beforeLines="20" w:after="62" w:afterLines="20" w:line="360" w:lineRule="auto"/>
        <w:ind w:firstLine="480" w:firstLineChars="200"/>
        <w:rPr>
          <w:rFonts w:ascii="宋体" w:hAnsi="宋体"/>
          <w:sz w:val="24"/>
          <w:szCs w:val="24"/>
        </w:rPr>
      </w:pPr>
      <w:r>
        <w:rPr>
          <w:rFonts w:hint="eastAsia" w:ascii="宋体" w:hAnsi="宋体"/>
          <w:sz w:val="24"/>
          <w:szCs w:val="24"/>
        </w:rPr>
        <w:t>地    址：北京市丰台区芳城园一区16号楼2层2门配套公建01</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sz w:val="24"/>
          <w:szCs w:val="24"/>
        </w:rPr>
        <w:t>电    话：82253558</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八、双方的权利与义务</w:t>
      </w:r>
    </w:p>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（一）</w:t>
      </w:r>
      <w:r>
        <w:rPr>
          <w:rFonts w:ascii="宋体" w:hAnsi="宋体" w:cs="宋体"/>
          <w:sz w:val="24"/>
          <w:szCs w:val="24"/>
        </w:rPr>
        <w:t xml:space="preserve"> </w:t>
      </w:r>
      <w:r>
        <w:rPr>
          <w:rFonts w:hint="eastAsia" w:ascii="宋体" w:hAnsi="宋体" w:cs="宋体"/>
          <w:sz w:val="24"/>
          <w:szCs w:val="24"/>
        </w:rPr>
        <w:t>甲方权利义务</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甲方应当对其（包括其指定的不动产权利人、此次经济行为相关方）提供的权属证明、财务会计信息和其他资料的真实性、完整性和合法性负责，按合同约定及时提供。</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3.</w:t>
      </w:r>
      <w:r>
        <w:rPr>
          <w:rFonts w:hint="eastAsia" w:ascii="宋体" w:hAnsi="宋体" w:cs="宋体"/>
          <w:sz w:val="24"/>
          <w:szCs w:val="24"/>
        </w:rPr>
        <w:t>甲方自接到乙方提交的《不动产估价报告书》之日起五个工作日内，如对估价结果产生异议，且理由正当，可书面向乙方提出复估或重估申请。</w:t>
      </w:r>
    </w:p>
    <w:p>
      <w:pPr>
        <w:tabs>
          <w:tab w:val="left" w:pos="720"/>
        </w:tabs>
        <w:spacing w:before="62" w:beforeLines="20" w:after="62" w:afterLines="20" w:line="360" w:lineRule="auto"/>
        <w:ind w:firstLine="480" w:firstLineChars="200"/>
        <w:outlineLvl w:val="0"/>
        <w:rPr>
          <w:rFonts w:ascii="宋体" w:hAnsi="宋体" w:cs="宋体"/>
          <w:sz w:val="24"/>
          <w:szCs w:val="24"/>
        </w:rPr>
      </w:pPr>
      <w:r>
        <w:rPr>
          <w:rFonts w:ascii="宋体" w:hAnsi="宋体" w:cs="宋体"/>
          <w:sz w:val="24"/>
          <w:szCs w:val="24"/>
        </w:rPr>
        <w:t>4.</w:t>
      </w:r>
      <w:r>
        <w:rPr>
          <w:rFonts w:hint="eastAsia" w:ascii="宋体" w:hAnsi="宋体" w:cs="宋体"/>
          <w:sz w:val="24"/>
          <w:szCs w:val="24"/>
        </w:rPr>
        <w:t>甲方不得要求乙方出具虚假评估报告或者有其他非法干预评估结果情形。</w:t>
      </w:r>
    </w:p>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sz w:val="24"/>
          <w:szCs w:val="24"/>
        </w:rPr>
        <w:t>5. 甲方有义务正确、恰当地使用《不动产估价报告书》。</w:t>
      </w:r>
    </w:p>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（二）</w:t>
      </w:r>
      <w:r>
        <w:rPr>
          <w:rFonts w:ascii="宋体" w:hAnsi="宋体" w:cs="宋体"/>
          <w:sz w:val="24"/>
          <w:szCs w:val="24"/>
        </w:rPr>
        <w:t xml:space="preserve"> </w:t>
      </w:r>
      <w:r>
        <w:rPr>
          <w:rFonts w:hint="eastAsia" w:ascii="宋体" w:hAnsi="宋体" w:cs="宋体"/>
          <w:sz w:val="24"/>
          <w:szCs w:val="24"/>
        </w:rPr>
        <w:t>乙方权利义务</w:t>
      </w:r>
      <w:r>
        <w:rPr>
          <w:rFonts w:ascii="宋体"/>
          <w:sz w:val="24"/>
          <w:szCs w:val="24"/>
        </w:rPr>
        <w:tab/>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乙方有权要求甲方提供与估价对象相关的权属证明、财务会计信息和其他资料，以及为执行公允的评估程序所需的必要协助。</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乙方应按国家有关资产估价的法律法规，履行必要估价程序，独立、客观、公正从事估价业务；认真执行法律和行政法规，对出具《不动产报告书》承担相应的法律责任。</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3.</w:t>
      </w:r>
      <w:r>
        <w:rPr>
          <w:rFonts w:hint="eastAsia" w:ascii="宋体" w:hAnsi="宋体" w:cs="宋体"/>
          <w:sz w:val="24"/>
          <w:szCs w:val="24"/>
        </w:rPr>
        <w:t>乙方应对收到的甲方所提供的有关估价对象的资料妥善保管并负保密之责，非经甲方同意不得擅自公开或泄露给他人。</w:t>
      </w:r>
    </w:p>
    <w:p>
      <w:pPr>
        <w:tabs>
          <w:tab w:val="left" w:pos="720"/>
        </w:tabs>
        <w:spacing w:before="62" w:beforeLines="20" w:after="62" w:afterLines="20" w:line="360" w:lineRule="auto"/>
        <w:ind w:firstLine="480" w:firstLineChars="200"/>
        <w:outlineLvl w:val="0"/>
        <w:rPr>
          <w:rFonts w:ascii="宋体" w:hAnsi="宋体" w:cs="宋体"/>
          <w:sz w:val="24"/>
          <w:szCs w:val="24"/>
        </w:rPr>
      </w:pPr>
      <w:r>
        <w:rPr>
          <w:rFonts w:ascii="宋体" w:hAnsi="宋体" w:cs="宋体"/>
          <w:sz w:val="24"/>
          <w:szCs w:val="24"/>
        </w:rPr>
        <w:t>4.</w:t>
      </w:r>
      <w:r>
        <w:rPr>
          <w:rFonts w:hint="eastAsia" w:ascii="宋体" w:hAnsi="宋体" w:cs="宋体"/>
          <w:sz w:val="24"/>
          <w:szCs w:val="24"/>
        </w:rPr>
        <w:t>如适用，乙方应对甲方复估或重估书面申请后十个工作日内完成估价对象的复估或重估报告书，交付甲方。</w:t>
      </w:r>
    </w:p>
    <w:p>
      <w:pPr>
        <w:tabs>
          <w:tab w:val="left" w:pos="720"/>
        </w:tabs>
        <w:spacing w:before="62" w:beforeLines="20" w:after="62" w:afterLines="20" w:line="360" w:lineRule="auto"/>
        <w:ind w:firstLine="480" w:firstLineChars="200"/>
        <w:outlineLvl w:val="0"/>
        <w:rPr>
          <w:rFonts w:ascii="宋体" w:hAnsi="宋体" w:cs="宋体"/>
          <w:sz w:val="24"/>
          <w:szCs w:val="24"/>
        </w:rPr>
      </w:pPr>
      <w:r>
        <w:rPr>
          <w:rFonts w:hint="eastAsia" w:ascii="宋体" w:hAnsi="宋体" w:cs="宋体"/>
          <w:sz w:val="24"/>
          <w:szCs w:val="24"/>
        </w:rPr>
        <w:t>5.</w:t>
      </w:r>
      <w:r>
        <w:rPr>
          <w:rFonts w:ascii="宋体" w:hAnsi="宋体" w:cs="宋体"/>
          <w:sz w:val="24"/>
          <w:szCs w:val="24"/>
        </w:rPr>
        <w:t xml:space="preserve"> </w:t>
      </w:r>
      <w:r>
        <w:rPr>
          <w:rFonts w:hint="eastAsia" w:ascii="宋体" w:hAnsi="宋体" w:cs="宋体"/>
          <w:sz w:val="24"/>
          <w:szCs w:val="24"/>
        </w:rPr>
        <w:t>估价结果出来时，报告初稿完成并征求甲方的意见后，乙方出具估价报告，甲方的意见必须客观、真实</w:t>
      </w:r>
      <w:r>
        <w:rPr>
          <w:rFonts w:ascii="宋体" w:hAnsi="宋体" w:cs="宋体"/>
          <w:sz w:val="24"/>
          <w:szCs w:val="24"/>
        </w:rPr>
        <w:t>。</w:t>
      </w:r>
    </w:p>
    <w:p>
      <w:pPr>
        <w:pStyle w:val="4"/>
        <w:spacing w:before="62" w:beforeLines="20" w:after="62" w:afterLines="20"/>
        <w:ind w:firstLine="480" w:firstLineChars="200"/>
        <w:rPr>
          <w:rFonts w:ascii="宋体" w:hAnsi="宋体" w:eastAsia="宋体" w:cs="宋体"/>
        </w:rPr>
      </w:pPr>
      <w:r>
        <w:rPr>
          <w:rFonts w:hint="eastAsia" w:ascii="宋体" w:hAnsi="宋体" w:eastAsia="宋体" w:cs="宋体"/>
        </w:rPr>
        <w:t>6．乙方应对甲方提出的在估价工作或估价报告中存在的疏忽、遗漏、错误和估价结果提出的意见</w:t>
      </w:r>
      <w:r>
        <w:rPr>
          <w:rFonts w:ascii="宋体" w:hAnsi="宋体" w:eastAsia="宋体" w:cs="宋体"/>
        </w:rPr>
        <w:t>及时</w:t>
      </w:r>
      <w:r>
        <w:rPr>
          <w:rFonts w:hint="eastAsia" w:ascii="宋体" w:hAnsi="宋体" w:eastAsia="宋体" w:cs="宋体"/>
        </w:rPr>
        <w:t>进行补充、修改、调整</w:t>
      </w:r>
      <w:r>
        <w:rPr>
          <w:rFonts w:ascii="宋体" w:hAnsi="宋体" w:eastAsia="宋体" w:cs="宋体"/>
        </w:rPr>
        <w:t>。</w:t>
      </w:r>
    </w:p>
    <w:p>
      <w:pPr>
        <w:pStyle w:val="4"/>
        <w:spacing w:before="62" w:beforeLines="20" w:after="62" w:afterLines="20"/>
        <w:ind w:firstLine="480" w:firstLineChars="200"/>
        <w:rPr>
          <w:rFonts w:ascii="宋体" w:hAnsi="宋体" w:eastAsia="宋体" w:cs="宋体"/>
        </w:rPr>
      </w:pPr>
      <w:r>
        <w:rPr>
          <w:rFonts w:hint="eastAsia" w:ascii="宋体" w:hAnsi="宋体" w:eastAsia="宋体" w:cs="宋体"/>
        </w:rPr>
        <w:t>7.</w:t>
      </w:r>
      <w:r>
        <w:rPr>
          <w:rFonts w:ascii="宋体" w:hAnsi="宋体" w:eastAsia="宋体" w:cs="宋体"/>
        </w:rPr>
        <w:t xml:space="preserve"> </w:t>
      </w:r>
      <w:r>
        <w:rPr>
          <w:rFonts w:hint="eastAsia" w:ascii="宋体" w:hAnsi="宋体" w:eastAsia="宋体" w:cs="宋体"/>
        </w:rPr>
        <w:t>乙方在估价工作中，自觉维护被估价资产相关各方的正当权益</w:t>
      </w:r>
      <w:r>
        <w:rPr>
          <w:rFonts w:ascii="宋体" w:hAnsi="宋体" w:eastAsia="宋体" w:cs="宋体"/>
        </w:rPr>
        <w:t>。</w:t>
      </w:r>
    </w:p>
    <w:p>
      <w:pPr>
        <w:tabs>
          <w:tab w:val="left" w:pos="720"/>
        </w:tabs>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九、不动产估价报告书的使用者及使用范围</w:t>
      </w:r>
    </w:p>
    <w:p>
      <w:pPr>
        <w:tabs>
          <w:tab w:val="left" w:pos="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乙方履行本合同出具的《不动产估价报告书》的使用者为：甲方及法律法规规定的使用者。</w:t>
      </w:r>
      <w:r>
        <w:rPr>
          <w:rFonts w:ascii="宋体" w:hAnsi="宋体" w:cs="宋体"/>
          <w:sz w:val="24"/>
          <w:szCs w:val="24"/>
        </w:rPr>
        <w:t xml:space="preserve"> </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《不动产估价报告书》仅供甲方及法律法规规定的使用者按本合同约定的估价目的使用，乙方对上述报告使用者不当使用《不动产估价报告书》所造成的后果不承担责任。</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如无法律法规规定，甲方未征得乙方事先书面同意，不得摘抄、引用或者披露《不动产估价报告书》的内容于任何公开媒体之上。</w:t>
      </w:r>
    </w:p>
    <w:p>
      <w:pPr>
        <w:tabs>
          <w:tab w:val="left" w:pos="720"/>
        </w:tabs>
        <w:spacing w:before="62" w:beforeLines="20" w:after="62" w:afterLines="20" w:line="360" w:lineRule="auto"/>
        <w:ind w:firstLine="480" w:firstLineChars="200"/>
        <w:rPr>
          <w:rFonts w:ascii="宋体"/>
          <w:b/>
          <w:bCs/>
          <w:sz w:val="24"/>
          <w:szCs w:val="24"/>
        </w:rPr>
      </w:pPr>
      <w:r>
        <w:rPr>
          <w:rFonts w:hint="eastAsia" w:ascii="宋体" w:hAnsi="宋体" w:cs="宋体"/>
          <w:sz w:val="24"/>
          <w:szCs w:val="24"/>
        </w:rPr>
        <w:t>如无法律法规规定，乙方未经甲方事先书面，不得将《不动产估价报告书》的内容向第三方提供或者公开。</w:t>
      </w: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十、违约责任</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（二）发生下列情形的，甲乙双方承担各自责任：</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甲方单方终止本合同，如乙方工作已经过半，甲方应向乙方支付全部估价服务费；乙方工作尚未过半，甲方应向乙方支付全部估价服务费的</w:t>
      </w:r>
      <w:r>
        <w:rPr>
          <w:rFonts w:ascii="宋体" w:hAnsi="宋体" w:cs="宋体"/>
          <w:sz w:val="24"/>
          <w:szCs w:val="24"/>
        </w:rPr>
        <w:t>50%</w:t>
      </w:r>
      <w:r>
        <w:rPr>
          <w:rFonts w:hint="eastAsia" w:ascii="宋体" w:hAnsi="宋体" w:cs="宋体"/>
          <w:sz w:val="24"/>
          <w:szCs w:val="24"/>
        </w:rPr>
        <w:t>，或定金不予退还，上述两者之中取其高者。</w:t>
      </w:r>
    </w:p>
    <w:p>
      <w:pPr>
        <w:tabs>
          <w:tab w:val="left" w:pos="720"/>
        </w:tabs>
        <w:spacing w:before="62" w:beforeLines="20" w:after="62" w:afterLines="20" w:line="360" w:lineRule="auto"/>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.甲方如未按上述条款规定的时间向乙方支付估价服务费，以甲方应付款项为基数，从逾期之日起，每逾期一日，甲方向乙方支付应付款项的万分之六作为违约金。</w:t>
      </w:r>
    </w:p>
    <w:p>
      <w:pPr>
        <w:tabs>
          <w:tab w:val="left" w:pos="720"/>
        </w:tabs>
        <w:spacing w:before="62" w:beforeLines="20" w:after="62" w:afterLines="20" w:line="360" w:lineRule="auto"/>
        <w:ind w:firstLine="480" w:firstLineChars="200"/>
        <w:rPr>
          <w:rFonts w:ascii="宋体"/>
          <w:b/>
          <w:bCs/>
          <w:sz w:val="24"/>
          <w:szCs w:val="24"/>
        </w:rPr>
      </w:pPr>
      <w:r>
        <w:rPr>
          <w:rFonts w:ascii="宋体" w:hAnsi="宋体" w:cs="宋体"/>
          <w:sz w:val="24"/>
          <w:szCs w:val="24"/>
        </w:rPr>
        <w:t>3</w:t>
      </w:r>
      <w:r>
        <w:rPr>
          <w:rFonts w:hint="eastAsia" w:ascii="宋体" w:hAnsi="宋体" w:cs="宋体"/>
          <w:sz w:val="24"/>
          <w:szCs w:val="24"/>
        </w:rPr>
        <w:t>.</w:t>
      </w:r>
      <w:r>
        <w:rPr>
          <w:rFonts w:ascii="Segoe UI" w:hAnsi="Segoe UI" w:cs="Segoe UI"/>
        </w:rPr>
        <w:t xml:space="preserve"> 乙方</w:t>
      </w:r>
      <w:r>
        <w:rPr>
          <w:rFonts w:hint="eastAsia" w:ascii="宋体" w:hAnsi="宋体" w:cs="宋体"/>
          <w:sz w:val="24"/>
          <w:szCs w:val="24"/>
        </w:rPr>
        <w:t>未按本合同所约定的时间、内容及要求完成评估任务、提交评估报告的，应承担违约责任，向甲方支付</w:t>
      </w:r>
      <w:r>
        <w:rPr>
          <w:rFonts w:ascii="宋体" w:hAnsi="宋体" w:cs="宋体"/>
          <w:sz w:val="24"/>
          <w:szCs w:val="24"/>
        </w:rPr>
        <w:t>合同金额20%的违约金</w:t>
      </w:r>
      <w:r>
        <w:rPr>
          <w:rFonts w:hint="eastAsia" w:ascii="宋体" w:hAnsi="宋体" w:cs="宋体"/>
          <w:sz w:val="24"/>
          <w:szCs w:val="24"/>
        </w:rPr>
        <w:t>。</w:t>
      </w: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十一、保密条款</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sz w:val="24"/>
          <w:szCs w:val="24"/>
        </w:rPr>
        <w:t>本合同内容以及合同履行过程中的任何信息，甲乙双方及双方参与的人员应严格保密；未经对方书面同意，不得向任何第三方透露，法律法规要求披露的除外。</w:t>
      </w: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十二、合同的变更、中止、解除</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本合同履行过程中，如发生《中华人民共和国民法典》、《中华人民共和国资产评估法》中允许变更或解除合同的情况，双方应依法或依约定变更或解除合同。</w:t>
      </w:r>
    </w:p>
    <w:p>
      <w:pPr>
        <w:pStyle w:val="3"/>
        <w:snapToGrid w:val="0"/>
        <w:spacing w:before="62" w:beforeLines="20" w:after="62" w:afterLines="20"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Pr>
          <w:rFonts w:ascii="宋体" w:hAnsi="宋体" w:eastAsia="宋体" w:cs="宋体"/>
          <w:sz w:val="24"/>
          <w:szCs w:val="24"/>
        </w:rPr>
        <w:t xml:space="preserve">   </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本合同签订后，估价目的、估价对象、价值时点发生变化，或者估价范围发生重大变化，甲、乙双方应签订补充合同或者重新签订合同。</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当估价程序所受限制对与估价目的相对应的估价结论构成重大影响时，乙方可以中止履行合同；相关限制无法排除时，乙方可以解除合同。</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合同解除后，乙方根据已完成的工作量与甲方协商确定应收取或者退回的评估服务费。</w:t>
      </w: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十三、争议的解决方法</w:t>
      </w:r>
    </w:p>
    <w:p>
      <w:pPr>
        <w:pStyle w:val="3"/>
        <w:snapToGrid w:val="0"/>
        <w:spacing w:before="62" w:beforeLines="20" w:after="62" w:afterLines="20" w:line="360" w:lineRule="auto"/>
        <w:ind w:firstLine="480" w:firstLineChars="200"/>
        <w:jc w:val="both"/>
        <w:rPr>
          <w:rFonts w:ascii="宋体"/>
          <w:b/>
          <w:bCs/>
          <w:sz w:val="24"/>
          <w:szCs w:val="24"/>
        </w:rPr>
      </w:pPr>
      <w:r>
        <w:rPr>
          <w:rFonts w:hint="eastAsia" w:ascii="宋体" w:hAnsi="宋体" w:eastAsia="宋体" w:cs="宋体"/>
          <w:sz w:val="24"/>
          <w:szCs w:val="24"/>
        </w:rPr>
        <w:t>凡因本合同或与本合同有关的一切争议，甲、乙双方应友好协商解决；协商不成的，</w:t>
      </w:r>
      <w:r>
        <w:rPr>
          <w:rFonts w:ascii="宋体" w:hAnsi="宋体" w:eastAsia="宋体" w:cs="宋体"/>
          <w:sz w:val="24"/>
          <w:szCs w:val="24"/>
        </w:rPr>
        <w:t>应向</w:t>
      </w:r>
      <w:r>
        <w:rPr>
          <w:rFonts w:hint="eastAsia" w:ascii="宋体" w:hAnsi="宋体" w:eastAsia="宋体" w:cs="宋体"/>
          <w:sz w:val="24"/>
          <w:szCs w:val="24"/>
        </w:rPr>
        <w:t>甲方所在地人民法院提起诉讼，诉讼费、律师费等相关费用由违约方承担</w:t>
      </w:r>
      <w:r>
        <w:rPr>
          <w:rFonts w:ascii="宋体" w:hAnsi="宋体" w:eastAsia="宋体" w:cs="宋体"/>
          <w:sz w:val="24"/>
          <w:szCs w:val="24"/>
        </w:rPr>
        <w:t>。</w:t>
      </w:r>
      <w:r>
        <w:rPr>
          <w:rFonts w:hint="eastAsia" w:ascii="宋体" w:hAnsi="宋体" w:eastAsia="宋体" w:cs="宋体"/>
          <w:sz w:val="24"/>
          <w:szCs w:val="24"/>
        </w:rPr>
        <w:t xml:space="preserve"> </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sz w:val="24"/>
          <w:szCs w:val="24"/>
          <w:u w:val="single"/>
        </w:rPr>
      </w:pPr>
      <w:r>
        <w:rPr>
          <w:rFonts w:hint="eastAsia" w:ascii="宋体" w:hAnsi="宋体" w:cs="宋体"/>
          <w:b/>
          <w:bCs/>
          <w:sz w:val="24"/>
          <w:szCs w:val="24"/>
        </w:rPr>
        <w:t>十</w:t>
      </w:r>
      <w:r>
        <w:rPr>
          <w:rFonts w:ascii="宋体" w:hAnsi="宋体" w:cs="宋体"/>
          <w:b/>
          <w:bCs/>
          <w:sz w:val="24"/>
          <w:szCs w:val="24"/>
        </w:rPr>
        <w:t>四</w:t>
      </w:r>
      <w:r>
        <w:rPr>
          <w:rFonts w:hint="eastAsia" w:ascii="宋体" w:hAnsi="宋体" w:cs="宋体"/>
          <w:b/>
          <w:bCs/>
          <w:sz w:val="24"/>
          <w:szCs w:val="24"/>
        </w:rPr>
        <w:t>、对其他有关事项的约定</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本合同一式</w:t>
      </w:r>
      <w:r>
        <w:rPr>
          <w:rFonts w:ascii="宋体" w:hAnsi="宋体" w:cs="宋体"/>
          <w:sz w:val="24"/>
          <w:szCs w:val="24"/>
          <w:u w:val="single"/>
        </w:rPr>
        <w:t xml:space="preserve">  </w:t>
      </w:r>
      <w:r>
        <w:rPr>
          <w:rFonts w:hint="eastAsia" w:ascii="宋体" w:hAnsi="宋体" w:cs="宋体"/>
          <w:sz w:val="24"/>
          <w:szCs w:val="24"/>
          <w:u w:val="single"/>
          <w:lang w:eastAsia="zh-CN"/>
        </w:rPr>
        <w:t>肆</w:t>
      </w:r>
      <w:r>
        <w:rPr>
          <w:rFonts w:ascii="宋体" w:hAnsi="宋体" w:cs="宋体"/>
          <w:sz w:val="24"/>
          <w:szCs w:val="24"/>
          <w:u w:val="single"/>
        </w:rPr>
        <w:t xml:space="preserve">  </w:t>
      </w:r>
      <w:r>
        <w:rPr>
          <w:rFonts w:hint="eastAsia" w:ascii="宋体" w:hAnsi="宋体" w:cs="宋体"/>
          <w:sz w:val="24"/>
          <w:szCs w:val="24"/>
        </w:rPr>
        <w:t>份，甲方持</w:t>
      </w:r>
      <w:r>
        <w:rPr>
          <w:rFonts w:ascii="宋体" w:hAnsi="宋体" w:cs="宋体"/>
          <w:sz w:val="24"/>
          <w:szCs w:val="24"/>
          <w:u w:val="single"/>
        </w:rPr>
        <w:t xml:space="preserve">  </w:t>
      </w:r>
      <w:r>
        <w:rPr>
          <w:rFonts w:hint="eastAsia" w:ascii="宋体" w:hAnsi="宋体" w:cs="宋体"/>
          <w:sz w:val="24"/>
          <w:szCs w:val="24"/>
          <w:u w:val="single"/>
          <w:lang w:eastAsia="zh-CN"/>
        </w:rPr>
        <w:t>贰</w:t>
      </w:r>
      <w:r>
        <w:rPr>
          <w:rFonts w:ascii="宋体" w:hAnsi="宋体" w:cs="宋体"/>
          <w:sz w:val="24"/>
          <w:szCs w:val="24"/>
          <w:u w:val="single"/>
        </w:rPr>
        <w:t xml:space="preserve">  </w:t>
      </w:r>
      <w:r>
        <w:rPr>
          <w:rFonts w:hint="eastAsia" w:ascii="宋体" w:hAnsi="宋体" w:cs="宋体"/>
          <w:sz w:val="24"/>
          <w:szCs w:val="24"/>
        </w:rPr>
        <w:t>份，乙方持</w:t>
      </w:r>
      <w:r>
        <w:rPr>
          <w:rFonts w:ascii="宋体" w:hAnsi="宋体" w:cs="宋体"/>
          <w:sz w:val="24"/>
          <w:szCs w:val="24"/>
          <w:u w:val="single"/>
        </w:rPr>
        <w:t xml:space="preserve">   </w:t>
      </w:r>
      <w:r>
        <w:rPr>
          <w:rFonts w:hint="eastAsia" w:ascii="宋体" w:hAnsi="宋体" w:cs="宋体"/>
          <w:sz w:val="24"/>
          <w:szCs w:val="24"/>
          <w:u w:val="single"/>
          <w:lang w:eastAsia="zh-CN"/>
        </w:rPr>
        <w:t>贰</w:t>
      </w:r>
      <w:r>
        <w:rPr>
          <w:rFonts w:ascii="宋体" w:hAnsi="宋体" w:cs="宋体"/>
          <w:sz w:val="24"/>
          <w:szCs w:val="24"/>
          <w:u w:val="single"/>
        </w:rPr>
        <w:t xml:space="preserve">  </w:t>
      </w:r>
      <w:r>
        <w:rPr>
          <w:rFonts w:hint="eastAsia" w:ascii="宋体" w:hAnsi="宋体" w:cs="宋体"/>
          <w:sz w:val="24"/>
          <w:szCs w:val="24"/>
        </w:rPr>
        <w:t>份，具有同等法律效力。</w:t>
      </w:r>
    </w:p>
    <w:p>
      <w:pPr>
        <w:tabs>
          <w:tab w:val="left" w:pos="720"/>
        </w:tabs>
        <w:spacing w:before="62" w:beforeLines="20" w:after="62" w:afterLines="20" w:line="360" w:lineRule="auto"/>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未尽事宜，由甲乙双方协商解决</w:t>
      </w:r>
      <w:r>
        <w:rPr>
          <w:rFonts w:ascii="宋体" w:hAnsi="宋体" w:cs="宋体"/>
          <w:sz w:val="24"/>
          <w:szCs w:val="24"/>
        </w:rPr>
        <w:t>，</w:t>
      </w:r>
      <w:r>
        <w:rPr>
          <w:rFonts w:hint="eastAsia" w:ascii="宋体" w:hAnsi="宋体" w:cs="宋体"/>
          <w:sz w:val="24"/>
          <w:szCs w:val="24"/>
        </w:rPr>
        <w:t>签署补充合同，补充合同与前所述条款发生冲突时，以补充合同为准。</w:t>
      </w:r>
    </w:p>
    <w:p>
      <w:pPr>
        <w:ind w:right="105"/>
        <w:rPr>
          <w:rFonts w:ascii="宋体" w:hAnsi="宋体" w:cs="宋体"/>
          <w:sz w:val="24"/>
          <w:szCs w:val="24"/>
        </w:rPr>
      </w:pPr>
      <w:r>
        <w:rPr>
          <w:rFonts w:hint="eastAsia" w:ascii="宋体" w:hAnsi="宋体" w:cs="宋体"/>
          <w:sz w:val="24"/>
          <w:szCs w:val="24"/>
        </w:rPr>
        <w:t>3.本合同经甲、乙双方</w:t>
      </w:r>
      <w:r>
        <w:rPr>
          <w:rFonts w:ascii="宋体" w:hAnsi="宋体" w:cs="宋体"/>
          <w:sz w:val="24"/>
          <w:szCs w:val="24"/>
        </w:rPr>
        <w:t>签字或盖章</w:t>
      </w:r>
      <w:r>
        <w:rPr>
          <w:rFonts w:hint="eastAsia" w:ascii="宋体" w:hAnsi="宋体" w:cs="宋体"/>
          <w:sz w:val="24"/>
          <w:szCs w:val="24"/>
        </w:rPr>
        <w:t>后生效</w:t>
      </w:r>
      <w:r>
        <w:rPr>
          <w:rFonts w:ascii="宋体" w:hAnsi="宋体" w:cs="宋体"/>
          <w:sz w:val="24"/>
          <w:szCs w:val="24"/>
        </w:rPr>
        <w:t>。</w:t>
      </w:r>
    </w:p>
    <w:p>
      <w:pPr>
        <w:ind w:right="105"/>
        <w:rPr>
          <w:rFonts w:ascii="宋体" w:hAnsi="宋体" w:cs="宋体"/>
          <w:sz w:val="24"/>
          <w:szCs w:val="24"/>
        </w:rPr>
      </w:pPr>
    </w:p>
    <w:p>
      <w:pPr>
        <w:ind w:right="105"/>
        <w:rPr>
          <w:rFonts w:ascii="宋体" w:hAnsi="宋体" w:cs="宋体"/>
          <w:sz w:val="24"/>
          <w:szCs w:val="24"/>
        </w:rPr>
      </w:pPr>
    </w:p>
    <w:p>
      <w:pPr>
        <w:ind w:right="105"/>
        <w:rPr>
          <w:rFonts w:ascii="宋体" w:hAnsi="宋体" w:cs="宋体"/>
          <w:sz w:val="24"/>
          <w:szCs w:val="24"/>
        </w:rPr>
      </w:pPr>
    </w:p>
    <w:p>
      <w:pPr>
        <w:spacing w:line="480" w:lineRule="auto"/>
        <w:ind w:right="108" w:firstLine="493"/>
        <w:rPr>
          <w:sz w:val="24"/>
          <w:szCs w:val="24"/>
        </w:rPr>
      </w:pPr>
      <w:r>
        <w:rPr>
          <w:rFonts w:hint="eastAsia" w:cs="宋体"/>
          <w:sz w:val="24"/>
          <w:szCs w:val="24"/>
        </w:rPr>
        <w:t>甲方</w:t>
      </w:r>
      <w:r>
        <w:rPr>
          <w:sz w:val="24"/>
          <w:szCs w:val="24"/>
        </w:rPr>
        <w:t>(</w:t>
      </w:r>
      <w:r>
        <w:rPr>
          <w:rFonts w:hint="eastAsia" w:cs="宋体"/>
          <w:sz w:val="24"/>
          <w:szCs w:val="24"/>
        </w:rPr>
        <w:t>盖章</w:t>
      </w:r>
      <w:r>
        <w:rPr>
          <w:sz w:val="24"/>
          <w:szCs w:val="24"/>
        </w:rPr>
        <w:t xml:space="preserve">) </w:t>
      </w:r>
      <w:r>
        <w:rPr>
          <w:rFonts w:hint="eastAsia" w:cs="宋体"/>
          <w:sz w:val="24"/>
          <w:szCs w:val="24"/>
        </w:rPr>
        <w:t>：</w:t>
      </w:r>
      <w:r>
        <w:rPr>
          <w:rFonts w:hint="eastAsia" w:cs="宋体"/>
          <w:sz w:val="24"/>
          <w:szCs w:val="24"/>
          <w:u w:val="single"/>
        </w:rPr>
        <w:t>北京中糖物流有限公司</w:t>
      </w:r>
      <w:r>
        <w:rPr>
          <w:sz w:val="24"/>
          <w:szCs w:val="24"/>
          <w:u w:val="single"/>
        </w:rPr>
        <w:t xml:space="preserve">  </w:t>
      </w:r>
      <w:r>
        <w:rPr>
          <w:sz w:val="24"/>
          <w:szCs w:val="24"/>
        </w:rPr>
        <w:t xml:space="preserve">                   </w:t>
      </w:r>
    </w:p>
    <w:p>
      <w:pPr>
        <w:spacing w:line="480" w:lineRule="auto"/>
        <w:ind w:right="108" w:firstLine="493"/>
        <w:rPr>
          <w:sz w:val="24"/>
          <w:szCs w:val="24"/>
        </w:rPr>
      </w:pPr>
      <w:r>
        <w:rPr>
          <w:rFonts w:hint="eastAsia" w:cs="宋体"/>
          <w:sz w:val="24"/>
          <w:szCs w:val="24"/>
        </w:rPr>
        <w:t>法定代表人或</w:t>
      </w:r>
      <w:r>
        <w:rPr>
          <w:rFonts w:cs="宋体"/>
          <w:sz w:val="24"/>
          <w:szCs w:val="24"/>
        </w:rPr>
        <w:t>委托</w:t>
      </w:r>
      <w:r>
        <w:rPr>
          <w:rFonts w:hint="eastAsia" w:cs="宋体"/>
          <w:sz w:val="24"/>
          <w:szCs w:val="24"/>
        </w:rPr>
        <w:t>代理人</w:t>
      </w:r>
      <w:r>
        <w:rPr>
          <w:sz w:val="24"/>
          <w:szCs w:val="24"/>
        </w:rPr>
        <w:t>(</w:t>
      </w:r>
      <w:r>
        <w:rPr>
          <w:rFonts w:hint="eastAsia" w:cs="宋体"/>
          <w:sz w:val="24"/>
          <w:szCs w:val="24"/>
        </w:rPr>
        <w:t>签字</w:t>
      </w:r>
      <w:r>
        <w:rPr>
          <w:sz w:val="24"/>
          <w:szCs w:val="24"/>
        </w:rPr>
        <w:t xml:space="preserve">) </w:t>
      </w:r>
      <w:r>
        <w:rPr>
          <w:rFonts w:hint="eastAsia" w:cs="宋体"/>
          <w:sz w:val="24"/>
          <w:szCs w:val="24"/>
        </w:rPr>
        <w:t>：</w:t>
      </w:r>
      <w:r>
        <w:rPr>
          <w:sz w:val="24"/>
          <w:szCs w:val="24"/>
        </w:rPr>
        <w:t xml:space="preserve">   </w:t>
      </w:r>
    </w:p>
    <w:p>
      <w:pPr>
        <w:spacing w:line="480" w:lineRule="auto"/>
        <w:ind w:right="108" w:firstLine="493"/>
        <w:rPr>
          <w:sz w:val="24"/>
          <w:szCs w:val="24"/>
        </w:rPr>
      </w:pPr>
      <w:r>
        <w:rPr>
          <w:rFonts w:hint="eastAsia" w:cs="宋体"/>
          <w:sz w:val="24"/>
          <w:szCs w:val="24"/>
        </w:rPr>
        <w:t>联系地址：</w:t>
      </w:r>
      <w:r>
        <w:rPr>
          <w:rFonts w:hint="eastAsia" w:cs="宋体"/>
          <w:sz w:val="24"/>
          <w:szCs w:val="24"/>
          <w:lang w:eastAsia="zh-CN"/>
        </w:rPr>
        <w:t>北京市大兴区魏善庄镇东枣林村东</w:t>
      </w:r>
      <w:r>
        <w:rPr>
          <w:rFonts w:hint="eastAsia" w:cs="宋体"/>
          <w:sz w:val="24"/>
          <w:szCs w:val="24"/>
          <w:lang w:val="en-US" w:eastAsia="zh-CN"/>
        </w:rPr>
        <w:t xml:space="preserve"> </w:t>
      </w:r>
      <w:r>
        <w:rPr>
          <w:sz w:val="24"/>
          <w:szCs w:val="24"/>
        </w:rPr>
        <w:t xml:space="preserve">                      </w:t>
      </w:r>
    </w:p>
    <w:p>
      <w:pPr>
        <w:spacing w:line="480" w:lineRule="auto"/>
        <w:ind w:right="108" w:firstLine="493"/>
        <w:rPr>
          <w:sz w:val="24"/>
          <w:szCs w:val="24"/>
        </w:rPr>
      </w:pPr>
      <w:r>
        <w:rPr>
          <w:rFonts w:hint="eastAsia" w:cs="宋体"/>
          <w:sz w:val="24"/>
          <w:szCs w:val="24"/>
        </w:rPr>
        <w:t>电话：</w:t>
      </w:r>
      <w:r>
        <w:rPr>
          <w:rFonts w:hint="eastAsia" w:cs="宋体"/>
          <w:sz w:val="24"/>
          <w:szCs w:val="24"/>
          <w:lang w:val="en-US" w:eastAsia="zh-CN"/>
        </w:rPr>
        <w:t>010-89237991</w:t>
      </w:r>
      <w:r>
        <w:rPr>
          <w:sz w:val="24"/>
          <w:szCs w:val="24"/>
        </w:rPr>
        <w:t xml:space="preserve">                         </w:t>
      </w:r>
    </w:p>
    <w:p>
      <w:pPr>
        <w:spacing w:line="480" w:lineRule="auto"/>
        <w:ind w:right="108" w:firstLine="493"/>
        <w:rPr>
          <w:sz w:val="24"/>
          <w:szCs w:val="24"/>
        </w:rPr>
      </w:pPr>
      <w:r>
        <w:rPr>
          <w:sz w:val="24"/>
          <w:szCs w:val="24"/>
        </w:rPr>
        <w:t xml:space="preserve">      </w:t>
      </w:r>
      <w:r>
        <w:rPr>
          <w:rFonts w:hint="eastAsia"/>
          <w:sz w:val="24"/>
          <w:szCs w:val="24"/>
          <w:lang w:val="en-US" w:eastAsia="zh-CN"/>
        </w:rPr>
        <w:t>2023</w:t>
      </w:r>
      <w:r>
        <w:rPr>
          <w:sz w:val="24"/>
          <w:szCs w:val="24"/>
        </w:rPr>
        <w:t xml:space="preserve"> </w:t>
      </w:r>
      <w:r>
        <w:rPr>
          <w:rFonts w:hint="eastAsia" w:cs="宋体"/>
          <w:sz w:val="24"/>
          <w:szCs w:val="24"/>
        </w:rPr>
        <w:t>年</w:t>
      </w:r>
      <w:r>
        <w:rPr>
          <w:sz w:val="24"/>
          <w:szCs w:val="24"/>
        </w:rPr>
        <w:t xml:space="preserve">  </w:t>
      </w:r>
      <w:r>
        <w:rPr>
          <w:rFonts w:hint="eastAsia"/>
          <w:sz w:val="24"/>
          <w:szCs w:val="24"/>
          <w:lang w:val="en-US" w:eastAsia="zh-CN"/>
        </w:rPr>
        <w:t>1</w:t>
      </w:r>
      <w:r>
        <w:rPr>
          <w:sz w:val="24"/>
          <w:szCs w:val="24"/>
        </w:rPr>
        <w:t xml:space="preserve"> </w:t>
      </w:r>
      <w:r>
        <w:rPr>
          <w:rFonts w:hint="eastAsia" w:cs="宋体"/>
          <w:sz w:val="24"/>
          <w:szCs w:val="24"/>
        </w:rPr>
        <w:t>月</w:t>
      </w:r>
      <w:r>
        <w:rPr>
          <w:sz w:val="24"/>
          <w:szCs w:val="24"/>
        </w:rPr>
        <w:t xml:space="preserve">  </w:t>
      </w:r>
      <w:r>
        <w:rPr>
          <w:rFonts w:hint="eastAsia"/>
          <w:sz w:val="24"/>
          <w:szCs w:val="24"/>
          <w:lang w:val="en-US" w:eastAsia="zh-CN"/>
        </w:rPr>
        <w:t>11</w:t>
      </w:r>
      <w:r>
        <w:rPr>
          <w:sz w:val="24"/>
          <w:szCs w:val="24"/>
        </w:rPr>
        <w:t xml:space="preserve"> </w:t>
      </w:r>
      <w:r>
        <w:rPr>
          <w:rFonts w:hint="eastAsia" w:cs="宋体"/>
          <w:sz w:val="24"/>
          <w:szCs w:val="24"/>
        </w:rPr>
        <w:t>日</w:t>
      </w:r>
      <w:r>
        <w:rPr>
          <w:sz w:val="24"/>
          <w:szCs w:val="24"/>
        </w:rPr>
        <w:t xml:space="preserve">   </w:t>
      </w:r>
    </w:p>
    <w:p>
      <w:pPr>
        <w:spacing w:line="480" w:lineRule="auto"/>
        <w:ind w:right="108" w:firstLine="493"/>
        <w:rPr>
          <w:sz w:val="24"/>
          <w:szCs w:val="24"/>
        </w:rPr>
      </w:pPr>
    </w:p>
    <w:p>
      <w:pPr>
        <w:spacing w:line="480" w:lineRule="auto"/>
        <w:ind w:right="108" w:firstLine="493"/>
        <w:rPr>
          <w:sz w:val="24"/>
          <w:szCs w:val="24"/>
        </w:rPr>
      </w:pPr>
      <w:r>
        <w:rPr>
          <w:rFonts w:hint="eastAsia" w:cs="宋体"/>
          <w:sz w:val="24"/>
          <w:szCs w:val="24"/>
        </w:rPr>
        <w:t>乙方</w:t>
      </w:r>
      <w:r>
        <w:rPr>
          <w:sz w:val="24"/>
          <w:szCs w:val="24"/>
        </w:rPr>
        <w:t>(</w:t>
      </w:r>
      <w:r>
        <w:rPr>
          <w:rFonts w:hint="eastAsia" w:cs="宋体"/>
          <w:sz w:val="24"/>
          <w:szCs w:val="24"/>
        </w:rPr>
        <w:t>盖章</w:t>
      </w:r>
      <w:r>
        <w:rPr>
          <w:sz w:val="24"/>
          <w:szCs w:val="24"/>
        </w:rPr>
        <w:t xml:space="preserve">) </w:t>
      </w:r>
      <w:r>
        <w:rPr>
          <w:rFonts w:hint="eastAsia" w:cs="宋体"/>
          <w:sz w:val="24"/>
          <w:szCs w:val="24"/>
        </w:rPr>
        <w:t>：</w:t>
      </w:r>
      <w:r>
        <w:rPr>
          <w:rFonts w:hint="eastAsia" w:ascii="宋体" w:hAnsi="宋体" w:cs="宋体"/>
          <w:bCs/>
          <w:sz w:val="24"/>
          <w:szCs w:val="24"/>
          <w:u w:val="single"/>
        </w:rPr>
        <w:t>北京康正宏基房地产评估有限公司</w:t>
      </w:r>
    </w:p>
    <w:p>
      <w:pPr>
        <w:spacing w:line="480" w:lineRule="auto"/>
        <w:ind w:right="108" w:firstLine="493"/>
        <w:rPr>
          <w:sz w:val="24"/>
          <w:szCs w:val="24"/>
        </w:rPr>
      </w:pPr>
      <w:r>
        <w:rPr>
          <w:rFonts w:hint="eastAsia" w:cs="宋体"/>
          <w:sz w:val="24"/>
          <w:szCs w:val="24"/>
        </w:rPr>
        <w:t>法定代表人或</w:t>
      </w:r>
      <w:r>
        <w:rPr>
          <w:rFonts w:cs="宋体"/>
          <w:sz w:val="24"/>
          <w:szCs w:val="24"/>
        </w:rPr>
        <w:t>委托</w:t>
      </w:r>
      <w:r>
        <w:rPr>
          <w:rFonts w:hint="eastAsia" w:cs="宋体"/>
          <w:sz w:val="24"/>
          <w:szCs w:val="24"/>
        </w:rPr>
        <w:t>代理人</w:t>
      </w:r>
      <w:r>
        <w:rPr>
          <w:sz w:val="24"/>
          <w:szCs w:val="24"/>
        </w:rPr>
        <w:t>(</w:t>
      </w:r>
      <w:r>
        <w:rPr>
          <w:rFonts w:hint="eastAsia" w:cs="宋体"/>
          <w:sz w:val="24"/>
          <w:szCs w:val="24"/>
        </w:rPr>
        <w:t>签字</w:t>
      </w:r>
      <w:r>
        <w:rPr>
          <w:sz w:val="24"/>
          <w:szCs w:val="24"/>
        </w:rPr>
        <w:t xml:space="preserve">) </w:t>
      </w:r>
      <w:r>
        <w:rPr>
          <w:rFonts w:hint="eastAsia" w:cs="宋体"/>
          <w:sz w:val="24"/>
          <w:szCs w:val="24"/>
        </w:rPr>
        <w:t>：</w:t>
      </w:r>
    </w:p>
    <w:p>
      <w:pPr>
        <w:spacing w:line="480" w:lineRule="auto"/>
        <w:ind w:right="108" w:firstLine="493"/>
        <w:rPr>
          <w:sz w:val="24"/>
          <w:szCs w:val="24"/>
        </w:rPr>
      </w:pPr>
      <w:r>
        <w:rPr>
          <w:rFonts w:hint="eastAsia" w:cs="宋体"/>
          <w:sz w:val="24"/>
          <w:szCs w:val="24"/>
        </w:rPr>
        <w:t>联系地址：</w:t>
      </w:r>
      <w:r>
        <w:rPr>
          <w:rFonts w:hint="eastAsia" w:ascii="宋体" w:hAnsi="宋体"/>
          <w:sz w:val="24"/>
          <w:szCs w:val="24"/>
        </w:rPr>
        <w:t>北京市丰台区芳城园一区16号楼2层2门配套公建01</w:t>
      </w:r>
    </w:p>
    <w:p>
      <w:pPr>
        <w:spacing w:line="480" w:lineRule="auto"/>
        <w:ind w:right="108" w:firstLine="493"/>
        <w:rPr>
          <w:sz w:val="24"/>
          <w:szCs w:val="24"/>
        </w:rPr>
      </w:pPr>
      <w:r>
        <w:rPr>
          <w:rFonts w:hint="eastAsia" w:cs="宋体"/>
          <w:sz w:val="24"/>
          <w:szCs w:val="24"/>
        </w:rPr>
        <w:t>电话：</w:t>
      </w:r>
      <w:r>
        <w:rPr>
          <w:rFonts w:cs="宋体"/>
          <w:sz w:val="24"/>
          <w:szCs w:val="24"/>
        </w:rPr>
        <w:t>010-82253558</w:t>
      </w:r>
    </w:p>
    <w:p>
      <w:pPr>
        <w:spacing w:line="480" w:lineRule="auto"/>
        <w:ind w:right="108" w:firstLine="493"/>
        <w:rPr>
          <w:sz w:val="24"/>
          <w:szCs w:val="24"/>
        </w:rPr>
      </w:pPr>
      <w:r>
        <w:rPr>
          <w:sz w:val="24"/>
          <w:szCs w:val="24"/>
        </w:rPr>
        <w:t xml:space="preserve">      </w:t>
      </w:r>
      <w:r>
        <w:rPr>
          <w:rFonts w:hint="eastAsia"/>
          <w:sz w:val="24"/>
          <w:szCs w:val="24"/>
          <w:lang w:val="en-US" w:eastAsia="zh-CN"/>
        </w:rPr>
        <w:t>2023</w:t>
      </w:r>
      <w:r>
        <w:rPr>
          <w:sz w:val="24"/>
          <w:szCs w:val="24"/>
        </w:rPr>
        <w:t xml:space="preserve"> </w:t>
      </w:r>
      <w:r>
        <w:rPr>
          <w:rFonts w:hint="eastAsia" w:cs="宋体"/>
          <w:sz w:val="24"/>
          <w:szCs w:val="24"/>
        </w:rPr>
        <w:t>年</w:t>
      </w:r>
      <w:r>
        <w:rPr>
          <w:sz w:val="24"/>
          <w:szCs w:val="24"/>
        </w:rPr>
        <w:t xml:space="preserve">  </w:t>
      </w:r>
      <w:r>
        <w:rPr>
          <w:rFonts w:hint="eastAsia"/>
          <w:sz w:val="24"/>
          <w:szCs w:val="24"/>
          <w:lang w:val="en-US" w:eastAsia="zh-CN"/>
        </w:rPr>
        <w:t>1</w:t>
      </w:r>
      <w:r>
        <w:rPr>
          <w:sz w:val="24"/>
          <w:szCs w:val="24"/>
        </w:rPr>
        <w:t xml:space="preserve"> </w:t>
      </w:r>
      <w:r>
        <w:rPr>
          <w:rFonts w:hint="eastAsia" w:cs="宋体"/>
          <w:sz w:val="24"/>
          <w:szCs w:val="24"/>
        </w:rPr>
        <w:t>月</w:t>
      </w:r>
      <w:r>
        <w:rPr>
          <w:sz w:val="24"/>
          <w:szCs w:val="24"/>
        </w:rPr>
        <w:t xml:space="preserve">  </w:t>
      </w:r>
      <w:r>
        <w:rPr>
          <w:rFonts w:hint="eastAsia"/>
          <w:sz w:val="24"/>
          <w:szCs w:val="24"/>
          <w:lang w:val="en-US" w:eastAsia="zh-CN"/>
        </w:rPr>
        <w:t>11</w:t>
      </w:r>
      <w:r>
        <w:rPr>
          <w:sz w:val="24"/>
          <w:szCs w:val="24"/>
        </w:rPr>
        <w:t xml:space="preserve"> </w:t>
      </w:r>
      <w:r>
        <w:rPr>
          <w:rFonts w:hint="eastAsia" w:cs="宋体"/>
          <w:sz w:val="24"/>
          <w:szCs w:val="24"/>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lang w:val="zh-CN"/>
      </w:rPr>
      <w:t xml:space="preserve"> </w:t>
    </w:r>
    <w:r>
      <w:rPr>
        <w:b/>
        <w:bCs/>
      </w:rPr>
      <w:fldChar w:fldCharType="begin"/>
    </w:r>
    <w:r>
      <w:rPr>
        <w:b/>
        <w:bCs/>
      </w:rPr>
      <w:instrText xml:space="preserve">PAGE</w:instrText>
    </w:r>
    <w:r>
      <w:rPr>
        <w:b/>
        <w:bCs/>
      </w:rPr>
      <w:fldChar w:fldCharType="separate"/>
    </w:r>
    <w:r>
      <w:rPr>
        <w:b/>
        <w:bCs/>
      </w:rPr>
      <w:t>5</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5</w:t>
    </w:r>
    <w:r>
      <w:rPr>
        <w:b/>
        <w:bCs/>
      </w:rP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lZGZjM2VkYjRlZTg0YmYwZjhiYjA3OWRmYjZlYTQifQ=="/>
  </w:docVars>
  <w:rsids>
    <w:rsidRoot w:val="001570D8"/>
    <w:rsid w:val="000001C4"/>
    <w:rsid w:val="00031004"/>
    <w:rsid w:val="000366A2"/>
    <w:rsid w:val="0009219B"/>
    <w:rsid w:val="00095788"/>
    <w:rsid w:val="000A1092"/>
    <w:rsid w:val="000C28F2"/>
    <w:rsid w:val="00116144"/>
    <w:rsid w:val="0013379B"/>
    <w:rsid w:val="001570D8"/>
    <w:rsid w:val="001A65EA"/>
    <w:rsid w:val="001E3BE6"/>
    <w:rsid w:val="001E3C50"/>
    <w:rsid w:val="001F06B8"/>
    <w:rsid w:val="00241338"/>
    <w:rsid w:val="00255F7A"/>
    <w:rsid w:val="002C32D3"/>
    <w:rsid w:val="002E52E4"/>
    <w:rsid w:val="00345BEF"/>
    <w:rsid w:val="003C4C14"/>
    <w:rsid w:val="003C7F70"/>
    <w:rsid w:val="003F2A53"/>
    <w:rsid w:val="004248E5"/>
    <w:rsid w:val="00427355"/>
    <w:rsid w:val="00447328"/>
    <w:rsid w:val="00463A0A"/>
    <w:rsid w:val="004839FA"/>
    <w:rsid w:val="004E5FFC"/>
    <w:rsid w:val="00520654"/>
    <w:rsid w:val="00534F27"/>
    <w:rsid w:val="00543A6A"/>
    <w:rsid w:val="005500BE"/>
    <w:rsid w:val="0057646B"/>
    <w:rsid w:val="00590702"/>
    <w:rsid w:val="00594DD6"/>
    <w:rsid w:val="005A0132"/>
    <w:rsid w:val="005B6011"/>
    <w:rsid w:val="005E2C87"/>
    <w:rsid w:val="005E3C2B"/>
    <w:rsid w:val="006467C4"/>
    <w:rsid w:val="006926F5"/>
    <w:rsid w:val="006974D1"/>
    <w:rsid w:val="006A7CD3"/>
    <w:rsid w:val="00781AB2"/>
    <w:rsid w:val="007A2139"/>
    <w:rsid w:val="007D0891"/>
    <w:rsid w:val="007D2EC2"/>
    <w:rsid w:val="00834F20"/>
    <w:rsid w:val="00873364"/>
    <w:rsid w:val="008B00A9"/>
    <w:rsid w:val="008D4FDE"/>
    <w:rsid w:val="008E11D1"/>
    <w:rsid w:val="009117F5"/>
    <w:rsid w:val="0096036D"/>
    <w:rsid w:val="009D157C"/>
    <w:rsid w:val="00A03D5C"/>
    <w:rsid w:val="00A22AF2"/>
    <w:rsid w:val="00A324D9"/>
    <w:rsid w:val="00A500BC"/>
    <w:rsid w:val="00A70B78"/>
    <w:rsid w:val="00A70DF1"/>
    <w:rsid w:val="00A7312D"/>
    <w:rsid w:val="00A910E7"/>
    <w:rsid w:val="00B21F76"/>
    <w:rsid w:val="00B656EF"/>
    <w:rsid w:val="00B7192D"/>
    <w:rsid w:val="00B96FE0"/>
    <w:rsid w:val="00C13A31"/>
    <w:rsid w:val="00C21946"/>
    <w:rsid w:val="00C30D76"/>
    <w:rsid w:val="00C84E2D"/>
    <w:rsid w:val="00CB09B2"/>
    <w:rsid w:val="00D15493"/>
    <w:rsid w:val="00D24B4E"/>
    <w:rsid w:val="00D818CD"/>
    <w:rsid w:val="00DD245D"/>
    <w:rsid w:val="00E3211C"/>
    <w:rsid w:val="00E47898"/>
    <w:rsid w:val="00E75637"/>
    <w:rsid w:val="00EB48DF"/>
    <w:rsid w:val="00EC0CFD"/>
    <w:rsid w:val="00F3596D"/>
    <w:rsid w:val="00F66988"/>
    <w:rsid w:val="00FC4782"/>
    <w:rsid w:val="00FD0271"/>
    <w:rsid w:val="00FE49CB"/>
    <w:rsid w:val="00FF584C"/>
    <w:rsid w:val="0A99039E"/>
    <w:rsid w:val="0EAD4203"/>
    <w:rsid w:val="146161FF"/>
    <w:rsid w:val="54911C52"/>
    <w:rsid w:val="68D8222F"/>
    <w:rsid w:val="6E8C574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unhideWhenUsed="0" w:uiPriority="99"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7"/>
    <w:qFormat/>
    <w:uiPriority w:val="99"/>
    <w:pPr>
      <w:keepNext/>
      <w:keepLines/>
      <w:widowControl/>
      <w:spacing w:before="340" w:after="330" w:line="578" w:lineRule="auto"/>
      <w:ind w:right="50" w:rightChars="50" w:firstLine="236" w:firstLineChars="236"/>
      <w:outlineLvl w:val="0"/>
    </w:pPr>
    <w:rPr>
      <w:rFonts w:ascii="Calibri" w:hAnsi="Calibri" w:cs="Calibri"/>
      <w:b/>
      <w:bCs/>
      <w:kern w:val="44"/>
      <w:sz w:val="44"/>
      <w:szCs w:val="44"/>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3"/>
    <w:semiHidden/>
    <w:qFormat/>
    <w:uiPriority w:val="99"/>
    <w:pPr>
      <w:jc w:val="left"/>
    </w:pPr>
    <w:rPr>
      <w:rFonts w:eastAsia="仿宋_GB2312"/>
      <w:sz w:val="30"/>
      <w:szCs w:val="30"/>
    </w:rPr>
  </w:style>
  <w:style w:type="paragraph" w:styleId="4">
    <w:name w:val="Body Text"/>
    <w:basedOn w:val="1"/>
    <w:link w:val="21"/>
    <w:qFormat/>
    <w:uiPriority w:val="99"/>
    <w:pPr>
      <w:spacing w:before="120" w:after="120" w:line="400" w:lineRule="exact"/>
    </w:pPr>
    <w:rPr>
      <w:rFonts w:eastAsia="仿宋_GB2312"/>
      <w:sz w:val="24"/>
      <w:szCs w:val="24"/>
    </w:rPr>
  </w:style>
  <w:style w:type="paragraph" w:styleId="5">
    <w:name w:val="Body Text Indent"/>
    <w:basedOn w:val="1"/>
    <w:link w:val="20"/>
    <w:uiPriority w:val="99"/>
    <w:pPr>
      <w:tabs>
        <w:tab w:val="left" w:pos="720"/>
      </w:tabs>
      <w:spacing w:before="120" w:after="120" w:line="400" w:lineRule="exact"/>
      <w:ind w:left="360"/>
    </w:pPr>
    <w:rPr>
      <w:rFonts w:eastAsia="仿宋_GB2312"/>
      <w:sz w:val="24"/>
      <w:szCs w:val="24"/>
    </w:rPr>
  </w:style>
  <w:style w:type="paragraph" w:styleId="6">
    <w:name w:val="toc 3"/>
    <w:basedOn w:val="1"/>
    <w:next w:val="1"/>
    <w:semiHidden/>
    <w:qFormat/>
    <w:uiPriority w:val="99"/>
    <w:pPr>
      <w:widowControl/>
      <w:spacing w:after="100" w:line="276" w:lineRule="auto"/>
      <w:ind w:left="440"/>
      <w:jc w:val="left"/>
    </w:pPr>
    <w:rPr>
      <w:rFonts w:ascii="Calibri" w:hAnsi="Calibri" w:cs="Calibri"/>
      <w:kern w:val="0"/>
      <w:sz w:val="22"/>
      <w:szCs w:val="22"/>
    </w:rPr>
  </w:style>
  <w:style w:type="paragraph" w:styleId="7">
    <w:name w:val="Balloon Text"/>
    <w:basedOn w:val="1"/>
    <w:link w:val="27"/>
    <w:semiHidden/>
    <w:unhideWhenUsed/>
    <w:qFormat/>
    <w:uiPriority w:val="99"/>
    <w:rPr>
      <w:sz w:val="18"/>
      <w:szCs w:val="18"/>
    </w:rPr>
  </w:style>
  <w:style w:type="paragraph" w:styleId="8">
    <w:name w:val="footer"/>
    <w:basedOn w:val="1"/>
    <w:link w:val="25"/>
    <w:uiPriority w:val="99"/>
    <w:pPr>
      <w:tabs>
        <w:tab w:val="center" w:pos="4153"/>
        <w:tab w:val="right" w:pos="8306"/>
      </w:tabs>
      <w:snapToGrid w:val="0"/>
      <w:jc w:val="left"/>
    </w:pPr>
    <w:rPr>
      <w:sz w:val="18"/>
      <w:szCs w:val="18"/>
    </w:rPr>
  </w:style>
  <w:style w:type="paragraph" w:styleId="9">
    <w:name w:val="header"/>
    <w:basedOn w:val="1"/>
    <w:link w:val="24"/>
    <w:semiHidden/>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qFormat/>
    <w:uiPriority w:val="99"/>
    <w:pPr>
      <w:widowControl/>
      <w:spacing w:after="100" w:line="276" w:lineRule="auto"/>
      <w:jc w:val="left"/>
    </w:pPr>
    <w:rPr>
      <w:rFonts w:ascii="Calibri" w:hAnsi="Calibri" w:cs="Calibri"/>
      <w:kern w:val="0"/>
      <w:sz w:val="22"/>
      <w:szCs w:val="22"/>
    </w:rPr>
  </w:style>
  <w:style w:type="paragraph" w:styleId="11">
    <w:name w:val="toc 2"/>
    <w:basedOn w:val="1"/>
    <w:next w:val="1"/>
    <w:semiHidden/>
    <w:uiPriority w:val="99"/>
    <w:pPr>
      <w:widowControl/>
      <w:spacing w:after="100" w:line="276" w:lineRule="auto"/>
      <w:ind w:left="220"/>
      <w:jc w:val="left"/>
    </w:pPr>
    <w:rPr>
      <w:rFonts w:ascii="Calibri" w:hAnsi="Calibri" w:cs="Calibri"/>
      <w:kern w:val="0"/>
      <w:sz w:val="22"/>
      <w:szCs w:val="22"/>
    </w:rPr>
  </w:style>
  <w:style w:type="paragraph" w:styleId="12">
    <w:name w:val="Body Text 2"/>
    <w:basedOn w:val="1"/>
    <w:link w:val="22"/>
    <w:qFormat/>
    <w:uiPriority w:val="99"/>
    <w:pPr>
      <w:spacing w:before="120" w:after="120" w:line="400" w:lineRule="exact"/>
    </w:pPr>
    <w:rPr>
      <w:rFonts w:ascii="宋体" w:hAnsi="宋体" w:cs="宋体"/>
      <w:b/>
      <w:bCs/>
      <w:sz w:val="24"/>
      <w:szCs w:val="24"/>
    </w:rPr>
  </w:style>
  <w:style w:type="paragraph" w:styleId="13">
    <w:name w:val="annotation subject"/>
    <w:basedOn w:val="3"/>
    <w:next w:val="3"/>
    <w:link w:val="26"/>
    <w:semiHidden/>
    <w:unhideWhenUsed/>
    <w:qFormat/>
    <w:uiPriority w:val="99"/>
    <w:rPr>
      <w:rFonts w:eastAsia="宋体"/>
      <w:b/>
      <w:bCs/>
      <w:sz w:val="21"/>
      <w:szCs w:val="21"/>
    </w:rPr>
  </w:style>
  <w:style w:type="character" w:styleId="16">
    <w:name w:val="annotation reference"/>
    <w:semiHidden/>
    <w:unhideWhenUsed/>
    <w:qFormat/>
    <w:uiPriority w:val="99"/>
    <w:rPr>
      <w:sz w:val="21"/>
      <w:szCs w:val="21"/>
    </w:rPr>
  </w:style>
  <w:style w:type="character" w:customStyle="1" w:styleId="17">
    <w:name w:val="标题 1 Char"/>
    <w:link w:val="2"/>
    <w:qFormat/>
    <w:locked/>
    <w:uiPriority w:val="99"/>
    <w:rPr>
      <w:b/>
      <w:bCs/>
      <w:kern w:val="44"/>
      <w:sz w:val="44"/>
      <w:szCs w:val="44"/>
    </w:rPr>
  </w:style>
  <w:style w:type="paragraph" w:styleId="18">
    <w:name w:val="List Paragraph"/>
    <w:basedOn w:val="1"/>
    <w:qFormat/>
    <w:uiPriority w:val="99"/>
    <w:pPr>
      <w:widowControl/>
      <w:ind w:right="50" w:rightChars="50" w:firstLine="420" w:firstLineChars="200"/>
    </w:pPr>
    <w:rPr>
      <w:rFonts w:ascii="Calibri" w:hAnsi="Calibri" w:cs="Calibri"/>
    </w:rPr>
  </w:style>
  <w:style w:type="paragraph" w:customStyle="1" w:styleId="19">
    <w:name w:val="TOC Heading"/>
    <w:basedOn w:val="2"/>
    <w:next w:val="1"/>
    <w:qFormat/>
    <w:uiPriority w:val="99"/>
    <w:pPr>
      <w:spacing w:before="480" w:after="0" w:line="276" w:lineRule="auto"/>
      <w:ind w:right="0" w:rightChars="0" w:firstLine="0" w:firstLineChars="0"/>
      <w:jc w:val="left"/>
      <w:outlineLvl w:val="9"/>
    </w:pPr>
    <w:rPr>
      <w:rFonts w:ascii="Cambria" w:hAnsi="Cambria" w:cs="Cambria"/>
      <w:color w:val="365F91"/>
      <w:kern w:val="0"/>
      <w:sz w:val="28"/>
      <w:szCs w:val="28"/>
    </w:rPr>
  </w:style>
  <w:style w:type="character" w:customStyle="1" w:styleId="20">
    <w:name w:val="正文文本缩进 Char"/>
    <w:link w:val="5"/>
    <w:qFormat/>
    <w:locked/>
    <w:uiPriority w:val="99"/>
    <w:rPr>
      <w:rFonts w:ascii="Times New Roman" w:hAnsi="Times New Roman" w:eastAsia="仿宋_GB2312" w:cs="Times New Roman"/>
      <w:sz w:val="20"/>
      <w:szCs w:val="20"/>
    </w:rPr>
  </w:style>
  <w:style w:type="character" w:customStyle="1" w:styleId="21">
    <w:name w:val="正文文本 Char"/>
    <w:link w:val="4"/>
    <w:qFormat/>
    <w:locked/>
    <w:uiPriority w:val="99"/>
    <w:rPr>
      <w:rFonts w:ascii="Times New Roman" w:hAnsi="Times New Roman" w:eastAsia="仿宋_GB2312" w:cs="Times New Roman"/>
      <w:sz w:val="20"/>
      <w:szCs w:val="20"/>
    </w:rPr>
  </w:style>
  <w:style w:type="character" w:customStyle="1" w:styleId="22">
    <w:name w:val="正文文本 2 Char"/>
    <w:link w:val="12"/>
    <w:qFormat/>
    <w:locked/>
    <w:uiPriority w:val="99"/>
    <w:rPr>
      <w:rFonts w:ascii="宋体" w:hAnsi="宋体" w:eastAsia="宋体" w:cs="宋体"/>
      <w:b/>
      <w:bCs/>
      <w:sz w:val="20"/>
      <w:szCs w:val="20"/>
    </w:rPr>
  </w:style>
  <w:style w:type="character" w:customStyle="1" w:styleId="23">
    <w:name w:val="批注文字 Char"/>
    <w:link w:val="3"/>
    <w:semiHidden/>
    <w:qFormat/>
    <w:locked/>
    <w:uiPriority w:val="99"/>
    <w:rPr>
      <w:rFonts w:ascii="Times New Roman" w:hAnsi="Times New Roman" w:eastAsia="仿宋_GB2312" w:cs="Times New Roman"/>
      <w:sz w:val="30"/>
      <w:szCs w:val="30"/>
    </w:rPr>
  </w:style>
  <w:style w:type="character" w:customStyle="1" w:styleId="24">
    <w:name w:val="页眉 Char"/>
    <w:link w:val="9"/>
    <w:semiHidden/>
    <w:qFormat/>
    <w:locked/>
    <w:uiPriority w:val="99"/>
    <w:rPr>
      <w:rFonts w:ascii="Times New Roman" w:hAnsi="Times New Roman" w:eastAsia="宋体" w:cs="Times New Roman"/>
      <w:sz w:val="18"/>
      <w:szCs w:val="18"/>
    </w:rPr>
  </w:style>
  <w:style w:type="character" w:customStyle="1" w:styleId="25">
    <w:name w:val="页脚 Char"/>
    <w:link w:val="8"/>
    <w:locked/>
    <w:uiPriority w:val="99"/>
    <w:rPr>
      <w:rFonts w:ascii="Times New Roman" w:hAnsi="Times New Roman" w:eastAsia="宋体" w:cs="Times New Roman"/>
      <w:sz w:val="18"/>
      <w:szCs w:val="18"/>
    </w:rPr>
  </w:style>
  <w:style w:type="character" w:customStyle="1" w:styleId="26">
    <w:name w:val="批注主题 Char"/>
    <w:link w:val="13"/>
    <w:semiHidden/>
    <w:uiPriority w:val="99"/>
    <w:rPr>
      <w:rFonts w:ascii="Times New Roman" w:hAnsi="Times New Roman" w:eastAsia="仿宋_GB2312" w:cs="Times New Roman"/>
      <w:b/>
      <w:bCs/>
      <w:kern w:val="2"/>
      <w:sz w:val="21"/>
      <w:szCs w:val="21"/>
    </w:rPr>
  </w:style>
  <w:style w:type="character" w:customStyle="1" w:styleId="27">
    <w:name w:val="批注框文本 Char"/>
    <w:link w:val="7"/>
    <w:semiHidden/>
    <w:qFormat/>
    <w:uiPriority w:val="99"/>
    <w:rPr>
      <w:rFonts w:ascii="Times New Roman" w:hAnsi="Times New Roman"/>
      <w:kern w:val="2"/>
      <w:sz w:val="18"/>
      <w:szCs w:val="18"/>
    </w:rPr>
  </w:style>
  <w:style w:type="paragraph" w:customStyle="1" w:styleId="28">
    <w:name w:val="Revision"/>
    <w:hidden/>
    <w:semiHidden/>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517</Words>
  <Characters>2952</Characters>
  <Lines>24</Lines>
  <Paragraphs>6</Paragraphs>
  <TotalTime>8</TotalTime>
  <ScaleCrop>false</ScaleCrop>
  <LinksUpToDate>false</LinksUpToDate>
  <CharactersWithSpaces>3463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2021-03-24T07:48:00Z</dcterms:created>
  <dc:creator>topvaluer</dc:creator>
  <cp:lastModifiedBy>李斌</cp:lastModifiedBy>
  <cp:lastPrinted>2023-01-31T03:36:48Z</cp:lastPrinted>
  <dcterms:modified xsi:type="dcterms:W3CDTF">2023-01-31T03:36:59Z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07A0D11A4B954C188981AEC2FBA4C502</vt:lpwstr>
  </property>
</Properties>
</file>