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703" w:rsidRDefault="00D455B1" w:rsidP="00D455B1">
      <w:pPr>
        <w:pStyle w:val="2"/>
        <w:tabs>
          <w:tab w:val="left" w:pos="5580"/>
        </w:tabs>
        <w:spacing w:line="360" w:lineRule="auto"/>
        <w:rPr>
          <w:rFonts w:asciiTheme="minorEastAsia" w:eastAsiaTheme="minorEastAsia" w:hAnsiTheme="minorEastAsia" w:cs="Arial"/>
          <w:kern w:val="2"/>
          <w:sz w:val="32"/>
          <w:szCs w:val="32"/>
        </w:rPr>
      </w:pPr>
      <w:bookmarkStart w:id="0" w:name="_Toc91056586"/>
      <w:r w:rsidRPr="00D455B1">
        <w:rPr>
          <w:rFonts w:asciiTheme="minorEastAsia" w:eastAsiaTheme="minorEastAsia" w:hAnsiTheme="minorEastAsia" w:cs="Arial" w:hint="eastAsia"/>
          <w:kern w:val="2"/>
          <w:sz w:val="32"/>
          <w:szCs w:val="32"/>
        </w:rPr>
        <w:t>“2018-2019年资产证券化中介机构选聘”项目</w:t>
      </w:r>
    </w:p>
    <w:p w:rsidR="00D455B1" w:rsidRDefault="004E31AD" w:rsidP="00D455B1">
      <w:pPr>
        <w:pStyle w:val="2"/>
        <w:tabs>
          <w:tab w:val="left" w:pos="5580"/>
        </w:tabs>
        <w:spacing w:line="360" w:lineRule="auto"/>
        <w:rPr>
          <w:rFonts w:asciiTheme="minorEastAsia" w:eastAsiaTheme="minorEastAsia" w:hAnsiTheme="minorEastAsia" w:cs="Arial"/>
          <w:kern w:val="2"/>
          <w:sz w:val="32"/>
          <w:szCs w:val="32"/>
        </w:rPr>
      </w:pPr>
      <w:r>
        <w:rPr>
          <w:rFonts w:asciiTheme="minorEastAsia" w:eastAsiaTheme="minorEastAsia" w:hAnsiTheme="minorEastAsia" w:cs="Arial" w:hint="eastAsia"/>
          <w:kern w:val="2"/>
          <w:sz w:val="32"/>
          <w:szCs w:val="32"/>
        </w:rPr>
        <w:t>房地产评估机构</w:t>
      </w:r>
      <w:r w:rsidR="00D455B1" w:rsidRPr="00D455B1">
        <w:rPr>
          <w:rFonts w:asciiTheme="minorEastAsia" w:eastAsiaTheme="minorEastAsia" w:hAnsiTheme="minorEastAsia" w:cs="Arial" w:hint="eastAsia"/>
          <w:kern w:val="2"/>
          <w:sz w:val="32"/>
          <w:szCs w:val="32"/>
        </w:rPr>
        <w:t>分包</w:t>
      </w:r>
    </w:p>
    <w:p w:rsidR="00F32557" w:rsidRPr="008E373D" w:rsidRDefault="00F32557" w:rsidP="00705D58">
      <w:pPr>
        <w:pStyle w:val="2"/>
        <w:tabs>
          <w:tab w:val="left" w:pos="5580"/>
        </w:tabs>
        <w:spacing w:line="360" w:lineRule="auto"/>
        <w:rPr>
          <w:rFonts w:eastAsia="仿宋_GB2312" w:cs="Arial"/>
          <w:bCs/>
        </w:rPr>
      </w:pPr>
      <w:r w:rsidRPr="00D455B1">
        <w:rPr>
          <w:rFonts w:asciiTheme="minorEastAsia" w:eastAsiaTheme="minorEastAsia" w:hAnsiTheme="minorEastAsia" w:cs="Arial"/>
          <w:kern w:val="2"/>
          <w:sz w:val="32"/>
          <w:szCs w:val="32"/>
        </w:rPr>
        <w:t>谈判报价一览表</w:t>
      </w:r>
      <w:bookmarkEnd w:id="0"/>
      <w:r w:rsidRPr="00D455B1">
        <w:rPr>
          <w:rFonts w:asciiTheme="minorEastAsia" w:eastAsiaTheme="minorEastAsia" w:hAnsiTheme="minorEastAsia" w:cs="Arial" w:hint="eastAsia"/>
          <w:kern w:val="2"/>
          <w:sz w:val="32"/>
          <w:szCs w:val="32"/>
        </w:rPr>
        <w:t xml:space="preserve"> （</w:t>
      </w:r>
      <w:r w:rsidR="007E006D">
        <w:rPr>
          <w:rFonts w:asciiTheme="minorEastAsia" w:eastAsiaTheme="minorEastAsia" w:hAnsiTheme="minorEastAsia" w:cs="Arial" w:hint="eastAsia"/>
          <w:kern w:val="2"/>
          <w:sz w:val="32"/>
          <w:szCs w:val="32"/>
        </w:rPr>
        <w:t>最终</w:t>
      </w:r>
      <w:r w:rsidR="00D455B1" w:rsidRPr="00D455B1">
        <w:rPr>
          <w:rFonts w:asciiTheme="minorEastAsia" w:eastAsiaTheme="minorEastAsia" w:hAnsiTheme="minorEastAsia" w:cs="Arial"/>
          <w:kern w:val="2"/>
          <w:sz w:val="32"/>
          <w:szCs w:val="32"/>
        </w:rPr>
        <w:t>报价</w:t>
      </w:r>
      <w:r w:rsidRPr="00D455B1">
        <w:rPr>
          <w:rFonts w:asciiTheme="minorEastAsia" w:eastAsiaTheme="minorEastAsia" w:hAnsiTheme="minorEastAsia" w:cs="Arial" w:hint="eastAsia"/>
          <w:kern w:val="2"/>
          <w:sz w:val="32"/>
          <w:szCs w:val="32"/>
        </w:rPr>
        <w:t>）</w:t>
      </w:r>
      <w:r w:rsidRPr="00D455B1">
        <w:rPr>
          <w:rFonts w:asciiTheme="minorEastAsia" w:eastAsiaTheme="minorEastAsia" w:hAnsiTheme="minorEastAsia" w:cs="Arial"/>
          <w:kern w:val="2"/>
          <w:sz w:val="32"/>
          <w:szCs w:val="32"/>
        </w:rPr>
        <w:cr/>
      </w:r>
      <w:r w:rsidR="00DE2527">
        <w:rPr>
          <w:rFonts w:asciiTheme="minorEastAsia" w:eastAsiaTheme="minorEastAsia" w:hAnsiTheme="minorEastAsia" w:cs="Arial" w:hint="eastAsia"/>
          <w:kern w:val="2"/>
          <w:sz w:val="32"/>
          <w:szCs w:val="32"/>
        </w:rPr>
        <w:t>（正本）</w:t>
      </w:r>
    </w:p>
    <w:p w:rsidR="00F32557" w:rsidRDefault="00F32557" w:rsidP="00F32557">
      <w:pPr>
        <w:tabs>
          <w:tab w:val="left" w:pos="1800"/>
          <w:tab w:val="left" w:pos="5580"/>
        </w:tabs>
        <w:spacing w:line="360" w:lineRule="auto"/>
        <w:rPr>
          <w:rFonts w:ascii="Arial" w:eastAsia="仿宋_GB2312" w:hAnsi="Arial" w:cs="Arial"/>
          <w:bCs/>
          <w:sz w:val="24"/>
        </w:rPr>
      </w:pPr>
      <w:r w:rsidRPr="008E373D">
        <w:rPr>
          <w:rFonts w:ascii="Arial" w:eastAsia="仿宋_GB2312" w:hAnsi="Arial" w:cs="Arial"/>
          <w:bCs/>
          <w:sz w:val="24"/>
        </w:rPr>
        <w:t>被邀请谈判人：</w:t>
      </w:r>
      <w:proofErr w:type="gramStart"/>
      <w:r w:rsidR="004133A8">
        <w:rPr>
          <w:rFonts w:ascii="Arial" w:eastAsia="仿宋_GB2312" w:hAnsi="Arial" w:cs="Arial" w:hint="eastAsia"/>
          <w:bCs/>
          <w:sz w:val="24"/>
        </w:rPr>
        <w:t>北京康正宏</w:t>
      </w:r>
      <w:proofErr w:type="gramEnd"/>
      <w:r w:rsidR="004133A8">
        <w:rPr>
          <w:rFonts w:ascii="Arial" w:eastAsia="仿宋_GB2312" w:hAnsi="Arial" w:cs="Arial" w:hint="eastAsia"/>
          <w:bCs/>
          <w:sz w:val="24"/>
        </w:rPr>
        <w:t>基房地产评估有限公司</w:t>
      </w:r>
    </w:p>
    <w:p w:rsidR="00D455B1" w:rsidRDefault="00F32557" w:rsidP="00F32557">
      <w:pPr>
        <w:tabs>
          <w:tab w:val="left" w:pos="1800"/>
          <w:tab w:val="left" w:pos="5580"/>
        </w:tabs>
        <w:spacing w:line="360" w:lineRule="auto"/>
        <w:rPr>
          <w:rFonts w:ascii="Arial" w:eastAsia="仿宋_GB2312" w:hAnsi="Arial" w:cs="Arial"/>
          <w:bCs/>
          <w:sz w:val="24"/>
        </w:rPr>
      </w:pPr>
      <w:r>
        <w:rPr>
          <w:rFonts w:ascii="Arial" w:eastAsia="仿宋_GB2312" w:hAnsi="Arial" w:cs="Arial"/>
          <w:bCs/>
          <w:sz w:val="24"/>
        </w:rPr>
        <w:t>项目编号：</w:t>
      </w:r>
      <w:r w:rsidR="004E31AD">
        <w:rPr>
          <w:rFonts w:ascii="Arial" w:eastAsia="仿宋_GB2312" w:hAnsi="Arial" w:cs="Arial"/>
          <w:bCs/>
          <w:sz w:val="24"/>
        </w:rPr>
        <w:t>BOC-ZH-2018014-5</w:t>
      </w:r>
      <w:r w:rsidRPr="008E373D">
        <w:rPr>
          <w:rFonts w:ascii="Arial" w:eastAsia="仿宋_GB2312" w:hAnsi="Arial" w:cs="Arial"/>
          <w:bCs/>
          <w:sz w:val="24"/>
        </w:rPr>
        <w:t xml:space="preserve">  </w:t>
      </w:r>
    </w:p>
    <w:p w:rsidR="004E31AD" w:rsidRDefault="00D455B1" w:rsidP="004E31AD">
      <w:pPr>
        <w:tabs>
          <w:tab w:val="left" w:pos="1800"/>
          <w:tab w:val="left" w:pos="5580"/>
        </w:tabs>
        <w:spacing w:line="360" w:lineRule="auto"/>
        <w:rPr>
          <w:rFonts w:ascii="Arial" w:eastAsia="仿宋_GB2312" w:hAnsi="Arial" w:cs="Arial"/>
          <w:bCs/>
          <w:sz w:val="24"/>
        </w:rPr>
      </w:pPr>
      <w:r>
        <w:rPr>
          <w:rFonts w:asciiTheme="majorEastAsia" w:eastAsiaTheme="majorEastAsia" w:hAnsiTheme="majorEastAsia" w:hint="eastAsia"/>
          <w:b/>
          <w:color w:val="000000" w:themeColor="text1"/>
        </w:rPr>
        <w:t>单位：</w:t>
      </w:r>
      <w:r>
        <w:rPr>
          <w:rFonts w:asciiTheme="majorEastAsia" w:eastAsiaTheme="majorEastAsia" w:hAnsiTheme="majorEastAsia"/>
          <w:b/>
          <w:color w:val="000000" w:themeColor="text1"/>
        </w:rPr>
        <w:t>人民币元</w:t>
      </w:r>
      <w:r w:rsidR="00F32557" w:rsidRPr="008E373D">
        <w:rPr>
          <w:rFonts w:ascii="Arial" w:eastAsia="仿宋_GB2312" w:hAnsi="Arial" w:cs="Arial"/>
          <w:bCs/>
          <w:sz w:val="24"/>
        </w:rPr>
        <w:t xml:space="preserve">                 </w:t>
      </w:r>
      <w:r w:rsidR="00F32557" w:rsidRPr="008E373D">
        <w:rPr>
          <w:rFonts w:ascii="Arial" w:eastAsia="仿宋_GB2312" w:hAnsi="Arial" w:cs="Arial" w:hint="eastAsia"/>
          <w:bCs/>
          <w:sz w:val="24"/>
        </w:rPr>
        <w:t xml:space="preserve"> </w:t>
      </w:r>
    </w:p>
    <w:tbl>
      <w:tblPr>
        <w:tblW w:w="10333"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820"/>
        <w:gridCol w:w="3119"/>
        <w:gridCol w:w="2693"/>
        <w:gridCol w:w="851"/>
        <w:gridCol w:w="850"/>
      </w:tblGrid>
      <w:tr w:rsidR="00A95B2A" w:rsidRPr="00A95B2A" w:rsidTr="00C36A55">
        <w:trPr>
          <w:trHeight w:val="569"/>
        </w:trPr>
        <w:tc>
          <w:tcPr>
            <w:tcW w:w="2820" w:type="dxa"/>
            <w:vAlign w:val="center"/>
          </w:tcPr>
          <w:p w:rsidR="00A95B2A" w:rsidRPr="00154FA4" w:rsidRDefault="00A95B2A" w:rsidP="00BE340F">
            <w:pPr>
              <w:jc w:val="center"/>
              <w:rPr>
                <w:rFonts w:asciiTheme="minorEastAsia" w:eastAsiaTheme="minorEastAsia" w:hAnsiTheme="minorEastAsia"/>
                <w:color w:val="FF0000"/>
              </w:rPr>
            </w:pPr>
            <w:r w:rsidRPr="00154FA4">
              <w:rPr>
                <w:rFonts w:asciiTheme="minorEastAsia" w:eastAsiaTheme="minorEastAsia" w:hAnsiTheme="minorEastAsia" w:hint="eastAsia"/>
                <w:color w:val="FF0000"/>
              </w:rPr>
              <w:t>单</w:t>
            </w:r>
            <w:r w:rsidRPr="00154FA4">
              <w:rPr>
                <w:rFonts w:asciiTheme="minorEastAsia" w:eastAsiaTheme="minorEastAsia" w:hAnsiTheme="minorEastAsia"/>
                <w:color w:val="FF0000"/>
              </w:rPr>
              <w:t>个物业报价</w:t>
            </w:r>
          </w:p>
          <w:p w:rsidR="00A95B2A" w:rsidRPr="00A95B2A" w:rsidRDefault="00A95B2A" w:rsidP="00BE340F">
            <w:pPr>
              <w:jc w:val="center"/>
              <w:rPr>
                <w:rFonts w:asciiTheme="minorEastAsia" w:eastAsiaTheme="minorEastAsia" w:hAnsiTheme="minorEastAsia"/>
              </w:rPr>
            </w:pPr>
            <w:r w:rsidRPr="00A95B2A">
              <w:rPr>
                <w:rFonts w:asciiTheme="minorEastAsia" w:eastAsiaTheme="minorEastAsia" w:hAnsiTheme="minorEastAsia" w:hint="eastAsia"/>
              </w:rPr>
              <w:t>（</w:t>
            </w:r>
            <w:r w:rsidRPr="00A95B2A">
              <w:rPr>
                <w:rFonts w:asciiTheme="minorEastAsia" w:eastAsiaTheme="minorEastAsia" w:hAnsiTheme="minorEastAsia"/>
              </w:rPr>
              <w:t>不含</w:t>
            </w:r>
            <w:r w:rsidRPr="00A95B2A">
              <w:rPr>
                <w:rFonts w:asciiTheme="minorEastAsia" w:eastAsiaTheme="minorEastAsia" w:hAnsiTheme="minorEastAsia" w:hint="eastAsia"/>
              </w:rPr>
              <w:t>增</w:t>
            </w:r>
            <w:r w:rsidRPr="00A95B2A">
              <w:rPr>
                <w:rFonts w:asciiTheme="minorEastAsia" w:eastAsiaTheme="minorEastAsia" w:hAnsiTheme="minorEastAsia"/>
              </w:rPr>
              <w:t>值税报价）</w:t>
            </w:r>
          </w:p>
        </w:tc>
        <w:tc>
          <w:tcPr>
            <w:tcW w:w="3119" w:type="dxa"/>
            <w:vAlign w:val="center"/>
          </w:tcPr>
          <w:p w:rsidR="00A95B2A" w:rsidRPr="00A95B2A" w:rsidRDefault="00A95B2A" w:rsidP="004E31AD">
            <w:pPr>
              <w:jc w:val="center"/>
              <w:rPr>
                <w:rFonts w:asciiTheme="minorEastAsia" w:eastAsiaTheme="minorEastAsia" w:hAnsiTheme="minorEastAsia"/>
              </w:rPr>
            </w:pPr>
            <w:r w:rsidRPr="00A95B2A">
              <w:rPr>
                <w:rFonts w:asciiTheme="minorEastAsia" w:eastAsiaTheme="minorEastAsia" w:hAnsiTheme="minorEastAsia" w:hint="eastAsia"/>
              </w:rPr>
              <w:t>增</w:t>
            </w:r>
            <w:r w:rsidRPr="00A95B2A">
              <w:rPr>
                <w:rFonts w:asciiTheme="minorEastAsia" w:eastAsiaTheme="minorEastAsia" w:hAnsiTheme="minorEastAsia"/>
              </w:rPr>
              <w:t>值税额</w:t>
            </w:r>
          </w:p>
        </w:tc>
        <w:tc>
          <w:tcPr>
            <w:tcW w:w="2693" w:type="dxa"/>
            <w:vAlign w:val="center"/>
          </w:tcPr>
          <w:p w:rsidR="00A95B2A" w:rsidRPr="00154FA4" w:rsidRDefault="00A95B2A" w:rsidP="004E31AD">
            <w:pPr>
              <w:jc w:val="center"/>
              <w:rPr>
                <w:rFonts w:asciiTheme="minorEastAsia" w:eastAsiaTheme="minorEastAsia" w:hAnsiTheme="minorEastAsia"/>
                <w:color w:val="FF0000"/>
              </w:rPr>
            </w:pPr>
            <w:r w:rsidRPr="00154FA4">
              <w:rPr>
                <w:rFonts w:asciiTheme="minorEastAsia" w:eastAsiaTheme="minorEastAsia" w:hAnsiTheme="minorEastAsia" w:hint="eastAsia"/>
                <w:color w:val="FF0000"/>
              </w:rPr>
              <w:t>单</w:t>
            </w:r>
            <w:r w:rsidRPr="00154FA4">
              <w:rPr>
                <w:rFonts w:asciiTheme="minorEastAsia" w:eastAsiaTheme="minorEastAsia" w:hAnsiTheme="minorEastAsia"/>
                <w:color w:val="FF0000"/>
              </w:rPr>
              <w:t>个物业报价</w:t>
            </w:r>
          </w:p>
          <w:p w:rsidR="00A95B2A" w:rsidRPr="00A95B2A" w:rsidRDefault="00A95B2A" w:rsidP="00BE340F">
            <w:pPr>
              <w:jc w:val="center"/>
              <w:rPr>
                <w:rFonts w:asciiTheme="minorEastAsia" w:eastAsiaTheme="minorEastAsia" w:hAnsiTheme="minorEastAsia"/>
              </w:rPr>
            </w:pPr>
            <w:r w:rsidRPr="00A95B2A">
              <w:rPr>
                <w:rFonts w:asciiTheme="minorEastAsia" w:eastAsiaTheme="minorEastAsia" w:hAnsiTheme="minorEastAsia" w:hint="eastAsia"/>
              </w:rPr>
              <w:t>（</w:t>
            </w:r>
            <w:r w:rsidRPr="00A95B2A">
              <w:rPr>
                <w:rFonts w:asciiTheme="minorEastAsia" w:eastAsiaTheme="minorEastAsia" w:hAnsiTheme="minorEastAsia"/>
              </w:rPr>
              <w:t>含增值税报价）</w:t>
            </w:r>
          </w:p>
        </w:tc>
        <w:tc>
          <w:tcPr>
            <w:tcW w:w="851" w:type="dxa"/>
            <w:vAlign w:val="center"/>
          </w:tcPr>
          <w:p w:rsidR="00A95B2A" w:rsidRPr="00A95B2A" w:rsidRDefault="00A95B2A" w:rsidP="00BE340F">
            <w:pPr>
              <w:jc w:val="center"/>
              <w:rPr>
                <w:rFonts w:asciiTheme="minorEastAsia" w:eastAsiaTheme="minorEastAsia" w:hAnsiTheme="minorEastAsia"/>
              </w:rPr>
            </w:pPr>
            <w:r w:rsidRPr="00A95B2A">
              <w:rPr>
                <w:rFonts w:asciiTheme="minorEastAsia" w:eastAsiaTheme="minorEastAsia" w:hAnsiTheme="minorEastAsia" w:hint="eastAsia"/>
              </w:rPr>
              <w:t>税</w:t>
            </w:r>
            <w:r w:rsidRPr="00A95B2A">
              <w:rPr>
                <w:rFonts w:asciiTheme="minorEastAsia" w:eastAsiaTheme="minorEastAsia" w:hAnsiTheme="minorEastAsia"/>
              </w:rPr>
              <w:t>率（%）</w:t>
            </w:r>
          </w:p>
        </w:tc>
        <w:tc>
          <w:tcPr>
            <w:tcW w:w="850" w:type="dxa"/>
            <w:vAlign w:val="center"/>
          </w:tcPr>
          <w:p w:rsidR="00A95B2A" w:rsidRPr="00A95B2A" w:rsidRDefault="00A95B2A" w:rsidP="00BE340F">
            <w:pPr>
              <w:jc w:val="center"/>
              <w:rPr>
                <w:rFonts w:asciiTheme="minorEastAsia" w:eastAsiaTheme="minorEastAsia" w:hAnsiTheme="minorEastAsia"/>
              </w:rPr>
            </w:pPr>
            <w:r w:rsidRPr="00A95B2A">
              <w:rPr>
                <w:rFonts w:asciiTheme="minorEastAsia" w:eastAsiaTheme="minorEastAsia" w:hAnsiTheme="minorEastAsia" w:hint="eastAsia"/>
              </w:rPr>
              <w:t>备注</w:t>
            </w:r>
          </w:p>
        </w:tc>
      </w:tr>
      <w:tr w:rsidR="00A95B2A" w:rsidRPr="008E373D" w:rsidTr="00C36A55">
        <w:trPr>
          <w:trHeight w:val="966"/>
        </w:trPr>
        <w:tc>
          <w:tcPr>
            <w:tcW w:w="2820" w:type="dxa"/>
            <w:vAlign w:val="center"/>
          </w:tcPr>
          <w:p w:rsidR="00A95B2A" w:rsidRPr="008E373D" w:rsidRDefault="007A63D8" w:rsidP="00C36A55">
            <w:pPr>
              <w:spacing w:line="360" w:lineRule="auto"/>
              <w:jc w:val="center"/>
              <w:rPr>
                <w:rFonts w:ascii="仿宋_GB2312" w:eastAsia="仿宋_GB2312" w:hAnsi="宋体"/>
              </w:rPr>
            </w:pPr>
            <w:r>
              <w:rPr>
                <w:rFonts w:ascii="仿宋_GB2312" w:eastAsia="仿宋_GB2312" w:hAnsi="宋体" w:hint="eastAsia"/>
              </w:rPr>
              <w:t>按照估价标的物，每个房地产价值评估报告收费18.87万元整人民币，每个现金流测算报告收费9.43万元整人民币</w:t>
            </w:r>
            <w:r w:rsidR="00C36A55">
              <w:rPr>
                <w:rFonts w:ascii="仿宋_GB2312" w:eastAsia="仿宋_GB2312" w:hAnsi="宋体" w:hint="eastAsia"/>
              </w:rPr>
              <w:t>，</w:t>
            </w:r>
            <w:r w:rsidR="00C36A55">
              <w:rPr>
                <w:rFonts w:ascii="仿宋_GB2312" w:eastAsia="仿宋_GB2312" w:hAnsi="宋体" w:hint="eastAsia"/>
              </w:rPr>
              <w:t>每个调研报告收费9.43万元整人民币</w:t>
            </w:r>
          </w:p>
        </w:tc>
        <w:tc>
          <w:tcPr>
            <w:tcW w:w="3119" w:type="dxa"/>
            <w:vAlign w:val="center"/>
          </w:tcPr>
          <w:p w:rsidR="00A95B2A" w:rsidRPr="008E373D" w:rsidRDefault="007A63D8" w:rsidP="00C36A55">
            <w:pPr>
              <w:spacing w:line="360" w:lineRule="auto"/>
              <w:jc w:val="center"/>
              <w:rPr>
                <w:rFonts w:ascii="仿宋_GB2312" w:eastAsia="仿宋_GB2312" w:hAnsi="宋体"/>
              </w:rPr>
            </w:pPr>
            <w:r>
              <w:rPr>
                <w:rFonts w:ascii="仿宋_GB2312" w:eastAsia="仿宋_GB2312" w:hAnsi="宋体" w:hint="eastAsia"/>
              </w:rPr>
              <w:t>按照估价标的物，每个房地产价值评估</w:t>
            </w:r>
            <w:proofErr w:type="gramStart"/>
            <w:r>
              <w:rPr>
                <w:rFonts w:ascii="仿宋_GB2312" w:eastAsia="仿宋_GB2312" w:hAnsi="宋体" w:hint="eastAsia"/>
              </w:rPr>
              <w:t>报告增值</w:t>
            </w:r>
            <w:proofErr w:type="gramEnd"/>
            <w:r>
              <w:rPr>
                <w:rFonts w:ascii="仿宋_GB2312" w:eastAsia="仿宋_GB2312" w:hAnsi="宋体" w:hint="eastAsia"/>
              </w:rPr>
              <w:t>税额为1.13万元整人民币，每个现金流测算</w:t>
            </w:r>
            <w:proofErr w:type="gramStart"/>
            <w:r>
              <w:rPr>
                <w:rFonts w:ascii="仿宋_GB2312" w:eastAsia="仿宋_GB2312" w:hAnsi="宋体" w:hint="eastAsia"/>
              </w:rPr>
              <w:t>报告增值</w:t>
            </w:r>
            <w:proofErr w:type="gramEnd"/>
            <w:r>
              <w:rPr>
                <w:rFonts w:ascii="仿宋_GB2312" w:eastAsia="仿宋_GB2312" w:hAnsi="宋体" w:hint="eastAsia"/>
              </w:rPr>
              <w:t>税额为0.57万元整人民币</w:t>
            </w:r>
            <w:r w:rsidR="00C36A55">
              <w:rPr>
                <w:rFonts w:ascii="仿宋_GB2312" w:eastAsia="仿宋_GB2312" w:hAnsi="宋体" w:hint="eastAsia"/>
              </w:rPr>
              <w:t>，</w:t>
            </w:r>
            <w:r w:rsidR="00C36A55">
              <w:rPr>
                <w:rFonts w:ascii="仿宋_GB2312" w:eastAsia="仿宋_GB2312" w:hAnsi="宋体" w:hint="eastAsia"/>
              </w:rPr>
              <w:t>每个调研</w:t>
            </w:r>
            <w:proofErr w:type="gramStart"/>
            <w:r w:rsidR="00C36A55">
              <w:rPr>
                <w:rFonts w:ascii="仿宋_GB2312" w:eastAsia="仿宋_GB2312" w:hAnsi="宋体" w:hint="eastAsia"/>
              </w:rPr>
              <w:t>报告增值</w:t>
            </w:r>
            <w:proofErr w:type="gramEnd"/>
            <w:r w:rsidR="00C36A55">
              <w:rPr>
                <w:rFonts w:ascii="仿宋_GB2312" w:eastAsia="仿宋_GB2312" w:hAnsi="宋体" w:hint="eastAsia"/>
              </w:rPr>
              <w:t>税额为0.57万元整人民币</w:t>
            </w:r>
          </w:p>
        </w:tc>
        <w:tc>
          <w:tcPr>
            <w:tcW w:w="2693" w:type="dxa"/>
            <w:vAlign w:val="center"/>
          </w:tcPr>
          <w:p w:rsidR="00A95B2A" w:rsidRPr="008E373D" w:rsidRDefault="004133A8" w:rsidP="00C36A55">
            <w:pPr>
              <w:spacing w:line="360" w:lineRule="auto"/>
              <w:jc w:val="center"/>
              <w:rPr>
                <w:rFonts w:ascii="仿宋_GB2312" w:eastAsia="仿宋_GB2312" w:hAnsi="宋体"/>
              </w:rPr>
            </w:pPr>
            <w:r>
              <w:rPr>
                <w:rFonts w:ascii="仿宋_GB2312" w:eastAsia="仿宋_GB2312" w:hAnsi="宋体" w:hint="eastAsia"/>
              </w:rPr>
              <w:t>按照估价标的物，每个房地产价值评估报告收费20万元整人民币，每个现金流测算报告收费10万元整人民币</w:t>
            </w:r>
            <w:r w:rsidR="00C36A55">
              <w:rPr>
                <w:rFonts w:ascii="仿宋_GB2312" w:eastAsia="仿宋_GB2312" w:hAnsi="宋体" w:hint="eastAsia"/>
              </w:rPr>
              <w:t>，</w:t>
            </w:r>
            <w:r w:rsidR="00C36A55">
              <w:rPr>
                <w:rFonts w:ascii="仿宋_GB2312" w:eastAsia="仿宋_GB2312" w:hAnsi="宋体" w:hint="eastAsia"/>
              </w:rPr>
              <w:t>每个调研报告收费10万元整人民币</w:t>
            </w:r>
          </w:p>
        </w:tc>
        <w:tc>
          <w:tcPr>
            <w:tcW w:w="851" w:type="dxa"/>
            <w:vAlign w:val="center"/>
          </w:tcPr>
          <w:p w:rsidR="00A95B2A" w:rsidRPr="008E373D" w:rsidRDefault="004133A8" w:rsidP="00BE340F">
            <w:pPr>
              <w:spacing w:line="360" w:lineRule="auto"/>
              <w:jc w:val="center"/>
              <w:rPr>
                <w:rFonts w:ascii="仿宋_GB2312" w:eastAsia="仿宋_GB2312" w:hAnsi="宋体"/>
              </w:rPr>
            </w:pPr>
            <w:r>
              <w:rPr>
                <w:rFonts w:ascii="仿宋_GB2312" w:eastAsia="仿宋_GB2312" w:hAnsi="宋体" w:hint="eastAsia"/>
              </w:rPr>
              <w:t>6%</w:t>
            </w:r>
          </w:p>
        </w:tc>
        <w:tc>
          <w:tcPr>
            <w:tcW w:w="850" w:type="dxa"/>
            <w:vAlign w:val="center"/>
          </w:tcPr>
          <w:p w:rsidR="00A95B2A" w:rsidRPr="008E373D" w:rsidRDefault="00A95B2A" w:rsidP="00BE340F">
            <w:pPr>
              <w:spacing w:line="360" w:lineRule="auto"/>
              <w:jc w:val="center"/>
              <w:rPr>
                <w:rFonts w:ascii="仿宋_GB2312" w:eastAsia="仿宋_GB2312" w:hAnsi="宋体"/>
              </w:rPr>
            </w:pPr>
          </w:p>
        </w:tc>
      </w:tr>
    </w:tbl>
    <w:p w:rsidR="00F32557" w:rsidRPr="008E373D" w:rsidRDefault="00F32557" w:rsidP="004E31AD">
      <w:pPr>
        <w:tabs>
          <w:tab w:val="left" w:pos="1800"/>
          <w:tab w:val="left" w:pos="5580"/>
        </w:tabs>
        <w:spacing w:line="360" w:lineRule="auto"/>
        <w:rPr>
          <w:rFonts w:ascii="Arial" w:eastAsia="仿宋_GB2312" w:hAnsi="Arial" w:cs="Arial"/>
          <w:b/>
          <w:bCs/>
          <w:sz w:val="24"/>
        </w:rPr>
      </w:pPr>
      <w:r w:rsidRPr="008E373D">
        <w:rPr>
          <w:rFonts w:ascii="Arial" w:eastAsia="仿宋_GB2312" w:hAnsi="Arial" w:cs="Arial" w:hint="eastAsia"/>
          <w:b/>
          <w:bCs/>
          <w:sz w:val="24"/>
        </w:rPr>
        <w:t>说明：</w:t>
      </w:r>
      <w:r w:rsidRPr="008E373D">
        <w:rPr>
          <w:rFonts w:ascii="Arial" w:eastAsia="仿宋_GB2312" w:hAnsi="Arial" w:cs="Arial" w:hint="eastAsia"/>
          <w:b/>
          <w:bCs/>
          <w:sz w:val="24"/>
        </w:rPr>
        <w:t xml:space="preserve"> </w:t>
      </w:r>
    </w:p>
    <w:p w:rsidR="00272DEB" w:rsidRDefault="00272DEB" w:rsidP="00272DEB">
      <w:pPr>
        <w:pStyle w:val="a5"/>
        <w:numPr>
          <w:ilvl w:val="0"/>
          <w:numId w:val="1"/>
        </w:numPr>
        <w:tabs>
          <w:tab w:val="left" w:pos="5580"/>
        </w:tabs>
        <w:spacing w:before="120" w:line="360" w:lineRule="auto"/>
        <w:ind w:left="181"/>
        <w:rPr>
          <w:rFonts w:ascii="Arial" w:eastAsia="仿宋_GB2312" w:hAnsi="Arial" w:cs="Arial"/>
          <w:bCs/>
          <w:sz w:val="24"/>
          <w:szCs w:val="24"/>
        </w:rPr>
      </w:pPr>
      <w:r w:rsidRPr="008E373D">
        <w:rPr>
          <w:rFonts w:ascii="Arial" w:eastAsia="仿宋_GB2312" w:hAnsi="Arial" w:cs="Arial" w:hint="eastAsia"/>
          <w:bCs/>
          <w:sz w:val="24"/>
          <w:szCs w:val="24"/>
        </w:rPr>
        <w:t>本项目谈判须对第三部分技术需求说明书中所有需求进行报价。</w:t>
      </w:r>
    </w:p>
    <w:p w:rsidR="00272DEB" w:rsidRPr="00070772" w:rsidRDefault="00272DEB" w:rsidP="00272DEB">
      <w:pPr>
        <w:pStyle w:val="a5"/>
        <w:numPr>
          <w:ilvl w:val="0"/>
          <w:numId w:val="1"/>
        </w:numPr>
        <w:tabs>
          <w:tab w:val="left" w:pos="5580"/>
        </w:tabs>
        <w:spacing w:before="120" w:line="360" w:lineRule="auto"/>
        <w:ind w:left="181"/>
        <w:rPr>
          <w:rFonts w:ascii="Arial" w:eastAsia="仿宋_GB2312" w:hAnsi="Arial" w:cs="Arial"/>
          <w:bCs/>
          <w:color w:val="FF0000"/>
          <w:sz w:val="24"/>
          <w:szCs w:val="24"/>
        </w:rPr>
      </w:pPr>
      <w:r w:rsidRPr="00070772">
        <w:rPr>
          <w:rFonts w:ascii="Arial" w:eastAsia="仿宋_GB2312" w:hAnsi="Arial" w:cs="Arial" w:hint="eastAsia"/>
          <w:bCs/>
          <w:color w:val="FF0000"/>
          <w:sz w:val="24"/>
          <w:szCs w:val="24"/>
        </w:rPr>
        <w:t>报告</w:t>
      </w:r>
      <w:r w:rsidRPr="00070772">
        <w:rPr>
          <w:rFonts w:ascii="Arial" w:eastAsia="仿宋_GB2312" w:hAnsi="Arial" w:cs="Arial" w:hint="eastAsia"/>
          <w:bCs/>
          <w:color w:val="FF0000"/>
          <w:sz w:val="24"/>
        </w:rPr>
        <w:t>包括：调研报告、评估报告和现金流报告。</w:t>
      </w:r>
    </w:p>
    <w:p w:rsidR="00272DEB" w:rsidRPr="008E373D" w:rsidRDefault="00272DEB" w:rsidP="00177A29">
      <w:pPr>
        <w:pStyle w:val="a5"/>
        <w:numPr>
          <w:ilvl w:val="0"/>
          <w:numId w:val="1"/>
        </w:numPr>
        <w:tabs>
          <w:tab w:val="clear" w:pos="634"/>
        </w:tabs>
        <w:spacing w:before="120" w:line="360" w:lineRule="auto"/>
        <w:ind w:left="181"/>
        <w:rPr>
          <w:rFonts w:ascii="Arial" w:eastAsia="仿宋_GB2312" w:hAnsi="Arial" w:cs="Arial"/>
          <w:bCs/>
          <w:sz w:val="24"/>
          <w:szCs w:val="24"/>
        </w:rPr>
      </w:pPr>
      <w:r w:rsidRPr="008E373D">
        <w:rPr>
          <w:rFonts w:ascii="Arial" w:eastAsia="仿宋_GB2312" w:hAnsi="Arial" w:cs="Arial" w:hint="eastAsia"/>
          <w:bCs/>
          <w:sz w:val="24"/>
          <w:szCs w:val="24"/>
        </w:rPr>
        <w:t>谈判总价款为项目现场交货价，已包括与本次采购全部货物和伴随服务相关的所有税费以及被邀请谈判人为完成本项目所发生的一切费用</w:t>
      </w:r>
      <w:r w:rsidRPr="00070772">
        <w:rPr>
          <w:rFonts w:ascii="Arial" w:eastAsia="仿宋_GB2312" w:hAnsi="Arial" w:cs="Arial" w:hint="eastAsia"/>
          <w:bCs/>
          <w:color w:val="FF0000"/>
          <w:sz w:val="24"/>
          <w:szCs w:val="24"/>
        </w:rPr>
        <w:t>（</w:t>
      </w:r>
      <w:r w:rsidRPr="00070772">
        <w:rPr>
          <w:rFonts w:ascii="Arial" w:eastAsia="仿宋_GB2312" w:hAnsi="Arial" w:cs="Arial" w:hint="eastAsia"/>
          <w:bCs/>
          <w:color w:val="FF0000"/>
          <w:sz w:val="24"/>
        </w:rPr>
        <w:t>包含差旅、食宿及其他杂费）</w:t>
      </w:r>
      <w:r>
        <w:rPr>
          <w:rFonts w:ascii="Arial" w:eastAsia="仿宋_GB2312" w:hAnsi="Arial" w:cs="Arial" w:hint="eastAsia"/>
          <w:bCs/>
          <w:color w:val="FF0000"/>
          <w:sz w:val="24"/>
        </w:rPr>
        <w:t>，</w:t>
      </w:r>
      <w:r w:rsidR="00177A29">
        <w:rPr>
          <w:rFonts w:ascii="Arial" w:eastAsia="仿宋_GB2312" w:hAnsi="Arial" w:cs="Arial" w:hint="eastAsia"/>
          <w:bCs/>
          <w:color w:val="FF0000"/>
          <w:sz w:val="24"/>
        </w:rPr>
        <w:t>被</w:t>
      </w:r>
      <w:r w:rsidR="00177A29">
        <w:rPr>
          <w:rFonts w:ascii="Arial" w:eastAsia="仿宋_GB2312" w:hAnsi="Arial" w:cs="Arial"/>
          <w:bCs/>
          <w:color w:val="FF0000"/>
          <w:sz w:val="24"/>
        </w:rPr>
        <w:t>邀请</w:t>
      </w:r>
      <w:r w:rsidR="00A95A9B">
        <w:rPr>
          <w:rFonts w:ascii="Arial" w:eastAsia="仿宋_GB2312" w:hAnsi="Arial" w:cs="Arial" w:hint="eastAsia"/>
          <w:bCs/>
          <w:color w:val="FF0000"/>
          <w:sz w:val="24"/>
        </w:rPr>
        <w:t>谈判</w:t>
      </w:r>
      <w:r w:rsidR="00177A29">
        <w:rPr>
          <w:rFonts w:ascii="Arial" w:eastAsia="仿宋_GB2312" w:hAnsi="Arial" w:cs="Arial"/>
          <w:bCs/>
          <w:color w:val="FF0000"/>
          <w:sz w:val="24"/>
        </w:rPr>
        <w:t>人</w:t>
      </w:r>
      <w:r>
        <w:rPr>
          <w:rFonts w:ascii="Arial" w:eastAsia="仿宋_GB2312" w:hAnsi="Arial" w:cs="Arial"/>
          <w:bCs/>
          <w:color w:val="FF0000"/>
          <w:sz w:val="24"/>
        </w:rPr>
        <w:t>承诺在项目成功发行后</w:t>
      </w:r>
      <w:r>
        <w:rPr>
          <w:rFonts w:ascii="Arial" w:eastAsia="仿宋_GB2312" w:hAnsi="Arial" w:cs="Arial" w:hint="eastAsia"/>
          <w:bCs/>
          <w:color w:val="FF0000"/>
          <w:sz w:val="24"/>
        </w:rPr>
        <w:t>收取</w:t>
      </w:r>
      <w:r w:rsidRPr="00070772">
        <w:rPr>
          <w:rFonts w:ascii="Arial" w:eastAsia="仿宋_GB2312" w:hAnsi="Arial" w:cs="Arial" w:hint="eastAsia"/>
          <w:bCs/>
          <w:color w:val="FF0000"/>
          <w:sz w:val="24"/>
          <w:szCs w:val="24"/>
        </w:rPr>
        <w:t>。</w:t>
      </w:r>
    </w:p>
    <w:p w:rsidR="00272DEB" w:rsidRPr="008E373D" w:rsidRDefault="00272DEB" w:rsidP="00272DEB">
      <w:pPr>
        <w:pStyle w:val="a5"/>
        <w:numPr>
          <w:ilvl w:val="0"/>
          <w:numId w:val="1"/>
        </w:numPr>
        <w:tabs>
          <w:tab w:val="left" w:pos="5580"/>
        </w:tabs>
        <w:spacing w:before="120" w:line="360" w:lineRule="auto"/>
        <w:ind w:left="181"/>
        <w:rPr>
          <w:rFonts w:ascii="Arial" w:eastAsia="仿宋_GB2312" w:hAnsi="Arial" w:cs="Arial"/>
          <w:bCs/>
          <w:sz w:val="24"/>
          <w:szCs w:val="24"/>
        </w:rPr>
      </w:pPr>
      <w:r w:rsidRPr="008E373D">
        <w:rPr>
          <w:rFonts w:ascii="Arial" w:eastAsia="仿宋_GB2312" w:hAnsi="Arial" w:cs="Arial" w:hint="eastAsia"/>
          <w:bCs/>
          <w:sz w:val="24"/>
          <w:szCs w:val="24"/>
        </w:rPr>
        <w:t>被邀请谈判人须承诺</w:t>
      </w:r>
      <w:r w:rsidRPr="008E373D">
        <w:rPr>
          <w:rFonts w:ascii="Arial" w:eastAsia="仿宋_GB2312" w:hAnsi="Arial" w:cs="Arial" w:hint="eastAsia"/>
          <w:bCs/>
          <w:sz w:val="24"/>
        </w:rPr>
        <w:t>提供增值税合法</w:t>
      </w:r>
      <w:bookmarkStart w:id="1" w:name="_GoBack"/>
      <w:bookmarkEnd w:id="1"/>
      <w:r w:rsidRPr="008E373D">
        <w:rPr>
          <w:rFonts w:ascii="Arial" w:eastAsia="仿宋_GB2312" w:hAnsi="Arial" w:cs="Arial" w:hint="eastAsia"/>
          <w:bCs/>
          <w:sz w:val="24"/>
        </w:rPr>
        <w:t>抵扣凭证（即增值税专用发票、海关进口增值税专用缴款书、农产品收购发票或销售发票、中华人民共和国税收缴款凭证）。</w:t>
      </w:r>
    </w:p>
    <w:p w:rsidR="00272DEB" w:rsidRPr="008E373D" w:rsidRDefault="00272DEB" w:rsidP="00272DEB">
      <w:pPr>
        <w:pStyle w:val="a5"/>
        <w:numPr>
          <w:ilvl w:val="0"/>
          <w:numId w:val="1"/>
        </w:numPr>
        <w:tabs>
          <w:tab w:val="left" w:pos="5580"/>
        </w:tabs>
        <w:spacing w:before="120" w:line="360" w:lineRule="auto"/>
        <w:ind w:left="181"/>
        <w:rPr>
          <w:rFonts w:ascii="Arial" w:eastAsia="仿宋_GB2312" w:hAnsi="Arial" w:cs="Arial"/>
          <w:bCs/>
          <w:sz w:val="24"/>
          <w:szCs w:val="24"/>
        </w:rPr>
      </w:pPr>
      <w:r w:rsidRPr="008E373D">
        <w:rPr>
          <w:rFonts w:ascii="Arial" w:eastAsia="仿宋_GB2312" w:hAnsi="Arial" w:cs="Arial" w:hint="eastAsia"/>
          <w:bCs/>
          <w:sz w:val="24"/>
        </w:rPr>
        <w:t>被邀请谈判人须承诺在增值税合法抵扣凭证开具后</w:t>
      </w:r>
      <w:r w:rsidRPr="008E373D">
        <w:rPr>
          <w:rFonts w:ascii="Arial" w:eastAsia="仿宋_GB2312" w:hAnsi="Arial" w:cs="Arial" w:hint="eastAsia"/>
          <w:bCs/>
          <w:sz w:val="24"/>
        </w:rPr>
        <w:t>20</w:t>
      </w:r>
      <w:r w:rsidRPr="008E373D">
        <w:rPr>
          <w:rFonts w:ascii="Arial" w:eastAsia="仿宋_GB2312" w:hAnsi="Arial" w:cs="Arial" w:hint="eastAsia"/>
          <w:bCs/>
          <w:sz w:val="24"/>
        </w:rPr>
        <w:t>个自然日内将凭证提交至采购方。</w:t>
      </w:r>
    </w:p>
    <w:p w:rsidR="00F32557" w:rsidRPr="008E373D" w:rsidRDefault="00F32557" w:rsidP="00F32557">
      <w:pPr>
        <w:pStyle w:val="a5"/>
        <w:tabs>
          <w:tab w:val="left" w:pos="5580"/>
        </w:tabs>
        <w:spacing w:before="120" w:line="360" w:lineRule="auto"/>
        <w:rPr>
          <w:rFonts w:ascii="Arial" w:eastAsia="仿宋_GB2312" w:hAnsi="Arial" w:cs="Arial"/>
          <w:bCs/>
          <w:sz w:val="24"/>
          <w:szCs w:val="24"/>
          <w:u w:val="single"/>
        </w:rPr>
      </w:pPr>
      <w:r w:rsidRPr="008E373D">
        <w:rPr>
          <w:rFonts w:ascii="Arial" w:eastAsia="仿宋_GB2312" w:hAnsi="Arial" w:cs="Arial"/>
          <w:bCs/>
          <w:sz w:val="24"/>
          <w:szCs w:val="24"/>
        </w:rPr>
        <w:t>被邀请谈判人名称（盖章）：</w:t>
      </w:r>
      <w:r w:rsidRPr="008E373D">
        <w:rPr>
          <w:rFonts w:ascii="Arial" w:eastAsia="仿宋_GB2312" w:hAnsi="Arial" w:cs="Arial"/>
          <w:bCs/>
          <w:sz w:val="24"/>
          <w:szCs w:val="24"/>
          <w:u w:val="single"/>
        </w:rPr>
        <w:t xml:space="preserve">                       </w:t>
      </w:r>
    </w:p>
    <w:p w:rsidR="004B2C30" w:rsidRPr="00F32557" w:rsidRDefault="00F32557" w:rsidP="00F32557">
      <w:pPr>
        <w:pStyle w:val="a5"/>
        <w:tabs>
          <w:tab w:val="left" w:pos="5580"/>
        </w:tabs>
        <w:spacing w:before="120" w:line="360" w:lineRule="auto"/>
      </w:pPr>
      <w:r w:rsidRPr="008E373D">
        <w:rPr>
          <w:rFonts w:ascii="Arial" w:eastAsia="仿宋_GB2312" w:hAnsi="Arial" w:cs="Arial"/>
          <w:bCs/>
          <w:sz w:val="24"/>
          <w:szCs w:val="24"/>
        </w:rPr>
        <w:t>被邀请谈判人代表</w:t>
      </w:r>
      <w:r w:rsidRPr="008E373D">
        <w:rPr>
          <w:rFonts w:ascii="Arial" w:eastAsia="仿宋_GB2312" w:hAnsi="Arial" w:cs="Arial" w:hint="eastAsia"/>
          <w:bCs/>
          <w:sz w:val="24"/>
          <w:szCs w:val="24"/>
        </w:rPr>
        <w:t>（</w:t>
      </w:r>
      <w:r w:rsidRPr="008E373D">
        <w:rPr>
          <w:rFonts w:ascii="Arial" w:eastAsia="仿宋_GB2312" w:hAnsi="Arial" w:cs="Arial"/>
          <w:bCs/>
          <w:sz w:val="24"/>
          <w:szCs w:val="24"/>
        </w:rPr>
        <w:t>签字</w:t>
      </w:r>
      <w:r w:rsidRPr="008E373D">
        <w:rPr>
          <w:rFonts w:ascii="Arial" w:eastAsia="仿宋_GB2312" w:hAnsi="Arial" w:cs="Arial" w:hint="eastAsia"/>
          <w:bCs/>
          <w:sz w:val="24"/>
          <w:szCs w:val="24"/>
        </w:rPr>
        <w:t>）：</w:t>
      </w:r>
      <w:r w:rsidRPr="008E373D">
        <w:rPr>
          <w:rFonts w:ascii="Arial" w:eastAsia="仿宋_GB2312" w:hAnsi="Arial" w:cs="Arial"/>
          <w:bCs/>
          <w:sz w:val="24"/>
          <w:szCs w:val="24"/>
          <w:u w:val="single"/>
        </w:rPr>
        <w:tab/>
      </w:r>
      <w:r>
        <w:rPr>
          <w:rFonts w:ascii="Arial" w:eastAsia="仿宋_GB2312" w:hAnsi="Arial" w:cs="Arial" w:hint="eastAsia"/>
          <w:bCs/>
          <w:sz w:val="24"/>
          <w:szCs w:val="24"/>
          <w:u w:val="single"/>
        </w:rPr>
        <w:t xml:space="preserve">  </w:t>
      </w:r>
    </w:p>
    <w:sectPr w:rsidR="004B2C30" w:rsidRPr="00F32557" w:rsidSect="00C36A55">
      <w:headerReference w:type="default" r:id="rId7"/>
      <w:footerReference w:type="default" r:id="rId8"/>
      <w:headerReference w:type="first" r:id="rId9"/>
      <w:pgSz w:w="11906" w:h="16838" w:code="9"/>
      <w:pgMar w:top="1361" w:right="1797" w:bottom="1304" w:left="1418" w:header="680" w:footer="709"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61B" w:rsidRDefault="00A6561B">
      <w:r>
        <w:separator/>
      </w:r>
    </w:p>
  </w:endnote>
  <w:endnote w:type="continuationSeparator" w:id="0">
    <w:p w:rsidR="00A6561B" w:rsidRDefault="00A6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CB" w:rsidRDefault="00A6561B" w:rsidP="00EC0B84">
    <w:pPr>
      <w:jc w:val="center"/>
    </w:pPr>
  </w:p>
  <w:p w:rsidR="00A700CB" w:rsidRDefault="00A6561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61B" w:rsidRDefault="00A6561B">
      <w:r>
        <w:separator/>
      </w:r>
    </w:p>
  </w:footnote>
  <w:footnote w:type="continuationSeparator" w:id="0">
    <w:p w:rsidR="00A6561B" w:rsidRDefault="00A656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27" w:rsidRDefault="00DE2527" w:rsidP="00DE2527">
    <w:pPr>
      <w:pStyle w:val="a7"/>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CB" w:rsidRDefault="00A6561B"/>
  <w:p w:rsidR="00A700CB" w:rsidRDefault="00705D58" w:rsidP="00EC0B84">
    <w:pPr>
      <w:jc w:val="center"/>
    </w:pPr>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6200"/>
    <w:multiLevelType w:val="hybridMultilevel"/>
    <w:tmpl w:val="CFDA87D8"/>
    <w:lvl w:ilvl="0" w:tplc="97D0A818">
      <w:start w:val="1"/>
      <w:numFmt w:val="decimal"/>
      <w:lvlText w:val="%1、"/>
      <w:lvlJc w:val="left"/>
      <w:pPr>
        <w:tabs>
          <w:tab w:val="num" w:pos="634"/>
        </w:tabs>
        <w:ind w:left="180" w:firstLine="0"/>
      </w:pPr>
      <w:rPr>
        <w:rFonts w:ascii="Times New Roman" w:hint="default"/>
        <w:b/>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57"/>
    <w:rsid w:val="00021F93"/>
    <w:rsid w:val="0004080B"/>
    <w:rsid w:val="00150703"/>
    <w:rsid w:val="00154FA4"/>
    <w:rsid w:val="00177A29"/>
    <w:rsid w:val="00272DEB"/>
    <w:rsid w:val="002A4BD1"/>
    <w:rsid w:val="002B080E"/>
    <w:rsid w:val="00334F0B"/>
    <w:rsid w:val="004133A8"/>
    <w:rsid w:val="004E31AD"/>
    <w:rsid w:val="00705D58"/>
    <w:rsid w:val="007A63D8"/>
    <w:rsid w:val="007E006D"/>
    <w:rsid w:val="00861461"/>
    <w:rsid w:val="008A7388"/>
    <w:rsid w:val="009A6A25"/>
    <w:rsid w:val="00A6561B"/>
    <w:rsid w:val="00A75ADC"/>
    <w:rsid w:val="00A910AA"/>
    <w:rsid w:val="00A95A9B"/>
    <w:rsid w:val="00A95B2A"/>
    <w:rsid w:val="00AB0E75"/>
    <w:rsid w:val="00BD0E12"/>
    <w:rsid w:val="00C36A55"/>
    <w:rsid w:val="00D455B1"/>
    <w:rsid w:val="00DD767F"/>
    <w:rsid w:val="00DE2527"/>
    <w:rsid w:val="00EB1FDA"/>
    <w:rsid w:val="00F32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A67986-B2DC-403E-8C1E-9CF589BA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557"/>
    <w:pPr>
      <w:widowControl w:val="0"/>
      <w:jc w:val="both"/>
    </w:pPr>
    <w:rPr>
      <w:rFonts w:ascii="Times New Roman" w:eastAsia="宋体" w:hAnsi="Times New Roman" w:cs="Times New Roman"/>
      <w:szCs w:val="24"/>
    </w:rPr>
  </w:style>
  <w:style w:type="paragraph" w:styleId="2">
    <w:name w:val="heading 2"/>
    <w:aliases w:val="标题 1.1,H2,l2,I2,Heading 2 Hidden,Heading 2 CCBS,h2,Level 2 Head,2nd level,Header 2,UNDERRUBRIK 1-2,UNDERRUBRIK 1-2 Char Char,2"/>
    <w:basedOn w:val="a"/>
    <w:next w:val="a0"/>
    <w:link w:val="20"/>
    <w:qFormat/>
    <w:rsid w:val="00F3255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F32557"/>
    <w:rPr>
      <w:rFonts w:asciiTheme="majorHAnsi" w:eastAsiaTheme="majorEastAsia" w:hAnsiTheme="majorHAnsi" w:cstheme="majorBidi"/>
      <w:b/>
      <w:bCs/>
      <w:sz w:val="32"/>
      <w:szCs w:val="32"/>
    </w:rPr>
  </w:style>
  <w:style w:type="paragraph" w:styleId="a0">
    <w:name w:val="Normal Indent"/>
    <w:aliases w:val="正文（首行缩进两字）,特点,正文双线,表正文,正文非缩进,正文缩进1,标题4,段1,四号,正文-段前3磅,正文（首行缩进两字）1,正文缩进 Char Char,正文缩进 Char,正文（首行缩进两字）11,正文（首行缩进两字）111,正文（首行缩进两字）1111,ALT+Z,正文缩进（首行缩进两字）,正文2级,水上软件,Body Text(ch),首行缩进,正文不缩进,特点 Char,Body Text2,EHPT,contents,正文对齐,Alt+X,mr正文缩进,中文"/>
    <w:basedOn w:val="a"/>
    <w:link w:val="a4"/>
    <w:rsid w:val="00F32557"/>
    <w:pPr>
      <w:ind w:firstLineChars="200" w:firstLine="420"/>
    </w:pPr>
  </w:style>
  <w:style w:type="paragraph" w:styleId="a5">
    <w:name w:val="Plain Text"/>
    <w:basedOn w:val="a"/>
    <w:link w:val="a6"/>
    <w:rsid w:val="00F32557"/>
    <w:rPr>
      <w:rFonts w:ascii="宋体" w:hAnsi="Courier New"/>
      <w:szCs w:val="20"/>
    </w:rPr>
  </w:style>
  <w:style w:type="character" w:customStyle="1" w:styleId="a6">
    <w:name w:val="纯文本 字符"/>
    <w:basedOn w:val="a1"/>
    <w:link w:val="a5"/>
    <w:rsid w:val="00F32557"/>
    <w:rPr>
      <w:rFonts w:ascii="宋体" w:eastAsia="宋体" w:hAnsi="Courier New" w:cs="Times New Roman"/>
      <w:szCs w:val="20"/>
    </w:rPr>
  </w:style>
  <w:style w:type="character" w:customStyle="1" w:styleId="a4">
    <w:name w:val="正文缩进 字符"/>
    <w:aliases w:val="正文（首行缩进两字） 字符,特点 字符,正文双线 字符,表正文 字符,正文非缩进 字符,正文缩进1 字符,标题4 字符,段1 字符,四号 字符,正文-段前3磅 字符,正文（首行缩进两字）1 字符,正文缩进 Char Char 字符,正文缩进 Char 字符,正文（首行缩进两字）11 字符,正文（首行缩进两字）111 字符,正文（首行缩进两字）1111 字符,ALT+Z 字符,正文缩进（首行缩进两字） 字符,正文2级 字符,水上软件 字符,Body Text(ch) 字符,首行缩进 字符"/>
    <w:link w:val="a0"/>
    <w:rsid w:val="00F32557"/>
    <w:rPr>
      <w:rFonts w:ascii="Times New Roman" w:eastAsia="宋体" w:hAnsi="Times New Roman" w:cs="Times New Roman"/>
      <w:szCs w:val="24"/>
    </w:rPr>
  </w:style>
  <w:style w:type="character" w:customStyle="1" w:styleId="20">
    <w:name w:val="标题 2 字符"/>
    <w:aliases w:val="标题 1.1 字符,H2 字符,l2 字符,I2 字符,Heading 2 Hidden 字符,Heading 2 CCBS 字符,h2 字符,Level 2 Head 字符,2nd level 字符,Header 2 字符,UNDERRUBRIK 1-2 字符,UNDERRUBRIK 1-2 Char Char 字符,2 字符"/>
    <w:link w:val="2"/>
    <w:rsid w:val="00F32557"/>
    <w:rPr>
      <w:rFonts w:ascii="Arial" w:eastAsia="黑体" w:hAnsi="Arial" w:cs="Times New Roman"/>
      <w:b/>
      <w:kern w:val="0"/>
      <w:sz w:val="30"/>
      <w:szCs w:val="20"/>
    </w:rPr>
  </w:style>
  <w:style w:type="paragraph" w:styleId="a7">
    <w:name w:val="header"/>
    <w:basedOn w:val="a"/>
    <w:link w:val="a8"/>
    <w:uiPriority w:val="99"/>
    <w:unhideWhenUsed/>
    <w:rsid w:val="00AB0E7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AB0E75"/>
    <w:rPr>
      <w:rFonts w:ascii="Times New Roman" w:eastAsia="宋体" w:hAnsi="Times New Roman" w:cs="Times New Roman"/>
      <w:sz w:val="18"/>
      <w:szCs w:val="18"/>
    </w:rPr>
  </w:style>
  <w:style w:type="paragraph" w:styleId="a9">
    <w:name w:val="footer"/>
    <w:basedOn w:val="a"/>
    <w:link w:val="aa"/>
    <w:uiPriority w:val="99"/>
    <w:unhideWhenUsed/>
    <w:rsid w:val="00AB0E75"/>
    <w:pPr>
      <w:tabs>
        <w:tab w:val="center" w:pos="4153"/>
        <w:tab w:val="right" w:pos="8306"/>
      </w:tabs>
      <w:snapToGrid w:val="0"/>
      <w:jc w:val="left"/>
    </w:pPr>
    <w:rPr>
      <w:sz w:val="18"/>
      <w:szCs w:val="18"/>
    </w:rPr>
  </w:style>
  <w:style w:type="character" w:customStyle="1" w:styleId="aa">
    <w:name w:val="页脚 字符"/>
    <w:basedOn w:val="a1"/>
    <w:link w:val="a9"/>
    <w:uiPriority w:val="99"/>
    <w:rsid w:val="00AB0E75"/>
    <w:rPr>
      <w:rFonts w:ascii="Times New Roman" w:eastAsia="宋体" w:hAnsi="Times New Roman" w:cs="Times New Roman"/>
      <w:sz w:val="18"/>
      <w:szCs w:val="18"/>
    </w:rPr>
  </w:style>
  <w:style w:type="paragraph" w:styleId="ab">
    <w:name w:val="Balloon Text"/>
    <w:basedOn w:val="a"/>
    <w:link w:val="ac"/>
    <w:uiPriority w:val="99"/>
    <w:semiHidden/>
    <w:unhideWhenUsed/>
    <w:rsid w:val="00021F93"/>
    <w:rPr>
      <w:sz w:val="18"/>
      <w:szCs w:val="18"/>
    </w:rPr>
  </w:style>
  <w:style w:type="character" w:customStyle="1" w:styleId="ac">
    <w:name w:val="批注框文本 字符"/>
    <w:basedOn w:val="a1"/>
    <w:link w:val="ab"/>
    <w:uiPriority w:val="99"/>
    <w:semiHidden/>
    <w:rsid w:val="00021F9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史琳</dc:creator>
  <cp:keywords/>
  <dc:description/>
  <cp:lastModifiedBy>张津夷</cp:lastModifiedBy>
  <cp:revision>6</cp:revision>
  <cp:lastPrinted>2018-04-27T05:56:00Z</cp:lastPrinted>
  <dcterms:created xsi:type="dcterms:W3CDTF">2018-04-27T01:19:00Z</dcterms:created>
  <dcterms:modified xsi:type="dcterms:W3CDTF">2018-04-27T06:02:00Z</dcterms:modified>
</cp:coreProperties>
</file>