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A01EA" w14:textId="0421D121" w:rsidR="007A3FC2" w:rsidRPr="005A7112" w:rsidRDefault="007A3FC2" w:rsidP="005A7112">
      <w:pPr>
        <w:spacing w:beforeLines="100" w:before="312" w:afterLines="100" w:after="312" w:line="360" w:lineRule="auto"/>
        <w:jc w:val="center"/>
        <w:rPr>
          <w:rFonts w:ascii="FangSong" w:eastAsia="FangSong" w:hAnsi="FangSong"/>
          <w:b/>
          <w:bCs/>
          <w:sz w:val="24"/>
          <w:szCs w:val="28"/>
        </w:rPr>
      </w:pPr>
      <w:r w:rsidRPr="005A7112">
        <w:rPr>
          <w:rFonts w:ascii="FangSong" w:eastAsia="FangSong" w:hAnsi="FangSong" w:hint="eastAsia"/>
          <w:b/>
          <w:bCs/>
          <w:sz w:val="24"/>
          <w:szCs w:val="28"/>
        </w:rPr>
        <w:t>关于《海淀区志新路16号15号楼1层15-1至15-6现状其他商服用地项目》报告问题答复</w:t>
      </w:r>
    </w:p>
    <w:p w14:paraId="291B192C" w14:textId="235728FC" w:rsidR="007A3FC2" w:rsidRPr="00094422" w:rsidRDefault="00040DFB" w:rsidP="00ED2E5D">
      <w:pPr>
        <w:spacing w:beforeLines="50" w:before="156" w:afterLines="50" w:after="156" w:line="360" w:lineRule="auto"/>
        <w:rPr>
          <w:rFonts w:ascii="FangSong" w:eastAsia="FangSong" w:hAnsi="FangSong"/>
          <w:b/>
          <w:bCs/>
          <w:sz w:val="22"/>
          <w:szCs w:val="24"/>
        </w:rPr>
      </w:pPr>
      <w:r w:rsidRPr="00040DFB">
        <w:rPr>
          <w:rFonts w:ascii="FangSong" w:eastAsia="FangSong" w:hAnsi="FangSong" w:hint="eastAsia"/>
          <w:b/>
          <w:bCs/>
          <w:sz w:val="22"/>
          <w:szCs w:val="24"/>
        </w:rPr>
        <w:t>北京</w:t>
      </w:r>
      <w:r w:rsidRPr="00094422">
        <w:rPr>
          <w:rFonts w:ascii="FangSong" w:eastAsia="FangSong" w:hAnsi="FangSong" w:hint="eastAsia"/>
          <w:b/>
          <w:bCs/>
          <w:sz w:val="22"/>
          <w:szCs w:val="24"/>
        </w:rPr>
        <w:t>房地产估价师和土地估价师与不动产登记代理人协会</w:t>
      </w:r>
      <w:r w:rsidR="007A3FC2" w:rsidRPr="00094422">
        <w:rPr>
          <w:rFonts w:ascii="FangSong" w:eastAsia="FangSong" w:hAnsi="FangSong" w:hint="eastAsia"/>
          <w:b/>
          <w:bCs/>
          <w:sz w:val="22"/>
          <w:szCs w:val="24"/>
        </w:rPr>
        <w:t>：</w:t>
      </w:r>
    </w:p>
    <w:p w14:paraId="348E595E" w14:textId="64251533" w:rsidR="00F355F9" w:rsidRPr="005A711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094422">
        <w:rPr>
          <w:rFonts w:ascii="FangSong" w:eastAsia="FangSong" w:hAnsi="FangSong" w:hint="eastAsia"/>
          <w:sz w:val="22"/>
          <w:szCs w:val="24"/>
        </w:rPr>
        <w:t>今年抽查的《海淀区志新路16号15号楼1层15-1至15-6现状其他商服用地项目》</w:t>
      </w:r>
      <w:r w:rsidR="005A7112" w:rsidRPr="00094422">
        <w:rPr>
          <w:rFonts w:ascii="FangSong" w:eastAsia="FangSong" w:hAnsi="FangSong" w:hint="eastAsia"/>
          <w:sz w:val="22"/>
          <w:szCs w:val="24"/>
        </w:rPr>
        <w:t>报告</w:t>
      </w:r>
      <w:r w:rsidRPr="00094422">
        <w:rPr>
          <w:rFonts w:ascii="FangSong" w:eastAsia="FangSong" w:hAnsi="FangSong" w:hint="eastAsia"/>
          <w:sz w:val="22"/>
          <w:szCs w:val="24"/>
        </w:rPr>
        <w:t>，</w:t>
      </w:r>
      <w:r w:rsidR="00094422" w:rsidRPr="00094422">
        <w:rPr>
          <w:rFonts w:ascii="FangSong" w:eastAsia="FangSong" w:hAnsi="FangSong" w:hint="eastAsia"/>
          <w:sz w:val="22"/>
          <w:szCs w:val="24"/>
        </w:rPr>
        <w:t>经专家审核</w:t>
      </w:r>
      <w:r w:rsidRPr="00094422">
        <w:rPr>
          <w:rFonts w:ascii="FangSong" w:eastAsia="FangSong" w:hAnsi="FangSong" w:hint="eastAsia"/>
          <w:sz w:val="22"/>
          <w:szCs w:val="24"/>
        </w:rPr>
        <w:t>存在以下问题：基础设施条件与级别水平一致，不应修正 ；比较法期日修正中数据与参数确定不一</w:t>
      </w:r>
      <w:r w:rsidRPr="005A7112">
        <w:rPr>
          <w:rFonts w:ascii="FangSong" w:eastAsia="FangSong" w:hAnsi="FangSong" w:hint="eastAsia"/>
          <w:sz w:val="22"/>
          <w:szCs w:val="24"/>
        </w:rPr>
        <w:t>致</w:t>
      </w:r>
      <w:r w:rsidR="005A7112" w:rsidRPr="005A7112">
        <w:rPr>
          <w:rFonts w:ascii="FangSong" w:eastAsia="FangSong" w:hAnsi="FangSong" w:hint="eastAsia"/>
          <w:sz w:val="22"/>
          <w:szCs w:val="24"/>
        </w:rPr>
        <w:t>等问题</w:t>
      </w:r>
      <w:r w:rsidRPr="005A7112">
        <w:rPr>
          <w:rFonts w:ascii="FangSong" w:eastAsia="FangSong" w:hAnsi="FangSong" w:hint="eastAsia"/>
          <w:sz w:val="22"/>
          <w:szCs w:val="24"/>
        </w:rPr>
        <w:t>。</w:t>
      </w:r>
    </w:p>
    <w:p w14:paraId="4C08E1EE" w14:textId="25A13CFA" w:rsidR="005A711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5A7112">
        <w:rPr>
          <w:rFonts w:ascii="FangSong" w:eastAsia="FangSong" w:hAnsi="FangSong" w:hint="eastAsia"/>
          <w:sz w:val="22"/>
          <w:szCs w:val="24"/>
        </w:rPr>
        <w:t>经过自查，</w:t>
      </w:r>
      <w:r w:rsidR="005A7112">
        <w:rPr>
          <w:rFonts w:ascii="FangSong" w:eastAsia="FangSong" w:hAnsi="FangSong" w:hint="eastAsia"/>
          <w:sz w:val="22"/>
          <w:szCs w:val="24"/>
        </w:rPr>
        <w:t>上述问题</w:t>
      </w:r>
      <w:r w:rsidR="005A7112" w:rsidRPr="005A7112">
        <w:rPr>
          <w:rFonts w:ascii="FangSong" w:eastAsia="FangSong" w:hAnsi="FangSong" w:hint="eastAsia"/>
          <w:sz w:val="22"/>
          <w:szCs w:val="24"/>
        </w:rPr>
        <w:t>均不存在</w:t>
      </w:r>
      <w:r w:rsidR="005A7112">
        <w:rPr>
          <w:rFonts w:ascii="FangSong" w:eastAsia="FangSong" w:hAnsi="FangSong" w:hint="eastAsia"/>
          <w:sz w:val="22"/>
          <w:szCs w:val="24"/>
        </w:rPr>
        <w:t>因</w:t>
      </w:r>
      <w:r w:rsidR="005A7112" w:rsidRPr="005A7112">
        <w:rPr>
          <w:rFonts w:ascii="FangSong" w:eastAsia="FangSong" w:hAnsi="FangSong" w:hint="eastAsia"/>
          <w:sz w:val="22"/>
          <w:szCs w:val="24"/>
        </w:rPr>
        <w:t>计算错误影响地价款结果的情况。</w:t>
      </w:r>
      <w:r w:rsidR="005A7112">
        <w:rPr>
          <w:rFonts w:ascii="FangSong" w:eastAsia="FangSong" w:hAnsi="FangSong" w:hint="eastAsia"/>
          <w:sz w:val="22"/>
          <w:szCs w:val="24"/>
        </w:rPr>
        <w:t>现对抽查报告存在的具体问题作如下答复：</w:t>
      </w:r>
    </w:p>
    <w:p w14:paraId="7136A093" w14:textId="77777777" w:rsidR="005A711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5A7112">
        <w:rPr>
          <w:rFonts w:ascii="FangSong" w:eastAsia="FangSong" w:hAnsi="FangSong" w:hint="eastAsia"/>
          <w:sz w:val="22"/>
          <w:szCs w:val="24"/>
        </w:rPr>
        <w:t>1、基础设施条件与级别水平一致，不应修正 。</w:t>
      </w:r>
    </w:p>
    <w:p w14:paraId="76D08187" w14:textId="77777777" w:rsidR="005A711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5A7112">
        <w:rPr>
          <w:rFonts w:ascii="FangSong" w:eastAsia="FangSong" w:hAnsi="FangSong" w:hint="eastAsia"/>
          <w:sz w:val="22"/>
          <w:szCs w:val="24"/>
        </w:rPr>
        <w:t>经自</w:t>
      </w:r>
      <w:bookmarkStart w:id="0" w:name="_GoBack"/>
      <w:bookmarkEnd w:id="0"/>
      <w:r w:rsidRPr="005A7112">
        <w:rPr>
          <w:rFonts w:ascii="FangSong" w:eastAsia="FangSong" w:hAnsi="FangSong" w:hint="eastAsia"/>
          <w:sz w:val="22"/>
          <w:szCs w:val="24"/>
        </w:rPr>
        <w:t>查，在技术报告第63-64页，因笔误，将“公共配套设施”的比较结论写为“综合评价区域设施及基础设施水平”，但本修正项仅修正“公共配套设施”因素。我司在比较法中另有“基础设施水平”修正项，且未进行修正；</w:t>
      </w:r>
    </w:p>
    <w:p w14:paraId="59172616" w14:textId="77777777" w:rsidR="005A711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5A7112">
        <w:rPr>
          <w:rFonts w:ascii="FangSong" w:eastAsia="FangSong" w:hAnsi="FangSong" w:hint="eastAsia"/>
          <w:sz w:val="22"/>
          <w:szCs w:val="24"/>
        </w:rPr>
        <w:t>2、比较法期日修正中数据与参数确定不一致等问题。</w:t>
      </w:r>
    </w:p>
    <w:p w14:paraId="2489B22F" w14:textId="3F060F97" w:rsidR="007A3FC2" w:rsidRDefault="007A3FC2" w:rsidP="005A7112">
      <w:pPr>
        <w:spacing w:line="360" w:lineRule="auto"/>
        <w:ind w:firstLineChars="200" w:firstLine="440"/>
        <w:rPr>
          <w:rFonts w:ascii="FangSong" w:eastAsia="FangSong" w:hAnsi="FangSong"/>
          <w:sz w:val="22"/>
          <w:szCs w:val="24"/>
        </w:rPr>
      </w:pPr>
      <w:r w:rsidRPr="005A7112">
        <w:rPr>
          <w:rFonts w:ascii="FangSong" w:eastAsia="FangSong" w:hAnsi="FangSong" w:hint="eastAsia"/>
          <w:sz w:val="22"/>
          <w:szCs w:val="24"/>
        </w:rPr>
        <w:t>经自查，在技术报告第79页，我司列明了北京市商服用地2014年1季度至2021年1季度的季度增长幅度（环比）参数，并按2014年1季度至2021年1季度的季度增长幅度的平均值为1.12%，利用公式“100/（1+1.12%）^n，n为季度数”进行期日修正，我司未在报告中对该平均值修正公式进行描述，但实际不存在计算错误影响地价款结果的情况。</w:t>
      </w:r>
      <w:r w:rsidR="00ED2E5D">
        <w:rPr>
          <w:rFonts w:ascii="FangSong" w:eastAsia="FangSong" w:hAnsi="FangSong" w:hint="eastAsia"/>
          <w:sz w:val="22"/>
          <w:szCs w:val="24"/>
        </w:rPr>
        <w:t xml:space="preserve"> </w:t>
      </w:r>
    </w:p>
    <w:p w14:paraId="6DCD5D92" w14:textId="77777777" w:rsidR="00ED2E5D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  <w:r>
        <w:rPr>
          <w:rFonts w:ascii="FangSong" w:eastAsia="FangSong" w:hAnsi="FangSong" w:hint="eastAsia"/>
          <w:sz w:val="22"/>
          <w:szCs w:val="24"/>
        </w:rPr>
        <w:t xml:space="preserve"> </w:t>
      </w:r>
      <w:r>
        <w:rPr>
          <w:rFonts w:ascii="FangSong" w:eastAsia="FangSong" w:hAnsi="FangSong"/>
          <w:sz w:val="22"/>
          <w:szCs w:val="24"/>
        </w:rPr>
        <w:t xml:space="preserve">                      </w:t>
      </w:r>
    </w:p>
    <w:p w14:paraId="5A5406C0" w14:textId="77777777" w:rsidR="00ED2E5D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</w:p>
    <w:p w14:paraId="17315549" w14:textId="77777777" w:rsidR="00ED2E5D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</w:p>
    <w:p w14:paraId="04691A6E" w14:textId="77777777" w:rsidR="00ED2E5D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</w:p>
    <w:p w14:paraId="6690EC0B" w14:textId="5AA198A0" w:rsidR="00ED2E5D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  <w:r>
        <w:rPr>
          <w:rFonts w:ascii="FangSong" w:eastAsia="FangSong" w:hAnsi="FangSong"/>
          <w:sz w:val="22"/>
          <w:szCs w:val="24"/>
        </w:rPr>
        <w:t xml:space="preserve"> </w:t>
      </w:r>
      <w:proofErr w:type="gramStart"/>
      <w:r>
        <w:rPr>
          <w:rFonts w:ascii="FangSong" w:eastAsia="FangSong" w:hAnsi="FangSong" w:hint="eastAsia"/>
          <w:sz w:val="22"/>
          <w:szCs w:val="24"/>
        </w:rPr>
        <w:t>北京康正宏</w:t>
      </w:r>
      <w:proofErr w:type="gramEnd"/>
      <w:r>
        <w:rPr>
          <w:rFonts w:ascii="FangSong" w:eastAsia="FangSong" w:hAnsi="FangSong" w:hint="eastAsia"/>
          <w:sz w:val="22"/>
          <w:szCs w:val="24"/>
        </w:rPr>
        <w:t>基房地产评估有限公司</w:t>
      </w:r>
    </w:p>
    <w:p w14:paraId="459401FB" w14:textId="7C03733C" w:rsidR="00ED2E5D" w:rsidRPr="005A7112" w:rsidRDefault="00ED2E5D" w:rsidP="00ED2E5D">
      <w:pPr>
        <w:spacing w:line="360" w:lineRule="auto"/>
        <w:ind w:firstLineChars="200" w:firstLine="440"/>
        <w:jc w:val="right"/>
        <w:rPr>
          <w:rFonts w:ascii="FangSong" w:eastAsia="FangSong" w:hAnsi="FangSong"/>
          <w:sz w:val="22"/>
          <w:szCs w:val="24"/>
        </w:rPr>
      </w:pPr>
      <w:r>
        <w:rPr>
          <w:rFonts w:ascii="FangSong" w:eastAsia="FangSong" w:hAnsi="FangSong" w:hint="eastAsia"/>
          <w:sz w:val="22"/>
          <w:szCs w:val="24"/>
        </w:rPr>
        <w:t xml:space="preserve"> </w:t>
      </w:r>
      <w:r>
        <w:rPr>
          <w:rFonts w:ascii="FangSong" w:eastAsia="FangSong" w:hAnsi="FangSong"/>
          <w:sz w:val="22"/>
          <w:szCs w:val="24"/>
        </w:rPr>
        <w:t xml:space="preserve">                    </w:t>
      </w:r>
      <w:r>
        <w:rPr>
          <w:rFonts w:ascii="FangSong" w:eastAsia="FangSong" w:hAnsi="FangSong" w:hint="eastAsia"/>
          <w:sz w:val="22"/>
          <w:szCs w:val="24"/>
        </w:rPr>
        <w:t>二〇二一年十二月十四日</w:t>
      </w:r>
    </w:p>
    <w:sectPr w:rsidR="00ED2E5D" w:rsidRPr="005A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1"/>
    <w:rsid w:val="00040DFB"/>
    <w:rsid w:val="000635D1"/>
    <w:rsid w:val="00094422"/>
    <w:rsid w:val="003C2EAF"/>
    <w:rsid w:val="00400F0E"/>
    <w:rsid w:val="005A7112"/>
    <w:rsid w:val="007A1B39"/>
    <w:rsid w:val="007A3FC2"/>
    <w:rsid w:val="00D82492"/>
    <w:rsid w:val="00ED2E5D"/>
    <w:rsid w:val="00F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B626"/>
  <w15:chartTrackingRefBased/>
  <w15:docId w15:val="{06A710AF-D8EE-4112-8D5E-7F5CC310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KG</cp:lastModifiedBy>
  <cp:revision>10</cp:revision>
  <cp:lastPrinted>2021-12-14T07:32:00Z</cp:lastPrinted>
  <dcterms:created xsi:type="dcterms:W3CDTF">2021-12-14T05:55:00Z</dcterms:created>
  <dcterms:modified xsi:type="dcterms:W3CDTF">2021-12-14T07:32:00Z</dcterms:modified>
</cp:coreProperties>
</file>