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仿宋_GB2312"/>
          <w:sz w:val="32"/>
          <w:szCs w:val="32"/>
        </w:rPr>
      </w:pPr>
      <w:bookmarkStart w:id="0" w:name="_GoBack"/>
      <w:bookmarkEnd w:id="0"/>
      <w:r>
        <w:rPr>
          <w:rFonts w:hint="eastAsia" w:ascii="黑体" w:hAnsi="黑体" w:eastAsia="黑体" w:cs="仿宋_GB2312"/>
          <w:sz w:val="32"/>
          <w:szCs w:val="32"/>
        </w:rPr>
        <w:t>北京顺义中宏粮食储备库有限公司仓储用房房地产市场租金水平评估项目集团审核意见20230608</w:t>
      </w:r>
    </w:p>
    <w:p>
      <w:pPr>
        <w:rPr>
          <w:rFonts w:ascii="仿宋_GB2312" w:hAnsi="仿宋_GB2312" w:eastAsia="仿宋_GB2312" w:cs="仿宋_GB2312"/>
          <w:b/>
          <w:sz w:val="32"/>
          <w:szCs w:val="32"/>
        </w:rPr>
      </w:pPr>
    </w:p>
    <w:p>
      <w:pPr>
        <w:spacing w:line="480" w:lineRule="auto"/>
        <w:ind w:firstLine="560" w:firstLineChars="200"/>
        <w:rPr>
          <w:rFonts w:ascii="仿宋" w:hAnsi="仿宋" w:eastAsia="仿宋"/>
          <w:bCs/>
          <w:sz w:val="28"/>
          <w:szCs w:val="28"/>
        </w:rPr>
      </w:pPr>
      <w:r>
        <w:rPr>
          <w:rFonts w:hint="eastAsia" w:ascii="仿宋" w:hAnsi="仿宋" w:eastAsia="仿宋"/>
          <w:bCs/>
          <w:sz w:val="28"/>
          <w:szCs w:val="28"/>
        </w:rPr>
        <w:t>1</w:t>
      </w:r>
      <w:r>
        <w:rPr>
          <w:rFonts w:ascii="仿宋" w:hAnsi="仿宋" w:eastAsia="仿宋"/>
          <w:bCs/>
          <w:sz w:val="28"/>
          <w:szCs w:val="28"/>
        </w:rPr>
        <w:t>.报告P</w:t>
      </w:r>
      <w:r>
        <w:rPr>
          <w:rFonts w:hint="eastAsia" w:ascii="仿宋" w:hAnsi="仿宋" w:eastAsia="仿宋"/>
          <w:bCs/>
          <w:sz w:val="28"/>
          <w:szCs w:val="28"/>
        </w:rPr>
        <w:t>7、复审意见P3/6，“由于估价对象所属项目未办理《不动产权证书》，本次评估估价对象各幢建筑物建筑面积以估价委托人提供的《估价委托书》上载明的为依据。”请评估机构说明现场核实过程及结论并考虑评估报告的有关表述是否准确。</w:t>
      </w:r>
    </w:p>
    <w:p>
      <w:pPr>
        <w:spacing w:line="480" w:lineRule="auto"/>
        <w:ind w:firstLine="562" w:firstLineChars="200"/>
        <w:rPr>
          <w:rFonts w:ascii="仿宋" w:hAnsi="仿宋" w:eastAsia="仿宋"/>
          <w:b/>
          <w:bCs/>
          <w:sz w:val="28"/>
          <w:szCs w:val="28"/>
        </w:rPr>
      </w:pPr>
      <w:r>
        <w:rPr>
          <w:rFonts w:hint="eastAsia" w:ascii="仿宋" w:hAnsi="仿宋" w:eastAsia="仿宋"/>
          <w:b/>
          <w:bCs/>
          <w:sz w:val="28"/>
          <w:szCs w:val="28"/>
        </w:rPr>
        <w:t>回复：我司评估人员与估价委托人现场进行沟通，估价委托人表示因为历史遗留问题，估价对象所属项目未办理不动产权证书。估价对象各幢建筑物建筑面积以估价委托人提供的《估价委托书》上载明的为依据。估价对象准确面积应以专业测绘公司出具的《房屋面积测算技术报告书》为准。</w:t>
      </w:r>
    </w:p>
    <w:p>
      <w:pPr>
        <w:spacing w:line="480" w:lineRule="auto"/>
        <w:ind w:firstLine="560" w:firstLineChars="200"/>
        <w:rPr>
          <w:rFonts w:ascii="仿宋" w:hAnsi="仿宋" w:eastAsia="仿宋"/>
          <w:bCs/>
          <w:sz w:val="28"/>
          <w:szCs w:val="28"/>
        </w:rPr>
      </w:pPr>
      <w:r>
        <w:rPr>
          <w:rFonts w:hint="eastAsia" w:ascii="仿宋" w:hAnsi="仿宋" w:eastAsia="仿宋"/>
          <w:bCs/>
          <w:sz w:val="28"/>
          <w:szCs w:val="28"/>
          <w:highlight w:val="cyan"/>
        </w:rPr>
        <w:t>复审意见：说明现场核实过程及结论，尤其是房产、土地面积的核实确认过程。</w:t>
      </w:r>
    </w:p>
    <w:p>
      <w:pPr>
        <w:spacing w:line="480" w:lineRule="auto"/>
        <w:ind w:firstLine="562" w:firstLineChars="200"/>
        <w:rPr>
          <w:rFonts w:ascii="仿宋" w:hAnsi="仿宋" w:eastAsia="仿宋"/>
          <w:b/>
          <w:bCs/>
          <w:sz w:val="28"/>
          <w:szCs w:val="28"/>
        </w:rPr>
      </w:pPr>
      <w:r>
        <w:rPr>
          <w:rFonts w:hint="eastAsia" w:ascii="仿宋" w:hAnsi="仿宋" w:eastAsia="仿宋"/>
          <w:b/>
          <w:bCs/>
          <w:sz w:val="28"/>
          <w:szCs w:val="28"/>
        </w:rPr>
        <w:t>20230602回复：我司评估专业人员于2023年1月12日对估价对象进行现场实地勘察，现场共有3栋物流仓（分为东、西罩棚仓、5号物流仓）、4栋平房仓（分为8个廒间）、1栋机修车间（麻袋库）、1栋机械罩棚、1栋附属设施。本次评估对象为东、西罩棚仓及1个廒间（3号仓）。东、西罩棚仓为标准层高、单层钢结构标准厂房、3号仓为超高层高、单层钢混结构粮食仓库。</w:t>
      </w:r>
    </w:p>
    <w:p>
      <w:pPr>
        <w:spacing w:line="480" w:lineRule="auto"/>
        <w:ind w:firstLine="562" w:firstLineChars="200"/>
        <w:rPr>
          <w:rFonts w:ascii="仿宋" w:hAnsi="仿宋" w:eastAsia="仿宋"/>
          <w:b/>
          <w:bCs/>
          <w:sz w:val="28"/>
          <w:szCs w:val="28"/>
        </w:rPr>
      </w:pPr>
      <w:r>
        <w:rPr>
          <w:rFonts w:hint="eastAsia" w:ascii="仿宋" w:hAnsi="仿宋" w:eastAsia="仿宋"/>
          <w:b/>
          <w:bCs/>
          <w:sz w:val="28"/>
          <w:szCs w:val="28"/>
        </w:rPr>
        <w:t>根据估价委托人介绍及提供的《建设工程规划许可证》、《建设工程开工证》及《工程质量竣工核定证书》，顺义库已完成建设，但因历史遗留问题，未办理不动产权证书。本次评估估价对象建筑面积以估价委托人盖章的《估价委托书》及《项目面积说明》为依据，即东罩棚仓1318平方米、西罩棚仓1434平方米、3号仓1600平方米。我司评估专业人员对上述3栋库房进行实地测量，测量结果与《估价委托书》及《项目面积说明》基本一致（约±3%的差异）。估价对象所属宗地土地面积以《国有土地使用证》证载为准，即土地面积51170平方米。</w:t>
      </w:r>
    </w:p>
    <w:p>
      <w:pPr>
        <w:overflowPunct w:val="0"/>
        <w:spacing w:line="480" w:lineRule="auto"/>
        <w:ind w:firstLine="560" w:firstLineChars="200"/>
        <w:rPr>
          <w:rFonts w:ascii="仿宋" w:hAnsi="仿宋" w:eastAsia="仿宋"/>
          <w:bCs/>
          <w:sz w:val="28"/>
          <w:szCs w:val="28"/>
        </w:rPr>
      </w:pPr>
      <w:r>
        <w:rPr>
          <w:rFonts w:hint="eastAsia" w:ascii="仿宋" w:hAnsi="仿宋" w:eastAsia="仿宋"/>
          <w:bCs/>
          <w:sz w:val="28"/>
          <w:szCs w:val="28"/>
        </w:rPr>
        <w:t>2.</w:t>
      </w:r>
      <w:r>
        <w:rPr>
          <w:rFonts w:ascii="仿宋" w:hAnsi="仿宋" w:eastAsia="仿宋"/>
          <w:bCs/>
          <w:sz w:val="28"/>
          <w:szCs w:val="28"/>
        </w:rPr>
        <w:t>报告P</w:t>
      </w:r>
      <w:r>
        <w:rPr>
          <w:rFonts w:hint="eastAsia" w:ascii="仿宋" w:hAnsi="仿宋" w:eastAsia="仿宋"/>
          <w:bCs/>
          <w:sz w:val="28"/>
          <w:szCs w:val="28"/>
        </w:rPr>
        <w:t>7、P17、P18，“估价委托人未能提供的《国有土地使用证》”。请委托方说明为何无法提供土地证？该描述与其他地方的描述及问题回复是否相符？</w:t>
      </w:r>
    </w:p>
    <w:p>
      <w:pPr>
        <w:overflowPunct w:val="0"/>
        <w:spacing w:line="480" w:lineRule="auto"/>
        <w:ind w:firstLine="562" w:firstLineChars="200"/>
        <w:rPr>
          <w:rFonts w:ascii="仿宋" w:hAnsi="仿宋" w:eastAsia="仿宋"/>
          <w:bCs/>
          <w:sz w:val="28"/>
          <w:szCs w:val="28"/>
        </w:rPr>
      </w:pPr>
      <w:r>
        <w:rPr>
          <w:rFonts w:hint="eastAsia" w:ascii="仿宋" w:hAnsi="仿宋" w:eastAsia="仿宋"/>
          <w:b/>
          <w:bCs/>
          <w:sz w:val="28"/>
          <w:szCs w:val="28"/>
        </w:rPr>
        <w:t>回复</w:t>
      </w:r>
      <w:r>
        <w:rPr>
          <w:rFonts w:hint="eastAsia" w:ascii="仿宋" w:hAnsi="仿宋" w:eastAsia="仿宋"/>
          <w:bCs/>
          <w:sz w:val="28"/>
          <w:szCs w:val="28"/>
        </w:rPr>
        <w:t>：</w:t>
      </w:r>
      <w:r>
        <w:rPr>
          <w:rFonts w:hint="eastAsia" w:ascii="仿宋" w:hAnsi="仿宋" w:eastAsia="仿宋"/>
          <w:b/>
          <w:bCs/>
          <w:sz w:val="28"/>
          <w:szCs w:val="28"/>
        </w:rPr>
        <w:t>我司评估人员与估价委托人电话沟通，估价委托人现已补充提供《国有土地使用证》，已在报告相关描述中进行修改。</w:t>
      </w:r>
    </w:p>
    <w:p>
      <w:pPr>
        <w:overflowPunct w:val="0"/>
        <w:spacing w:line="480" w:lineRule="auto"/>
        <w:ind w:firstLine="560" w:firstLineChars="200"/>
        <w:rPr>
          <w:rFonts w:ascii="仿宋" w:hAnsi="仿宋" w:eastAsia="仿宋"/>
          <w:bCs/>
          <w:sz w:val="28"/>
          <w:szCs w:val="28"/>
        </w:rPr>
      </w:pPr>
      <w:r>
        <w:rPr>
          <w:rFonts w:hint="eastAsia" w:ascii="仿宋" w:hAnsi="仿宋" w:eastAsia="仿宋"/>
          <w:bCs/>
          <w:sz w:val="28"/>
          <w:szCs w:val="28"/>
        </w:rPr>
        <w:t>3.</w:t>
      </w:r>
      <w:r>
        <w:rPr>
          <w:rFonts w:ascii="仿宋" w:hAnsi="仿宋" w:eastAsia="仿宋"/>
          <w:bCs/>
          <w:sz w:val="28"/>
          <w:szCs w:val="28"/>
        </w:rPr>
        <w:t>报告P</w:t>
      </w:r>
      <w:r>
        <w:rPr>
          <w:rFonts w:hint="eastAsia" w:ascii="仿宋" w:hAnsi="仿宋" w:eastAsia="仿宋"/>
          <w:bCs/>
          <w:sz w:val="28"/>
          <w:szCs w:val="28"/>
        </w:rPr>
        <w:t>10、P17，估价对象基本状况描述中，平房仓与3号仓什么关系，请核实？</w:t>
      </w:r>
    </w:p>
    <w:p>
      <w:pPr>
        <w:overflowPunct w:val="0"/>
        <w:spacing w:line="480" w:lineRule="auto"/>
        <w:ind w:firstLine="562" w:firstLineChars="200"/>
        <w:rPr>
          <w:rFonts w:ascii="仿宋" w:hAnsi="仿宋" w:eastAsia="仿宋"/>
          <w:b/>
          <w:bCs/>
          <w:sz w:val="28"/>
          <w:szCs w:val="28"/>
        </w:rPr>
      </w:pPr>
      <w:r>
        <w:rPr>
          <w:rFonts w:hint="eastAsia" w:ascii="仿宋" w:hAnsi="仿宋" w:eastAsia="仿宋"/>
          <w:b/>
          <w:bCs/>
          <w:sz w:val="28"/>
          <w:szCs w:val="28"/>
        </w:rPr>
        <w:t>回复;报告全文中“平方仓”替换为“平房仓”。顺义库共4栋平房仓，为8个廒间，即编号1-8号仓，3号仓为其中一个廒间。具体位置详见下图：</w:t>
      </w:r>
    </w:p>
    <w:p>
      <w:pPr>
        <w:overflowPunct w:val="0"/>
        <w:spacing w:line="480" w:lineRule="auto"/>
        <w:ind w:firstLine="562" w:firstLineChars="200"/>
        <w:rPr>
          <w:rFonts w:ascii="仿宋" w:hAnsi="仿宋" w:eastAsia="仿宋"/>
          <w:b/>
          <w:bCs/>
          <w:sz w:val="28"/>
          <w:szCs w:val="28"/>
        </w:rPr>
      </w:pPr>
      <w:r>
        <w:rPr>
          <w:rFonts w:ascii="仿宋" w:hAnsi="仿宋" w:eastAsia="仿宋"/>
          <w:b/>
          <w:bCs/>
          <w:sz w:val="28"/>
          <w:szCs w:val="28"/>
        </w:rPr>
        <w:drawing>
          <wp:inline distT="0" distB="0" distL="0" distR="0">
            <wp:extent cx="5274310" cy="3082925"/>
            <wp:effectExtent l="0" t="0" r="2540" b="3175"/>
            <wp:docPr id="1" name="图片 1" descr="C:\Users\Administrator\Documents\WeChat Files\vickycc0312\FileStorage\Temp\16843845716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ocuments\WeChat Files\vickycc0312\FileStorage\Temp\168438457168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274310" cy="3082951"/>
                    </a:xfrm>
                    <a:prstGeom prst="rect">
                      <a:avLst/>
                    </a:prstGeom>
                    <a:noFill/>
                    <a:ln>
                      <a:noFill/>
                    </a:ln>
                  </pic:spPr>
                </pic:pic>
              </a:graphicData>
            </a:graphic>
          </wp:inline>
        </w:drawing>
      </w:r>
    </w:p>
    <w:p>
      <w:pPr>
        <w:overflowPunct w:val="0"/>
        <w:spacing w:line="480" w:lineRule="auto"/>
        <w:ind w:firstLine="560" w:firstLineChars="200"/>
        <w:rPr>
          <w:rFonts w:ascii="仿宋" w:hAnsi="仿宋" w:eastAsia="仿宋"/>
          <w:bCs/>
          <w:sz w:val="28"/>
          <w:szCs w:val="28"/>
        </w:rPr>
      </w:pPr>
      <w:r>
        <w:rPr>
          <w:rFonts w:hint="eastAsia" w:ascii="仿宋" w:hAnsi="仿宋" w:eastAsia="仿宋"/>
          <w:bCs/>
          <w:sz w:val="28"/>
          <w:szCs w:val="28"/>
        </w:rPr>
        <w:t>4.报告P15、P28，本次评估为何只选取一种评估方法，是否符合国资委要求？为何不采用收益法评估房地产市场租金。</w:t>
      </w:r>
    </w:p>
    <w:p>
      <w:pPr>
        <w:spacing w:line="500" w:lineRule="exact"/>
        <w:ind w:firstLine="562" w:firstLineChars="200"/>
        <w:rPr>
          <w:rFonts w:ascii="仿宋_GB2312" w:hAnsi="仿宋_GB2312" w:eastAsia="仿宋_GB2312" w:cs="仿宋_GB2312"/>
          <w:b/>
          <w:sz w:val="28"/>
          <w:szCs w:val="28"/>
        </w:rPr>
      </w:pPr>
      <w:r>
        <w:rPr>
          <w:rFonts w:hint="eastAsia" w:ascii="仿宋" w:hAnsi="仿宋" w:eastAsia="仿宋"/>
          <w:b/>
          <w:bCs/>
          <w:sz w:val="28"/>
          <w:szCs w:val="28"/>
        </w:rPr>
        <w:t>回复：</w:t>
      </w:r>
      <w:r>
        <w:rPr>
          <w:rFonts w:hint="eastAsia" w:ascii="仿宋_GB2312" w:hAnsi="仿宋_GB2312" w:eastAsia="仿宋_GB2312" w:cs="仿宋_GB2312"/>
          <w:b/>
          <w:sz w:val="28"/>
          <w:szCs w:val="28"/>
        </w:rPr>
        <w:t>根据《房地产估价规范》，当估价对象仅适用一种估价方法进行估价时，可只选用一种估价方法进行估价。本次评估目的为房地产市场租金水平评估，租金水平多参考市场租赁行为，反映在当前价值时点下的租金水平，故选用比较法。收益法是预计估价对象未来的正常净收益，选择适当的报酬率或资本化率、收益乘数将其折现到价值时点后累加，以此估算估价对象的客观合理价格或价值的方法。收益法求取的是房地产价值或价格，并不是求取租金。本次评估目的为房地产市场租金水平评估，故未选用。且房地产市场租金水平评估不具备使用成本法及假设开发法的条件，故本次评估仅选用比较法一种方法进行估价。</w:t>
      </w:r>
    </w:p>
    <w:p>
      <w:pPr>
        <w:wordWrap w:val="0"/>
        <w:overflowPunct w:val="0"/>
        <w:spacing w:line="480" w:lineRule="auto"/>
        <w:ind w:firstLine="562"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20230526回复：收益法是计算房地产价值或价格的方法,不适用于倒算租金价格评估。若采用收益法倒算物业的租金，需要确定其房地产价值以及报酬率两个重要参数，在房地产市场交易活跃的条件下，房地产价值和报酬率尚可通过市场提取法获取，而本次估价对象为仓库，该类物业产权交易并不活跃，其房地产价值估算的准确性必然影响最终倒算租金水平产生影响，如此倒算的结果可靠性低。</w:t>
      </w:r>
    </w:p>
    <w:p>
      <w:pPr>
        <w:spacing w:line="480" w:lineRule="auto"/>
        <w:ind w:firstLine="560" w:firstLineChars="200"/>
        <w:rPr>
          <w:rFonts w:ascii="仿宋" w:hAnsi="仿宋" w:eastAsia="仿宋"/>
          <w:bCs/>
          <w:sz w:val="28"/>
          <w:szCs w:val="28"/>
        </w:rPr>
      </w:pPr>
      <w:r>
        <w:rPr>
          <w:rFonts w:hint="eastAsia" w:ascii="仿宋" w:hAnsi="仿宋" w:eastAsia="仿宋"/>
          <w:bCs/>
          <w:sz w:val="28"/>
          <w:szCs w:val="28"/>
        </w:rPr>
        <w:t>5.报告P18,“根据估价委托人提供的《关于顺义库管理和使用所占土地的证明》及介绍，中国饲料集团公司于1997年机构改革政企分开后划转为中谷集团管理的子公司，目前该公司处于停止经营状态，以该公司名义持有的顺义中宏库所占土地及地上建筑物（本次评估估价对象所属项目）现由北京顺义中宏粮食储备库有限公司管理并使用。”请说明该公司为哪个公司？</w:t>
      </w:r>
    </w:p>
    <w:p>
      <w:pPr>
        <w:spacing w:line="480" w:lineRule="auto"/>
        <w:ind w:firstLine="562" w:firstLineChars="200"/>
        <w:rPr>
          <w:rFonts w:ascii="Arial" w:hAnsi="Arial" w:cs="Arial"/>
          <w:szCs w:val="21"/>
        </w:rPr>
      </w:pPr>
      <w:r>
        <w:rPr>
          <w:rFonts w:hint="eastAsia" w:ascii="仿宋" w:hAnsi="仿宋" w:eastAsia="仿宋"/>
          <w:b/>
          <w:bCs/>
          <w:sz w:val="28"/>
          <w:szCs w:val="28"/>
        </w:rPr>
        <w:t>回复：报告P18中，“该公司”为中国饲料集团公司。已在报告相关描述中进行修改。</w:t>
      </w:r>
    </w:p>
    <w:p>
      <w:pPr>
        <w:spacing w:line="480" w:lineRule="auto"/>
        <w:ind w:firstLine="560" w:firstLineChars="200"/>
        <w:rPr>
          <w:rFonts w:ascii="仿宋" w:hAnsi="仿宋" w:eastAsia="仿宋"/>
          <w:bCs/>
          <w:sz w:val="28"/>
          <w:szCs w:val="28"/>
        </w:rPr>
      </w:pPr>
      <w:r>
        <w:rPr>
          <w:rFonts w:hint="eastAsia" w:ascii="仿宋" w:hAnsi="仿宋" w:eastAsia="仿宋"/>
          <w:bCs/>
          <w:sz w:val="28"/>
          <w:szCs w:val="28"/>
        </w:rPr>
        <w:t>6.报告P19、P31，描述“交通状况较差与为交通可达性较差”，请核实并统一描述。公共交通出行的不便性，对仓储设施的租赁价格有何种影响？请结合描述重新核实对总体区位状况的认定是否合理？</w:t>
      </w:r>
    </w:p>
    <w:p>
      <w:pPr>
        <w:spacing w:line="480" w:lineRule="auto"/>
        <w:ind w:firstLine="562" w:firstLineChars="200"/>
        <w:rPr>
          <w:rFonts w:ascii="仿宋" w:hAnsi="仿宋" w:eastAsia="仿宋"/>
          <w:b/>
          <w:bCs/>
          <w:sz w:val="28"/>
          <w:szCs w:val="28"/>
        </w:rPr>
      </w:pPr>
      <w:r>
        <w:rPr>
          <w:rFonts w:hint="eastAsia" w:ascii="仿宋" w:hAnsi="仿宋" w:eastAsia="仿宋"/>
          <w:b/>
          <w:bCs/>
          <w:sz w:val="28"/>
          <w:szCs w:val="28"/>
        </w:rPr>
        <w:t>回复：报告中统一描述为“交通状况”。重新核实公共交通出行对仓储用房的租金价格未产生影响，故将估价对象及可比案例周边交通状况描述由“较差”调整为“一般”，因估价对象与可比案例情况一致，故修正系数均为100。报告中已对相关描述进行修改。</w:t>
      </w:r>
    </w:p>
    <w:p>
      <w:pPr>
        <w:spacing w:line="480" w:lineRule="auto"/>
        <w:ind w:firstLine="562" w:firstLineChars="200"/>
        <w:rPr>
          <w:rFonts w:ascii="仿宋" w:hAnsi="仿宋" w:eastAsia="仿宋"/>
          <w:b/>
          <w:bCs/>
          <w:sz w:val="28"/>
          <w:szCs w:val="28"/>
        </w:rPr>
      </w:pPr>
      <w:r>
        <w:rPr>
          <w:rFonts w:hint="eastAsia" w:ascii="仿宋" w:hAnsi="仿宋" w:eastAsia="仿宋"/>
          <w:b/>
          <w:bCs/>
          <w:sz w:val="28"/>
          <w:szCs w:val="28"/>
        </w:rPr>
        <w:t>202305</w:t>
      </w:r>
      <w:r>
        <w:rPr>
          <w:rFonts w:ascii="仿宋" w:hAnsi="仿宋" w:eastAsia="仿宋"/>
          <w:b/>
          <w:bCs/>
          <w:sz w:val="28"/>
          <w:szCs w:val="28"/>
        </w:rPr>
        <w:t>2</w:t>
      </w:r>
      <w:r>
        <w:rPr>
          <w:rFonts w:hint="eastAsia" w:ascii="仿宋" w:hAnsi="仿宋" w:eastAsia="仿宋"/>
          <w:b/>
          <w:bCs/>
          <w:sz w:val="28"/>
          <w:szCs w:val="28"/>
        </w:rPr>
        <w:t>6回复:报告P19区位状况“较差”调整为“一般”。报告描述已统一。</w:t>
      </w:r>
    </w:p>
    <w:p>
      <w:pPr>
        <w:spacing w:line="480" w:lineRule="auto"/>
        <w:ind w:firstLine="560" w:firstLineChars="200"/>
        <w:rPr>
          <w:rFonts w:ascii="仿宋" w:hAnsi="仿宋" w:eastAsia="仿宋"/>
          <w:bCs/>
          <w:sz w:val="28"/>
          <w:szCs w:val="28"/>
        </w:rPr>
      </w:pPr>
      <w:r>
        <w:rPr>
          <w:rFonts w:hint="eastAsia" w:ascii="仿宋" w:hAnsi="仿宋" w:eastAsia="仿宋"/>
          <w:bCs/>
          <w:sz w:val="28"/>
          <w:szCs w:val="28"/>
        </w:rPr>
        <w:t>7.报告P22，区域成交情况中，工业用地成交价格是否为楼面均价，请核实。</w:t>
      </w:r>
    </w:p>
    <w:p>
      <w:pPr>
        <w:spacing w:line="480" w:lineRule="auto"/>
        <w:ind w:firstLine="562" w:firstLineChars="200"/>
        <w:rPr>
          <w:rFonts w:ascii="仿宋" w:hAnsi="仿宋" w:eastAsia="仿宋"/>
          <w:b/>
          <w:bCs/>
          <w:sz w:val="28"/>
          <w:szCs w:val="28"/>
        </w:rPr>
      </w:pPr>
      <w:r>
        <w:rPr>
          <w:rFonts w:hint="eastAsia" w:ascii="仿宋" w:hAnsi="仿宋" w:eastAsia="仿宋"/>
          <w:b/>
          <w:bCs/>
          <w:sz w:val="28"/>
          <w:szCs w:val="28"/>
        </w:rPr>
        <w:t>回复：2022年北京市工业用地成交数据来源于中指数据，成交单价均表述为楼面单价（成交总额÷规划建筑面积），已与数据来源核实，无误。</w:t>
      </w:r>
    </w:p>
    <w:p>
      <w:pPr>
        <w:spacing w:line="480" w:lineRule="auto"/>
        <w:ind w:firstLine="560" w:firstLineChars="200"/>
        <w:rPr>
          <w:rFonts w:ascii="仿宋" w:hAnsi="仿宋" w:eastAsia="仿宋"/>
          <w:bCs/>
          <w:sz w:val="28"/>
          <w:szCs w:val="28"/>
        </w:rPr>
      </w:pPr>
      <w:r>
        <w:rPr>
          <w:rFonts w:hint="eastAsia" w:ascii="仿宋" w:hAnsi="仿宋" w:eastAsia="仿宋"/>
          <w:bCs/>
          <w:sz w:val="28"/>
          <w:szCs w:val="28"/>
        </w:rPr>
        <w:t>8.报告P27，“本次评估不以最高最佳利用状况为估价前提”。请核实仓储用途是否为评估对象的最佳利用？</w:t>
      </w:r>
    </w:p>
    <w:p>
      <w:pPr>
        <w:spacing w:line="500" w:lineRule="exact"/>
        <w:ind w:firstLine="562" w:firstLineChars="200"/>
        <w:rPr>
          <w:rFonts w:ascii="仿宋_GB2312" w:hAnsi="仿宋_GB2312" w:eastAsia="仿宋_GB2312" w:cs="仿宋_GB2312"/>
          <w:b/>
          <w:sz w:val="28"/>
          <w:szCs w:val="28"/>
        </w:rPr>
      </w:pPr>
      <w:r>
        <w:rPr>
          <w:rFonts w:hint="eastAsia" w:ascii="仿宋" w:hAnsi="仿宋" w:eastAsia="仿宋"/>
          <w:b/>
          <w:bCs/>
          <w:sz w:val="28"/>
          <w:szCs w:val="28"/>
        </w:rPr>
        <w:t>回复：</w:t>
      </w:r>
      <w:r>
        <w:rPr>
          <w:rFonts w:hint="eastAsia" w:ascii="仿宋_GB2312" w:hAnsi="仿宋_GB2312" w:eastAsia="仿宋_GB2312" w:cs="仿宋_GB2312"/>
          <w:b/>
          <w:sz w:val="28"/>
          <w:szCs w:val="28"/>
        </w:rPr>
        <w:t>估价对象所属项目的整体利用方向为仓储，从整理利用角度考虑，仓储用途为估价对象的最佳利用方式。报告P27相应调整。</w:t>
      </w:r>
    </w:p>
    <w:p>
      <w:pPr>
        <w:spacing w:line="480" w:lineRule="auto"/>
        <w:ind w:firstLine="560" w:firstLineChars="200"/>
        <w:rPr>
          <w:rFonts w:ascii="仿宋" w:hAnsi="仿宋" w:eastAsia="仿宋"/>
          <w:bCs/>
          <w:sz w:val="28"/>
          <w:szCs w:val="28"/>
        </w:rPr>
      </w:pPr>
      <w:r>
        <w:rPr>
          <w:rFonts w:hint="eastAsia" w:ascii="仿宋" w:hAnsi="仿宋" w:eastAsia="仿宋"/>
          <w:bCs/>
          <w:sz w:val="28"/>
          <w:szCs w:val="28"/>
        </w:rPr>
        <w:t>9.报告P31，①仓储用房是否有产权与能否注册的关系？②注册问题对仓储用房租金的影响？②承租方是否有注册公司的需求？</w:t>
      </w:r>
    </w:p>
    <w:p>
      <w:pPr>
        <w:spacing w:line="480" w:lineRule="auto"/>
        <w:ind w:firstLine="562" w:firstLineChars="200"/>
        <w:rPr>
          <w:rFonts w:ascii="仿宋" w:hAnsi="仿宋" w:eastAsia="仿宋"/>
          <w:b/>
          <w:bCs/>
          <w:sz w:val="28"/>
          <w:szCs w:val="28"/>
        </w:rPr>
      </w:pPr>
      <w:r>
        <w:rPr>
          <w:rFonts w:hint="eastAsia" w:ascii="仿宋" w:hAnsi="仿宋" w:eastAsia="仿宋"/>
          <w:b/>
          <w:bCs/>
          <w:sz w:val="28"/>
          <w:szCs w:val="28"/>
        </w:rPr>
        <w:t>回复：仓储用房原则上是可以用于注册公司的，但是地址必须有产证、是商用的、并且没有被注册过的才可以注册公司。根据评估专业人员市场调查，不能注册的仓储用房的租金水平低于能够注册的仓储用房租金水平。经询问估价委托人，目前仓库暂未开始对外招租，无法确定未来承租方是否有注册公司的需求。</w:t>
      </w:r>
    </w:p>
    <w:p>
      <w:pPr>
        <w:spacing w:line="480" w:lineRule="auto"/>
        <w:ind w:firstLine="560" w:firstLineChars="200"/>
        <w:rPr>
          <w:rFonts w:ascii="仿宋" w:hAnsi="仿宋" w:eastAsia="仿宋"/>
          <w:bCs/>
          <w:sz w:val="28"/>
          <w:szCs w:val="28"/>
        </w:rPr>
      </w:pPr>
      <w:r>
        <w:rPr>
          <w:rFonts w:hint="eastAsia" w:ascii="仿宋" w:hAnsi="仿宋" w:eastAsia="仿宋"/>
          <w:bCs/>
          <w:sz w:val="28"/>
          <w:szCs w:val="28"/>
          <w:highlight w:val="cyan"/>
        </w:rPr>
        <w:t>复审意见：请评估机构说明修正系数为1</w:t>
      </w:r>
      <w:r>
        <w:rPr>
          <w:rFonts w:ascii="仿宋" w:hAnsi="仿宋" w:eastAsia="仿宋"/>
          <w:bCs/>
          <w:sz w:val="28"/>
          <w:szCs w:val="28"/>
          <w:highlight w:val="cyan"/>
        </w:rPr>
        <w:t>15</w:t>
      </w:r>
      <w:r>
        <w:rPr>
          <w:rFonts w:hint="eastAsia" w:ascii="仿宋" w:hAnsi="仿宋" w:eastAsia="仿宋"/>
          <w:bCs/>
          <w:sz w:val="28"/>
          <w:szCs w:val="28"/>
          <w:highlight w:val="cyan"/>
        </w:rPr>
        <w:t>的合理性。</w:t>
      </w:r>
    </w:p>
    <w:p>
      <w:pPr>
        <w:ind w:firstLine="562" w:firstLineChars="200"/>
        <w:rPr>
          <w:rFonts w:ascii="仿宋_GB2312" w:hAnsi="仿宋_GB2312" w:eastAsia="仿宋_GB2312" w:cs="仿宋_GB2312"/>
          <w:b/>
          <w:sz w:val="28"/>
          <w:szCs w:val="28"/>
        </w:rPr>
      </w:pPr>
      <w:r>
        <w:rPr>
          <w:rFonts w:hint="eastAsia" w:ascii="仿宋" w:hAnsi="仿宋" w:eastAsia="仿宋"/>
          <w:b/>
          <w:bCs/>
          <w:sz w:val="28"/>
          <w:szCs w:val="28"/>
        </w:rPr>
        <w:t>20230602回复：</w:t>
      </w:r>
      <w:r>
        <w:rPr>
          <w:rFonts w:hint="eastAsia" w:ascii="仿宋_GB2312" w:hAnsi="仿宋_GB2312" w:eastAsia="仿宋_GB2312" w:cs="仿宋_GB2312"/>
          <w:b/>
          <w:sz w:val="28"/>
          <w:szCs w:val="28"/>
        </w:rPr>
        <w:t>通过评估专业人员对顺义区各板块仓储类用房的租赁市场调查，周边租赁信息如下：</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60"/>
        <w:gridCol w:w="3118"/>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2660" w:type="dxa"/>
            <w:shd w:val="clear" w:color="auto" w:fill="auto"/>
            <w:noWrap/>
            <w:vAlign w:val="center"/>
          </w:tcPr>
          <w:p>
            <w:pPr>
              <w:rPr>
                <w:rFonts w:eastAsia="仿宋_GB2312"/>
                <w:b/>
                <w:sz w:val="18"/>
                <w:szCs w:val="18"/>
              </w:rPr>
            </w:pPr>
            <w:r>
              <w:rPr>
                <w:rFonts w:hint="eastAsia" w:eastAsia="仿宋_GB2312"/>
                <w:b/>
                <w:sz w:val="18"/>
                <w:szCs w:val="18"/>
              </w:rPr>
              <w:t>出租案例</w:t>
            </w:r>
          </w:p>
        </w:tc>
        <w:tc>
          <w:tcPr>
            <w:tcW w:w="3118" w:type="dxa"/>
          </w:tcPr>
          <w:p>
            <w:pPr>
              <w:rPr>
                <w:rFonts w:eastAsia="仿宋_GB2312"/>
                <w:b/>
                <w:sz w:val="18"/>
                <w:szCs w:val="18"/>
              </w:rPr>
            </w:pPr>
            <w:r>
              <w:rPr>
                <w:rFonts w:hint="eastAsia" w:eastAsia="仿宋_GB2312"/>
                <w:b/>
                <w:sz w:val="18"/>
                <w:szCs w:val="18"/>
              </w:rPr>
              <w:t>有产权工业用房租金（元/㎡·天）</w:t>
            </w:r>
          </w:p>
        </w:tc>
        <w:tc>
          <w:tcPr>
            <w:tcW w:w="2744" w:type="dxa"/>
            <w:shd w:val="clear" w:color="auto" w:fill="auto"/>
            <w:noWrap/>
            <w:vAlign w:val="center"/>
          </w:tcPr>
          <w:p>
            <w:pPr>
              <w:rPr>
                <w:rFonts w:eastAsia="仿宋_GB2312"/>
                <w:b/>
                <w:sz w:val="18"/>
                <w:szCs w:val="18"/>
              </w:rPr>
            </w:pPr>
            <w:r>
              <w:rPr>
                <w:rFonts w:hint="eastAsia" w:eastAsia="仿宋_GB2312"/>
                <w:b/>
                <w:sz w:val="18"/>
                <w:szCs w:val="18"/>
              </w:rPr>
              <w:t>无产权工业用房租金（元/㎡·天）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2660" w:type="dxa"/>
            <w:shd w:val="clear" w:color="auto" w:fill="auto"/>
            <w:noWrap/>
            <w:vAlign w:val="center"/>
          </w:tcPr>
          <w:p>
            <w:pPr>
              <w:rPr>
                <w:rFonts w:eastAsia="仿宋_GB2312"/>
                <w:b/>
                <w:sz w:val="18"/>
                <w:szCs w:val="18"/>
              </w:rPr>
            </w:pPr>
            <w:r>
              <w:rPr>
                <w:rFonts w:hint="eastAsia" w:eastAsia="仿宋_GB2312"/>
                <w:b/>
                <w:sz w:val="18"/>
                <w:szCs w:val="18"/>
              </w:rPr>
              <w:t>顺义李桥镇工业</w:t>
            </w:r>
          </w:p>
        </w:tc>
        <w:tc>
          <w:tcPr>
            <w:tcW w:w="3118" w:type="dxa"/>
          </w:tcPr>
          <w:p>
            <w:pPr>
              <w:rPr>
                <w:rFonts w:eastAsia="仿宋_GB2312"/>
                <w:b/>
                <w:sz w:val="18"/>
                <w:szCs w:val="18"/>
              </w:rPr>
            </w:pPr>
            <w:r>
              <w:rPr>
                <w:rFonts w:hint="eastAsia" w:eastAsia="仿宋_GB2312"/>
                <w:b/>
                <w:sz w:val="18"/>
                <w:szCs w:val="18"/>
              </w:rPr>
              <w:t>1.1-1.2</w:t>
            </w:r>
          </w:p>
        </w:tc>
        <w:tc>
          <w:tcPr>
            <w:tcW w:w="2744" w:type="dxa"/>
            <w:shd w:val="clear" w:color="auto" w:fill="auto"/>
            <w:noWrap/>
            <w:vAlign w:val="center"/>
          </w:tcPr>
          <w:p>
            <w:pPr>
              <w:rPr>
                <w:rFonts w:eastAsia="仿宋_GB2312"/>
                <w:b/>
                <w:sz w:val="18"/>
                <w:szCs w:val="18"/>
              </w:rPr>
            </w:pPr>
            <w:r>
              <w:rPr>
                <w:rFonts w:hint="eastAsia" w:eastAsia="仿宋_GB2312"/>
                <w:b/>
                <w:sz w:val="18"/>
                <w:szCs w:val="18"/>
              </w:rPr>
              <w:t>0.95-1.05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2660" w:type="dxa"/>
            <w:shd w:val="clear" w:color="auto" w:fill="auto"/>
            <w:noWrap/>
            <w:vAlign w:val="center"/>
          </w:tcPr>
          <w:p>
            <w:pPr>
              <w:rPr>
                <w:rFonts w:eastAsia="仿宋_GB2312"/>
                <w:b/>
                <w:sz w:val="18"/>
                <w:szCs w:val="18"/>
              </w:rPr>
            </w:pPr>
            <w:r>
              <w:rPr>
                <w:rFonts w:hint="eastAsia" w:eastAsia="仿宋_GB2312"/>
                <w:b/>
                <w:sz w:val="18"/>
                <w:szCs w:val="18"/>
              </w:rPr>
              <w:t>顺义马坡镇工业</w:t>
            </w:r>
          </w:p>
        </w:tc>
        <w:tc>
          <w:tcPr>
            <w:tcW w:w="3118" w:type="dxa"/>
          </w:tcPr>
          <w:p>
            <w:pPr>
              <w:rPr>
                <w:rFonts w:eastAsia="仿宋_GB2312"/>
                <w:b/>
                <w:sz w:val="18"/>
                <w:szCs w:val="18"/>
              </w:rPr>
            </w:pPr>
            <w:r>
              <w:rPr>
                <w:rFonts w:hint="eastAsia" w:eastAsia="仿宋_GB2312"/>
                <w:b/>
                <w:sz w:val="18"/>
                <w:szCs w:val="18"/>
              </w:rPr>
              <w:t>1.4-1.5</w:t>
            </w:r>
          </w:p>
        </w:tc>
        <w:tc>
          <w:tcPr>
            <w:tcW w:w="2744" w:type="dxa"/>
            <w:shd w:val="clear" w:color="auto" w:fill="auto"/>
            <w:noWrap/>
            <w:vAlign w:val="center"/>
          </w:tcPr>
          <w:p>
            <w:pPr>
              <w:rPr>
                <w:rFonts w:eastAsia="仿宋_GB2312"/>
                <w:b/>
                <w:sz w:val="18"/>
                <w:szCs w:val="18"/>
              </w:rPr>
            </w:pPr>
            <w:r>
              <w:rPr>
                <w:rFonts w:hint="eastAsia" w:eastAsia="仿宋_GB2312"/>
                <w:b/>
                <w:sz w:val="18"/>
                <w:szCs w:val="18"/>
              </w:rPr>
              <w:t>1.2-1.35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2660" w:type="dxa"/>
            <w:shd w:val="clear" w:color="auto" w:fill="auto"/>
            <w:noWrap/>
            <w:vAlign w:val="center"/>
          </w:tcPr>
          <w:p>
            <w:pPr>
              <w:rPr>
                <w:rFonts w:eastAsia="仿宋_GB2312"/>
                <w:b/>
                <w:sz w:val="18"/>
                <w:szCs w:val="18"/>
              </w:rPr>
            </w:pPr>
            <w:r>
              <w:rPr>
                <w:rFonts w:hint="eastAsia" w:eastAsia="仿宋_GB2312"/>
                <w:b/>
                <w:sz w:val="18"/>
                <w:szCs w:val="18"/>
              </w:rPr>
              <w:t>顺义后沙峪镇工业</w:t>
            </w:r>
          </w:p>
        </w:tc>
        <w:tc>
          <w:tcPr>
            <w:tcW w:w="3118" w:type="dxa"/>
          </w:tcPr>
          <w:p>
            <w:pPr>
              <w:rPr>
                <w:rFonts w:eastAsia="仿宋_GB2312"/>
                <w:b/>
                <w:sz w:val="18"/>
                <w:szCs w:val="18"/>
              </w:rPr>
            </w:pPr>
            <w:r>
              <w:rPr>
                <w:rFonts w:hint="eastAsia" w:eastAsia="仿宋_GB2312"/>
                <w:b/>
                <w:sz w:val="18"/>
                <w:szCs w:val="18"/>
              </w:rPr>
              <w:t>1.2-1.3</w:t>
            </w:r>
          </w:p>
        </w:tc>
        <w:tc>
          <w:tcPr>
            <w:tcW w:w="2744" w:type="dxa"/>
            <w:shd w:val="clear" w:color="auto" w:fill="auto"/>
            <w:noWrap/>
            <w:vAlign w:val="center"/>
          </w:tcPr>
          <w:p>
            <w:pPr>
              <w:rPr>
                <w:rFonts w:eastAsia="仿宋_GB2312"/>
                <w:b/>
                <w:sz w:val="18"/>
                <w:szCs w:val="18"/>
              </w:rPr>
            </w:pPr>
            <w:r>
              <w:rPr>
                <w:rFonts w:hint="eastAsia" w:eastAsia="仿宋_GB2312"/>
                <w:b/>
                <w:sz w:val="18"/>
                <w:szCs w:val="18"/>
              </w:rPr>
              <w:t>1.0-1.15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2660" w:type="dxa"/>
            <w:shd w:val="clear" w:color="auto" w:fill="auto"/>
            <w:noWrap/>
            <w:vAlign w:val="center"/>
          </w:tcPr>
          <w:p>
            <w:pPr>
              <w:rPr>
                <w:rFonts w:eastAsia="仿宋_GB2312"/>
                <w:b/>
                <w:sz w:val="18"/>
                <w:szCs w:val="18"/>
              </w:rPr>
            </w:pPr>
            <w:r>
              <w:rPr>
                <w:rFonts w:hint="eastAsia" w:eastAsia="仿宋_GB2312"/>
                <w:b/>
                <w:sz w:val="18"/>
                <w:szCs w:val="18"/>
              </w:rPr>
              <w:t>顺义天竺镇工业</w:t>
            </w:r>
          </w:p>
        </w:tc>
        <w:tc>
          <w:tcPr>
            <w:tcW w:w="3118" w:type="dxa"/>
          </w:tcPr>
          <w:p>
            <w:pPr>
              <w:rPr>
                <w:rFonts w:eastAsia="仿宋_GB2312"/>
                <w:b/>
                <w:sz w:val="18"/>
                <w:szCs w:val="18"/>
              </w:rPr>
            </w:pPr>
            <w:r>
              <w:rPr>
                <w:rFonts w:hint="eastAsia" w:eastAsia="仿宋_GB2312"/>
                <w:b/>
                <w:sz w:val="18"/>
                <w:szCs w:val="18"/>
              </w:rPr>
              <w:t>1.5-1.6</w:t>
            </w:r>
          </w:p>
        </w:tc>
        <w:tc>
          <w:tcPr>
            <w:tcW w:w="2744" w:type="dxa"/>
            <w:shd w:val="clear" w:color="auto" w:fill="auto"/>
            <w:noWrap/>
            <w:vAlign w:val="center"/>
          </w:tcPr>
          <w:p>
            <w:pPr>
              <w:rPr>
                <w:rFonts w:eastAsia="仿宋_GB2312"/>
                <w:b/>
                <w:sz w:val="18"/>
                <w:szCs w:val="18"/>
              </w:rPr>
            </w:pPr>
            <w:r>
              <w:rPr>
                <w:rFonts w:hint="eastAsia" w:eastAsia="仿宋_GB2312"/>
                <w:b/>
                <w:sz w:val="18"/>
                <w:szCs w:val="18"/>
              </w:rPr>
              <w:t>1.35-1.4</w:t>
            </w:r>
          </w:p>
        </w:tc>
      </w:tr>
    </w:tbl>
    <w:p>
      <w:pPr>
        <w:pStyle w:val="14"/>
        <w:ind w:firstLine="0" w:firstLineChars="0"/>
        <w:rPr>
          <w:rFonts w:ascii="仿宋_GB2312" w:hAnsi="仿宋_GB2312" w:eastAsia="仿宋_GB2312" w:cs="仿宋_GB2312"/>
          <w:b/>
          <w:sz w:val="28"/>
          <w:szCs w:val="28"/>
        </w:rPr>
      </w:pPr>
      <w:r>
        <w:rPr>
          <w:rFonts w:hint="eastAsia" w:ascii="仿宋_GB2312" w:hAnsi="仿宋_GB2312" w:eastAsia="仿宋_GB2312" w:cs="仿宋_GB2312"/>
          <w:b/>
          <w:sz w:val="28"/>
          <w:szCs w:val="28"/>
        </w:rPr>
        <w:t>通过评估专业人员调查，租赁仓储类用房，有无产权涉及承租方是否能进行公司</w:t>
      </w:r>
      <w:r>
        <w:rPr>
          <w:rFonts w:hint="eastAsia" w:eastAsia="仿宋_GB2312"/>
          <w:b/>
          <w:bCs/>
          <w:sz w:val="28"/>
          <w:szCs w:val="28"/>
        </w:rPr>
        <w:t>注册，可能会对</w:t>
      </w:r>
      <w:r>
        <w:rPr>
          <w:rFonts w:hint="eastAsia" w:ascii="仿宋_GB2312" w:hAnsi="仿宋_GB2312" w:eastAsia="仿宋_GB2312" w:cs="仿宋_GB2312"/>
          <w:b/>
          <w:sz w:val="28"/>
          <w:szCs w:val="28"/>
        </w:rPr>
        <w:t>承租方享受区域政策优惠、缴纳税费等因素有影响，租金影响水平约在</w:t>
      </w:r>
      <w:r>
        <w:rPr>
          <w:rFonts w:ascii="仿宋_GB2312" w:hAnsi="仿宋_GB2312" w:eastAsia="仿宋_GB2312" w:cs="仿宋_GB2312"/>
          <w:b/>
          <w:sz w:val="28"/>
          <w:szCs w:val="28"/>
        </w:rPr>
        <w:t>15%-20%之间，结合评估师估价经验，最终确定其修正幅度为15%。</w:t>
      </w:r>
      <w:r>
        <w:rPr>
          <w:rFonts w:hint="eastAsia" w:ascii="仿宋_GB2312" w:hAnsi="仿宋_GB2312" w:eastAsia="仿宋_GB2312" w:cs="仿宋_GB2312"/>
          <w:b/>
          <w:sz w:val="28"/>
          <w:szCs w:val="28"/>
        </w:rPr>
        <w:t>根据房地产估价规范，单项因素的调整因素不宜超过20%，本次评估修正符合估价规范要求。</w:t>
      </w:r>
    </w:p>
    <w:p>
      <w:pPr>
        <w:spacing w:line="480" w:lineRule="auto"/>
        <w:ind w:firstLine="560" w:firstLineChars="200"/>
        <w:rPr>
          <w:rFonts w:ascii="仿宋" w:hAnsi="仿宋" w:eastAsia="仿宋"/>
          <w:bCs/>
          <w:sz w:val="28"/>
          <w:szCs w:val="28"/>
          <w:highlight w:val="yellow"/>
        </w:rPr>
      </w:pPr>
      <w:r>
        <w:rPr>
          <w:rFonts w:hint="eastAsia" w:ascii="仿宋" w:hAnsi="仿宋" w:eastAsia="仿宋"/>
          <w:bCs/>
          <w:sz w:val="28"/>
          <w:szCs w:val="28"/>
          <w:highlight w:val="yellow"/>
        </w:rPr>
        <w:t>三审意见：根据上述回复，评估机构修正系数选取差异比例的下限。但请评估机构核实计算过程，影响租金水平的比例是否为1</w:t>
      </w:r>
      <w:r>
        <w:rPr>
          <w:rFonts w:ascii="仿宋" w:hAnsi="仿宋" w:eastAsia="仿宋"/>
          <w:bCs/>
          <w:sz w:val="28"/>
          <w:szCs w:val="28"/>
          <w:highlight w:val="yellow"/>
        </w:rPr>
        <w:t>5%-20%</w:t>
      </w:r>
      <w:r>
        <w:rPr>
          <w:rFonts w:hint="eastAsia" w:ascii="仿宋" w:hAnsi="仿宋" w:eastAsia="仿宋"/>
          <w:bCs/>
          <w:sz w:val="28"/>
          <w:szCs w:val="28"/>
          <w:highlight w:val="yellow"/>
        </w:rPr>
        <w:t>。</w:t>
      </w:r>
    </w:p>
    <w:p>
      <w:pPr>
        <w:spacing w:line="480" w:lineRule="auto"/>
        <w:ind w:firstLine="562" w:firstLineChars="200"/>
        <w:rPr>
          <w:rFonts w:ascii="仿宋" w:hAnsi="仿宋" w:eastAsia="仿宋"/>
          <w:b/>
          <w:bCs/>
          <w:sz w:val="28"/>
          <w:szCs w:val="28"/>
        </w:rPr>
      </w:pPr>
      <w:r>
        <w:rPr>
          <w:rFonts w:hint="eastAsia" w:ascii="仿宋" w:hAnsi="仿宋" w:eastAsia="仿宋"/>
          <w:b/>
          <w:bCs/>
          <w:sz w:val="28"/>
          <w:szCs w:val="28"/>
        </w:rPr>
        <w:t>20230608回复：有产权工业用房租金与无产权工业用房租金的修正系数关系通过直接比较调整得出，直接比较调整是以估价对象状况为基准(即估价对象分值为100),将可比实例状况与估价对象状况进行比较,公式如下：</w:t>
      </w:r>
    </w:p>
    <w:p>
      <w:pPr>
        <w:spacing w:line="480" w:lineRule="auto"/>
        <w:ind w:firstLine="360" w:firstLineChars="200"/>
        <w:rPr>
          <w:rFonts w:ascii="仿宋" w:hAnsi="仿宋" w:eastAsia="仿宋"/>
          <w:b/>
          <w:bCs/>
          <w:sz w:val="28"/>
          <w:szCs w:val="28"/>
        </w:rPr>
      </w:pPr>
      <m:oMathPara>
        <m:oMathParaPr>
          <m:jc m:val="center"/>
        </m:oMathParaPr>
        <m:oMath>
          <m:r>
            <m:rPr>
              <m:sty m:val="p"/>
            </m:rPr>
            <w:rPr>
              <w:rFonts w:ascii="宋体" w:hAnsi="宋体" w:eastAsia="宋体" w:cs="宋体"/>
              <w:sz w:val="18"/>
              <w:szCs w:val="18"/>
            </w:rPr>
            <m:t>可比实例在估价对象状况下的价格</m:t>
          </m:r>
          <m:r>
            <m:rPr>
              <m:sty m:val="p"/>
            </m:rPr>
            <w:rPr>
              <w:rFonts w:ascii="Cambria Math" w:hAnsi="Cambria Math" w:eastAsia="Cambria Math" w:cs="Cambria Math"/>
              <w:sz w:val="18"/>
              <w:szCs w:val="18"/>
            </w:rPr>
            <m:t>=</m:t>
          </m:r>
          <m:r>
            <m:rPr>
              <m:sty m:val="p"/>
            </m:rPr>
            <w:rPr>
              <w:rFonts w:ascii="宋体" w:hAnsi="宋体" w:eastAsia="宋体" w:cs="宋体"/>
              <w:sz w:val="18"/>
              <w:szCs w:val="18"/>
            </w:rPr>
            <m:t>可比实例在其自身状况下的价格</m:t>
          </m:r>
          <m:r>
            <m:rPr>
              <m:sty m:val="p"/>
            </m:rPr>
            <w:rPr>
              <w:rFonts w:ascii="Cambria Math" w:hAnsi="Cambria Math" w:eastAsia="Cambria Math" w:cs="Cambria Math"/>
              <w:sz w:val="18"/>
              <w:szCs w:val="18"/>
            </w:rPr>
            <m:t>×</m:t>
          </m:r>
          <m:f>
            <m:fPr>
              <m:ctrlPr>
                <w:rPr>
                  <w:rFonts w:ascii="Cambria Math" w:hAnsi="Cambria Math" w:eastAsia="Cambria Math"/>
                  <w:bCs/>
                  <w:sz w:val="18"/>
                  <w:szCs w:val="18"/>
                </w:rPr>
              </m:ctrlPr>
            </m:fPr>
            <m:num>
              <m:r>
                <m:rPr>
                  <m:sty m:val="p"/>
                </m:rPr>
                <w:rPr>
                  <w:rFonts w:ascii="Cambria Math" w:hAnsi="Cambria Math" w:cs="Cambria Math"/>
                  <w:sz w:val="18"/>
                  <w:szCs w:val="18"/>
                </w:rPr>
                <m:t>100</m:t>
              </m:r>
              <m:ctrlPr>
                <w:rPr>
                  <w:rFonts w:ascii="Cambria Math" w:hAnsi="Cambria Math" w:eastAsia="Cambria Math"/>
                  <w:bCs/>
                  <w:sz w:val="18"/>
                  <w:szCs w:val="18"/>
                </w:rPr>
              </m:ctrlPr>
            </m:num>
            <m:den>
              <m:r>
                <m:rPr>
                  <m:sty m:val="p"/>
                </m:rPr>
                <w:rPr>
                  <w:rFonts w:ascii="Cambria Math" w:hAnsi="Cambria Math" w:cs="Cambria Math"/>
                  <w:sz w:val="18"/>
                  <w:szCs w:val="18"/>
                </w:rPr>
                <m:t>(                       )</m:t>
              </m:r>
              <m:ctrlPr>
                <w:rPr>
                  <w:rFonts w:ascii="Cambria Math" w:hAnsi="Cambria Math" w:eastAsia="Cambria Math"/>
                  <w:bCs/>
                  <w:sz w:val="18"/>
                  <w:szCs w:val="18"/>
                </w:rPr>
              </m:ctrlPr>
            </m:den>
          </m:f>
        </m:oMath>
      </m:oMathPara>
    </w:p>
    <w:p>
      <w:pPr>
        <w:spacing w:line="480" w:lineRule="auto"/>
        <w:ind w:firstLine="562" w:firstLineChars="200"/>
        <w:rPr>
          <w:rFonts w:ascii="仿宋" w:hAnsi="仿宋" w:eastAsia="仿宋"/>
          <w:b/>
          <w:bCs/>
          <w:sz w:val="28"/>
          <w:szCs w:val="28"/>
        </w:rPr>
      </w:pPr>
      <w:r>
        <w:rPr>
          <w:rFonts w:hint="eastAsia" w:ascii="仿宋" w:hAnsi="仿宋" w:eastAsia="仿宋"/>
          <w:b/>
          <w:bCs/>
          <w:sz w:val="28"/>
          <w:szCs w:val="28"/>
        </w:rPr>
        <w:t>上述公式中括号内数值即为可比实例在其自身状况下的分值,即:</w:t>
      </w:r>
    </w:p>
    <w:p>
      <w:pPr>
        <w:spacing w:line="480" w:lineRule="auto"/>
        <w:ind w:firstLine="360" w:firstLineChars="200"/>
        <w:rPr>
          <w:rFonts w:ascii="仿宋" w:hAnsi="仿宋" w:eastAsia="仿宋"/>
          <w:b/>
          <w:bCs/>
          <w:sz w:val="28"/>
          <w:szCs w:val="28"/>
        </w:rPr>
      </w:pPr>
      <m:oMathPara>
        <m:oMathParaPr>
          <m:jc m:val="center"/>
        </m:oMathParaPr>
        <m:oMath>
          <m:r>
            <m:rPr>
              <m:sty m:val="p"/>
            </m:rPr>
            <w:rPr>
              <w:rFonts w:hint="eastAsia" w:ascii="Cambria Math" w:hAnsi="Cambria Math" w:eastAsia="宋体" w:cs="宋体"/>
              <w:sz w:val="18"/>
              <w:szCs w:val="18"/>
            </w:rPr>
            <m:t>可比实例在其自身状况下的分值</m:t>
          </m:r>
          <m:r>
            <m:rPr>
              <m:sty m:val="p"/>
            </m:rPr>
            <w:rPr>
              <w:rFonts w:ascii="Cambria Math" w:hAnsi="Cambria Math" w:eastAsia="Cambria Math" w:cs="Cambria Math"/>
              <w:sz w:val="18"/>
              <w:szCs w:val="18"/>
            </w:rPr>
            <m:t>=</m:t>
          </m:r>
          <m:r>
            <m:rPr>
              <m:sty m:val="p"/>
            </m:rPr>
            <w:rPr>
              <w:rFonts w:ascii="Cambria Math" w:hAnsi="Cambria Math" w:eastAsia="宋体" w:cs="宋体"/>
              <w:sz w:val="18"/>
              <w:szCs w:val="18"/>
            </w:rPr>
            <m:t>100</m:t>
          </m:r>
          <m:r>
            <m:rPr>
              <m:sty m:val="p"/>
            </m:rPr>
            <w:rPr>
              <w:rFonts w:ascii="Cambria Math" w:hAnsi="Cambria Math" w:eastAsia="Cambria Math" w:cs="Cambria Math"/>
              <w:sz w:val="18"/>
              <w:szCs w:val="18"/>
            </w:rPr>
            <m:t>×</m:t>
          </m:r>
          <m:f>
            <m:fPr>
              <m:ctrlPr>
                <w:rPr>
                  <w:rFonts w:ascii="Cambria Math" w:hAnsi="Cambria Math" w:eastAsia="Cambria Math"/>
                  <w:bCs/>
                  <w:sz w:val="18"/>
                  <w:szCs w:val="18"/>
                </w:rPr>
              </m:ctrlPr>
            </m:fPr>
            <m:num>
              <m:r>
                <m:rPr>
                  <m:sty m:val="p"/>
                </m:rPr>
                <w:rPr>
                  <w:rFonts w:ascii="宋体" w:hAnsi="宋体" w:eastAsia="宋体" w:cs="宋体"/>
                  <w:sz w:val="18"/>
                  <w:szCs w:val="18"/>
                </w:rPr>
                <m:t>可比实例在其自身状况下的价格</m:t>
              </m:r>
              <m:ctrlPr>
                <w:rPr>
                  <w:rFonts w:ascii="Cambria Math" w:hAnsi="Cambria Math" w:eastAsia="Cambria Math"/>
                  <w:bCs/>
                  <w:sz w:val="18"/>
                  <w:szCs w:val="18"/>
                </w:rPr>
              </m:ctrlPr>
            </m:num>
            <m:den>
              <m:r>
                <m:rPr>
                  <m:sty m:val="p"/>
                </m:rPr>
                <w:rPr>
                  <w:rFonts w:ascii="宋体" w:hAnsi="宋体" w:eastAsia="宋体" w:cs="宋体"/>
                  <w:sz w:val="18"/>
                  <w:szCs w:val="18"/>
                </w:rPr>
                <m:t>可比实例在估价对象状况下的价格</m:t>
              </m:r>
              <m:ctrlPr>
                <w:rPr>
                  <w:rFonts w:ascii="Cambria Math" w:hAnsi="Cambria Math" w:eastAsia="Cambria Math"/>
                  <w:bCs/>
                  <w:sz w:val="18"/>
                  <w:szCs w:val="18"/>
                </w:rPr>
              </m:ctrlPr>
            </m:den>
          </m:f>
        </m:oMath>
      </m:oMathPara>
    </w:p>
    <w:p>
      <w:pPr>
        <w:spacing w:line="480" w:lineRule="auto"/>
        <w:ind w:firstLine="562" w:firstLineChars="200"/>
        <w:rPr>
          <w:rFonts w:ascii="仿宋" w:hAnsi="仿宋" w:eastAsia="仿宋"/>
          <w:b/>
          <w:bCs/>
          <w:sz w:val="28"/>
          <w:szCs w:val="28"/>
        </w:rPr>
      </w:pPr>
      <w:r>
        <w:rPr>
          <w:rFonts w:hint="eastAsia" w:ascii="仿宋" w:hAnsi="仿宋" w:eastAsia="仿宋"/>
          <w:b/>
          <w:bCs/>
          <w:sz w:val="28"/>
          <w:szCs w:val="28"/>
        </w:rPr>
        <w:t>因此,在将有产权条件下的租金调整为无产权条件下的租金时,有产权条件下的分值为:</w:t>
      </w:r>
    </w:p>
    <w:p>
      <w:pPr>
        <w:spacing w:line="480" w:lineRule="auto"/>
        <w:ind w:firstLine="360" w:firstLineChars="200"/>
        <w:rPr>
          <w:rFonts w:ascii="仿宋" w:hAnsi="仿宋" w:eastAsia="仿宋"/>
          <w:b/>
          <w:bCs/>
          <w:sz w:val="28"/>
          <w:szCs w:val="28"/>
        </w:rPr>
      </w:pPr>
      <m:oMathPara>
        <m:oMathParaPr>
          <m:jc m:val="center"/>
        </m:oMathParaPr>
        <m:oMath>
          <m:r>
            <m:rPr>
              <m:sty m:val="p"/>
            </m:rPr>
            <w:rPr>
              <w:rFonts w:hint="eastAsia" w:ascii="Cambria Math" w:hAnsi="Cambria Math" w:eastAsia="宋体" w:cs="宋体"/>
              <w:sz w:val="18"/>
              <w:szCs w:val="18"/>
            </w:rPr>
            <m:t>有产权条件</m:t>
          </m:r>
          <m:r>
            <m:rPr>
              <m:sty m:val="p"/>
            </m:rPr>
            <w:rPr>
              <w:rFonts w:ascii="Cambria Math" w:hAnsi="Cambria Math" w:eastAsia="宋体" w:cs="宋体"/>
              <w:sz w:val="18"/>
              <w:szCs w:val="18"/>
            </w:rPr>
            <m:t>下的分值</m:t>
          </m:r>
          <m:r>
            <m:rPr>
              <m:sty m:val="p"/>
            </m:rPr>
            <w:rPr>
              <w:rFonts w:ascii="Cambria Math" w:hAnsi="Cambria Math" w:eastAsia="Cambria Math" w:cs="Cambria Math"/>
              <w:sz w:val="18"/>
              <w:szCs w:val="18"/>
            </w:rPr>
            <m:t>=</m:t>
          </m:r>
          <m:r>
            <m:rPr>
              <m:sty m:val="p"/>
            </m:rPr>
            <w:rPr>
              <w:rFonts w:ascii="Cambria Math" w:hAnsi="Cambria Math" w:eastAsia="宋体" w:cs="宋体"/>
              <w:sz w:val="18"/>
              <w:szCs w:val="18"/>
            </w:rPr>
            <m:t>100</m:t>
          </m:r>
          <m:r>
            <m:rPr>
              <m:sty m:val="p"/>
            </m:rPr>
            <w:rPr>
              <w:rFonts w:ascii="Cambria Math" w:hAnsi="Cambria Math" w:eastAsia="Cambria Math" w:cs="Cambria Math"/>
              <w:sz w:val="18"/>
              <w:szCs w:val="18"/>
            </w:rPr>
            <m:t>×</m:t>
          </m:r>
          <m:f>
            <m:fPr>
              <m:ctrlPr>
                <w:rPr>
                  <w:rFonts w:ascii="Cambria Math" w:hAnsi="Cambria Math" w:eastAsia="Cambria Math"/>
                  <w:bCs/>
                  <w:sz w:val="18"/>
                  <w:szCs w:val="18"/>
                </w:rPr>
              </m:ctrlPr>
            </m:fPr>
            <m:num>
              <m:r>
                <m:rPr>
                  <m:sty m:val="p"/>
                </m:rPr>
                <w:rPr>
                  <w:rFonts w:hint="eastAsia" w:ascii="Cambria Math" w:hAnsi="Cambria Math" w:eastAsia="宋体" w:cs="宋体"/>
                  <w:sz w:val="18"/>
                  <w:szCs w:val="18"/>
                </w:rPr>
                <m:t>有产权工业用房租金</m:t>
              </m:r>
              <m:ctrlPr>
                <w:rPr>
                  <w:rFonts w:ascii="Cambria Math" w:hAnsi="Cambria Math" w:eastAsia="Cambria Math"/>
                  <w:bCs/>
                  <w:sz w:val="18"/>
                  <w:szCs w:val="18"/>
                </w:rPr>
              </m:ctrlPr>
            </m:num>
            <m:den>
              <m:r>
                <m:rPr>
                  <m:sty m:val="p"/>
                </m:rPr>
                <w:rPr>
                  <w:rFonts w:ascii="宋体" w:hAnsi="宋体" w:eastAsia="宋体" w:cs="宋体"/>
                  <w:sz w:val="18"/>
                  <w:szCs w:val="18"/>
                </w:rPr>
                <m:t>无产权工业用房租金</m:t>
              </m:r>
              <m:ctrlPr>
                <w:rPr>
                  <w:rFonts w:ascii="Cambria Math" w:hAnsi="Cambria Math" w:eastAsia="Cambria Math"/>
                  <w:bCs/>
                  <w:sz w:val="18"/>
                  <w:szCs w:val="18"/>
                </w:rPr>
              </m:ctrlPr>
            </m:den>
          </m:f>
        </m:oMath>
      </m:oMathPara>
    </w:p>
    <w:p>
      <w:pPr>
        <w:spacing w:line="480" w:lineRule="auto"/>
        <w:ind w:firstLine="562" w:firstLineChars="200"/>
        <w:rPr>
          <w:rFonts w:ascii="仿宋" w:hAnsi="仿宋" w:eastAsia="仿宋"/>
          <w:b/>
          <w:bCs/>
          <w:sz w:val="28"/>
          <w:szCs w:val="28"/>
        </w:rPr>
      </w:pPr>
      <w:r>
        <w:rPr>
          <w:rFonts w:hint="eastAsia" w:ascii="仿宋" w:hAnsi="仿宋" w:eastAsia="仿宋"/>
          <w:b/>
          <w:bCs/>
          <w:sz w:val="28"/>
          <w:szCs w:val="28"/>
        </w:rPr>
        <w:t>转化为调整比率:</w:t>
      </w:r>
    </w:p>
    <w:p>
      <w:pPr>
        <w:spacing w:line="480" w:lineRule="auto"/>
        <w:ind w:firstLine="360" w:firstLineChars="200"/>
        <w:rPr>
          <w:rFonts w:ascii="仿宋" w:hAnsi="仿宋"/>
          <w:b/>
          <w:bCs/>
          <w:sz w:val="28"/>
          <w:szCs w:val="28"/>
        </w:rPr>
      </w:pPr>
      <m:oMathPara>
        <m:oMathParaPr>
          <m:jc m:val="center"/>
        </m:oMathParaPr>
        <m:oMath>
          <m:r>
            <m:rPr>
              <m:sty m:val="p"/>
            </m:rPr>
            <w:rPr>
              <w:rFonts w:ascii="Cambria Math" w:hAnsi="宋体" w:eastAsia="宋体" w:cs="宋体"/>
              <w:sz w:val="18"/>
              <w:szCs w:val="18"/>
            </w:rPr>
            <m:t>调整比率</m:t>
          </m:r>
          <m:r>
            <m:rPr>
              <m:sty m:val="p"/>
            </m:rPr>
            <w:rPr>
              <w:rFonts w:ascii="Cambria Math" w:hAnsi="Cambria Math" w:eastAsia="Cambria Math" w:cs="Cambria Math"/>
              <w:sz w:val="18"/>
              <w:szCs w:val="18"/>
            </w:rPr>
            <m:t>=</m:t>
          </m:r>
          <m:f>
            <m:fPr>
              <m:ctrlPr>
                <w:rPr>
                  <w:rFonts w:ascii="Cambria Math" w:hAnsi="Cambria Math" w:eastAsia="Cambria Math"/>
                  <w:bCs/>
                  <w:sz w:val="18"/>
                  <w:szCs w:val="18"/>
                </w:rPr>
              </m:ctrlPr>
            </m:fPr>
            <m:num>
              <m:r>
                <m:rPr>
                  <m:sty m:val="p"/>
                </m:rPr>
                <w:rPr>
                  <w:rFonts w:hint="eastAsia" w:ascii="Cambria Math" w:hAnsi="Cambria Math" w:eastAsia="宋体" w:cs="宋体"/>
                  <w:sz w:val="18"/>
                  <w:szCs w:val="18"/>
                </w:rPr>
                <m:t>有产权工业用房租金</m:t>
              </m:r>
              <m:ctrlPr>
                <w:rPr>
                  <w:rFonts w:ascii="Cambria Math" w:hAnsi="Cambria Math" w:eastAsia="Cambria Math"/>
                  <w:bCs/>
                  <w:sz w:val="18"/>
                  <w:szCs w:val="18"/>
                </w:rPr>
              </m:ctrlPr>
            </m:num>
            <m:den>
              <m:r>
                <m:rPr>
                  <m:sty m:val="p"/>
                </m:rPr>
                <w:rPr>
                  <w:rFonts w:ascii="宋体" w:hAnsi="宋体" w:eastAsia="宋体" w:cs="宋体"/>
                  <w:sz w:val="18"/>
                  <w:szCs w:val="18"/>
                </w:rPr>
                <m:t>无产权工业用房租金</m:t>
              </m:r>
              <m:ctrlPr>
                <w:rPr>
                  <w:rFonts w:ascii="Cambria Math" w:hAnsi="Cambria Math" w:eastAsia="Cambria Math"/>
                  <w:bCs/>
                  <w:sz w:val="18"/>
                  <w:szCs w:val="18"/>
                </w:rPr>
              </m:ctrlPr>
            </m:den>
          </m:f>
          <m:r>
            <m:rPr>
              <m:sty m:val="p"/>
            </m:rPr>
            <w:rPr>
              <w:rFonts w:ascii="Cambria Math" w:hAnsi="Cambria Math" w:eastAsia="Cambria Math" w:cs="Cambria Math"/>
              <w:sz w:val="18"/>
              <w:szCs w:val="18"/>
            </w:rPr>
            <m:t>−1</m:t>
          </m:r>
        </m:oMath>
      </m:oMathPara>
    </w:p>
    <w:tbl>
      <w:tblPr>
        <w:tblStyle w:val="8"/>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1"/>
        <w:gridCol w:w="1992"/>
        <w:gridCol w:w="1992"/>
        <w:gridCol w:w="2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787" w:type="dxa"/>
            <w:shd w:val="clear" w:color="auto" w:fill="auto"/>
            <w:noWrap/>
            <w:vAlign w:val="center"/>
          </w:tcPr>
          <w:p>
            <w:pPr>
              <w:spacing w:line="240" w:lineRule="exact"/>
              <w:rPr>
                <w:rFonts w:eastAsia="仿宋_GB2312"/>
                <w:b/>
                <w:sz w:val="18"/>
                <w:szCs w:val="18"/>
              </w:rPr>
            </w:pPr>
            <w:r>
              <w:rPr>
                <w:rFonts w:hint="eastAsia" w:eastAsia="仿宋_GB2312"/>
                <w:b/>
                <w:sz w:val="18"/>
                <w:szCs w:val="18"/>
              </w:rPr>
              <w:t>出租案例</w:t>
            </w:r>
          </w:p>
        </w:tc>
        <w:tc>
          <w:tcPr>
            <w:tcW w:w="1843" w:type="dxa"/>
          </w:tcPr>
          <w:p>
            <w:pPr>
              <w:spacing w:line="240" w:lineRule="exact"/>
              <w:rPr>
                <w:rFonts w:eastAsia="仿宋_GB2312"/>
                <w:b/>
                <w:sz w:val="18"/>
                <w:szCs w:val="18"/>
              </w:rPr>
            </w:pPr>
            <w:r>
              <w:rPr>
                <w:rFonts w:hint="eastAsia" w:eastAsia="仿宋_GB2312"/>
                <w:b/>
                <w:sz w:val="18"/>
                <w:szCs w:val="18"/>
              </w:rPr>
              <w:t>有产权工业用房租金（元/㎡·天）</w:t>
            </w:r>
          </w:p>
        </w:tc>
        <w:tc>
          <w:tcPr>
            <w:tcW w:w="1843" w:type="dxa"/>
            <w:shd w:val="clear" w:color="auto" w:fill="auto"/>
            <w:noWrap/>
            <w:vAlign w:val="center"/>
          </w:tcPr>
          <w:p>
            <w:pPr>
              <w:spacing w:line="240" w:lineRule="exact"/>
              <w:rPr>
                <w:rFonts w:eastAsia="仿宋_GB2312"/>
                <w:b/>
                <w:sz w:val="18"/>
                <w:szCs w:val="18"/>
              </w:rPr>
            </w:pPr>
            <w:r>
              <w:rPr>
                <w:rFonts w:hint="eastAsia" w:eastAsia="仿宋_GB2312"/>
                <w:b/>
                <w:sz w:val="18"/>
                <w:szCs w:val="18"/>
              </w:rPr>
              <w:t>无产权工业用房租金（元/㎡·天）</w:t>
            </w:r>
          </w:p>
        </w:tc>
        <w:tc>
          <w:tcPr>
            <w:tcW w:w="2396" w:type="dxa"/>
            <w:shd w:val="clear" w:color="auto" w:fill="auto"/>
            <w:vAlign w:val="center"/>
          </w:tcPr>
          <w:p>
            <w:pPr>
              <w:spacing w:line="240" w:lineRule="exact"/>
              <w:rPr>
                <w:rFonts w:eastAsia="仿宋_GB2312"/>
                <w:b/>
                <w:sz w:val="18"/>
                <w:szCs w:val="18"/>
              </w:rPr>
            </w:pPr>
            <w:r>
              <w:rPr>
                <w:rFonts w:hint="eastAsia" w:eastAsia="仿宋_GB2312"/>
                <w:b/>
                <w:sz w:val="18"/>
                <w:szCs w:val="18"/>
              </w:rPr>
              <w:t>计算修正幅度（有产权租金</w:t>
            </w:r>
            <w:r>
              <w:rPr>
                <w:rFonts w:hint="eastAsia" w:ascii="仿宋" w:hAnsi="仿宋" w:eastAsia="仿宋"/>
                <w:b/>
                <w:sz w:val="18"/>
                <w:szCs w:val="18"/>
              </w:rPr>
              <w:t>÷</w:t>
            </w:r>
            <w:r>
              <w:rPr>
                <w:rFonts w:hint="eastAsia" w:eastAsia="仿宋_GB2312"/>
                <w:b/>
                <w:sz w:val="18"/>
                <w:szCs w:val="18"/>
              </w:rPr>
              <w:t>无产权工业租金-1）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9" w:hRule="atLeast"/>
          <w:jc w:val="center"/>
        </w:trPr>
        <w:tc>
          <w:tcPr>
            <w:tcW w:w="1787" w:type="dxa"/>
            <w:shd w:val="clear" w:color="auto" w:fill="auto"/>
            <w:noWrap/>
            <w:vAlign w:val="center"/>
          </w:tcPr>
          <w:p>
            <w:pPr>
              <w:spacing w:line="240" w:lineRule="exact"/>
              <w:rPr>
                <w:rFonts w:eastAsia="仿宋_GB2312"/>
                <w:b/>
                <w:sz w:val="18"/>
                <w:szCs w:val="18"/>
              </w:rPr>
            </w:pPr>
            <w:r>
              <w:rPr>
                <w:rFonts w:hint="eastAsia" w:eastAsia="仿宋_GB2312"/>
                <w:b/>
                <w:sz w:val="18"/>
                <w:szCs w:val="18"/>
              </w:rPr>
              <w:t>顺义李桥镇工业</w:t>
            </w:r>
          </w:p>
        </w:tc>
        <w:tc>
          <w:tcPr>
            <w:tcW w:w="1843" w:type="dxa"/>
          </w:tcPr>
          <w:p>
            <w:pPr>
              <w:spacing w:line="240" w:lineRule="exact"/>
              <w:rPr>
                <w:rFonts w:eastAsia="仿宋_GB2312"/>
                <w:b/>
                <w:sz w:val="18"/>
                <w:szCs w:val="18"/>
              </w:rPr>
            </w:pPr>
            <w:r>
              <w:rPr>
                <w:rFonts w:hint="eastAsia" w:eastAsia="仿宋_GB2312"/>
                <w:b/>
                <w:sz w:val="18"/>
                <w:szCs w:val="18"/>
              </w:rPr>
              <w:t>1.1-1.2</w:t>
            </w:r>
          </w:p>
        </w:tc>
        <w:tc>
          <w:tcPr>
            <w:tcW w:w="1843" w:type="dxa"/>
            <w:shd w:val="clear" w:color="auto" w:fill="auto"/>
            <w:noWrap/>
            <w:vAlign w:val="center"/>
          </w:tcPr>
          <w:p>
            <w:pPr>
              <w:spacing w:line="240" w:lineRule="exact"/>
              <w:rPr>
                <w:rFonts w:eastAsia="仿宋_GB2312"/>
                <w:b/>
                <w:sz w:val="18"/>
                <w:szCs w:val="18"/>
              </w:rPr>
            </w:pPr>
            <w:r>
              <w:rPr>
                <w:rFonts w:hint="eastAsia" w:eastAsia="仿宋_GB2312"/>
                <w:b/>
                <w:sz w:val="18"/>
                <w:szCs w:val="18"/>
              </w:rPr>
              <w:t>0.95-1.05</w:t>
            </w:r>
          </w:p>
        </w:tc>
        <w:tc>
          <w:tcPr>
            <w:tcW w:w="2396" w:type="dxa"/>
            <w:shd w:val="clear" w:color="auto" w:fill="auto"/>
            <w:vAlign w:val="center"/>
          </w:tcPr>
          <w:p>
            <w:pPr>
              <w:spacing w:line="240" w:lineRule="exact"/>
              <w:rPr>
                <w:rFonts w:eastAsia="仿宋_GB2312"/>
                <w:b/>
                <w:sz w:val="18"/>
                <w:szCs w:val="18"/>
              </w:rPr>
            </w:pPr>
            <w:r>
              <w:rPr>
                <w:rFonts w:hint="eastAsia" w:eastAsia="仿宋_GB2312"/>
                <w:b/>
                <w:sz w:val="18"/>
                <w:szCs w:val="18"/>
              </w:rPr>
              <w:t>14.2%-15.8%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787" w:type="dxa"/>
            <w:shd w:val="clear" w:color="auto" w:fill="auto"/>
            <w:noWrap/>
            <w:vAlign w:val="center"/>
          </w:tcPr>
          <w:p>
            <w:pPr>
              <w:spacing w:line="240" w:lineRule="exact"/>
              <w:rPr>
                <w:rFonts w:eastAsia="仿宋_GB2312"/>
                <w:b/>
                <w:sz w:val="18"/>
                <w:szCs w:val="18"/>
              </w:rPr>
            </w:pPr>
            <w:r>
              <w:rPr>
                <w:rFonts w:hint="eastAsia" w:eastAsia="仿宋_GB2312"/>
                <w:b/>
                <w:sz w:val="18"/>
                <w:szCs w:val="18"/>
              </w:rPr>
              <w:t>顺义马坡镇工业</w:t>
            </w:r>
          </w:p>
        </w:tc>
        <w:tc>
          <w:tcPr>
            <w:tcW w:w="1843" w:type="dxa"/>
          </w:tcPr>
          <w:p>
            <w:pPr>
              <w:spacing w:line="240" w:lineRule="exact"/>
              <w:rPr>
                <w:rFonts w:eastAsia="仿宋_GB2312"/>
                <w:b/>
                <w:sz w:val="18"/>
                <w:szCs w:val="18"/>
              </w:rPr>
            </w:pPr>
            <w:r>
              <w:rPr>
                <w:rFonts w:hint="eastAsia" w:eastAsia="仿宋_GB2312"/>
                <w:b/>
                <w:sz w:val="18"/>
                <w:szCs w:val="18"/>
              </w:rPr>
              <w:t>1.4-1.5</w:t>
            </w:r>
          </w:p>
        </w:tc>
        <w:tc>
          <w:tcPr>
            <w:tcW w:w="1843" w:type="dxa"/>
            <w:shd w:val="clear" w:color="auto" w:fill="auto"/>
            <w:noWrap/>
            <w:vAlign w:val="center"/>
          </w:tcPr>
          <w:p>
            <w:pPr>
              <w:spacing w:line="240" w:lineRule="exact"/>
              <w:rPr>
                <w:rFonts w:eastAsia="仿宋_GB2312"/>
                <w:b/>
                <w:sz w:val="18"/>
                <w:szCs w:val="18"/>
              </w:rPr>
            </w:pPr>
            <w:r>
              <w:rPr>
                <w:rFonts w:hint="eastAsia" w:eastAsia="仿宋_GB2312"/>
                <w:b/>
                <w:sz w:val="18"/>
                <w:szCs w:val="18"/>
              </w:rPr>
              <w:t>1.2-1.35</w:t>
            </w:r>
          </w:p>
        </w:tc>
        <w:tc>
          <w:tcPr>
            <w:tcW w:w="2396" w:type="dxa"/>
            <w:shd w:val="clear" w:color="auto" w:fill="auto"/>
            <w:vAlign w:val="center"/>
          </w:tcPr>
          <w:p>
            <w:pPr>
              <w:spacing w:line="240" w:lineRule="exact"/>
              <w:rPr>
                <w:rFonts w:eastAsia="仿宋_GB2312"/>
                <w:b/>
                <w:sz w:val="18"/>
                <w:szCs w:val="18"/>
              </w:rPr>
            </w:pPr>
            <w:r>
              <w:rPr>
                <w:rFonts w:hint="eastAsia" w:eastAsia="仿宋_GB2312"/>
                <w:b/>
                <w:sz w:val="18"/>
                <w:szCs w:val="18"/>
              </w:rPr>
              <w:t>11.1%-16.7%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787" w:type="dxa"/>
            <w:shd w:val="clear" w:color="auto" w:fill="auto"/>
            <w:noWrap/>
            <w:vAlign w:val="center"/>
          </w:tcPr>
          <w:p>
            <w:pPr>
              <w:spacing w:line="240" w:lineRule="exact"/>
              <w:rPr>
                <w:rFonts w:eastAsia="仿宋_GB2312"/>
                <w:b/>
                <w:sz w:val="18"/>
                <w:szCs w:val="18"/>
              </w:rPr>
            </w:pPr>
            <w:r>
              <w:rPr>
                <w:rFonts w:hint="eastAsia" w:eastAsia="仿宋_GB2312"/>
                <w:b/>
                <w:sz w:val="18"/>
                <w:szCs w:val="18"/>
              </w:rPr>
              <w:t>顺义后沙峪镇工业</w:t>
            </w:r>
          </w:p>
        </w:tc>
        <w:tc>
          <w:tcPr>
            <w:tcW w:w="1843" w:type="dxa"/>
          </w:tcPr>
          <w:p>
            <w:pPr>
              <w:spacing w:line="240" w:lineRule="exact"/>
              <w:rPr>
                <w:rFonts w:eastAsia="仿宋_GB2312"/>
                <w:b/>
                <w:sz w:val="18"/>
                <w:szCs w:val="18"/>
              </w:rPr>
            </w:pPr>
            <w:r>
              <w:rPr>
                <w:rFonts w:hint="eastAsia" w:eastAsia="仿宋_GB2312"/>
                <w:b/>
                <w:sz w:val="18"/>
                <w:szCs w:val="18"/>
              </w:rPr>
              <w:t>1.2-1.3</w:t>
            </w:r>
          </w:p>
        </w:tc>
        <w:tc>
          <w:tcPr>
            <w:tcW w:w="1843" w:type="dxa"/>
            <w:shd w:val="clear" w:color="auto" w:fill="auto"/>
            <w:noWrap/>
            <w:vAlign w:val="center"/>
          </w:tcPr>
          <w:p>
            <w:pPr>
              <w:spacing w:line="240" w:lineRule="exact"/>
              <w:rPr>
                <w:rFonts w:eastAsia="仿宋_GB2312"/>
                <w:b/>
                <w:sz w:val="18"/>
                <w:szCs w:val="18"/>
              </w:rPr>
            </w:pPr>
            <w:r>
              <w:rPr>
                <w:rFonts w:hint="eastAsia" w:eastAsia="仿宋_GB2312"/>
                <w:b/>
                <w:sz w:val="18"/>
                <w:szCs w:val="18"/>
              </w:rPr>
              <w:t>1.0-1.15</w:t>
            </w:r>
          </w:p>
        </w:tc>
        <w:tc>
          <w:tcPr>
            <w:tcW w:w="2396" w:type="dxa"/>
            <w:shd w:val="clear" w:color="auto" w:fill="auto"/>
            <w:vAlign w:val="center"/>
          </w:tcPr>
          <w:p>
            <w:pPr>
              <w:spacing w:line="240" w:lineRule="exact"/>
              <w:rPr>
                <w:rFonts w:eastAsia="仿宋_GB2312"/>
                <w:b/>
                <w:sz w:val="18"/>
                <w:szCs w:val="18"/>
              </w:rPr>
            </w:pPr>
            <w:r>
              <w:rPr>
                <w:rFonts w:hint="eastAsia" w:eastAsia="仿宋_GB2312"/>
                <w:b/>
                <w:sz w:val="18"/>
                <w:szCs w:val="18"/>
              </w:rPr>
              <w:t>13.0 %-20%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787" w:type="dxa"/>
            <w:shd w:val="clear" w:color="auto" w:fill="auto"/>
            <w:noWrap/>
            <w:vAlign w:val="center"/>
          </w:tcPr>
          <w:p>
            <w:pPr>
              <w:spacing w:line="240" w:lineRule="exact"/>
              <w:rPr>
                <w:rFonts w:eastAsia="仿宋_GB2312"/>
                <w:b/>
                <w:sz w:val="18"/>
                <w:szCs w:val="18"/>
              </w:rPr>
            </w:pPr>
            <w:r>
              <w:rPr>
                <w:rFonts w:hint="eastAsia" w:eastAsia="仿宋_GB2312"/>
                <w:b/>
                <w:sz w:val="18"/>
                <w:szCs w:val="18"/>
              </w:rPr>
              <w:t>顺义天竺镇工业</w:t>
            </w:r>
          </w:p>
        </w:tc>
        <w:tc>
          <w:tcPr>
            <w:tcW w:w="1843" w:type="dxa"/>
          </w:tcPr>
          <w:p>
            <w:pPr>
              <w:spacing w:line="240" w:lineRule="exact"/>
              <w:rPr>
                <w:rFonts w:eastAsia="仿宋_GB2312"/>
                <w:b/>
                <w:sz w:val="18"/>
                <w:szCs w:val="18"/>
              </w:rPr>
            </w:pPr>
            <w:r>
              <w:rPr>
                <w:rFonts w:hint="eastAsia" w:eastAsia="仿宋_GB2312"/>
                <w:b/>
                <w:sz w:val="18"/>
                <w:szCs w:val="18"/>
              </w:rPr>
              <w:t>1.5-1.6</w:t>
            </w:r>
          </w:p>
        </w:tc>
        <w:tc>
          <w:tcPr>
            <w:tcW w:w="1843" w:type="dxa"/>
            <w:shd w:val="clear" w:color="auto" w:fill="auto"/>
            <w:noWrap/>
            <w:vAlign w:val="center"/>
          </w:tcPr>
          <w:p>
            <w:pPr>
              <w:spacing w:line="240" w:lineRule="exact"/>
              <w:rPr>
                <w:rFonts w:eastAsia="仿宋_GB2312"/>
                <w:b/>
                <w:sz w:val="18"/>
                <w:szCs w:val="18"/>
              </w:rPr>
            </w:pPr>
            <w:r>
              <w:rPr>
                <w:rFonts w:hint="eastAsia" w:eastAsia="仿宋_GB2312"/>
                <w:b/>
                <w:sz w:val="18"/>
                <w:szCs w:val="18"/>
              </w:rPr>
              <w:t>1.35-1.4</w:t>
            </w:r>
          </w:p>
        </w:tc>
        <w:tc>
          <w:tcPr>
            <w:tcW w:w="2396" w:type="dxa"/>
            <w:shd w:val="clear" w:color="auto" w:fill="auto"/>
            <w:vAlign w:val="center"/>
          </w:tcPr>
          <w:p>
            <w:pPr>
              <w:spacing w:line="240" w:lineRule="exact"/>
              <w:rPr>
                <w:rFonts w:eastAsia="仿宋_GB2312"/>
                <w:b/>
                <w:sz w:val="18"/>
                <w:szCs w:val="18"/>
              </w:rPr>
            </w:pPr>
            <w:r>
              <w:rPr>
                <w:rFonts w:hint="eastAsia" w:eastAsia="仿宋_GB2312"/>
                <w:b/>
                <w:sz w:val="18"/>
                <w:szCs w:val="18"/>
              </w:rPr>
              <w:t>11.1%-14.3%-</w:t>
            </w:r>
          </w:p>
        </w:tc>
      </w:tr>
    </w:tbl>
    <w:p>
      <w:pPr>
        <w:spacing w:line="480" w:lineRule="auto"/>
        <w:ind w:firstLine="562" w:firstLineChars="200"/>
        <w:rPr>
          <w:rFonts w:ascii="仿宋" w:hAnsi="仿宋" w:eastAsia="仿宋"/>
          <w:b/>
          <w:bCs/>
          <w:sz w:val="28"/>
          <w:szCs w:val="28"/>
        </w:rPr>
      </w:pPr>
      <w:r>
        <w:rPr>
          <w:rFonts w:hint="eastAsia" w:ascii="仿宋" w:hAnsi="仿宋" w:eastAsia="仿宋"/>
          <w:b/>
          <w:bCs/>
          <w:sz w:val="28"/>
          <w:szCs w:val="28"/>
        </w:rPr>
        <w:t>按照上述计算结果,差异幅度在11.1%-20%之间,评估取值15%为上述计算结果的中间值</w:t>
      </w:r>
      <w:r>
        <w:rPr>
          <w:rFonts w:ascii="仿宋" w:hAnsi="仿宋" w:eastAsia="仿宋"/>
          <w:b/>
          <w:bCs/>
          <w:sz w:val="28"/>
          <w:szCs w:val="28"/>
        </w:rPr>
        <w:t>。</w:t>
      </w:r>
    </w:p>
    <w:p>
      <w:pPr>
        <w:spacing w:line="480" w:lineRule="auto"/>
        <w:ind w:firstLine="562" w:firstLineChars="200"/>
        <w:rPr>
          <w:rFonts w:ascii="仿宋" w:hAnsi="仿宋" w:eastAsia="仿宋"/>
          <w:b/>
          <w:bCs/>
          <w:sz w:val="28"/>
          <w:szCs w:val="28"/>
        </w:rPr>
      </w:pPr>
      <w:r>
        <w:rPr>
          <w:rFonts w:hint="eastAsia" w:ascii="仿宋" w:hAnsi="仿宋" w:eastAsia="仿宋"/>
          <w:b/>
          <w:bCs/>
          <w:sz w:val="28"/>
          <w:szCs w:val="28"/>
        </w:rPr>
        <w:t>若按上表所列下限值11.1%计算,保留小数点后一位时，无产权工业用房租金的计算结果无变化；保留小数点后两位时，计算结果东西罩棚仓为1.02元/平方米</w:t>
      </w:r>
      <w:r>
        <w:rPr>
          <w:rFonts w:hint="eastAsia" w:ascii="宋体" w:hAnsi="宋体" w:eastAsia="宋体"/>
          <w:b/>
          <w:bCs/>
          <w:sz w:val="28"/>
          <w:szCs w:val="28"/>
        </w:rPr>
        <w:t>•</w:t>
      </w:r>
      <w:r>
        <w:rPr>
          <w:rFonts w:hint="eastAsia" w:ascii="仿宋" w:hAnsi="仿宋" w:eastAsia="仿宋"/>
          <w:b/>
          <w:bCs/>
          <w:sz w:val="28"/>
          <w:szCs w:val="28"/>
        </w:rPr>
        <w:t>天，3号仓为</w:t>
      </w:r>
      <w:r>
        <w:rPr>
          <w:rFonts w:ascii="仿宋" w:hAnsi="仿宋" w:eastAsia="仿宋"/>
          <w:b/>
          <w:bCs/>
          <w:sz w:val="28"/>
          <w:szCs w:val="28"/>
        </w:rPr>
        <w:t>1.</w:t>
      </w:r>
      <w:r>
        <w:rPr>
          <w:rFonts w:hint="eastAsia" w:ascii="仿宋" w:hAnsi="仿宋" w:eastAsia="仿宋"/>
          <w:b/>
          <w:bCs/>
          <w:sz w:val="28"/>
          <w:szCs w:val="28"/>
        </w:rPr>
        <w:t>41</w:t>
      </w:r>
      <w:r>
        <w:rPr>
          <w:rFonts w:ascii="仿宋" w:hAnsi="仿宋" w:eastAsia="仿宋"/>
          <w:b/>
          <w:bCs/>
          <w:sz w:val="28"/>
          <w:szCs w:val="28"/>
        </w:rPr>
        <w:t>元/平方米•天</w:t>
      </w:r>
      <w:r>
        <w:rPr>
          <w:rFonts w:hint="eastAsia"/>
        </w:rPr>
        <w:t>。</w:t>
      </w:r>
      <w:r>
        <w:rPr>
          <w:rFonts w:hint="eastAsia" w:ascii="仿宋" w:hAnsi="仿宋" w:eastAsia="仿宋"/>
          <w:b/>
          <w:bCs/>
          <w:sz w:val="28"/>
          <w:szCs w:val="28"/>
        </w:rPr>
        <w:t>年租金见下表：</w:t>
      </w:r>
    </w:p>
    <w:tbl>
      <w:tblPr>
        <w:tblStyle w:val="9"/>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5"/>
        <w:gridCol w:w="2126"/>
        <w:gridCol w:w="2127"/>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Pr>
          <w:p>
            <w:pPr>
              <w:spacing w:line="240" w:lineRule="exact"/>
              <w:rPr>
                <w:rFonts w:eastAsia="仿宋_GB2312"/>
                <w:b/>
                <w:sz w:val="18"/>
                <w:szCs w:val="18"/>
              </w:rPr>
            </w:pPr>
          </w:p>
        </w:tc>
        <w:tc>
          <w:tcPr>
            <w:tcW w:w="2130" w:type="dxa"/>
          </w:tcPr>
          <w:p>
            <w:pPr>
              <w:spacing w:line="240" w:lineRule="exact"/>
              <w:rPr>
                <w:rFonts w:eastAsia="仿宋_GB2312"/>
                <w:b/>
                <w:sz w:val="18"/>
                <w:szCs w:val="18"/>
              </w:rPr>
            </w:pPr>
            <w:r>
              <w:rPr>
                <w:rFonts w:hint="eastAsia" w:eastAsia="仿宋_GB2312"/>
                <w:b/>
                <w:sz w:val="18"/>
                <w:szCs w:val="18"/>
              </w:rPr>
              <w:t>面积（平方米）</w:t>
            </w:r>
          </w:p>
        </w:tc>
        <w:tc>
          <w:tcPr>
            <w:tcW w:w="2131" w:type="dxa"/>
          </w:tcPr>
          <w:p>
            <w:pPr>
              <w:spacing w:line="240" w:lineRule="exact"/>
              <w:rPr>
                <w:rFonts w:eastAsia="仿宋_GB2312"/>
                <w:b/>
                <w:sz w:val="18"/>
                <w:szCs w:val="18"/>
              </w:rPr>
            </w:pPr>
            <w:r>
              <w:rPr>
                <w:rFonts w:hint="eastAsia" w:eastAsia="仿宋_GB2312"/>
                <w:b/>
                <w:sz w:val="18"/>
                <w:szCs w:val="18"/>
              </w:rPr>
              <w:t>日租金（元</w:t>
            </w:r>
            <w:r>
              <w:rPr>
                <w:rFonts w:eastAsia="仿宋_GB2312"/>
                <w:b/>
                <w:sz w:val="18"/>
                <w:szCs w:val="18"/>
              </w:rPr>
              <w:t>/平方米•天</w:t>
            </w:r>
            <w:r>
              <w:rPr>
                <w:rFonts w:hint="eastAsia" w:eastAsia="仿宋_GB2312"/>
                <w:b/>
                <w:sz w:val="18"/>
                <w:szCs w:val="18"/>
              </w:rPr>
              <w:t>）</w:t>
            </w:r>
          </w:p>
        </w:tc>
        <w:tc>
          <w:tcPr>
            <w:tcW w:w="2131" w:type="dxa"/>
          </w:tcPr>
          <w:p>
            <w:pPr>
              <w:spacing w:line="240" w:lineRule="exact"/>
              <w:rPr>
                <w:rFonts w:eastAsia="仿宋_GB2312"/>
                <w:b/>
                <w:sz w:val="18"/>
                <w:szCs w:val="18"/>
              </w:rPr>
            </w:pPr>
            <w:r>
              <w:rPr>
                <w:rFonts w:hint="eastAsia" w:eastAsia="仿宋_GB2312"/>
                <w:b/>
                <w:sz w:val="18"/>
                <w:szCs w:val="18"/>
              </w:rPr>
              <w:t>年租金（元）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Pr>
          <w:p>
            <w:pPr>
              <w:spacing w:line="240" w:lineRule="exact"/>
              <w:rPr>
                <w:rFonts w:eastAsia="仿宋_GB2312"/>
                <w:b/>
                <w:sz w:val="18"/>
                <w:szCs w:val="18"/>
              </w:rPr>
            </w:pPr>
            <w:r>
              <w:rPr>
                <w:rFonts w:hint="eastAsia" w:eastAsia="仿宋_GB2312"/>
                <w:b/>
                <w:sz w:val="18"/>
                <w:szCs w:val="18"/>
              </w:rPr>
              <w:t>东罩棚仓</w:t>
            </w:r>
          </w:p>
        </w:tc>
        <w:tc>
          <w:tcPr>
            <w:tcW w:w="2130" w:type="dxa"/>
          </w:tcPr>
          <w:p>
            <w:pPr>
              <w:spacing w:line="240" w:lineRule="exact"/>
              <w:rPr>
                <w:rFonts w:eastAsia="仿宋_GB2312"/>
                <w:b/>
                <w:sz w:val="18"/>
                <w:szCs w:val="18"/>
              </w:rPr>
            </w:pPr>
            <w:r>
              <w:rPr>
                <w:rFonts w:hint="eastAsia" w:eastAsia="仿宋_GB2312"/>
                <w:b/>
                <w:sz w:val="18"/>
                <w:szCs w:val="18"/>
              </w:rPr>
              <w:t>1318</w:t>
            </w:r>
          </w:p>
        </w:tc>
        <w:tc>
          <w:tcPr>
            <w:tcW w:w="2131" w:type="dxa"/>
          </w:tcPr>
          <w:p>
            <w:pPr>
              <w:spacing w:line="240" w:lineRule="exact"/>
              <w:rPr>
                <w:rFonts w:eastAsia="仿宋_GB2312"/>
                <w:b/>
                <w:sz w:val="18"/>
                <w:szCs w:val="18"/>
              </w:rPr>
            </w:pPr>
            <w:r>
              <w:rPr>
                <w:rFonts w:hint="eastAsia" w:eastAsia="仿宋_GB2312"/>
                <w:b/>
                <w:sz w:val="18"/>
                <w:szCs w:val="18"/>
              </w:rPr>
              <w:t>1.02</w:t>
            </w:r>
          </w:p>
        </w:tc>
        <w:tc>
          <w:tcPr>
            <w:tcW w:w="2131" w:type="dxa"/>
          </w:tcPr>
          <w:p>
            <w:pPr>
              <w:spacing w:line="240" w:lineRule="exact"/>
              <w:rPr>
                <w:rFonts w:eastAsia="仿宋_GB2312"/>
                <w:b/>
                <w:sz w:val="18"/>
                <w:szCs w:val="18"/>
              </w:rPr>
            </w:pPr>
            <w:r>
              <w:rPr>
                <w:rFonts w:hint="eastAsia" w:eastAsia="仿宋_GB2312"/>
                <w:b/>
                <w:sz w:val="18"/>
                <w:szCs w:val="18"/>
              </w:rPr>
              <w:t>490691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Pr>
          <w:p>
            <w:pPr>
              <w:spacing w:line="240" w:lineRule="exact"/>
              <w:rPr>
                <w:rFonts w:eastAsia="仿宋_GB2312"/>
                <w:b/>
                <w:sz w:val="18"/>
                <w:szCs w:val="18"/>
              </w:rPr>
            </w:pPr>
            <w:r>
              <w:rPr>
                <w:rFonts w:hint="eastAsia" w:eastAsia="仿宋_GB2312"/>
                <w:b/>
                <w:sz w:val="18"/>
                <w:szCs w:val="18"/>
              </w:rPr>
              <w:t>西罩棚仓</w:t>
            </w:r>
          </w:p>
        </w:tc>
        <w:tc>
          <w:tcPr>
            <w:tcW w:w="2130" w:type="dxa"/>
          </w:tcPr>
          <w:p>
            <w:pPr>
              <w:spacing w:line="240" w:lineRule="exact"/>
              <w:rPr>
                <w:rFonts w:eastAsia="仿宋_GB2312"/>
                <w:b/>
                <w:sz w:val="18"/>
                <w:szCs w:val="18"/>
              </w:rPr>
            </w:pPr>
            <w:r>
              <w:rPr>
                <w:rFonts w:hint="eastAsia" w:eastAsia="仿宋_GB2312"/>
                <w:b/>
                <w:sz w:val="18"/>
                <w:szCs w:val="18"/>
              </w:rPr>
              <w:t>1434</w:t>
            </w:r>
          </w:p>
        </w:tc>
        <w:tc>
          <w:tcPr>
            <w:tcW w:w="2131" w:type="dxa"/>
          </w:tcPr>
          <w:p>
            <w:pPr>
              <w:spacing w:line="240" w:lineRule="exact"/>
              <w:rPr>
                <w:rFonts w:eastAsia="仿宋_GB2312"/>
                <w:b/>
                <w:sz w:val="18"/>
                <w:szCs w:val="18"/>
              </w:rPr>
            </w:pPr>
            <w:r>
              <w:rPr>
                <w:rFonts w:hint="eastAsia" w:eastAsia="仿宋_GB2312"/>
                <w:b/>
                <w:sz w:val="18"/>
                <w:szCs w:val="18"/>
              </w:rPr>
              <w:t>1.02</w:t>
            </w:r>
          </w:p>
        </w:tc>
        <w:tc>
          <w:tcPr>
            <w:tcW w:w="2131" w:type="dxa"/>
          </w:tcPr>
          <w:p>
            <w:pPr>
              <w:spacing w:line="240" w:lineRule="exact"/>
              <w:rPr>
                <w:rFonts w:eastAsia="仿宋_GB2312"/>
                <w:b/>
                <w:sz w:val="18"/>
                <w:szCs w:val="18"/>
              </w:rPr>
            </w:pPr>
            <w:r>
              <w:rPr>
                <w:rFonts w:hint="eastAsia" w:eastAsia="仿宋_GB2312"/>
                <w:b/>
                <w:sz w:val="18"/>
                <w:szCs w:val="18"/>
              </w:rPr>
              <w:t>533878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Pr>
          <w:p>
            <w:pPr>
              <w:spacing w:line="240" w:lineRule="exact"/>
              <w:rPr>
                <w:rFonts w:eastAsia="仿宋_GB2312"/>
                <w:b/>
                <w:sz w:val="18"/>
                <w:szCs w:val="18"/>
              </w:rPr>
            </w:pPr>
            <w:r>
              <w:rPr>
                <w:rFonts w:hint="eastAsia" w:eastAsia="仿宋_GB2312"/>
                <w:b/>
                <w:sz w:val="18"/>
                <w:szCs w:val="18"/>
              </w:rPr>
              <w:t>3号仓</w:t>
            </w:r>
          </w:p>
        </w:tc>
        <w:tc>
          <w:tcPr>
            <w:tcW w:w="2130" w:type="dxa"/>
          </w:tcPr>
          <w:p>
            <w:pPr>
              <w:spacing w:line="240" w:lineRule="exact"/>
              <w:rPr>
                <w:rFonts w:eastAsia="仿宋_GB2312"/>
                <w:b/>
                <w:sz w:val="18"/>
                <w:szCs w:val="18"/>
              </w:rPr>
            </w:pPr>
            <w:r>
              <w:rPr>
                <w:rFonts w:hint="eastAsia" w:eastAsia="仿宋_GB2312"/>
                <w:b/>
                <w:sz w:val="18"/>
                <w:szCs w:val="18"/>
              </w:rPr>
              <w:t>1600</w:t>
            </w:r>
          </w:p>
        </w:tc>
        <w:tc>
          <w:tcPr>
            <w:tcW w:w="2131" w:type="dxa"/>
          </w:tcPr>
          <w:p>
            <w:pPr>
              <w:spacing w:line="240" w:lineRule="exact"/>
              <w:rPr>
                <w:rFonts w:eastAsia="仿宋_GB2312"/>
                <w:b/>
                <w:sz w:val="18"/>
                <w:szCs w:val="18"/>
              </w:rPr>
            </w:pPr>
            <w:r>
              <w:rPr>
                <w:rFonts w:hint="eastAsia" w:eastAsia="仿宋_GB2312"/>
                <w:b/>
                <w:sz w:val="18"/>
                <w:szCs w:val="18"/>
              </w:rPr>
              <w:t>1.41</w:t>
            </w:r>
          </w:p>
        </w:tc>
        <w:tc>
          <w:tcPr>
            <w:tcW w:w="2131" w:type="dxa"/>
          </w:tcPr>
          <w:p>
            <w:pPr>
              <w:spacing w:line="240" w:lineRule="exact"/>
              <w:rPr>
                <w:rFonts w:eastAsia="仿宋_GB2312"/>
                <w:b/>
                <w:sz w:val="18"/>
                <w:szCs w:val="18"/>
              </w:rPr>
            </w:pPr>
            <w:r>
              <w:rPr>
                <w:rFonts w:eastAsia="仿宋_GB2312"/>
                <w:b/>
                <w:sz w:val="18"/>
                <w:szCs w:val="18"/>
              </w:rPr>
              <w:t>823440</w:t>
            </w:r>
          </w:p>
        </w:tc>
      </w:tr>
    </w:tbl>
    <w:p>
      <w:pPr>
        <w:spacing w:line="480" w:lineRule="auto"/>
        <w:ind w:firstLine="562" w:firstLineChars="200"/>
        <w:rPr>
          <w:rFonts w:ascii="仿宋" w:hAnsi="仿宋" w:eastAsia="仿宋"/>
          <w:b/>
          <w:bCs/>
          <w:sz w:val="28"/>
          <w:szCs w:val="28"/>
        </w:rPr>
      </w:pPr>
      <w:r>
        <w:rPr>
          <w:rFonts w:hint="eastAsia" w:ascii="仿宋" w:hAnsi="仿宋" w:eastAsia="仿宋"/>
          <w:b/>
          <w:bCs/>
          <w:sz w:val="28"/>
          <w:szCs w:val="28"/>
        </w:rPr>
        <w:t>修正幅度调至11.1%，日租金保留小数点后两位，年租金较原估价结果上浮2%，其中：东罩棚仓原结果为481070元/年，增加9621元/年；西罩棚仓原结果为523410元/年，增加10468元/年；3号仓原结果为</w:t>
      </w:r>
      <w:r>
        <w:rPr>
          <w:rFonts w:ascii="仿宋" w:hAnsi="仿宋" w:eastAsia="仿宋"/>
          <w:b/>
          <w:bCs/>
          <w:sz w:val="28"/>
          <w:szCs w:val="28"/>
        </w:rPr>
        <w:t>817600</w:t>
      </w:r>
      <w:r>
        <w:rPr>
          <w:rFonts w:hint="eastAsia" w:ascii="仿宋" w:hAnsi="仿宋" w:eastAsia="仿宋"/>
          <w:b/>
          <w:bCs/>
          <w:sz w:val="28"/>
          <w:szCs w:val="28"/>
        </w:rPr>
        <w:t>元</w:t>
      </w:r>
      <w:r>
        <w:rPr>
          <w:rFonts w:ascii="仿宋" w:hAnsi="仿宋" w:eastAsia="仿宋"/>
          <w:b/>
          <w:bCs/>
          <w:sz w:val="28"/>
          <w:szCs w:val="28"/>
        </w:rPr>
        <w:t>/年</w:t>
      </w:r>
      <w:r>
        <w:rPr>
          <w:rFonts w:hint="eastAsia" w:ascii="仿宋" w:hAnsi="仿宋" w:eastAsia="仿宋"/>
          <w:b/>
          <w:bCs/>
          <w:sz w:val="28"/>
          <w:szCs w:val="28"/>
        </w:rPr>
        <w:t>，增加5840</w:t>
      </w:r>
      <w:r>
        <w:rPr>
          <w:rFonts w:ascii="仿宋" w:hAnsi="仿宋" w:eastAsia="仿宋"/>
          <w:b/>
          <w:bCs/>
          <w:sz w:val="28"/>
          <w:szCs w:val="28"/>
        </w:rPr>
        <w:t>元/年</w:t>
      </w:r>
      <w:r>
        <w:rPr>
          <w:rFonts w:hint="eastAsia" w:ascii="仿宋" w:hAnsi="仿宋" w:eastAsia="仿宋"/>
          <w:b/>
          <w:bCs/>
          <w:sz w:val="28"/>
          <w:szCs w:val="28"/>
        </w:rPr>
        <w:t>。</w:t>
      </w:r>
    </w:p>
    <w:p>
      <w:pPr>
        <w:spacing w:line="480" w:lineRule="auto"/>
        <w:ind w:firstLine="562" w:firstLineChars="200"/>
        <w:rPr>
          <w:rFonts w:ascii="仿宋" w:hAnsi="仿宋" w:eastAsia="仿宋"/>
          <w:b/>
          <w:bCs/>
          <w:sz w:val="28"/>
          <w:szCs w:val="28"/>
        </w:rPr>
      </w:pPr>
      <w:r>
        <w:rPr>
          <w:rFonts w:hint="eastAsia" w:ascii="仿宋" w:hAnsi="仿宋" w:eastAsia="仿宋"/>
          <w:b/>
          <w:bCs/>
          <w:sz w:val="28"/>
          <w:szCs w:val="28"/>
        </w:rPr>
        <w:t>根据上述测算结果，本着合理范围内企业利益最大化原则，本次评估将原修正比例15%调整至11.1%，报告已做同步调整。</w:t>
      </w:r>
    </w:p>
    <w:p>
      <w:pPr>
        <w:spacing w:line="480" w:lineRule="auto"/>
        <w:ind w:firstLine="560" w:firstLineChars="200"/>
        <w:rPr>
          <w:rFonts w:ascii="仿宋" w:hAnsi="仿宋" w:eastAsia="仿宋"/>
          <w:bCs/>
          <w:sz w:val="28"/>
          <w:szCs w:val="28"/>
        </w:rPr>
      </w:pPr>
      <w:r>
        <w:rPr>
          <w:rFonts w:hint="eastAsia" w:ascii="仿宋" w:hAnsi="仿宋" w:eastAsia="仿宋"/>
          <w:bCs/>
          <w:sz w:val="28"/>
          <w:szCs w:val="28"/>
        </w:rPr>
        <w:t>10.复审意见P2/6，“未建房屋的土地现状未利用，如何处置请咨询北京顺义中宏粮食储备库有限公司”。请评估机构正视专家提出的各项问题。</w:t>
      </w:r>
    </w:p>
    <w:p>
      <w:pPr>
        <w:spacing w:line="480" w:lineRule="auto"/>
        <w:ind w:firstLine="562" w:firstLineChars="200"/>
        <w:rPr>
          <w:rFonts w:ascii="仿宋" w:hAnsi="仿宋" w:eastAsia="仿宋"/>
          <w:b/>
          <w:bCs/>
          <w:sz w:val="28"/>
          <w:szCs w:val="28"/>
        </w:rPr>
      </w:pPr>
      <w:r>
        <w:rPr>
          <w:rFonts w:hint="eastAsia" w:ascii="仿宋" w:hAnsi="仿宋" w:eastAsia="仿宋"/>
          <w:b/>
          <w:bCs/>
          <w:sz w:val="28"/>
          <w:szCs w:val="28"/>
        </w:rPr>
        <w:t>回复：我司评估专业人员与估价委托人现场核实，估价对象所属项目上未建房屋的土地，现状为空置，暂无相关规划利用的计划。</w:t>
      </w:r>
    </w:p>
    <w:p>
      <w:pPr>
        <w:spacing w:line="480" w:lineRule="auto"/>
        <w:ind w:firstLine="560" w:firstLineChars="200"/>
        <w:rPr>
          <w:rFonts w:ascii="仿宋" w:hAnsi="仿宋" w:eastAsia="仿宋"/>
          <w:bCs/>
          <w:sz w:val="28"/>
          <w:szCs w:val="28"/>
        </w:rPr>
      </w:pPr>
      <w:r>
        <w:rPr>
          <w:rFonts w:hint="eastAsia" w:ascii="仿宋" w:hAnsi="仿宋" w:eastAsia="仿宋"/>
          <w:bCs/>
          <w:sz w:val="28"/>
          <w:szCs w:val="28"/>
        </w:rPr>
        <w:t>11.集团审核意见P1。关于《企业产权登记表》、法人签字问题，中粮集团已致函评估机构，请评估机构说明是否收到此函件。有关项目团队是否知悉国资监管和中粮集团对评估报告的要求？为何《企业产权登记表》问题在多个评估报告中均存在？</w:t>
      </w:r>
    </w:p>
    <w:p>
      <w:pPr>
        <w:spacing w:line="480" w:lineRule="auto"/>
        <w:ind w:firstLine="562" w:firstLineChars="200"/>
        <w:rPr>
          <w:rFonts w:ascii="仿宋" w:hAnsi="仿宋" w:eastAsia="仿宋"/>
          <w:b/>
          <w:bCs/>
          <w:sz w:val="28"/>
          <w:szCs w:val="28"/>
        </w:rPr>
      </w:pPr>
      <w:r>
        <w:rPr>
          <w:rFonts w:hint="eastAsia" w:ascii="仿宋" w:hAnsi="仿宋" w:eastAsia="仿宋"/>
          <w:b/>
          <w:bCs/>
          <w:sz w:val="28"/>
          <w:szCs w:val="28"/>
        </w:rPr>
        <w:t>回复：已收到中粮集团函件。收到后我司认真了解了相关要求，现已对多个报告中的相关问题进行修改。对于日后新承接项目我司将会严格按照要求撰写报告。</w:t>
      </w:r>
    </w:p>
    <w:p>
      <w:pPr>
        <w:spacing w:line="480" w:lineRule="auto"/>
        <w:ind w:firstLine="560" w:firstLineChars="200"/>
        <w:rPr>
          <w:rFonts w:ascii="仿宋" w:hAnsi="仿宋" w:eastAsia="仿宋"/>
          <w:bCs/>
          <w:sz w:val="28"/>
          <w:szCs w:val="28"/>
        </w:rPr>
      </w:pPr>
    </w:p>
    <w:p>
      <w:pPr>
        <w:ind w:firstLine="480"/>
        <w:rPr>
          <w:rFonts w:ascii="仿宋" w:hAnsi="仿宋" w:eastAsia="仿宋"/>
          <w:sz w:val="28"/>
          <w:szCs w:val="28"/>
        </w:rPr>
      </w:pPr>
      <w:r>
        <w:rPr>
          <w:rFonts w:hint="eastAsia" w:ascii="仿宋" w:hAnsi="仿宋" w:eastAsia="仿宋"/>
          <w:sz w:val="28"/>
          <w:szCs w:val="28"/>
        </w:rPr>
        <w:t>注：中介机构不因为本次审核而转移其应当承担的法律责任。</w:t>
      </w:r>
    </w:p>
    <w:p>
      <w:pPr>
        <w:spacing w:line="480" w:lineRule="auto"/>
        <w:ind w:firstLine="560" w:firstLineChars="200"/>
        <w:rPr>
          <w:rFonts w:ascii="仿宋" w:hAnsi="仿宋" w:eastAsia="仿宋"/>
          <w:bCs/>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ordia New">
    <w:altName w:val="Arial Unicode MS"/>
    <w:panose1 w:val="020B0304020202020204"/>
    <w:charset w:val="DE"/>
    <w:family w:val="swiss"/>
    <w:pitch w:val="default"/>
    <w:sig w:usb0="00000000" w:usb1="00000000" w:usb2="00000000" w:usb3="00000000" w:csb0="0001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4NmM3MTlmNDg0ZTE2NTczMjBkYjA4MTc0Mjk2ZTUifQ=="/>
  </w:docVars>
  <w:rsids>
    <w:rsidRoot w:val="00222CD7"/>
    <w:rsid w:val="00001DF5"/>
    <w:rsid w:val="00010107"/>
    <w:rsid w:val="00020F80"/>
    <w:rsid w:val="00022C00"/>
    <w:rsid w:val="00023538"/>
    <w:rsid w:val="0002410B"/>
    <w:rsid w:val="00027864"/>
    <w:rsid w:val="000375B3"/>
    <w:rsid w:val="00040A0D"/>
    <w:rsid w:val="00042CA6"/>
    <w:rsid w:val="000460CB"/>
    <w:rsid w:val="000529B9"/>
    <w:rsid w:val="00054624"/>
    <w:rsid w:val="000578AF"/>
    <w:rsid w:val="00064ECC"/>
    <w:rsid w:val="0008157B"/>
    <w:rsid w:val="000865B4"/>
    <w:rsid w:val="00095AAD"/>
    <w:rsid w:val="0009674E"/>
    <w:rsid w:val="00097E96"/>
    <w:rsid w:val="000A104F"/>
    <w:rsid w:val="000B46B4"/>
    <w:rsid w:val="000B73DF"/>
    <w:rsid w:val="000C494C"/>
    <w:rsid w:val="000C7470"/>
    <w:rsid w:val="000D4BED"/>
    <w:rsid w:val="000D5511"/>
    <w:rsid w:val="000D646A"/>
    <w:rsid w:val="000E0E02"/>
    <w:rsid w:val="000E12FE"/>
    <w:rsid w:val="000E19FA"/>
    <w:rsid w:val="000E3B75"/>
    <w:rsid w:val="000E5161"/>
    <w:rsid w:val="000E5581"/>
    <w:rsid w:val="000E75CF"/>
    <w:rsid w:val="000F2CC6"/>
    <w:rsid w:val="000F7C2F"/>
    <w:rsid w:val="001027FD"/>
    <w:rsid w:val="00103535"/>
    <w:rsid w:val="00110185"/>
    <w:rsid w:val="001142B5"/>
    <w:rsid w:val="00116162"/>
    <w:rsid w:val="001213D7"/>
    <w:rsid w:val="0012550C"/>
    <w:rsid w:val="0012691A"/>
    <w:rsid w:val="00133D19"/>
    <w:rsid w:val="00144B34"/>
    <w:rsid w:val="00145B70"/>
    <w:rsid w:val="00146187"/>
    <w:rsid w:val="00150A9D"/>
    <w:rsid w:val="00154420"/>
    <w:rsid w:val="00155081"/>
    <w:rsid w:val="00155E8A"/>
    <w:rsid w:val="00161062"/>
    <w:rsid w:val="0016261A"/>
    <w:rsid w:val="00167B73"/>
    <w:rsid w:val="0017020B"/>
    <w:rsid w:val="00170D4E"/>
    <w:rsid w:val="00172F63"/>
    <w:rsid w:val="00174125"/>
    <w:rsid w:val="00174C1E"/>
    <w:rsid w:val="001762A3"/>
    <w:rsid w:val="00187189"/>
    <w:rsid w:val="001A3467"/>
    <w:rsid w:val="001A3F77"/>
    <w:rsid w:val="001B0CC2"/>
    <w:rsid w:val="001B21A3"/>
    <w:rsid w:val="001B3A05"/>
    <w:rsid w:val="001C1F06"/>
    <w:rsid w:val="001C528B"/>
    <w:rsid w:val="001C5BB8"/>
    <w:rsid w:val="001D1875"/>
    <w:rsid w:val="001D1A61"/>
    <w:rsid w:val="001D2EA2"/>
    <w:rsid w:val="001D5061"/>
    <w:rsid w:val="001E00C5"/>
    <w:rsid w:val="001E146F"/>
    <w:rsid w:val="00203B2D"/>
    <w:rsid w:val="002109E3"/>
    <w:rsid w:val="00212667"/>
    <w:rsid w:val="00214F15"/>
    <w:rsid w:val="002153D9"/>
    <w:rsid w:val="00222CD7"/>
    <w:rsid w:val="00225973"/>
    <w:rsid w:val="0022598F"/>
    <w:rsid w:val="00227766"/>
    <w:rsid w:val="002348AB"/>
    <w:rsid w:val="00236F8E"/>
    <w:rsid w:val="00237CEE"/>
    <w:rsid w:val="002620A9"/>
    <w:rsid w:val="00276E84"/>
    <w:rsid w:val="00280234"/>
    <w:rsid w:val="002913DC"/>
    <w:rsid w:val="00292BCD"/>
    <w:rsid w:val="00295A14"/>
    <w:rsid w:val="002A2C88"/>
    <w:rsid w:val="002A48FE"/>
    <w:rsid w:val="002A5B66"/>
    <w:rsid w:val="002A7C1C"/>
    <w:rsid w:val="002B0678"/>
    <w:rsid w:val="002B439A"/>
    <w:rsid w:val="002C333E"/>
    <w:rsid w:val="002C68CD"/>
    <w:rsid w:val="002D2F06"/>
    <w:rsid w:val="002D2FF1"/>
    <w:rsid w:val="002E1B03"/>
    <w:rsid w:val="002F0302"/>
    <w:rsid w:val="002F3A68"/>
    <w:rsid w:val="002F3FD5"/>
    <w:rsid w:val="002F62E8"/>
    <w:rsid w:val="002F6521"/>
    <w:rsid w:val="003006AA"/>
    <w:rsid w:val="0030254C"/>
    <w:rsid w:val="00305A52"/>
    <w:rsid w:val="003138F4"/>
    <w:rsid w:val="00313BB2"/>
    <w:rsid w:val="00314090"/>
    <w:rsid w:val="00324E39"/>
    <w:rsid w:val="00325031"/>
    <w:rsid w:val="0033024E"/>
    <w:rsid w:val="003313B5"/>
    <w:rsid w:val="003334E0"/>
    <w:rsid w:val="00334382"/>
    <w:rsid w:val="00336079"/>
    <w:rsid w:val="003366CE"/>
    <w:rsid w:val="00342002"/>
    <w:rsid w:val="00351B38"/>
    <w:rsid w:val="00351B78"/>
    <w:rsid w:val="00356D6D"/>
    <w:rsid w:val="00362FC9"/>
    <w:rsid w:val="003659E4"/>
    <w:rsid w:val="0037554A"/>
    <w:rsid w:val="0038148B"/>
    <w:rsid w:val="003827A5"/>
    <w:rsid w:val="00385D51"/>
    <w:rsid w:val="0039020A"/>
    <w:rsid w:val="00395632"/>
    <w:rsid w:val="003B35D5"/>
    <w:rsid w:val="003B45D1"/>
    <w:rsid w:val="003B64FE"/>
    <w:rsid w:val="003B6AFA"/>
    <w:rsid w:val="003C311E"/>
    <w:rsid w:val="003C6D62"/>
    <w:rsid w:val="003C6D7B"/>
    <w:rsid w:val="003D212C"/>
    <w:rsid w:val="003D3558"/>
    <w:rsid w:val="003D4CEA"/>
    <w:rsid w:val="003D652B"/>
    <w:rsid w:val="003E26E2"/>
    <w:rsid w:val="003E60A9"/>
    <w:rsid w:val="003F0103"/>
    <w:rsid w:val="003F0990"/>
    <w:rsid w:val="00400258"/>
    <w:rsid w:val="00400965"/>
    <w:rsid w:val="004176F9"/>
    <w:rsid w:val="00420C2D"/>
    <w:rsid w:val="00421C2E"/>
    <w:rsid w:val="00426655"/>
    <w:rsid w:val="0043060B"/>
    <w:rsid w:val="00430E70"/>
    <w:rsid w:val="00432742"/>
    <w:rsid w:val="00442B09"/>
    <w:rsid w:val="00442B2D"/>
    <w:rsid w:val="004451D2"/>
    <w:rsid w:val="004452A0"/>
    <w:rsid w:val="00455B25"/>
    <w:rsid w:val="00466BA6"/>
    <w:rsid w:val="0047043D"/>
    <w:rsid w:val="00475A31"/>
    <w:rsid w:val="004830D6"/>
    <w:rsid w:val="004936C1"/>
    <w:rsid w:val="004963C7"/>
    <w:rsid w:val="004A0F11"/>
    <w:rsid w:val="004A53DB"/>
    <w:rsid w:val="004B15EB"/>
    <w:rsid w:val="004B1F24"/>
    <w:rsid w:val="004B3F71"/>
    <w:rsid w:val="004B6FB2"/>
    <w:rsid w:val="004C47F3"/>
    <w:rsid w:val="004E033C"/>
    <w:rsid w:val="004E3431"/>
    <w:rsid w:val="004E34F8"/>
    <w:rsid w:val="004E67F7"/>
    <w:rsid w:val="004F3D44"/>
    <w:rsid w:val="004F7655"/>
    <w:rsid w:val="004F7ABB"/>
    <w:rsid w:val="005013A1"/>
    <w:rsid w:val="005041E0"/>
    <w:rsid w:val="00513812"/>
    <w:rsid w:val="005170C2"/>
    <w:rsid w:val="00520564"/>
    <w:rsid w:val="00520F15"/>
    <w:rsid w:val="0052118E"/>
    <w:rsid w:val="0053152D"/>
    <w:rsid w:val="0053175F"/>
    <w:rsid w:val="0054400D"/>
    <w:rsid w:val="00554DBB"/>
    <w:rsid w:val="00556F51"/>
    <w:rsid w:val="00572CBF"/>
    <w:rsid w:val="005865EE"/>
    <w:rsid w:val="00597373"/>
    <w:rsid w:val="00597D07"/>
    <w:rsid w:val="005A0B99"/>
    <w:rsid w:val="005A2D64"/>
    <w:rsid w:val="005B6AD9"/>
    <w:rsid w:val="005C1500"/>
    <w:rsid w:val="005C7CBA"/>
    <w:rsid w:val="005D3726"/>
    <w:rsid w:val="005D4A7E"/>
    <w:rsid w:val="005E3E5B"/>
    <w:rsid w:val="005F3800"/>
    <w:rsid w:val="005F4821"/>
    <w:rsid w:val="005F53AD"/>
    <w:rsid w:val="005F6B9F"/>
    <w:rsid w:val="00615DF7"/>
    <w:rsid w:val="00617B07"/>
    <w:rsid w:val="0062181B"/>
    <w:rsid w:val="00622697"/>
    <w:rsid w:val="00624526"/>
    <w:rsid w:val="00626BAF"/>
    <w:rsid w:val="00626D96"/>
    <w:rsid w:val="006307C4"/>
    <w:rsid w:val="00644FC3"/>
    <w:rsid w:val="00645D6A"/>
    <w:rsid w:val="00654973"/>
    <w:rsid w:val="00663115"/>
    <w:rsid w:val="00665202"/>
    <w:rsid w:val="00680D5A"/>
    <w:rsid w:val="0068160E"/>
    <w:rsid w:val="0068455B"/>
    <w:rsid w:val="00687B7A"/>
    <w:rsid w:val="006A1B9D"/>
    <w:rsid w:val="006A3B05"/>
    <w:rsid w:val="006A3DB0"/>
    <w:rsid w:val="006A716D"/>
    <w:rsid w:val="006B2139"/>
    <w:rsid w:val="006B465D"/>
    <w:rsid w:val="006C377D"/>
    <w:rsid w:val="006C3A28"/>
    <w:rsid w:val="006C530E"/>
    <w:rsid w:val="006C5BE5"/>
    <w:rsid w:val="006D3177"/>
    <w:rsid w:val="006D36F2"/>
    <w:rsid w:val="006E103E"/>
    <w:rsid w:val="006E1885"/>
    <w:rsid w:val="006F72D3"/>
    <w:rsid w:val="006F7679"/>
    <w:rsid w:val="007007AF"/>
    <w:rsid w:val="00700F57"/>
    <w:rsid w:val="00701447"/>
    <w:rsid w:val="007029F1"/>
    <w:rsid w:val="00721C27"/>
    <w:rsid w:val="00722D30"/>
    <w:rsid w:val="00730FFA"/>
    <w:rsid w:val="007316C9"/>
    <w:rsid w:val="00736922"/>
    <w:rsid w:val="0074017C"/>
    <w:rsid w:val="0074027A"/>
    <w:rsid w:val="00742F24"/>
    <w:rsid w:val="00744025"/>
    <w:rsid w:val="00747454"/>
    <w:rsid w:val="007545EF"/>
    <w:rsid w:val="00760CDA"/>
    <w:rsid w:val="0076236B"/>
    <w:rsid w:val="007739F1"/>
    <w:rsid w:val="00782828"/>
    <w:rsid w:val="007860CD"/>
    <w:rsid w:val="00787A7D"/>
    <w:rsid w:val="00791686"/>
    <w:rsid w:val="00794077"/>
    <w:rsid w:val="00794A4A"/>
    <w:rsid w:val="007950C6"/>
    <w:rsid w:val="0079597D"/>
    <w:rsid w:val="007969EA"/>
    <w:rsid w:val="00797B01"/>
    <w:rsid w:val="007A1F7D"/>
    <w:rsid w:val="007A281D"/>
    <w:rsid w:val="007B0FBC"/>
    <w:rsid w:val="007B5FF9"/>
    <w:rsid w:val="007C32B4"/>
    <w:rsid w:val="007C35D3"/>
    <w:rsid w:val="007D1076"/>
    <w:rsid w:val="007D4366"/>
    <w:rsid w:val="007D5730"/>
    <w:rsid w:val="007E23FE"/>
    <w:rsid w:val="007E4B23"/>
    <w:rsid w:val="007F0613"/>
    <w:rsid w:val="007F4A81"/>
    <w:rsid w:val="007F51C1"/>
    <w:rsid w:val="007F6833"/>
    <w:rsid w:val="008135E4"/>
    <w:rsid w:val="00813C12"/>
    <w:rsid w:val="00816D12"/>
    <w:rsid w:val="008202FB"/>
    <w:rsid w:val="008245F4"/>
    <w:rsid w:val="00830D0C"/>
    <w:rsid w:val="00841E7B"/>
    <w:rsid w:val="0084267C"/>
    <w:rsid w:val="00850985"/>
    <w:rsid w:val="0085296B"/>
    <w:rsid w:val="00856927"/>
    <w:rsid w:val="0085798B"/>
    <w:rsid w:val="00871FF4"/>
    <w:rsid w:val="00874C71"/>
    <w:rsid w:val="00875AC9"/>
    <w:rsid w:val="00890244"/>
    <w:rsid w:val="0089362C"/>
    <w:rsid w:val="00895ECD"/>
    <w:rsid w:val="00897ED4"/>
    <w:rsid w:val="008A01EC"/>
    <w:rsid w:val="008A0DC7"/>
    <w:rsid w:val="008A104E"/>
    <w:rsid w:val="008A2A73"/>
    <w:rsid w:val="008A3AF7"/>
    <w:rsid w:val="008A3B65"/>
    <w:rsid w:val="008B7FCD"/>
    <w:rsid w:val="008C031E"/>
    <w:rsid w:val="008C288D"/>
    <w:rsid w:val="008D293C"/>
    <w:rsid w:val="008D6577"/>
    <w:rsid w:val="008E3326"/>
    <w:rsid w:val="008F5CAB"/>
    <w:rsid w:val="008F63B4"/>
    <w:rsid w:val="008F6FD6"/>
    <w:rsid w:val="00902187"/>
    <w:rsid w:val="009034E0"/>
    <w:rsid w:val="0090565E"/>
    <w:rsid w:val="00910692"/>
    <w:rsid w:val="009129D9"/>
    <w:rsid w:val="00913130"/>
    <w:rsid w:val="0092174A"/>
    <w:rsid w:val="009238B3"/>
    <w:rsid w:val="009357A2"/>
    <w:rsid w:val="009412CD"/>
    <w:rsid w:val="009420D5"/>
    <w:rsid w:val="00955AF8"/>
    <w:rsid w:val="00957542"/>
    <w:rsid w:val="00957E10"/>
    <w:rsid w:val="00960464"/>
    <w:rsid w:val="00963BC6"/>
    <w:rsid w:val="00971815"/>
    <w:rsid w:val="0097556E"/>
    <w:rsid w:val="009768D2"/>
    <w:rsid w:val="00980A15"/>
    <w:rsid w:val="0098715A"/>
    <w:rsid w:val="00991257"/>
    <w:rsid w:val="009969D0"/>
    <w:rsid w:val="009A06B7"/>
    <w:rsid w:val="009A5FCE"/>
    <w:rsid w:val="009B35C8"/>
    <w:rsid w:val="009B42A1"/>
    <w:rsid w:val="009C19AD"/>
    <w:rsid w:val="009D158A"/>
    <w:rsid w:val="009D63CC"/>
    <w:rsid w:val="009F1160"/>
    <w:rsid w:val="009F1D7C"/>
    <w:rsid w:val="009F1EB7"/>
    <w:rsid w:val="009F4B79"/>
    <w:rsid w:val="00A00763"/>
    <w:rsid w:val="00A07D6A"/>
    <w:rsid w:val="00A21019"/>
    <w:rsid w:val="00A229DB"/>
    <w:rsid w:val="00A239B5"/>
    <w:rsid w:val="00A239F0"/>
    <w:rsid w:val="00A26BD9"/>
    <w:rsid w:val="00A26FE5"/>
    <w:rsid w:val="00A30B2D"/>
    <w:rsid w:val="00A33300"/>
    <w:rsid w:val="00A33F2A"/>
    <w:rsid w:val="00A351FF"/>
    <w:rsid w:val="00A35E4B"/>
    <w:rsid w:val="00A3731F"/>
    <w:rsid w:val="00A403D4"/>
    <w:rsid w:val="00A41868"/>
    <w:rsid w:val="00A464F4"/>
    <w:rsid w:val="00A66C6A"/>
    <w:rsid w:val="00A70559"/>
    <w:rsid w:val="00A7120B"/>
    <w:rsid w:val="00A71C82"/>
    <w:rsid w:val="00A7267A"/>
    <w:rsid w:val="00A731A5"/>
    <w:rsid w:val="00A7639A"/>
    <w:rsid w:val="00A878FE"/>
    <w:rsid w:val="00A90B9C"/>
    <w:rsid w:val="00A90C12"/>
    <w:rsid w:val="00A951CB"/>
    <w:rsid w:val="00AA4D0A"/>
    <w:rsid w:val="00AA7278"/>
    <w:rsid w:val="00AA7FAC"/>
    <w:rsid w:val="00AB3355"/>
    <w:rsid w:val="00AB57A6"/>
    <w:rsid w:val="00AC7103"/>
    <w:rsid w:val="00AD0217"/>
    <w:rsid w:val="00AD7F2B"/>
    <w:rsid w:val="00AE1A3B"/>
    <w:rsid w:val="00AF17C0"/>
    <w:rsid w:val="00AF405E"/>
    <w:rsid w:val="00B05A35"/>
    <w:rsid w:val="00B05AE2"/>
    <w:rsid w:val="00B10E34"/>
    <w:rsid w:val="00B139DB"/>
    <w:rsid w:val="00B15F0C"/>
    <w:rsid w:val="00B20048"/>
    <w:rsid w:val="00B20507"/>
    <w:rsid w:val="00B308F3"/>
    <w:rsid w:val="00B318C2"/>
    <w:rsid w:val="00B322D2"/>
    <w:rsid w:val="00B34E64"/>
    <w:rsid w:val="00B523F0"/>
    <w:rsid w:val="00B538AE"/>
    <w:rsid w:val="00B54A14"/>
    <w:rsid w:val="00B572E6"/>
    <w:rsid w:val="00B6391D"/>
    <w:rsid w:val="00B65EA0"/>
    <w:rsid w:val="00B70D76"/>
    <w:rsid w:val="00B737C2"/>
    <w:rsid w:val="00B812AB"/>
    <w:rsid w:val="00B81D6F"/>
    <w:rsid w:val="00B82976"/>
    <w:rsid w:val="00B86F5C"/>
    <w:rsid w:val="00B90977"/>
    <w:rsid w:val="00B91C7E"/>
    <w:rsid w:val="00BA3D85"/>
    <w:rsid w:val="00BA48F3"/>
    <w:rsid w:val="00BC3F25"/>
    <w:rsid w:val="00BD09A8"/>
    <w:rsid w:val="00BD1249"/>
    <w:rsid w:val="00BD5B85"/>
    <w:rsid w:val="00BE1A58"/>
    <w:rsid w:val="00BF7794"/>
    <w:rsid w:val="00C03BCA"/>
    <w:rsid w:val="00C05022"/>
    <w:rsid w:val="00C07AB5"/>
    <w:rsid w:val="00C10A08"/>
    <w:rsid w:val="00C16C8D"/>
    <w:rsid w:val="00C174B4"/>
    <w:rsid w:val="00C31806"/>
    <w:rsid w:val="00C4231C"/>
    <w:rsid w:val="00C430B4"/>
    <w:rsid w:val="00C431BC"/>
    <w:rsid w:val="00C52138"/>
    <w:rsid w:val="00C53A9D"/>
    <w:rsid w:val="00C57FE6"/>
    <w:rsid w:val="00C605B4"/>
    <w:rsid w:val="00C618F5"/>
    <w:rsid w:val="00C66410"/>
    <w:rsid w:val="00C90F9A"/>
    <w:rsid w:val="00C9254E"/>
    <w:rsid w:val="00C93130"/>
    <w:rsid w:val="00C93F14"/>
    <w:rsid w:val="00CA2F98"/>
    <w:rsid w:val="00CA5600"/>
    <w:rsid w:val="00CA668A"/>
    <w:rsid w:val="00CA7B7B"/>
    <w:rsid w:val="00CB4F60"/>
    <w:rsid w:val="00CC2B6F"/>
    <w:rsid w:val="00CC2CA4"/>
    <w:rsid w:val="00CD0F9B"/>
    <w:rsid w:val="00CD2ED6"/>
    <w:rsid w:val="00CE6B03"/>
    <w:rsid w:val="00D027F5"/>
    <w:rsid w:val="00D0513F"/>
    <w:rsid w:val="00D109C9"/>
    <w:rsid w:val="00D12863"/>
    <w:rsid w:val="00D13E5F"/>
    <w:rsid w:val="00D230AD"/>
    <w:rsid w:val="00D27F6D"/>
    <w:rsid w:val="00D30D16"/>
    <w:rsid w:val="00D36FE6"/>
    <w:rsid w:val="00D37855"/>
    <w:rsid w:val="00D432FA"/>
    <w:rsid w:val="00D4561E"/>
    <w:rsid w:val="00D459D6"/>
    <w:rsid w:val="00D54315"/>
    <w:rsid w:val="00D55E07"/>
    <w:rsid w:val="00D72E9A"/>
    <w:rsid w:val="00D84B76"/>
    <w:rsid w:val="00D87B65"/>
    <w:rsid w:val="00D902DB"/>
    <w:rsid w:val="00D95A6A"/>
    <w:rsid w:val="00DA04A0"/>
    <w:rsid w:val="00DA0601"/>
    <w:rsid w:val="00DB5EA8"/>
    <w:rsid w:val="00DB62B5"/>
    <w:rsid w:val="00DB63A7"/>
    <w:rsid w:val="00DC507E"/>
    <w:rsid w:val="00DC755D"/>
    <w:rsid w:val="00DD0178"/>
    <w:rsid w:val="00DD15A1"/>
    <w:rsid w:val="00DD4422"/>
    <w:rsid w:val="00DE028C"/>
    <w:rsid w:val="00DE28D4"/>
    <w:rsid w:val="00DF05A1"/>
    <w:rsid w:val="00DF435E"/>
    <w:rsid w:val="00DF4486"/>
    <w:rsid w:val="00DF63BC"/>
    <w:rsid w:val="00E06475"/>
    <w:rsid w:val="00E125B9"/>
    <w:rsid w:val="00E20CAE"/>
    <w:rsid w:val="00E275E3"/>
    <w:rsid w:val="00E62295"/>
    <w:rsid w:val="00E7539F"/>
    <w:rsid w:val="00E8014B"/>
    <w:rsid w:val="00E96B76"/>
    <w:rsid w:val="00EA0C2B"/>
    <w:rsid w:val="00EA0D6C"/>
    <w:rsid w:val="00EA1F2B"/>
    <w:rsid w:val="00EB304B"/>
    <w:rsid w:val="00EB3BF0"/>
    <w:rsid w:val="00EC1633"/>
    <w:rsid w:val="00EC36C3"/>
    <w:rsid w:val="00ED0D00"/>
    <w:rsid w:val="00ED4698"/>
    <w:rsid w:val="00F00592"/>
    <w:rsid w:val="00F01C41"/>
    <w:rsid w:val="00F02F5C"/>
    <w:rsid w:val="00F03989"/>
    <w:rsid w:val="00F06454"/>
    <w:rsid w:val="00F07C4C"/>
    <w:rsid w:val="00F16E6C"/>
    <w:rsid w:val="00F220D0"/>
    <w:rsid w:val="00F2215C"/>
    <w:rsid w:val="00F25B46"/>
    <w:rsid w:val="00F37210"/>
    <w:rsid w:val="00F62A65"/>
    <w:rsid w:val="00F62F4A"/>
    <w:rsid w:val="00F673A0"/>
    <w:rsid w:val="00F719F0"/>
    <w:rsid w:val="00F73DE9"/>
    <w:rsid w:val="00F76D69"/>
    <w:rsid w:val="00F84143"/>
    <w:rsid w:val="00F846BB"/>
    <w:rsid w:val="00F84ECD"/>
    <w:rsid w:val="00FA1397"/>
    <w:rsid w:val="00FA5C0E"/>
    <w:rsid w:val="00FB216A"/>
    <w:rsid w:val="00FB3429"/>
    <w:rsid w:val="00FC23C8"/>
    <w:rsid w:val="00FD2806"/>
    <w:rsid w:val="00FD6339"/>
    <w:rsid w:val="00FD6999"/>
    <w:rsid w:val="00FF1047"/>
    <w:rsid w:val="00FF3CCB"/>
    <w:rsid w:val="00FF77CE"/>
    <w:rsid w:val="03936CB9"/>
    <w:rsid w:val="03B074A6"/>
    <w:rsid w:val="06867724"/>
    <w:rsid w:val="06D03FE8"/>
    <w:rsid w:val="099C26AB"/>
    <w:rsid w:val="09C71A62"/>
    <w:rsid w:val="0CD5293B"/>
    <w:rsid w:val="0F591186"/>
    <w:rsid w:val="171E75CB"/>
    <w:rsid w:val="266035C0"/>
    <w:rsid w:val="2B497688"/>
    <w:rsid w:val="31EC14B5"/>
    <w:rsid w:val="32C646A0"/>
    <w:rsid w:val="36052E80"/>
    <w:rsid w:val="3C9C2802"/>
    <w:rsid w:val="3E3D5CCB"/>
    <w:rsid w:val="4DF07604"/>
    <w:rsid w:val="518E2FB5"/>
    <w:rsid w:val="58293AFF"/>
    <w:rsid w:val="5A860C7F"/>
    <w:rsid w:val="5AE47433"/>
    <w:rsid w:val="5C7A36E7"/>
    <w:rsid w:val="5D0436E4"/>
    <w:rsid w:val="5D7A70BF"/>
    <w:rsid w:val="5E0D19C3"/>
    <w:rsid w:val="5FD921C3"/>
    <w:rsid w:val="637B51DD"/>
    <w:rsid w:val="67702DF6"/>
    <w:rsid w:val="6B2926AE"/>
    <w:rsid w:val="6CAA7E57"/>
    <w:rsid w:val="6CE43981"/>
    <w:rsid w:val="6CE975F0"/>
    <w:rsid w:val="6E14457D"/>
    <w:rsid w:val="70E36EF1"/>
    <w:rsid w:val="731552BF"/>
    <w:rsid w:val="7C79387F"/>
    <w:rsid w:val="7FB32AB3"/>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8"/>
    <w:semiHidden/>
    <w:unhideWhenUsed/>
    <w:qFormat/>
    <w:uiPriority w:val="99"/>
    <w:pPr>
      <w:jc w:val="left"/>
    </w:pPr>
  </w:style>
  <w:style w:type="paragraph" w:styleId="3">
    <w:name w:val="Balloon Text"/>
    <w:basedOn w:val="1"/>
    <w:link w:val="24"/>
    <w:semiHidden/>
    <w:unhideWhenUsed/>
    <w:qFormat/>
    <w:uiPriority w:val="99"/>
    <w:rPr>
      <w:sz w:val="18"/>
      <w:szCs w:val="18"/>
    </w:rPr>
  </w:style>
  <w:style w:type="paragraph" w:styleId="4">
    <w:name w:val="footer"/>
    <w:basedOn w:val="1"/>
    <w:link w:val="17"/>
    <w:unhideWhenUsed/>
    <w:qFormat/>
    <w:uiPriority w:val="99"/>
    <w:pPr>
      <w:tabs>
        <w:tab w:val="center" w:pos="4153"/>
        <w:tab w:val="right" w:pos="8306"/>
      </w:tabs>
      <w:snapToGrid w:val="0"/>
      <w:jc w:val="left"/>
    </w:pPr>
    <w:rPr>
      <w:sz w:val="18"/>
      <w:szCs w:val="18"/>
    </w:rPr>
  </w:style>
  <w:style w:type="paragraph" w:styleId="5">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spacing w:beforeAutospacing="1" w:afterAutospacing="1"/>
      <w:jc w:val="left"/>
    </w:pPr>
    <w:rPr>
      <w:rFonts w:cs="Times New Roman"/>
      <w:kern w:val="0"/>
      <w:sz w:val="24"/>
    </w:rPr>
  </w:style>
  <w:style w:type="paragraph" w:styleId="7">
    <w:name w:val="annotation subject"/>
    <w:basedOn w:val="2"/>
    <w:next w:val="2"/>
    <w:link w:val="19"/>
    <w:semiHidden/>
    <w:unhideWhenUsed/>
    <w:qFormat/>
    <w:uiPriority w:val="99"/>
    <w:rPr>
      <w:b/>
      <w:bCs/>
    </w:rPr>
  </w:style>
  <w:style w:type="table" w:styleId="9">
    <w:name w:val="Table Grid"/>
    <w:basedOn w:val="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Emphasis"/>
    <w:basedOn w:val="10"/>
    <w:qFormat/>
    <w:uiPriority w:val="20"/>
    <w:rPr>
      <w:i/>
      <w:iCs/>
    </w:rPr>
  </w:style>
  <w:style w:type="character" w:styleId="12">
    <w:name w:val="Hyperlink"/>
    <w:basedOn w:val="10"/>
    <w:unhideWhenUsed/>
    <w:qFormat/>
    <w:uiPriority w:val="99"/>
    <w:rPr>
      <w:color w:val="0563C1" w:themeColor="hyperlink"/>
      <w:u w:val="single"/>
      <w14:textFill>
        <w14:solidFill>
          <w14:schemeClr w14:val="hlink"/>
        </w14:solidFill>
      </w14:textFill>
    </w:rPr>
  </w:style>
  <w:style w:type="character" w:styleId="13">
    <w:name w:val="annotation reference"/>
    <w:basedOn w:val="10"/>
    <w:semiHidden/>
    <w:unhideWhenUsed/>
    <w:qFormat/>
    <w:uiPriority w:val="99"/>
    <w:rPr>
      <w:sz w:val="21"/>
      <w:szCs w:val="21"/>
    </w:rPr>
  </w:style>
  <w:style w:type="paragraph" w:styleId="14">
    <w:name w:val="List Paragraph"/>
    <w:basedOn w:val="1"/>
    <w:qFormat/>
    <w:uiPriority w:val="34"/>
    <w:pPr>
      <w:ind w:firstLine="420" w:firstLineChars="200"/>
    </w:pPr>
  </w:style>
  <w:style w:type="paragraph" w:customStyle="1" w:styleId="15">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6">
    <w:name w:val="页眉 字符"/>
    <w:basedOn w:val="10"/>
    <w:link w:val="5"/>
    <w:qFormat/>
    <w:uiPriority w:val="99"/>
    <w:rPr>
      <w:kern w:val="2"/>
      <w:sz w:val="18"/>
      <w:szCs w:val="18"/>
      <w:lang w:bidi="ar-SA"/>
    </w:rPr>
  </w:style>
  <w:style w:type="character" w:customStyle="1" w:styleId="17">
    <w:name w:val="页脚 字符"/>
    <w:basedOn w:val="10"/>
    <w:link w:val="4"/>
    <w:qFormat/>
    <w:uiPriority w:val="99"/>
    <w:rPr>
      <w:kern w:val="2"/>
      <w:sz w:val="18"/>
      <w:szCs w:val="18"/>
      <w:lang w:bidi="ar-SA"/>
    </w:rPr>
  </w:style>
  <w:style w:type="character" w:customStyle="1" w:styleId="18">
    <w:name w:val="批注文字 字符"/>
    <w:basedOn w:val="10"/>
    <w:link w:val="2"/>
    <w:semiHidden/>
    <w:qFormat/>
    <w:uiPriority w:val="99"/>
    <w:rPr>
      <w:kern w:val="2"/>
      <w:sz w:val="21"/>
      <w:szCs w:val="22"/>
      <w:lang w:bidi="ar-SA"/>
    </w:rPr>
  </w:style>
  <w:style w:type="character" w:customStyle="1" w:styleId="19">
    <w:name w:val="批注主题 字符"/>
    <w:basedOn w:val="18"/>
    <w:link w:val="7"/>
    <w:semiHidden/>
    <w:qFormat/>
    <w:uiPriority w:val="99"/>
    <w:rPr>
      <w:b/>
      <w:bCs/>
      <w:kern w:val="2"/>
      <w:sz w:val="21"/>
      <w:szCs w:val="22"/>
      <w:lang w:bidi="ar-SA"/>
    </w:rPr>
  </w:style>
  <w:style w:type="paragraph" w:customStyle="1" w:styleId="20">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1">
    <w:name w:val="修订3"/>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2">
    <w:name w:val="未处理的提及1"/>
    <w:basedOn w:val="10"/>
    <w:semiHidden/>
    <w:unhideWhenUsed/>
    <w:qFormat/>
    <w:uiPriority w:val="99"/>
    <w:rPr>
      <w:color w:val="605E5C"/>
      <w:shd w:val="clear" w:color="auto" w:fill="E1DFDD"/>
    </w:rPr>
  </w:style>
  <w:style w:type="paragraph" w:customStyle="1" w:styleId="23">
    <w:name w:val="正文1"/>
    <w:qFormat/>
    <w:uiPriority w:val="0"/>
    <w:pPr>
      <w:widowControl w:val="0"/>
      <w:adjustRightInd w:val="0"/>
      <w:spacing w:line="360" w:lineRule="atLeast"/>
      <w:textAlignment w:val="baseline"/>
    </w:pPr>
    <w:rPr>
      <w:rFonts w:ascii="宋体" w:hAnsi="Times New Roman" w:eastAsia="宋体" w:cs="Times New Roman"/>
      <w:sz w:val="34"/>
      <w:lang w:val="en-US" w:eastAsia="zh-CN" w:bidi="ar-SA"/>
    </w:rPr>
  </w:style>
  <w:style w:type="character" w:customStyle="1" w:styleId="24">
    <w:name w:val="批注框文本 字符"/>
    <w:basedOn w:val="10"/>
    <w:link w:val="3"/>
    <w:semiHidden/>
    <w:qFormat/>
    <w:uiPriority w:val="99"/>
    <w:rPr>
      <w:kern w:val="2"/>
      <w:sz w:val="18"/>
      <w:szCs w:val="18"/>
    </w:rPr>
  </w:style>
  <w:style w:type="character" w:styleId="25">
    <w:name w:val="Placeholder Text"/>
    <w:basedOn w:val="10"/>
    <w:unhideWhenUsed/>
    <w:uiPriority w:val="99"/>
    <w:rPr>
      <w:color w:val="80808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1F880E-DDA4-42C1-B363-069E3253326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3625</Words>
  <Characters>4017</Characters>
  <Lines>29</Lines>
  <Paragraphs>8</Paragraphs>
  <TotalTime>180</TotalTime>
  <ScaleCrop>false</ScaleCrop>
  <LinksUpToDate>false</LinksUpToDate>
  <CharactersWithSpaces>4041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2023-06-21T07:55:00Z</dcterms:created>
  <dc:creator>牛悾悾 Kongkong NIU</dc:creator>
  <cp:lastModifiedBy>宋敬行</cp:lastModifiedBy>
  <dcterms:modified xsi:type="dcterms:W3CDTF">2023-06-29T01:41:56Z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1217376CE836467C921CB2E2451E14EC_13</vt:lpwstr>
  </property>
</Properties>
</file>