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outlineLvl w:val="0"/>
        <w:rPr>
          <w:rFonts w:ascii="Arial" w:hAnsi="Arial" w:cs="Arial"/>
          <w:b/>
          <w:bCs/>
          <w:sz w:val="30"/>
          <w:szCs w:val="30"/>
        </w:rPr>
      </w:pPr>
      <w:r>
        <w:rPr>
          <w:rFonts w:hint="eastAsia" w:ascii="Arial" w:hAnsi="Arial" w:cs="Arial"/>
          <w:b/>
          <w:bCs/>
          <w:sz w:val="30"/>
          <w:szCs w:val="30"/>
        </w:rPr>
        <w:t>关于中航信托•天启【2020】565号宜宾站前广场项目</w:t>
      </w:r>
    </w:p>
    <w:p>
      <w:pPr>
        <w:spacing w:before="312" w:beforeLines="100"/>
        <w:jc w:val="center"/>
        <w:outlineLvl w:val="0"/>
        <w:rPr>
          <w:rFonts w:ascii="Arial" w:hAnsi="Arial" w:cs="Arial"/>
          <w:b/>
          <w:bCs/>
          <w:sz w:val="30"/>
          <w:szCs w:val="30"/>
        </w:rPr>
      </w:pPr>
      <w:r>
        <w:rPr>
          <w:rFonts w:hint="eastAsia" w:ascii="Arial" w:hAnsi="Arial" w:cs="Arial"/>
          <w:b/>
          <w:bCs/>
          <w:sz w:val="30"/>
          <w:szCs w:val="30"/>
        </w:rPr>
        <w:t>2021年</w:t>
      </w:r>
      <w:r>
        <w:rPr>
          <w:rFonts w:hint="eastAsia" w:ascii="Arial" w:hAnsi="Arial" w:cs="Arial"/>
          <w:b/>
          <w:bCs/>
          <w:sz w:val="30"/>
          <w:szCs w:val="30"/>
          <w:lang w:val="en-US" w:eastAsia="zh-CN"/>
        </w:rPr>
        <w:t>10</w:t>
      </w:r>
      <w:r>
        <w:rPr>
          <w:rFonts w:hint="eastAsia" w:ascii="Arial" w:hAnsi="Arial" w:cs="Arial"/>
          <w:b/>
          <w:bCs/>
          <w:sz w:val="30"/>
          <w:szCs w:val="30"/>
        </w:rPr>
        <w:t>月资金计划审核说明</w:t>
      </w:r>
    </w:p>
    <w:p>
      <w:pPr>
        <w:spacing w:line="360" w:lineRule="auto"/>
        <w:outlineLvl w:val="0"/>
        <w:rPr>
          <w:rFonts w:ascii="宋体" w:hAnsi="宋体"/>
          <w:b/>
          <w:bCs/>
          <w:sz w:val="28"/>
          <w:szCs w:val="28"/>
        </w:rPr>
      </w:pPr>
      <w:r>
        <w:rPr>
          <w:rFonts w:hint="eastAsia" w:ascii="宋体" w:hAnsi="宋体"/>
          <w:b/>
          <w:bCs/>
          <w:sz w:val="28"/>
          <w:szCs w:val="28"/>
        </w:rPr>
        <w:t>中航信托股份有限公司：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宜宾骏继洪骥置业有限责任公司（以下简称项目公司）于</w:t>
      </w:r>
      <w:r>
        <w:rPr>
          <w:rFonts w:hint="eastAsia" w:ascii="宋体" w:hAnsi="宋体"/>
          <w:sz w:val="24"/>
          <w:szCs w:val="24"/>
          <w:lang w:eastAsia="zh-CN"/>
        </w:rPr>
        <w:t>2021年</w:t>
      </w:r>
      <w:r>
        <w:rPr>
          <w:rFonts w:hint="eastAsia" w:ascii="宋体" w:hAnsi="宋体"/>
          <w:sz w:val="24"/>
          <w:szCs w:val="24"/>
          <w:lang w:val="en-US" w:eastAsia="zh-CN"/>
        </w:rPr>
        <w:t>9</w:t>
      </w:r>
      <w:r>
        <w:rPr>
          <w:rFonts w:hint="eastAsia" w:ascii="宋体" w:hAnsi="宋体"/>
          <w:sz w:val="24"/>
          <w:szCs w:val="24"/>
          <w:lang w:eastAsia="zh-CN"/>
        </w:rPr>
        <w:t>月</w:t>
      </w:r>
      <w:r>
        <w:rPr>
          <w:rFonts w:hint="eastAsia" w:ascii="宋体" w:hAnsi="宋体"/>
          <w:sz w:val="24"/>
          <w:szCs w:val="24"/>
          <w:lang w:val="en-US" w:eastAsia="zh-CN"/>
        </w:rPr>
        <w:t>23</w:t>
      </w:r>
      <w:r>
        <w:rPr>
          <w:rFonts w:hint="eastAsia" w:ascii="宋体" w:hAnsi="宋体"/>
          <w:sz w:val="24"/>
          <w:szCs w:val="24"/>
        </w:rPr>
        <w:t>日提交了2021年</w:t>
      </w:r>
      <w:r>
        <w:rPr>
          <w:rFonts w:hint="eastAsia" w:ascii="宋体" w:hAnsi="宋体"/>
          <w:sz w:val="24"/>
          <w:szCs w:val="24"/>
          <w:lang w:val="en-US" w:eastAsia="zh-CN"/>
        </w:rPr>
        <w:t>10</w:t>
      </w:r>
      <w:r>
        <w:rPr>
          <w:rFonts w:hint="eastAsia" w:ascii="宋体" w:hAnsi="宋体"/>
          <w:sz w:val="24"/>
          <w:szCs w:val="24"/>
        </w:rPr>
        <w:t>月《月度资金计划表》，我司对项目公司申报的资金计划进行了审核，审核结果如下：</w:t>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一、宜宾站前广场项目2021年</w:t>
      </w:r>
      <w:r>
        <w:rPr>
          <w:rFonts w:hint="eastAsia" w:ascii="宋体" w:hAnsi="宋体" w:cs="宋体"/>
          <w:b/>
          <w:sz w:val="24"/>
          <w:lang w:val="en-US" w:eastAsia="zh-CN"/>
        </w:rPr>
        <w:t>10</w:t>
      </w:r>
      <w:r>
        <w:rPr>
          <w:rFonts w:hint="eastAsia" w:ascii="宋体" w:hAnsi="宋体" w:cs="宋体"/>
          <w:b/>
          <w:sz w:val="24"/>
        </w:rPr>
        <w:t>月资金汇总</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项目公司</w:t>
      </w:r>
      <w:r>
        <w:rPr>
          <w:rFonts w:hint="eastAsia" w:ascii="宋体" w:hAnsi="宋体"/>
          <w:sz w:val="24"/>
          <w:szCs w:val="24"/>
          <w:lang w:eastAsia="zh-CN"/>
        </w:rPr>
        <w:t>2021年</w:t>
      </w:r>
      <w:r>
        <w:rPr>
          <w:rFonts w:hint="eastAsia" w:ascii="宋体" w:hAnsi="宋体"/>
          <w:sz w:val="24"/>
          <w:szCs w:val="24"/>
          <w:lang w:val="en-US" w:eastAsia="zh-CN"/>
        </w:rPr>
        <w:t>9</w:t>
      </w:r>
      <w:r>
        <w:rPr>
          <w:rFonts w:hint="eastAsia" w:ascii="宋体" w:hAnsi="宋体"/>
          <w:sz w:val="24"/>
          <w:szCs w:val="24"/>
          <w:lang w:eastAsia="zh-CN"/>
        </w:rPr>
        <w:t>月</w:t>
      </w:r>
      <w:r>
        <w:rPr>
          <w:rFonts w:hint="eastAsia" w:ascii="宋体" w:hAnsi="宋体"/>
          <w:sz w:val="24"/>
          <w:szCs w:val="24"/>
          <w:lang w:val="en-US" w:eastAsia="zh-CN"/>
        </w:rPr>
        <w:t>23</w:t>
      </w:r>
      <w:r>
        <w:rPr>
          <w:rFonts w:hint="eastAsia" w:ascii="宋体" w:hAnsi="宋体"/>
          <w:sz w:val="24"/>
          <w:szCs w:val="24"/>
        </w:rPr>
        <w:t>日提交的2021年</w:t>
      </w:r>
      <w:r>
        <w:rPr>
          <w:rFonts w:hint="eastAsia" w:ascii="宋体" w:hAnsi="宋体"/>
          <w:sz w:val="24"/>
          <w:szCs w:val="24"/>
          <w:lang w:val="en-US" w:eastAsia="zh-CN"/>
        </w:rPr>
        <w:t>10</w:t>
      </w:r>
      <w:r>
        <w:rPr>
          <w:rFonts w:hint="eastAsia" w:ascii="宋体" w:hAnsi="宋体"/>
          <w:sz w:val="24"/>
          <w:szCs w:val="24"/>
        </w:rPr>
        <w:t>月资金支出计划，计划资金支出共计</w:t>
      </w:r>
      <w:r>
        <w:rPr>
          <w:rFonts w:hint="eastAsia" w:ascii="宋体" w:hAnsi="宋体"/>
          <w:sz w:val="24"/>
          <w:szCs w:val="24"/>
          <w:lang w:val="en-US" w:eastAsia="zh-CN"/>
        </w:rPr>
        <w:t>112</w:t>
      </w:r>
      <w:r>
        <w:rPr>
          <w:rFonts w:hint="eastAsia" w:ascii="宋体" w:hAnsi="宋体"/>
          <w:sz w:val="24"/>
          <w:szCs w:val="24"/>
        </w:rPr>
        <w:t>笔，合计</w:t>
      </w:r>
      <w:r>
        <w:rPr>
          <w:rFonts w:hint="eastAsia" w:ascii="宋体" w:hAnsi="宋体" w:cs="宋体"/>
          <w:color w:val="000000"/>
          <w:kern w:val="0"/>
          <w:sz w:val="24"/>
          <w:szCs w:val="24"/>
          <w:lang w:val="en-US" w:eastAsia="zh-CN" w:bidi="ar"/>
        </w:rPr>
        <w:t>68,913,893.53</w:t>
      </w:r>
      <w:r>
        <w:rPr>
          <w:rFonts w:hint="eastAsia" w:ascii="宋体" w:hAnsi="宋体"/>
          <w:sz w:val="24"/>
          <w:szCs w:val="24"/>
        </w:rPr>
        <w:t>元。其中：开发费用支出</w:t>
      </w:r>
      <w:r>
        <w:rPr>
          <w:rFonts w:hint="eastAsia" w:ascii="宋体" w:hAnsi="宋体"/>
          <w:sz w:val="24"/>
          <w:szCs w:val="24"/>
          <w:lang w:val="en-US" w:eastAsia="zh-CN"/>
        </w:rPr>
        <w:t>5,157,528.50</w:t>
      </w:r>
      <w:r>
        <w:rPr>
          <w:rFonts w:hint="eastAsia" w:ascii="宋体" w:hAnsi="宋体"/>
          <w:sz w:val="24"/>
          <w:szCs w:val="24"/>
        </w:rPr>
        <w:t>元；建安费用支出</w:t>
      </w:r>
      <w:r>
        <w:rPr>
          <w:rFonts w:hint="eastAsia" w:ascii="宋体" w:hAnsi="宋体"/>
          <w:sz w:val="24"/>
          <w:szCs w:val="24"/>
          <w:lang w:val="en-US" w:eastAsia="zh-CN"/>
        </w:rPr>
        <w:t>52,235,867.56</w:t>
      </w:r>
      <w:r>
        <w:rPr>
          <w:rFonts w:hint="eastAsia" w:ascii="宋体" w:hAnsi="宋体"/>
          <w:sz w:val="24"/>
          <w:szCs w:val="24"/>
        </w:rPr>
        <w:t>元；营建成本支出</w:t>
      </w:r>
      <w:r>
        <w:rPr>
          <w:rFonts w:hint="eastAsia" w:ascii="宋体" w:hAnsi="宋体"/>
          <w:sz w:val="24"/>
          <w:szCs w:val="24"/>
          <w:lang w:val="en-US" w:eastAsia="zh-CN"/>
        </w:rPr>
        <w:t>225,443.74</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管理费用支出</w:t>
      </w:r>
      <w:r>
        <w:rPr>
          <w:rFonts w:hint="eastAsia" w:ascii="宋体" w:hAnsi="宋体"/>
          <w:sz w:val="24"/>
          <w:szCs w:val="24"/>
          <w:lang w:val="en-US" w:eastAsia="zh-CN"/>
        </w:rPr>
        <w:t>4,016,402.73</w:t>
      </w:r>
      <w:r>
        <w:rPr>
          <w:rFonts w:hint="eastAsia" w:ascii="宋体" w:hAnsi="宋体"/>
          <w:sz w:val="24"/>
          <w:szCs w:val="24"/>
        </w:rPr>
        <w:t>元；营销费用支出</w:t>
      </w:r>
      <w:r>
        <w:rPr>
          <w:rFonts w:hint="eastAsia" w:ascii="宋体" w:hAnsi="宋体" w:cs="宋体"/>
          <w:color w:val="000000"/>
          <w:kern w:val="0"/>
          <w:sz w:val="24"/>
          <w:szCs w:val="24"/>
          <w:lang w:val="en-US" w:eastAsia="zh-CN" w:bidi="ar"/>
        </w:rPr>
        <w:t>5,758,651.00</w:t>
      </w:r>
      <w:r>
        <w:rPr>
          <w:rFonts w:hint="eastAsia" w:ascii="宋体" w:hAnsi="宋体"/>
          <w:sz w:val="24"/>
          <w:szCs w:val="24"/>
        </w:rPr>
        <w:t>元；税费</w:t>
      </w:r>
      <w:r>
        <w:rPr>
          <w:rFonts w:hint="eastAsia" w:ascii="宋体" w:hAnsi="宋体"/>
          <w:sz w:val="24"/>
          <w:szCs w:val="24"/>
          <w:lang w:val="en-US" w:eastAsia="zh-CN"/>
        </w:rPr>
        <w:t>620,000.00</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其他费用</w:t>
      </w:r>
      <w:r>
        <w:rPr>
          <w:rFonts w:hint="eastAsia" w:ascii="宋体" w:hAnsi="宋体"/>
          <w:sz w:val="24"/>
          <w:szCs w:val="24"/>
          <w:lang w:val="en-US" w:eastAsia="zh-CN"/>
        </w:rPr>
        <w:t>900,000.00</w:t>
      </w:r>
      <w:r>
        <w:rPr>
          <w:rFonts w:hint="eastAsia" w:ascii="宋体" w:hAnsi="宋体"/>
          <w:sz w:val="24"/>
          <w:szCs w:val="24"/>
        </w:rPr>
        <w:t>元。</w:t>
      </w:r>
    </w:p>
    <w:tbl>
      <w:tblPr>
        <w:tblStyle w:val="12"/>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2021年中航信托•天启【2020】565号宜宾站前广场项目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股权投资集合资金信托计划-宜宾站前广场项目月度资金使用计划（</w:t>
            </w:r>
            <w:r>
              <w:rPr>
                <w:rFonts w:hint="eastAsia" w:ascii="宋体" w:hAnsi="宋体"/>
                <w:b/>
                <w:bCs/>
                <w:sz w:val="24"/>
                <w:szCs w:val="24"/>
                <w:lang w:eastAsia="zh-CN"/>
              </w:rPr>
              <w:t>2021年10月份</w:t>
            </w:r>
            <w:r>
              <w:rPr>
                <w:rFonts w:hint="eastAsia"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编制：宜宾骏继洪骥置业有限责任公司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费用类型</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开发费用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8,855,318.55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3,625,468.26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5,157,528.50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建安费用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343,678,222.76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109,176,373.91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52,235,867.56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营建成本</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1,484,512.56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1,015,079.24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225,443.74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管理费用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4,016,402.73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营销费用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2,981,446.00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163,600.00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5,758,651.00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税费</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620,000.00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其他费用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900,000.00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25" w:type="dxa"/>
            <w:gridSpan w:val="3"/>
            <w:vAlign w:val="center"/>
          </w:tcPr>
          <w:p>
            <w:pPr>
              <w:widowControl/>
              <w:jc w:val="center"/>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总   计：</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68,913,893.53</w:t>
            </w:r>
            <w:r>
              <w:rPr>
                <w:rFonts w:hint="eastAsia" w:ascii="宋体" w:hAnsi="宋体" w:cs="宋体"/>
                <w:color w:val="000000"/>
                <w:kern w:val="0"/>
                <w:sz w:val="24"/>
                <w:szCs w:val="24"/>
                <w:lang w:val="en-US" w:eastAsia="zh-CN" w:bidi="ar"/>
              </w:rPr>
              <w:t xml:space="preserve"> </w:t>
            </w:r>
          </w:p>
        </w:tc>
      </w:tr>
      <w:bookmarkEnd w:id="0"/>
    </w:tbl>
    <w:p>
      <w:pPr>
        <w:rPr>
          <w:rFonts w:hint="eastAsia" w:ascii="宋体" w:hAnsi="宋体" w:cs="宋体"/>
          <w:b/>
          <w:sz w:val="24"/>
        </w:rPr>
      </w:pPr>
      <w:r>
        <w:rPr>
          <w:rFonts w:hint="eastAsia" w:ascii="宋体" w:hAnsi="宋体" w:cs="宋体"/>
          <w:b/>
          <w:sz w:val="24"/>
        </w:rPr>
        <w:br w:type="page"/>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sz w:val="24"/>
          <w:lang w:val="zh-CN"/>
        </w:rPr>
        <w:t>付款情况</w:t>
      </w:r>
      <w:r>
        <w:rPr>
          <w:rFonts w:hint="eastAsia" w:ascii="宋体" w:hAnsi="宋体" w:cs="宋体"/>
          <w:b/>
          <w:sz w:val="24"/>
        </w:rPr>
        <w:t>审核说明</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开发费用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eastAsia="zh-CN"/>
        </w:rPr>
        <w:t>2021年10月份</w:t>
      </w:r>
      <w:r>
        <w:rPr>
          <w:rFonts w:hint="eastAsia" w:ascii="宋体" w:hAnsi="宋体"/>
          <w:sz w:val="24"/>
          <w:szCs w:val="24"/>
        </w:rPr>
        <w:t>开发费用计划支付</w:t>
      </w:r>
      <w:r>
        <w:rPr>
          <w:rFonts w:hint="eastAsia" w:ascii="宋体" w:hAnsi="宋体"/>
          <w:sz w:val="24"/>
          <w:szCs w:val="24"/>
          <w:lang w:val="en-US" w:eastAsia="zh-CN"/>
        </w:rPr>
        <w:t>10</w:t>
      </w:r>
      <w:r>
        <w:rPr>
          <w:rFonts w:hint="eastAsia" w:ascii="宋体" w:hAnsi="宋体"/>
          <w:sz w:val="24"/>
          <w:szCs w:val="24"/>
        </w:rPr>
        <w:t>笔，金额约</w:t>
      </w:r>
      <w:r>
        <w:rPr>
          <w:rFonts w:hint="eastAsia" w:ascii="宋体" w:hAnsi="宋体" w:cs="宋体"/>
          <w:color w:val="000000"/>
          <w:kern w:val="0"/>
          <w:sz w:val="24"/>
          <w:szCs w:val="24"/>
          <w:lang w:val="en-US" w:eastAsia="zh-CN" w:bidi="ar"/>
        </w:rPr>
        <w:t>5,157,528.50</w:t>
      </w:r>
      <w:r>
        <w:rPr>
          <w:rFonts w:hint="eastAsia" w:ascii="宋体" w:hAnsi="宋体"/>
          <w:sz w:val="24"/>
          <w:szCs w:val="24"/>
        </w:rPr>
        <w:t>元。具体分析如下：</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87</w:t>
      </w:r>
      <w:r>
        <w:rPr>
          <w:rFonts w:hint="eastAsia" w:ascii="宋体" w:hAnsi="宋体"/>
          <w:sz w:val="24"/>
          <w:szCs w:val="24"/>
        </w:rPr>
        <w:t>计划支付重庆中贝工程咨询有限公司“宜宾一期结构优化咨询”进度款541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2021年</w:t>
      </w:r>
      <w:r>
        <w:rPr>
          <w:rFonts w:hint="eastAsia" w:ascii="宋体" w:hAnsi="宋体"/>
          <w:sz w:val="24"/>
          <w:szCs w:val="24"/>
        </w:rPr>
        <w:t>签订，合同总金额541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截至9月23日</w:t>
      </w:r>
      <w:r>
        <w:rPr>
          <w:rFonts w:hint="eastAsia" w:ascii="宋体" w:hAnsi="宋体"/>
          <w:sz w:val="24"/>
          <w:szCs w:val="24"/>
        </w:rPr>
        <w:t>，未付款。经审核，含本期资金支付计划累计支付达到100%。该笔资金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88</w:t>
      </w:r>
      <w:r>
        <w:rPr>
          <w:rFonts w:hint="eastAsia" w:ascii="宋体" w:hAnsi="宋体"/>
          <w:sz w:val="24"/>
          <w:szCs w:val="24"/>
        </w:rPr>
        <w:t>计划支付万隆建设工程咨询集团有限公司“宜宾翠屏项目一期建设工程造价咨询合同”进度款180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2020年9月</w:t>
      </w:r>
      <w:r>
        <w:rPr>
          <w:rFonts w:hint="eastAsia" w:ascii="宋体" w:hAnsi="宋体"/>
          <w:sz w:val="24"/>
          <w:szCs w:val="24"/>
        </w:rPr>
        <w:t>签订，合同总金额772</w:t>
      </w:r>
      <w:r>
        <w:rPr>
          <w:rFonts w:hint="eastAsia" w:ascii="宋体" w:hAnsi="宋体"/>
          <w:sz w:val="24"/>
          <w:szCs w:val="24"/>
          <w:lang w:val="en-US" w:eastAsia="zh-CN"/>
        </w:rPr>
        <w:t>,</w:t>
      </w:r>
      <w:r>
        <w:rPr>
          <w:rFonts w:hint="eastAsia" w:ascii="宋体" w:hAnsi="宋体"/>
          <w:sz w:val="24"/>
          <w:szCs w:val="24"/>
        </w:rPr>
        <w:t>265.55元。</w:t>
      </w:r>
      <w:r>
        <w:rPr>
          <w:rFonts w:hint="eastAsia" w:ascii="宋体" w:hAnsi="宋体"/>
          <w:sz w:val="24"/>
          <w:szCs w:val="24"/>
          <w:lang w:eastAsia="zh-CN"/>
        </w:rPr>
        <w:t>截至9月23日</w:t>
      </w:r>
      <w:r>
        <w:rPr>
          <w:rFonts w:hint="eastAsia" w:ascii="宋体" w:hAnsi="宋体"/>
          <w:sz w:val="24"/>
          <w:szCs w:val="24"/>
        </w:rPr>
        <w:t>，</w:t>
      </w:r>
      <w:r>
        <w:rPr>
          <w:rFonts w:hint="eastAsia" w:ascii="宋体" w:hAnsi="宋体"/>
          <w:sz w:val="24"/>
          <w:szCs w:val="24"/>
          <w:lang w:val="en-US" w:eastAsia="zh-CN"/>
        </w:rPr>
        <w:t>累计已付款270,000.00元</w:t>
      </w:r>
      <w:r>
        <w:rPr>
          <w:rFonts w:hint="eastAsia" w:ascii="宋体" w:hAnsi="宋体"/>
          <w:sz w:val="24"/>
          <w:szCs w:val="24"/>
        </w:rPr>
        <w:t>。经审核，含本期资金支付计划累计支付达到</w:t>
      </w:r>
      <w:r>
        <w:rPr>
          <w:rFonts w:hint="eastAsia" w:ascii="宋体" w:hAnsi="宋体"/>
          <w:sz w:val="24"/>
          <w:szCs w:val="24"/>
          <w:lang w:val="en-US" w:eastAsia="zh-CN"/>
        </w:rPr>
        <w:t>58.27</w:t>
      </w:r>
      <w:r>
        <w:rPr>
          <w:rFonts w:hint="eastAsia" w:ascii="宋体" w:hAnsi="宋体"/>
          <w:sz w:val="24"/>
          <w:szCs w:val="24"/>
        </w:rPr>
        <w:t>%。该笔资金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3.</w:t>
      </w:r>
      <w:r>
        <w:rPr>
          <w:rFonts w:hint="eastAsia" w:ascii="宋体" w:hAnsi="宋体"/>
          <w:sz w:val="24"/>
          <w:szCs w:val="24"/>
        </w:rPr>
        <w:t>用款编号</w:t>
      </w:r>
      <w:r>
        <w:rPr>
          <w:rFonts w:hint="eastAsia" w:ascii="宋体" w:hAnsi="宋体"/>
          <w:sz w:val="24"/>
          <w:szCs w:val="24"/>
          <w:lang w:val="en-US" w:eastAsia="zh-CN"/>
        </w:rPr>
        <w:t>89</w:t>
      </w:r>
      <w:r>
        <w:rPr>
          <w:rFonts w:hint="eastAsia" w:ascii="宋体" w:hAnsi="宋体"/>
          <w:sz w:val="24"/>
          <w:szCs w:val="24"/>
        </w:rPr>
        <w:t>计划支付重庆联盛建设项目管理有限公司“宜宾站前广场项目一期监理工程”进度款364</w:t>
      </w:r>
      <w:r>
        <w:rPr>
          <w:rFonts w:hint="eastAsia" w:ascii="宋体" w:hAnsi="宋体"/>
          <w:sz w:val="24"/>
          <w:szCs w:val="24"/>
          <w:lang w:val="en-US" w:eastAsia="zh-CN"/>
        </w:rPr>
        <w:t>,</w:t>
      </w:r>
      <w:r>
        <w:rPr>
          <w:rFonts w:hint="eastAsia" w:ascii="宋体" w:hAnsi="宋体"/>
          <w:sz w:val="24"/>
          <w:szCs w:val="24"/>
        </w:rPr>
        <w:t>156</w:t>
      </w:r>
      <w:r>
        <w:rPr>
          <w:rFonts w:hint="eastAsia" w:ascii="宋体" w:hAnsi="宋体"/>
          <w:sz w:val="24"/>
          <w:szCs w:val="24"/>
          <w:lang w:val="en-US" w:eastAsia="zh-CN"/>
        </w:rPr>
        <w:t>.00</w:t>
      </w:r>
      <w:r>
        <w:rPr>
          <w:rFonts w:hint="eastAsia" w:ascii="宋体" w:hAnsi="宋体"/>
          <w:sz w:val="24"/>
          <w:szCs w:val="24"/>
        </w:rPr>
        <w:t>元，该合同于2020年5月签订，合同编号YB1101A9CC01，合同总金额2,909,494.00元。</w:t>
      </w:r>
      <w:r>
        <w:rPr>
          <w:rFonts w:hint="eastAsia" w:ascii="宋体" w:hAnsi="宋体"/>
          <w:sz w:val="24"/>
          <w:szCs w:val="24"/>
          <w:lang w:eastAsia="zh-CN"/>
        </w:rPr>
        <w:t>截至9月23日</w:t>
      </w:r>
      <w:r>
        <w:rPr>
          <w:rFonts w:hint="eastAsia" w:ascii="宋体" w:hAnsi="宋体"/>
          <w:sz w:val="24"/>
          <w:szCs w:val="24"/>
        </w:rPr>
        <w:t>，累计已支付728,312.01元。根据合同规定，每期基本监理费：基本监理费=合同总价/31 个月×93%。 每期浮动监理费：浮动监理费=合同总价/31 个月×5%。每期支付的浮动监理费根据考评考核计算得出，与合同约定的每期基本监理费一并支付。经审核，含本期资金支付计划累计支付达到</w:t>
      </w:r>
      <w:r>
        <w:rPr>
          <w:rFonts w:hint="eastAsia" w:ascii="宋体" w:hAnsi="宋体"/>
          <w:sz w:val="24"/>
          <w:szCs w:val="24"/>
          <w:lang w:val="en-US" w:eastAsia="zh-CN"/>
        </w:rPr>
        <w:t>37.55</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90</w:t>
      </w:r>
      <w:r>
        <w:rPr>
          <w:rFonts w:hint="eastAsia" w:ascii="宋体" w:hAnsi="宋体"/>
          <w:sz w:val="24"/>
          <w:szCs w:val="24"/>
        </w:rPr>
        <w:t>计划支付上海骏地建筑设计事务所股份有限公司“世茂宜宾项目大区景观设计服务合同”进度款99,930.00元，该合同于2020年11月签订，合同总金额666,200.00元。</w:t>
      </w:r>
      <w:r>
        <w:rPr>
          <w:rFonts w:hint="eastAsia" w:ascii="宋体" w:hAnsi="宋体"/>
          <w:sz w:val="24"/>
          <w:szCs w:val="24"/>
          <w:lang w:eastAsia="zh-CN"/>
        </w:rPr>
        <w:t>截至9月23日</w:t>
      </w:r>
      <w:r>
        <w:rPr>
          <w:rFonts w:hint="eastAsia" w:ascii="宋体" w:hAnsi="宋体"/>
          <w:sz w:val="24"/>
          <w:szCs w:val="24"/>
        </w:rPr>
        <w:t>，累计已支付333,100.00元。根据合同规定，扩初设计完成并取得甲方的书面认可后10个工作日内支付15%，经审核，含本期资金支付计划累计支付达到65%。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91</w:t>
      </w:r>
      <w:r>
        <w:rPr>
          <w:rFonts w:hint="eastAsia" w:ascii="宋体" w:hAnsi="宋体"/>
          <w:sz w:val="24"/>
          <w:szCs w:val="24"/>
        </w:rPr>
        <w:t>计划支付北京鱼禾光环境设计有限公司“世茂宜宾翠屏项目售楼处泛光设计合同”进度款20,000.00元，该合同于2020年8月签订，合同总金额100,000.00元。</w:t>
      </w:r>
      <w:r>
        <w:rPr>
          <w:rFonts w:hint="eastAsia" w:ascii="宋体" w:hAnsi="宋体"/>
          <w:sz w:val="24"/>
          <w:szCs w:val="24"/>
          <w:lang w:eastAsia="zh-CN"/>
        </w:rPr>
        <w:t>截至9月23日</w:t>
      </w:r>
      <w:r>
        <w:rPr>
          <w:rFonts w:hint="eastAsia" w:ascii="宋体" w:hAnsi="宋体"/>
          <w:sz w:val="24"/>
          <w:szCs w:val="24"/>
        </w:rPr>
        <w:t>，累计已付款80,000.00元。工程竣工验收后在规定时间内，支付合同价款10%，经审核，含本期资金支付计划累计支付达到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.用款编号</w:t>
      </w:r>
      <w:r>
        <w:rPr>
          <w:rFonts w:hint="eastAsia" w:ascii="宋体" w:hAnsi="宋体"/>
          <w:sz w:val="24"/>
          <w:szCs w:val="24"/>
          <w:lang w:val="en-US" w:eastAsia="zh-CN"/>
        </w:rPr>
        <w:t>92</w:t>
      </w:r>
      <w:r>
        <w:rPr>
          <w:rFonts w:hint="eastAsia" w:ascii="宋体" w:hAnsi="宋体"/>
          <w:sz w:val="24"/>
          <w:szCs w:val="24"/>
        </w:rPr>
        <w:t>计划支付上海水石建筑规划设计股份有限公司“世茂宜宾项目建筑方案设计服务合同”进度款295</w:t>
      </w:r>
      <w:r>
        <w:rPr>
          <w:rFonts w:hint="eastAsia" w:ascii="宋体" w:hAnsi="宋体"/>
          <w:sz w:val="24"/>
          <w:szCs w:val="24"/>
          <w:lang w:val="en-US" w:eastAsia="zh-CN"/>
        </w:rPr>
        <w:t>,</w:t>
      </w:r>
      <w:r>
        <w:rPr>
          <w:rFonts w:hint="eastAsia" w:ascii="宋体" w:hAnsi="宋体"/>
          <w:sz w:val="24"/>
          <w:szCs w:val="24"/>
        </w:rPr>
        <w:t>207.5</w:t>
      </w:r>
      <w:r>
        <w:rPr>
          <w:rFonts w:hint="eastAsia" w:ascii="宋体" w:hAnsi="宋体"/>
          <w:sz w:val="24"/>
          <w:szCs w:val="24"/>
          <w:lang w:val="en-US" w:eastAsia="zh-CN"/>
        </w:rPr>
        <w:t>0</w:t>
      </w:r>
      <w:r>
        <w:rPr>
          <w:rFonts w:hint="eastAsia" w:ascii="宋体" w:hAnsi="宋体"/>
          <w:sz w:val="24"/>
          <w:szCs w:val="24"/>
        </w:rPr>
        <w:t>元，该合同于2020年8月签订，合同总金额2</w:t>
      </w:r>
      <w:r>
        <w:rPr>
          <w:rFonts w:hint="eastAsia" w:ascii="宋体" w:hAnsi="宋体"/>
          <w:sz w:val="24"/>
          <w:szCs w:val="24"/>
          <w:lang w:val="en-US" w:eastAsia="zh-CN"/>
        </w:rPr>
        <w:t>,</w:t>
      </w:r>
      <w:r>
        <w:rPr>
          <w:rFonts w:hint="eastAsia" w:ascii="宋体" w:hAnsi="宋体"/>
          <w:sz w:val="24"/>
          <w:szCs w:val="24"/>
        </w:rPr>
        <w:t>952</w:t>
      </w:r>
      <w:r>
        <w:rPr>
          <w:rFonts w:hint="eastAsia" w:ascii="宋体" w:hAnsi="宋体"/>
          <w:sz w:val="24"/>
          <w:szCs w:val="24"/>
          <w:lang w:val="en-US" w:eastAsia="zh-CN"/>
        </w:rPr>
        <w:t>,</w:t>
      </w:r>
      <w:r>
        <w:rPr>
          <w:rFonts w:hint="eastAsia" w:ascii="宋体" w:hAnsi="宋体"/>
          <w:sz w:val="24"/>
          <w:szCs w:val="24"/>
        </w:rPr>
        <w:t>075</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截至9月23日</w:t>
      </w:r>
      <w:r>
        <w:rPr>
          <w:rFonts w:hint="eastAsia" w:ascii="宋体" w:hAnsi="宋体"/>
          <w:sz w:val="24"/>
          <w:szCs w:val="24"/>
        </w:rPr>
        <w:t>，累计已付款2</w:t>
      </w:r>
      <w:r>
        <w:rPr>
          <w:rFonts w:hint="eastAsia" w:ascii="宋体" w:hAnsi="宋体"/>
          <w:sz w:val="24"/>
          <w:szCs w:val="24"/>
          <w:lang w:val="en-US" w:eastAsia="zh-CN"/>
        </w:rPr>
        <w:t>,</w:t>
      </w:r>
      <w:r>
        <w:rPr>
          <w:rFonts w:hint="eastAsia" w:ascii="宋体" w:hAnsi="宋体"/>
          <w:sz w:val="24"/>
          <w:szCs w:val="24"/>
        </w:rPr>
        <w:t>214</w:t>
      </w:r>
      <w:r>
        <w:rPr>
          <w:rFonts w:hint="eastAsia" w:ascii="宋体" w:hAnsi="宋体"/>
          <w:sz w:val="24"/>
          <w:szCs w:val="24"/>
          <w:lang w:val="en-US" w:eastAsia="zh-CN"/>
        </w:rPr>
        <w:t>,</w:t>
      </w:r>
      <w:r>
        <w:rPr>
          <w:rFonts w:hint="eastAsia" w:ascii="宋体" w:hAnsi="宋体"/>
          <w:sz w:val="24"/>
          <w:szCs w:val="24"/>
        </w:rPr>
        <w:t>056.25元。</w:t>
      </w:r>
      <w:r>
        <w:rPr>
          <w:rFonts w:hint="eastAsia" w:ascii="宋体" w:hAnsi="宋体"/>
          <w:sz w:val="24"/>
          <w:szCs w:val="24"/>
          <w:lang w:val="en-US" w:eastAsia="zh-CN"/>
        </w:rPr>
        <w:t>根据合同规定：提交建筑外立面控制设计成果并通过甲方外立面专项审查后60个日历天内支付合同价款10%，即295,207.50元</w:t>
      </w:r>
      <w:r>
        <w:rPr>
          <w:rFonts w:hint="eastAsia" w:ascii="宋体" w:hAnsi="宋体"/>
          <w:sz w:val="24"/>
          <w:szCs w:val="24"/>
        </w:rPr>
        <w:t>，经审核，含本期资金支付计划累计支付达到</w:t>
      </w:r>
      <w:r>
        <w:rPr>
          <w:rFonts w:hint="eastAsia" w:ascii="宋体" w:hAnsi="宋体"/>
          <w:sz w:val="24"/>
          <w:szCs w:val="24"/>
          <w:lang w:val="en-US" w:eastAsia="zh-CN"/>
        </w:rPr>
        <w:t>85</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.用款编号</w:t>
      </w:r>
      <w:r>
        <w:rPr>
          <w:rFonts w:hint="eastAsia" w:ascii="宋体" w:hAnsi="宋体"/>
          <w:sz w:val="24"/>
          <w:szCs w:val="24"/>
          <w:lang w:val="en-US" w:eastAsia="zh-CN"/>
        </w:rPr>
        <w:t>93</w:t>
      </w:r>
      <w:r>
        <w:rPr>
          <w:rFonts w:hint="eastAsia" w:ascii="宋体" w:hAnsi="宋体"/>
          <w:sz w:val="24"/>
          <w:szCs w:val="24"/>
        </w:rPr>
        <w:t>计划支付成都翰景景观设计有限公司“宜宾站前广场景观设计费”进度款420</w:t>
      </w:r>
      <w:r>
        <w:rPr>
          <w:rFonts w:hint="eastAsia" w:ascii="宋体" w:hAnsi="宋体"/>
          <w:sz w:val="24"/>
          <w:szCs w:val="24"/>
          <w:lang w:val="en-US" w:eastAsia="zh-CN"/>
        </w:rPr>
        <w:t>,</w:t>
      </w:r>
      <w:r>
        <w:rPr>
          <w:rFonts w:hint="eastAsia" w:ascii="宋体" w:hAnsi="宋体"/>
          <w:sz w:val="24"/>
          <w:szCs w:val="24"/>
        </w:rPr>
        <w:t>049</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未</w:t>
      </w:r>
      <w:r>
        <w:rPr>
          <w:rFonts w:hint="eastAsia" w:ascii="宋体" w:hAnsi="宋体"/>
          <w:sz w:val="24"/>
          <w:szCs w:val="24"/>
        </w:rPr>
        <w:t>签订，合同总金额</w:t>
      </w:r>
      <w:r>
        <w:rPr>
          <w:rFonts w:hint="eastAsia" w:ascii="宋体" w:hAnsi="宋体"/>
          <w:sz w:val="24"/>
          <w:szCs w:val="24"/>
          <w:lang w:val="en-US" w:eastAsia="zh-CN"/>
        </w:rPr>
        <w:t>预估为</w:t>
      </w:r>
      <w:r>
        <w:rPr>
          <w:rFonts w:hint="eastAsia" w:ascii="宋体" w:hAnsi="宋体"/>
          <w:sz w:val="24"/>
          <w:szCs w:val="24"/>
        </w:rPr>
        <w:t>840</w:t>
      </w:r>
      <w:r>
        <w:rPr>
          <w:rFonts w:hint="eastAsia" w:ascii="宋体" w:hAnsi="宋体"/>
          <w:sz w:val="24"/>
          <w:szCs w:val="24"/>
          <w:lang w:val="en-US" w:eastAsia="zh-CN"/>
        </w:rPr>
        <w:t>,</w:t>
      </w:r>
      <w:r>
        <w:rPr>
          <w:rFonts w:hint="eastAsia" w:ascii="宋体" w:hAnsi="宋体"/>
          <w:sz w:val="24"/>
          <w:szCs w:val="24"/>
        </w:rPr>
        <w:t>098</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根据合同拟定稿规定：本合同签署后10个工作日内支付15 %（即126,014.70 元）；概念设计完成并经甲方验收通过后10个工作日内支付15 %（即126,014.70 元）；方案设计完成并取得甲方的书面认可后10个工作日内支付20%（即168,019.60元）。</w:t>
      </w:r>
      <w:r>
        <w:rPr>
          <w:rFonts w:hint="eastAsia" w:ascii="宋体" w:hAnsi="宋体"/>
          <w:sz w:val="24"/>
          <w:szCs w:val="24"/>
        </w:rPr>
        <w:t>该笔资金</w:t>
      </w:r>
      <w:r>
        <w:rPr>
          <w:rFonts w:hint="eastAsia" w:ascii="宋体" w:hAnsi="宋体"/>
          <w:sz w:val="24"/>
          <w:szCs w:val="24"/>
          <w:lang w:val="en-US" w:eastAsia="zh-CN"/>
        </w:rPr>
        <w:t>为预估数</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8</w:t>
      </w:r>
      <w:r>
        <w:rPr>
          <w:rFonts w:hint="eastAsia" w:ascii="宋体" w:hAnsi="宋体"/>
          <w:sz w:val="24"/>
          <w:szCs w:val="24"/>
        </w:rPr>
        <w:t>.用款编号</w:t>
      </w:r>
      <w:r>
        <w:rPr>
          <w:rFonts w:hint="eastAsia" w:ascii="宋体" w:hAnsi="宋体"/>
          <w:sz w:val="24"/>
          <w:szCs w:val="24"/>
          <w:lang w:val="en-US" w:eastAsia="zh-CN"/>
        </w:rPr>
        <w:t>94</w:t>
      </w:r>
      <w:r>
        <w:rPr>
          <w:rFonts w:hint="eastAsia" w:ascii="宋体" w:hAnsi="宋体"/>
          <w:sz w:val="24"/>
          <w:szCs w:val="24"/>
        </w:rPr>
        <w:t>计划支付深圳瑞生工程研究院有限公司“世茂西部宜宾翠屏项目2021年第三方评估咨询服务合同”进度款37</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2021年7月</w:t>
      </w:r>
      <w:r>
        <w:rPr>
          <w:rFonts w:hint="eastAsia" w:ascii="宋体" w:hAnsi="宋体"/>
          <w:sz w:val="24"/>
          <w:szCs w:val="24"/>
        </w:rPr>
        <w:t>签订，合同金额</w:t>
      </w:r>
      <w:r>
        <w:rPr>
          <w:rFonts w:hint="eastAsia" w:ascii="宋体" w:hAnsi="宋体"/>
          <w:sz w:val="24"/>
          <w:szCs w:val="24"/>
          <w:lang w:val="en-US" w:eastAsia="zh-CN"/>
        </w:rPr>
        <w:t>为</w:t>
      </w:r>
      <w:r>
        <w:rPr>
          <w:rFonts w:hint="eastAsia" w:ascii="宋体" w:hAnsi="宋体"/>
          <w:sz w:val="24"/>
          <w:szCs w:val="24"/>
        </w:rPr>
        <w:t>74</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截至9月23日</w:t>
      </w:r>
      <w:r>
        <w:rPr>
          <w:rFonts w:hint="eastAsia" w:ascii="宋体" w:hAnsi="宋体"/>
          <w:sz w:val="24"/>
          <w:szCs w:val="24"/>
        </w:rPr>
        <w:t>，</w:t>
      </w:r>
      <w:r>
        <w:rPr>
          <w:rFonts w:hint="eastAsia" w:ascii="宋体" w:hAnsi="宋体"/>
          <w:sz w:val="24"/>
          <w:szCs w:val="24"/>
          <w:lang w:val="en-US" w:eastAsia="zh-CN"/>
        </w:rPr>
        <w:t>未</w:t>
      </w:r>
      <w:r>
        <w:rPr>
          <w:rFonts w:hint="eastAsia" w:ascii="宋体" w:hAnsi="宋体"/>
          <w:sz w:val="24"/>
          <w:szCs w:val="24"/>
        </w:rPr>
        <w:t>付款。</w:t>
      </w:r>
      <w:r>
        <w:rPr>
          <w:rFonts w:hint="eastAsia" w:ascii="宋体" w:hAnsi="宋体"/>
          <w:sz w:val="24"/>
          <w:szCs w:val="24"/>
          <w:lang w:val="en-US" w:eastAsia="zh-CN"/>
        </w:rPr>
        <w:t>根据合同拟定稿规定：本合同无预付款按实际服务月份进行结算，次月20日前支付上月度进度款。实际入场时间为2021年1月。</w:t>
      </w:r>
      <w:r>
        <w:rPr>
          <w:rFonts w:hint="eastAsia" w:ascii="宋体" w:hAnsi="宋体"/>
          <w:sz w:val="24"/>
          <w:szCs w:val="24"/>
        </w:rPr>
        <w:t>经审核，含本期资金支付计划累计支付达到</w:t>
      </w:r>
      <w:r>
        <w:rPr>
          <w:rFonts w:hint="eastAsia" w:ascii="宋体" w:hAnsi="宋体"/>
          <w:sz w:val="24"/>
          <w:szCs w:val="24"/>
          <w:lang w:val="en-US" w:eastAsia="zh-CN"/>
        </w:rPr>
        <w:t>50</w:t>
      </w:r>
      <w:r>
        <w:rPr>
          <w:rFonts w:hint="eastAsia" w:ascii="宋体" w:hAnsi="宋体"/>
          <w:sz w:val="24"/>
          <w:szCs w:val="24"/>
        </w:rPr>
        <w:t>%。该笔资金计划合理，后期申请资金支付时，我司会对付款申请、发票、流程等支付依据进行审核。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w:t>
      </w:r>
      <w:r>
        <w:rPr>
          <w:rFonts w:hint="eastAsia" w:ascii="宋体" w:hAnsi="宋体"/>
          <w:sz w:val="24"/>
          <w:szCs w:val="24"/>
        </w:rPr>
        <w:t>用款编号</w:t>
      </w:r>
      <w:r>
        <w:rPr>
          <w:rFonts w:hint="eastAsia" w:ascii="宋体" w:hAnsi="宋体"/>
          <w:sz w:val="24"/>
          <w:szCs w:val="24"/>
          <w:lang w:val="en-US" w:eastAsia="zh-CN"/>
        </w:rPr>
        <w:t>95</w:t>
      </w:r>
      <w:r>
        <w:rPr>
          <w:rFonts w:hint="eastAsia" w:ascii="宋体" w:hAnsi="宋体"/>
          <w:sz w:val="24"/>
          <w:szCs w:val="24"/>
        </w:rPr>
        <w:t>计划支付四川华西建筑设计院有限公司“世茂宜宾翠屏项目施工图设计服务合同</w:t>
      </w:r>
      <w:r>
        <w:rPr>
          <w:rFonts w:hint="eastAsia" w:ascii="宋体" w:hAnsi="宋体"/>
          <w:sz w:val="24"/>
          <w:szCs w:val="24"/>
          <w:lang w:val="en-US" w:eastAsia="zh-CN"/>
        </w:rPr>
        <w:t>”商票到期兑付2,000,000.00元，商票到期日为2021年10月21日。项目公司提供截至2021年3月31日应付票据明细台账，后期不再开具商票，商票到期兑付按照提供应付票据明细台账进行申请。该笔资金计划合理。</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lang w:val="en-US" w:eastAsia="zh-CN"/>
        </w:rPr>
        <w:t>10.</w:t>
      </w:r>
      <w:r>
        <w:rPr>
          <w:rFonts w:hint="eastAsia" w:ascii="宋体" w:hAnsi="宋体"/>
          <w:sz w:val="24"/>
          <w:szCs w:val="24"/>
        </w:rPr>
        <w:t>用款编号</w:t>
      </w:r>
      <w:r>
        <w:rPr>
          <w:rFonts w:hint="eastAsia" w:ascii="宋体" w:hAnsi="宋体"/>
          <w:sz w:val="24"/>
          <w:szCs w:val="24"/>
          <w:lang w:val="en-US" w:eastAsia="zh-CN"/>
        </w:rPr>
        <w:t>96</w:t>
      </w:r>
      <w:r>
        <w:rPr>
          <w:rFonts w:hint="eastAsia" w:ascii="宋体" w:hAnsi="宋体"/>
          <w:sz w:val="24"/>
          <w:szCs w:val="24"/>
        </w:rPr>
        <w:t>计划支付上海水石建筑规划设计股份有限公司“世茂宜宾项目建筑方案设计服务合同</w:t>
      </w:r>
      <w:r>
        <w:rPr>
          <w:rFonts w:hint="eastAsia" w:ascii="宋体" w:hAnsi="宋体"/>
          <w:sz w:val="24"/>
          <w:szCs w:val="24"/>
          <w:lang w:val="en-US" w:eastAsia="zh-CN"/>
        </w:rPr>
        <w:t>”商票到期兑付1,200,000.00元，商票到期日为2021年10月21日。项目公司提供截至2021年3月31日应付票据明细台账，后期不再开具商票，商票到期兑付按照提供应付票据明细台账进行申请。该笔资金计划合理。</w:t>
      </w:r>
    </w:p>
    <w:p>
      <w:pPr>
        <w:spacing w:before="156" w:beforeLines="50" w:after="156" w:afterLines="50" w:line="360" w:lineRule="auto"/>
        <w:ind w:firstLine="480" w:firstLineChars="200"/>
      </w:pPr>
      <w:r>
        <w:rPr>
          <w:rFonts w:hint="eastAsia" w:ascii="宋体" w:hAnsi="宋体"/>
          <w:sz w:val="24"/>
          <w:szCs w:val="24"/>
        </w:rPr>
        <w:t>经审核，我司认为</w:t>
      </w:r>
      <w:r>
        <w:rPr>
          <w:rFonts w:hint="eastAsia" w:ascii="宋体" w:hAnsi="宋体"/>
          <w:sz w:val="24"/>
          <w:szCs w:val="24"/>
          <w:lang w:val="en-US" w:eastAsia="zh-CN"/>
        </w:rPr>
        <w:t>10</w:t>
      </w:r>
      <w:r>
        <w:rPr>
          <w:rFonts w:hint="eastAsia" w:ascii="宋体" w:hAnsi="宋体"/>
          <w:sz w:val="24"/>
          <w:szCs w:val="24"/>
        </w:rPr>
        <w:t>月份开发费用的</w:t>
      </w:r>
      <w:r>
        <w:rPr>
          <w:rFonts w:hint="eastAsia" w:ascii="宋体" w:hAnsi="宋体"/>
          <w:sz w:val="24"/>
          <w:szCs w:val="24"/>
          <w:lang w:val="en-US" w:eastAsia="zh-CN"/>
        </w:rPr>
        <w:t>10</w:t>
      </w:r>
      <w:r>
        <w:rPr>
          <w:rFonts w:hint="eastAsia" w:ascii="宋体" w:hAnsi="宋体"/>
          <w:sz w:val="24"/>
          <w:szCs w:val="24"/>
        </w:rPr>
        <w:t>笔资金计划编制合理，符合相关已签订合同的付款约定。项目公司后期申请相关款项支付时，我司会对付款申请、发票、流程、工程合同、现场签证等依据进行审核，确保资金支付合理、合规。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建安费用资金计划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eastAsia="zh-CN"/>
        </w:rPr>
        <w:t>2021年10月份</w:t>
      </w:r>
      <w:r>
        <w:rPr>
          <w:rFonts w:hint="eastAsia" w:ascii="宋体" w:hAnsi="宋体"/>
          <w:sz w:val="24"/>
          <w:szCs w:val="24"/>
        </w:rPr>
        <w:t>建安费用计划支付共</w:t>
      </w:r>
      <w:r>
        <w:rPr>
          <w:rFonts w:hint="eastAsia" w:ascii="宋体" w:hAnsi="宋体"/>
          <w:sz w:val="24"/>
          <w:szCs w:val="24"/>
          <w:lang w:val="en-US" w:eastAsia="zh-CN"/>
        </w:rPr>
        <w:t>14</w:t>
      </w:r>
      <w:r>
        <w:rPr>
          <w:rFonts w:hint="eastAsia" w:ascii="宋体" w:hAnsi="宋体"/>
          <w:sz w:val="24"/>
          <w:szCs w:val="24"/>
        </w:rPr>
        <w:t>笔，合计金额约</w:t>
      </w:r>
      <w:r>
        <w:rPr>
          <w:rFonts w:hint="eastAsia" w:ascii="宋体" w:hAnsi="宋体" w:cs="宋体"/>
          <w:color w:val="000000"/>
          <w:kern w:val="0"/>
          <w:sz w:val="24"/>
          <w:szCs w:val="24"/>
          <w:lang w:bidi="ar"/>
        </w:rPr>
        <w:t>52</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235</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867.56</w:t>
      </w:r>
      <w:r>
        <w:rPr>
          <w:rFonts w:hint="eastAsia" w:ascii="宋体" w:hAnsi="宋体"/>
          <w:sz w:val="24"/>
          <w:szCs w:val="24"/>
        </w:rPr>
        <w:t>元，为工程进度款。具体分析如下：</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99</w:t>
      </w:r>
      <w:r>
        <w:rPr>
          <w:rFonts w:hint="eastAsia" w:ascii="宋体" w:hAnsi="宋体"/>
          <w:sz w:val="24"/>
          <w:szCs w:val="24"/>
        </w:rPr>
        <w:t>计划支付四川天府辰安建设工程有限责任公司“宜宾站前广场项目一期基坑支护降水及土</w:t>
      </w:r>
      <w:r>
        <w:rPr>
          <w:rFonts w:hint="eastAsia" w:ascii="宋体" w:hAnsi="宋体"/>
          <w:sz w:val="24"/>
          <w:szCs w:val="24"/>
          <w:lang w:val="en-US" w:eastAsia="zh-CN"/>
        </w:rPr>
        <w:t>石方工程”商票到期兑付1,133,969.00元，商票到期日为2021年10月21日。项目公司提供截至2021年3月31日应付票据明细台账，后期不再开具商票，商票到期兑付按照提供应付票据明细台账进行申请。该笔资金计划合理。</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100计划支付上海峰雷实业有限公司“宜宾翠屏项目售楼部中央空调及新风工程”进度款60,300.00元。该合同于2020年8月签订，合同编号YB1101A5EQ01，结算金额277,356.83元。截至9月23日，累计已支付合同款203,200.00元，目前项目已结算。根据合同结算后付至结算额的95%，保修金为结算金额的5%。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101计划支付重庆明德门窗有限公司“宜宾翠屏项目售楼部及样板房外立面分包工程”进度款332,500.00元。该合同于2020年8月签订，合同编号YB1101A4MW01，合同结算金额4,573,958.92元。截至9月23日，已累计支付合同款4,012,800.00元，目前项目已结算。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102计划支付四川兴立园林环境工程有限公司“宜宾翠屏项目展示区园林景观总平工程”进度款374,000.00元。该合同于2020年8月签订，合同编号YB1101A3XN01，合同结算金额3,736,009.12元。截至9月23日，累计已支付合同款3,175,200.00元，目前项目已工程结算。结算支付：结算后支付至结算额的95%；保修金为结算额的5%，保修期开始后36个月，工程质量缺陷修复完毕或/且扣除保修期内应扣款后，支付剩余保修金，无息。经审核，含本期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5.用款编号103计划支付成都传美时代装饰设计有限公司 “宜宾翠屏项目售楼部及样板间精装修工程”进度款为48,800.00元。该合同于2020年8月签订，合同编号YB1101A4ID01，合同结算金额2,455,499.93元(其中贴息费用148,805.76元，已全额支付）。截至9月23日，已累计支付合同款2,291,400.00元。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104支付四川天府辰安建设工程有限公司（工商变更前公司名称：四川天府辰安建设工程有限责任公司）“宜宾站前广场项目一期基坑支护降水及土石方工程”进度款为782,700.00元。该合同于2020年7月签订，合同编号YB1101A3RE01，合同结算金额8,647,445.00元(其中贴息费用为383,428.39元，已全额支付）。截至9月23日，已累计支付合同款7,442,800.00元，结算书签署后，付至结算金额的95%。经审核，含本期工程资金支付计划累计支付达到94.89%，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105计划支付宜宾市建业工程质量检测有限责任公司“宜宾云锦项目一期首开区桩基检测工程”进度款650,913.60元。该合同于2020年9月签订，合同编号YB1101A2PT01，合同结算金额950,913.60元。截至9月23日，累计已支付合同款300,000.00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8.用款编号106计划支付四川志德岩土工程有限责任公司“宜宾一期二标段桩基工程”进度款5,568,482.16元。该合同于2020年11月签订，合同编号YB0201111BA2PL01，合同总金额12,374,297.01元。截至9月23日，已累计支付合同款6,187,100.00元。根据合同约定结算书签署后6个月，付至结算金额的95%。经审核，含本期工程资金支付计划累计支付达到95%，符合合同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107计划支付宜宾市建业工程质量检测有限责任公司“宜宾云锦项目一期二标段桩基检测工程”进度款637,461.60元。该合同于2020年12月签订，合同编号YB1101A2PT02，合同总金额897,461.60元。截至9月23日，累计已支付合同款260,000.00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符合合同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108计划支付成都建工第四建筑工程有限公司“宜宾翠屏项目一期综合机电工程”进度款1,500,000.00元。该合同于2021年1月签订，合同编号YB0101A5EM01，合同总金额22,578,383.71元。截至9月23日，已累计支付合同款610,000.00元。过程付款按双月申请、单月支付，过程付款比例为70 %；当期中期付款金额小于5万的，则当月进度款并入下期付款；若合同价款形式为固定单价合同的，应在中标通知书签发后的 6 个月内完成闭口，闭口协议未签署前，累计支付比例不超过合同金额50%；超过闭口期限仍未签署闭口协议的，将暂停工程款支付。当月经审核，含本期资金支付计划累计支付达到9.35%。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用款编号109计划支付成都建工第八建筑工程有限公司“宜宾翠屏项目一期首开区土建总承包工程”进度款20,000,000.00元。该合同于2020年8月签订，合同编号YB0201A3MC01，合同金额152,504,090.42元。截至9月23日，累计已支付合同款38,059,283.17元，合同规定过程付款按双月申请、单月支付，过程付款比例为经发包人审核已完合格工程量的 70 %；如合同约定之当月里程碑节点延误，则当月进度款停止或扣留办理；当期中期付款金额小于20万的，则当月进度款并入下期付款；若合同价款形式为固定单价合同的，应在中标通知书签发后的 6个月内完成闭口，闭口协议未签署前，累计支付比例不超过合同金额50%；超过闭口期限仍未签署闭口协议的，将暂停工程款支付；含本期宜宾翠屏项目一期首开区土建总承包工程资金支付计划累计支付达到38.07%，未超出本合同约定签约合同总价的50%。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用款编号110计划支付宜宾佳鑫建筑工程有限责任公司“宜宾翠屏项目一期二标段土建总承包工程”进度款20,000,000.00元。该合同于2020年12月签订，合同编号YB0201A3MC02，合同总金额126,700,871.62元。截至9月23日，累计已支付合同款43,660,000.00元，根据合同约定过程付款按双月申请，单月支付，过程付款比例为经发包人审核已完成合格工程量的70%；如合同约定之当月里程碑节点延误，则当月进度款停止或扣留办理；当期中期付款金额小于20万的，则当月进度并入下期付款。经审核，含本期资金支付计划累计支付达到50.25%，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用款编号111计划支付中建一局集团第三建筑有限公司“宜宾站前广场项目展示区土建总承包工程”进度款500,000.00元。该合同于2020年5月签订，合同编号YB1101A3MC01，合同金额4,748,229.00元。截至9月23日，累计已支付合同款2,974,590.74元，目前项目已结算；根据合同结算后付至结算额的95%，保修金为结算金额的5%，分5年返还，无息，付款节点如下：保修期起计算满36个月，且此期间工程质量缺陷修复完毕，付4%；保修期起计算满60个月，且此期间工程质量缺陷修复完毕，付1%。经审核，含本期工程资金支付计划累计支付达到73.18%，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14.用款编号112计划支付上海三菱电梯有限公司“宜宾翠屏项目一期电梯设计及供货”进度款646,741.20元。该合同于2020年6月签订，合同编号YB1101A5EE02，合同金额3,233,706.00元。截至9月23日，未付款。根据合同约定预付款20%，收到双方盖章合同后15个日历天内支付（需提供预付款保函）</w:t>
      </w:r>
      <w:r>
        <w:rPr>
          <w:rFonts w:hint="eastAsia" w:ascii="宋体" w:hAnsi="宋体"/>
          <w:sz w:val="24"/>
          <w:szCs w:val="24"/>
          <w:lang w:val="en-US" w:eastAsia="zh-CN"/>
        </w:rPr>
        <w:t>。经审核，含本期工程资金支付计划累计支付达到20%，符合合同约定。该笔资金计划合理，后期申请资金支付时，我司会对付款申请、发票、流程等支付依据进行审核。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10</w:t>
      </w:r>
      <w:r>
        <w:rPr>
          <w:rFonts w:hint="eastAsia" w:ascii="宋体" w:hAnsi="宋体"/>
          <w:sz w:val="24"/>
          <w:szCs w:val="24"/>
        </w:rPr>
        <w:t>月份建安费用的</w:t>
      </w:r>
      <w:r>
        <w:rPr>
          <w:rFonts w:hint="eastAsia" w:ascii="宋体" w:hAnsi="宋体"/>
          <w:sz w:val="24"/>
          <w:szCs w:val="24"/>
          <w:lang w:val="en-US" w:eastAsia="zh-CN"/>
        </w:rPr>
        <w:t>14</w:t>
      </w:r>
      <w:r>
        <w:rPr>
          <w:rFonts w:hint="eastAsia" w:ascii="宋体" w:hAnsi="宋体"/>
          <w:sz w:val="24"/>
          <w:szCs w:val="24"/>
        </w:rPr>
        <w:t>笔资金计划编制合理，符合相关已签订合同的付款约定，现阶段工程施工进度与月度资金计划中列明的支付款项及支付比例基本吻合。项目公司后期申请相关款项支付时，我司会对付款申请、发票、流程、工程合同、现场签证等依据进行审核，确保资金支付合理、合规。</w:t>
      </w:r>
    </w:p>
    <w:p>
      <w:r>
        <w:rPr>
          <w:rFonts w:hint="eastAsia" w:ascii="宋体" w:hAnsi="宋体"/>
          <w:bCs/>
          <w:color w:val="000000"/>
          <w:sz w:val="24"/>
          <w:szCs w:val="24"/>
          <w:lang w:bidi="zh-CN"/>
        </w:rPr>
        <w:br w:type="page"/>
      </w:r>
    </w:p>
    <w:p>
      <w:pPr>
        <w:numPr>
          <w:ilvl w:val="0"/>
          <w:numId w:val="1"/>
        </w:numPr>
        <w:spacing w:before="156" w:beforeLines="50" w:after="156" w:afterLines="50" w:line="360" w:lineRule="auto"/>
        <w:outlineLvl w:val="1"/>
      </w:pPr>
      <w:r>
        <w:rPr>
          <w:rFonts w:hint="eastAsia" w:ascii="宋体" w:hAnsi="宋体"/>
          <w:bCs/>
          <w:color w:val="000000"/>
          <w:sz w:val="24"/>
          <w:szCs w:val="24"/>
          <w:lang w:bidi="zh-CN"/>
        </w:rPr>
        <w:t>营建成本资金计划</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eastAsia="zh-CN"/>
        </w:rPr>
        <w:t>2021年10月份</w:t>
      </w:r>
      <w:r>
        <w:rPr>
          <w:rFonts w:hint="eastAsia" w:ascii="宋体" w:hAnsi="宋体"/>
          <w:sz w:val="24"/>
          <w:szCs w:val="24"/>
        </w:rPr>
        <w:t>营建成本计划支付共</w:t>
      </w:r>
      <w:r>
        <w:rPr>
          <w:rFonts w:hint="eastAsia" w:ascii="宋体" w:hAnsi="宋体"/>
          <w:sz w:val="24"/>
          <w:szCs w:val="24"/>
          <w:lang w:val="en-US" w:eastAsia="zh-CN"/>
        </w:rPr>
        <w:t>2</w:t>
      </w:r>
      <w:r>
        <w:rPr>
          <w:rFonts w:hint="eastAsia" w:ascii="宋体" w:hAnsi="宋体"/>
          <w:sz w:val="24"/>
          <w:szCs w:val="24"/>
        </w:rPr>
        <w:t>笔，合计金额约</w:t>
      </w:r>
      <w:r>
        <w:rPr>
          <w:rFonts w:hint="eastAsia" w:ascii="宋体" w:hAnsi="宋体" w:cs="宋体"/>
          <w:color w:val="000000"/>
          <w:kern w:val="0"/>
          <w:sz w:val="24"/>
          <w:szCs w:val="24"/>
          <w:lang w:bidi="ar"/>
        </w:rPr>
        <w:t>225</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443.74</w:t>
      </w:r>
      <w:r>
        <w:rPr>
          <w:rFonts w:hint="eastAsia" w:ascii="宋体" w:hAnsi="宋体"/>
          <w:sz w:val="24"/>
          <w:szCs w:val="24"/>
        </w:rPr>
        <w:t>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97</w:t>
      </w:r>
      <w:r>
        <w:rPr>
          <w:rFonts w:hint="eastAsia" w:ascii="宋体" w:hAnsi="宋体"/>
          <w:sz w:val="24"/>
          <w:szCs w:val="24"/>
        </w:rPr>
        <w:t>计划支付世茂天成物业服务集团有限公司宜宾分公司“中西部区域宜宾世茂金座云锦销售中心及样板房物业管理服务协议”进度款223</w:t>
      </w:r>
      <w:r>
        <w:rPr>
          <w:rFonts w:hint="eastAsia" w:ascii="宋体" w:hAnsi="宋体"/>
          <w:sz w:val="24"/>
          <w:szCs w:val="24"/>
          <w:lang w:val="en-US" w:eastAsia="zh-CN"/>
        </w:rPr>
        <w:t>,</w:t>
      </w:r>
      <w:r>
        <w:rPr>
          <w:rFonts w:hint="eastAsia" w:ascii="宋体" w:hAnsi="宋体"/>
          <w:sz w:val="24"/>
          <w:szCs w:val="24"/>
        </w:rPr>
        <w:t>443.74元，合同金额1,484,512.56元，</w:t>
      </w:r>
      <w:r>
        <w:rPr>
          <w:rFonts w:hint="eastAsia" w:ascii="宋体" w:hAnsi="宋体"/>
          <w:sz w:val="24"/>
          <w:szCs w:val="24"/>
          <w:lang w:eastAsia="zh-CN"/>
        </w:rPr>
        <w:t>截至9月23日</w:t>
      </w:r>
      <w:r>
        <w:rPr>
          <w:rFonts w:hint="eastAsia" w:ascii="宋体" w:hAnsi="宋体"/>
          <w:sz w:val="24"/>
          <w:szCs w:val="24"/>
        </w:rPr>
        <w:t>，累计已支付1</w:t>
      </w:r>
      <w:r>
        <w:rPr>
          <w:rFonts w:hint="eastAsia" w:ascii="宋体" w:hAnsi="宋体"/>
          <w:sz w:val="24"/>
          <w:szCs w:val="24"/>
          <w:lang w:val="en-US" w:eastAsia="zh-CN"/>
        </w:rPr>
        <w:t>,</w:t>
      </w:r>
      <w:r>
        <w:rPr>
          <w:rFonts w:hint="eastAsia" w:ascii="宋体" w:hAnsi="宋体"/>
          <w:sz w:val="24"/>
          <w:szCs w:val="24"/>
        </w:rPr>
        <w:t>015</w:t>
      </w:r>
      <w:r>
        <w:rPr>
          <w:rFonts w:hint="eastAsia" w:ascii="宋体" w:hAnsi="宋体"/>
          <w:sz w:val="24"/>
          <w:szCs w:val="24"/>
          <w:lang w:val="en-US" w:eastAsia="zh-CN"/>
        </w:rPr>
        <w:t>,</w:t>
      </w:r>
      <w:r>
        <w:rPr>
          <w:rFonts w:hint="eastAsia" w:ascii="宋体" w:hAnsi="宋体"/>
          <w:sz w:val="24"/>
          <w:szCs w:val="24"/>
        </w:rPr>
        <w:t>079.24元。经审核，含本期资金支付计划累计支付达到</w:t>
      </w:r>
      <w:r>
        <w:rPr>
          <w:rFonts w:hint="eastAsia" w:ascii="宋体" w:hAnsi="宋体"/>
          <w:sz w:val="24"/>
          <w:szCs w:val="24"/>
          <w:lang w:val="en-US" w:eastAsia="zh-CN"/>
        </w:rPr>
        <w:t>83.43</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98计划支付重庆首雅服饰有限公司物业客服夏装费用2,000.00元，为非合同金额请款。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10月份营建成本的2笔资金计划编制合理，符合相关已签订合同的付款约定，与月度资金计划中列明的支付款项及支付比例基本吻合。项目公司后期申请相关款项支付时，我司会对付款申请、发票、流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管理费用资金计划</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2021年10月份管理费用计划共申请39笔，合计金额4,016,402.73元，包括归还集团代垫付工资、支付世茂集团管理费、行政办公费、人员报销和员工工资等，具体分析如下：</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1.用款编号1计划支付员工工资23.00万元，此金额为项目公司预估金额，待支付时，我司会依据劳动合同及工资表严格执行。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2.用款编号2计划支付上海容承企业管理有限公司垫付工资2,061,662.73元，此金额为项目公司预估金额，待支付时，我司会依据劳动合同及工资表、奖金明细表严格执行。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3.用款编号3计划支付一标段、二标段水电费用100,000.00元，此金额为项目公司预估金额，后期申请资金支付时，我司会对付款申请、发票、流程等支付依据进行审核。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w:t>
      </w:r>
      <w:r>
        <w:rPr>
          <w:rFonts w:hint="eastAsia" w:ascii="宋体" w:hAnsi="宋体"/>
          <w:sz w:val="24"/>
          <w:szCs w:val="24"/>
        </w:rPr>
        <w:t>计划支付</w:t>
      </w:r>
      <w:r>
        <w:rPr>
          <w:rFonts w:hint="eastAsia" w:ascii="宋体" w:hAnsi="宋体" w:cs="宋体"/>
          <w:color w:val="000000"/>
          <w:kern w:val="0"/>
          <w:sz w:val="24"/>
          <w:szCs w:val="24"/>
          <w:lang w:bidi="ar"/>
        </w:rPr>
        <w:t>内江世茂汇盈置业有限公司</w:t>
      </w:r>
      <w:r>
        <w:rPr>
          <w:rFonts w:hint="eastAsia" w:ascii="宋体" w:hAnsi="宋体"/>
          <w:sz w:val="24"/>
          <w:szCs w:val="24"/>
        </w:rPr>
        <w:t>管理费用</w:t>
      </w:r>
      <w:r>
        <w:rPr>
          <w:rFonts w:hint="eastAsia" w:ascii="宋体" w:hAnsi="宋体"/>
          <w:sz w:val="24"/>
          <w:szCs w:val="24"/>
          <w:lang w:val="en-US" w:eastAsia="zh-CN"/>
        </w:rPr>
        <w:t>8</w:t>
      </w:r>
      <w:r>
        <w:rPr>
          <w:rFonts w:hint="eastAsia" w:ascii="宋体" w:hAnsi="宋体"/>
          <w:sz w:val="24"/>
          <w:szCs w:val="24"/>
        </w:rPr>
        <w:t>00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此费用为预估数。</w:t>
      </w:r>
      <w:r>
        <w:rPr>
          <w:rFonts w:hint="eastAsia" w:ascii="宋体" w:hAnsi="宋体"/>
          <w:sz w:val="24"/>
          <w:szCs w:val="24"/>
        </w:rPr>
        <w:t>根据成都信茂涵置业有限公司与成都金座置业有限公司签订的合作协议约定，成都信茂涵置业有限</w:t>
      </w:r>
      <w:r>
        <w:rPr>
          <w:rFonts w:ascii="宋体" w:hAnsi="宋体"/>
          <w:sz w:val="24"/>
          <w:szCs w:val="24"/>
        </w:rPr>
        <w:t>公司每季度末从项目公司按照总营业收入的1%提取管理咨询与技术服务费用，截止目前，项目总销售金额</w:t>
      </w:r>
      <w:r>
        <w:rPr>
          <w:rFonts w:hint="eastAsia" w:ascii="宋体" w:hAnsi="宋体"/>
          <w:sz w:val="24"/>
          <w:szCs w:val="24"/>
          <w:lang w:val="en-US" w:eastAsia="zh-CN"/>
        </w:rPr>
        <w:t>36,518.706万</w:t>
      </w:r>
      <w:r>
        <w:rPr>
          <w:rFonts w:hint="eastAsia" w:ascii="宋体" w:hAnsi="宋体"/>
          <w:sz w:val="24"/>
          <w:szCs w:val="24"/>
          <w:lang w:val="en-US" w:eastAsia="zh-CN"/>
        </w:rPr>
        <w:t>元</w:t>
      </w:r>
      <w:r>
        <w:rPr>
          <w:rFonts w:ascii="宋体" w:hAnsi="宋体"/>
          <w:sz w:val="24"/>
          <w:szCs w:val="24"/>
        </w:rPr>
        <w:t>，</w:t>
      </w:r>
      <w:r>
        <w:rPr>
          <w:rFonts w:hint="eastAsia" w:ascii="宋体" w:hAnsi="宋体"/>
          <w:sz w:val="24"/>
          <w:szCs w:val="24"/>
          <w:lang w:val="en-US" w:eastAsia="zh-CN"/>
        </w:rPr>
        <w:t>前期累计已支付管理费用289万元。</w:t>
      </w:r>
      <w:r>
        <w:rPr>
          <w:rFonts w:hint="eastAsia" w:ascii="宋体" w:hAnsi="宋体"/>
          <w:sz w:val="24"/>
          <w:szCs w:val="24"/>
        </w:rPr>
        <w:t>该笔资金未提供完整资料，后期申请资金支付时，我司会对付款申请、发票、流程等进行审核，审批通过后进行支付。</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5.用款编号5-39主要支出是差旅费，车辆费，招待费、餐费、行政办公费等。</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10月份管理费用39笔资金计划编制合理，公司行政办公费、人员报销、员工工资支出符合编制符合企业情况。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营销费用资金计划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eastAsia="zh-CN"/>
        </w:rPr>
        <w:t>2021年10月份</w:t>
      </w:r>
      <w:r>
        <w:rPr>
          <w:rFonts w:hint="eastAsia" w:ascii="宋体" w:hAnsi="宋体"/>
          <w:sz w:val="24"/>
          <w:szCs w:val="24"/>
        </w:rPr>
        <w:t>营销费用申请</w:t>
      </w:r>
      <w:r>
        <w:rPr>
          <w:rFonts w:hint="eastAsia" w:ascii="宋体" w:hAnsi="宋体"/>
          <w:sz w:val="24"/>
          <w:szCs w:val="24"/>
          <w:highlight w:val="none"/>
          <w:lang w:val="en-US" w:eastAsia="zh-CN"/>
        </w:rPr>
        <w:t>43</w:t>
      </w:r>
      <w:r>
        <w:rPr>
          <w:rFonts w:hint="eastAsia" w:ascii="宋体" w:hAnsi="宋体"/>
          <w:sz w:val="24"/>
          <w:szCs w:val="24"/>
          <w:highlight w:val="none"/>
        </w:rPr>
        <w:t>笔费用，合计金额</w:t>
      </w:r>
      <w:r>
        <w:rPr>
          <w:rFonts w:hint="eastAsia" w:ascii="宋体" w:hAnsi="宋体" w:cs="宋体"/>
          <w:color w:val="000000"/>
          <w:kern w:val="0"/>
          <w:sz w:val="24"/>
          <w:szCs w:val="24"/>
          <w:highlight w:val="none"/>
          <w:lang w:bidi="ar"/>
        </w:rPr>
        <w:t>5</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758</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651</w:t>
      </w:r>
      <w:r>
        <w:rPr>
          <w:rFonts w:hint="eastAsia" w:ascii="宋体" w:hAnsi="宋体" w:cs="宋体"/>
          <w:color w:val="000000"/>
          <w:kern w:val="0"/>
          <w:sz w:val="24"/>
          <w:szCs w:val="24"/>
          <w:highlight w:val="none"/>
          <w:lang w:val="en-US" w:eastAsia="zh-CN" w:bidi="ar"/>
        </w:rPr>
        <w:t>.00</w:t>
      </w:r>
      <w:r>
        <w:rPr>
          <w:rFonts w:hint="eastAsia" w:ascii="宋体" w:hAnsi="宋体"/>
          <w:sz w:val="24"/>
          <w:szCs w:val="24"/>
          <w:highlight w:val="none"/>
        </w:rPr>
        <w:t>元，</w:t>
      </w:r>
      <w:r>
        <w:rPr>
          <w:rFonts w:hint="eastAsia" w:ascii="宋体" w:hAnsi="宋体"/>
          <w:sz w:val="24"/>
          <w:szCs w:val="24"/>
        </w:rPr>
        <w:t>具体分析如下：</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40</w:t>
      </w:r>
      <w:r>
        <w:rPr>
          <w:rFonts w:hint="eastAsia" w:ascii="宋体" w:hAnsi="宋体"/>
          <w:sz w:val="24"/>
          <w:szCs w:val="24"/>
        </w:rPr>
        <w:t>计划支付四川蓝羚文化传播有限公司“西部地区宜宾项目2020年10月渠道拓客物料制作事项”17,922.00元，该合同于2020年10月签订，合同编号4500389540，合同总金额17,922.00元。</w:t>
      </w:r>
      <w:r>
        <w:rPr>
          <w:rFonts w:hint="eastAsia" w:ascii="宋体" w:hAnsi="宋体"/>
          <w:sz w:val="24"/>
          <w:szCs w:val="24"/>
          <w:lang w:eastAsia="zh-CN"/>
        </w:rPr>
        <w:t>截至9月23日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41计划支付宜宾远景房地产营销策划有限公司“西部地区宜宾项目2020年10月周边社区业主维系活动事项”50,039.00元，该合同于2020年10月签订，合同编号4500391118，合同总金额50,039.00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用款编号</w:t>
      </w:r>
      <w:r>
        <w:rPr>
          <w:rFonts w:hint="eastAsia" w:ascii="宋体" w:hAnsi="宋体"/>
          <w:sz w:val="24"/>
          <w:szCs w:val="24"/>
          <w:lang w:val="en-US" w:eastAsia="zh-CN"/>
        </w:rPr>
        <w:t>42</w:t>
      </w:r>
      <w:r>
        <w:rPr>
          <w:rFonts w:hint="eastAsia" w:ascii="宋体" w:hAnsi="宋体"/>
          <w:sz w:val="24"/>
          <w:szCs w:val="24"/>
        </w:rPr>
        <w:t>计划支付宜宾云锐网络科技有限公司叙州区分公司“西部地区宜宾项目2020年12月安居客广告投放事项”56,000.00元，该合同于2020年12月签订，合同编号4500410337，合同总金额56,000.00元。</w:t>
      </w:r>
      <w:r>
        <w:rPr>
          <w:rFonts w:hint="eastAsia" w:ascii="宋体" w:hAnsi="宋体"/>
          <w:sz w:val="24"/>
          <w:szCs w:val="24"/>
          <w:lang w:eastAsia="zh-CN"/>
        </w:rPr>
        <w:t>截至9月23日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43</w:t>
      </w:r>
      <w:r>
        <w:rPr>
          <w:rFonts w:hint="eastAsia" w:ascii="宋体" w:hAnsi="宋体"/>
          <w:sz w:val="24"/>
          <w:szCs w:val="24"/>
        </w:rPr>
        <w:t>计划</w:t>
      </w:r>
      <w:r>
        <w:rPr>
          <w:rFonts w:hint="eastAsia" w:ascii="宋体" w:hAnsi="宋体"/>
          <w:sz w:val="24"/>
          <w:szCs w:val="24"/>
          <w:lang w:val="en-US" w:eastAsia="zh-CN"/>
        </w:rPr>
        <w:t>支付</w:t>
      </w:r>
      <w:r>
        <w:rPr>
          <w:rFonts w:hint="eastAsia" w:ascii="宋体" w:hAnsi="宋体"/>
          <w:sz w:val="24"/>
          <w:szCs w:val="24"/>
        </w:rPr>
        <w:t>成都经典视线广告传媒有限公司宜宾分公司“西部地区宜宾翠屏2020年9-12月公交站台广告发布事项”240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9</w:t>
      </w:r>
      <w:r>
        <w:rPr>
          <w:rFonts w:hint="eastAsia" w:ascii="宋体" w:hAnsi="宋体"/>
          <w:sz w:val="24"/>
          <w:szCs w:val="24"/>
        </w:rPr>
        <w:t>月签订，合同编号4500376714，合同总金额403</w:t>
      </w:r>
      <w:r>
        <w:rPr>
          <w:rFonts w:hint="eastAsia" w:ascii="宋体" w:hAnsi="宋体"/>
          <w:sz w:val="24"/>
          <w:szCs w:val="24"/>
          <w:lang w:val="en-US" w:eastAsia="zh-CN"/>
        </w:rPr>
        <w:t>,</w:t>
      </w:r>
      <w:r>
        <w:rPr>
          <w:rFonts w:hint="eastAsia" w:ascii="宋体" w:hAnsi="宋体"/>
          <w:sz w:val="24"/>
          <w:szCs w:val="24"/>
        </w:rPr>
        <w:t>600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截至9月23日</w:t>
      </w:r>
      <w:r>
        <w:rPr>
          <w:rFonts w:hint="eastAsia" w:ascii="宋体" w:hAnsi="宋体"/>
          <w:sz w:val="24"/>
          <w:szCs w:val="24"/>
        </w:rPr>
        <w:t>，</w:t>
      </w:r>
      <w:r>
        <w:rPr>
          <w:rFonts w:hint="eastAsia" w:ascii="宋体" w:hAnsi="宋体"/>
          <w:sz w:val="24"/>
          <w:szCs w:val="24"/>
          <w:lang w:val="en-US" w:eastAsia="zh-CN"/>
        </w:rPr>
        <w:t>累计已支付163,600.00元，包含本期付款比例为100%。</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5</w:t>
      </w:r>
      <w:r>
        <w:rPr>
          <w:rFonts w:hint="eastAsia" w:ascii="宋体" w:hAnsi="宋体"/>
          <w:sz w:val="24"/>
          <w:szCs w:val="24"/>
          <w:lang w:val="en-US"/>
        </w:rPr>
        <w:t>.</w:t>
      </w:r>
      <w:r>
        <w:rPr>
          <w:rFonts w:hint="eastAsia" w:ascii="宋体" w:hAnsi="宋体"/>
          <w:sz w:val="24"/>
          <w:szCs w:val="24"/>
        </w:rPr>
        <w:t>用款编号</w:t>
      </w:r>
      <w:r>
        <w:rPr>
          <w:rFonts w:hint="eastAsia" w:ascii="宋体" w:hAnsi="宋体"/>
          <w:sz w:val="24"/>
          <w:szCs w:val="24"/>
          <w:lang w:val="en-US" w:eastAsia="zh-CN"/>
        </w:rPr>
        <w:t>44</w:t>
      </w:r>
      <w:r>
        <w:rPr>
          <w:rFonts w:hint="eastAsia" w:ascii="宋体" w:hAnsi="宋体"/>
          <w:sz w:val="24"/>
          <w:szCs w:val="24"/>
        </w:rPr>
        <w:t>计划支付宜宾云锐网络科技有限公司叙州区分公司“西部地区宜宾项目2021年1-2月安居客广告投放事项”112,000.00元，该合同于2021年1月签订，合同编号4500415245，合同总金额112,000.00元。</w:t>
      </w:r>
      <w:r>
        <w:rPr>
          <w:rFonts w:hint="eastAsia" w:ascii="宋体" w:hAnsi="宋体"/>
          <w:sz w:val="24"/>
          <w:szCs w:val="24"/>
          <w:lang w:eastAsia="zh-CN"/>
        </w:rPr>
        <w:t>截至9月23日</w:t>
      </w:r>
      <w:r>
        <w:rPr>
          <w:rFonts w:hint="eastAsia" w:ascii="宋体" w:hAnsi="宋体"/>
          <w:sz w:val="24"/>
          <w:szCs w:val="24"/>
        </w:rPr>
        <w:t>，未付款。该笔资金计划合理，后</w:t>
      </w:r>
      <w:r>
        <w:rPr>
          <w:rFonts w:hint="eastAsia" w:ascii="宋体" w:hAnsi="宋体"/>
          <w:sz w:val="24"/>
          <w:szCs w:val="24"/>
          <w:lang w:val="en-US"/>
        </w:rPr>
        <w:t>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45计划支付成都经典视线广告传媒有限公司宜宾分公司“西部区域宜宾项目2020年1-3月公交站台广告发布事项”240,000.00元，该合同于2021年1月签订，合同编号4500417421，合同总金额240,000.00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46计划支付重庆正恒文化传播有限公司“西部区域宜宾项目2021年度广告公司代理事项”490,000.00元，该合同未签订，合同总金额770,000.00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8.用款编号47计划支付内江市和邦广告有限公司“西部区域宜宾项目2021年3月老业主春季出游活动事项”26,560.00元，该合同于2021年3月签订，合同编号4500428750，合同总金额26,560.00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48计划支付宜宾合众传媒有限公司“西部区域宜宾项目2021年3月电台广告投放事项”60,000.00元，该合同于2021年3月签订，合同编号4500431409，合同总金额60,000.00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49计划支付四川蓝羚文化传播有限公司“西部区域宜宾项目2021年3月渠道拓客物料采购事项”3,863.00元，该合同于2021年3月签订，合同编号4500428033，合同总金额3,863.00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用款编号50计划支付宜宾市志兴广告有限公司“西部区域宜宾项目2021年3月常规物料制作事项（月结)”8,300.00元，该合同于2021年3月签订，合同编号4500433990，合同总金额8,300.00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用款编号51计划支付成都睿帆广告有限公司“西部区域宜宾项目2021年3月常规物料印刷制作事项（月结）”26,606.00元，该合同于2021年3月签订，合同编号4500430848，合同总金额26,606.00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用款编号52计划支付成都经典视线广告传媒有限公司宜宾分公司“西部区域宜宾项目2021年4-6月公交站台广告发布事项”240,000.00元，该合同于2021年5月签订，合同编号4500431419，合同总金额240,000.00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14.用款编号53计划支付宜宾小雨文化传播有限公司“西部区域宜宾项目2021年4月城熟生活节活动事项”23,675.00元，该合同于2021年5月签订，合同编号4500437415，合同总金额23,675.00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15.用款编号54计划支付四川鑫北岸广告有限公司“西部区域宜宾项目2021年4月常规物料制作事项（月结）”18,803.00元，该合同于2021年4月签订，合同编号4500438561，合同总金额18,803.00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16.用款编号55计划支付宜宾云锐网络科技有限公司叙州区分公司“西部区域宜宾项目2021年5月安居客投放事项”62,000.00元，该合同于2021年5月签订，合同编号4500441739，合同总金额62,000.00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17.用款编号56计划支付内江市和邦广告有限公司“西部区域宜宾项目2021年5月521全城电影院快闪活动事项”39,000.00元，该合同于2021年5月签订，合同总金额39,000.00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18.用款编号57计划支付成都睿帆广告有限公司“西部区域宜宾项目2021年4月常规物料印刷制作事项（月结）”19,186.00元，该合同于2021年4月签订，合同总金额19,186.00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19.用款编号58计划支付宜宾合众传媒有限公司“西部区域宜宾项目2021年4月广播电台广告投放事项”60,000.00元，该合同于2021年4月签订，合同总金额60,000.00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用款编号59计划支付宜宾市志兴广告有限公司“西部区域宜宾项目2021年5月常规物料制作事项（月结）”29,870.00元，该合同于2021年5月签订，合同总金额29,870.00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21.用款编号60计划支付成都睿帆广告有限公司“西部区域宜宾项目2021年5月常规物料印刷事项（月结）”3,375.00元，该合同于2021年5月签订，合同总金额3,375.00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22.用款编号61计划支付成都世茂房地产开发有限公司第二分公司“西部区域宜宾项目2021年5月端午粽子采购活动事项”11,920.00元，该合同于2021年5月签订，合同编号4500443829，合同总金额11,920.00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23.用款编号62计划支付成都晟天文化传播有限公司“西部区域宜宾项目2021年5月清凉节资源联动活动事项”19,200.00元，该合同于2021年5月签订，合同编号4500443171，合同总金额19,200.00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24.用款编号63计划支付宜宾远景房地产营销策划有限公司“西部区域宜宾项目2021年5月乡镇巡游活动事项”18,845.00元，该合同于2021年5月签订，合同编号4500442408,合同总金额18,845.00元。截至9月23日，未付款。该笔资金计划合理，后期申请资金支付时，我司会对付款申请、发票、流程等支付依据进行审核。</w:t>
      </w:r>
    </w:p>
    <w:p>
      <w:pPr>
        <w:rPr>
          <w:rFonts w:hint="eastAsia" w:ascii="宋体" w:hAnsi="宋体"/>
          <w:sz w:val="24"/>
          <w:szCs w:val="24"/>
          <w:lang w:val="en-US" w:eastAsia="zh-CN"/>
        </w:rPr>
      </w:pPr>
      <w:r>
        <w:rPr>
          <w:rFonts w:hint="eastAsia" w:ascii="宋体" w:hAnsi="宋体"/>
          <w:sz w:val="24"/>
          <w:szCs w:val="24"/>
          <w:lang w:val="en-US" w:eastAsia="zh-CN"/>
        </w:rPr>
        <w:br w:type="page"/>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25.用款编号64计划支付成都晟天文化传播有限公司“西部区域宜宾项目2021年5月龙虾音乐节活动事项”38,400.00元，该合同于2021年5月签订，合同编号4500443168,合同总金额38,400.00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26.用款编号65计划支付成都大峡骨科技有限公司“西部地区宜宾翠屏项目2021年6月售楼部沙盘模型制作事项”179,960.00元，该合同于2021年6月签订，合同编号4500450973,合同总金额179,960.00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27.用款编号66计划支付四川鑫北岸广告有限公司“西部区域宜宾项目2021年6月常规物料制作事项（月结）”7,848.00元，该合同于2021年6月签订，合同编号4500450560,合同总金额7,848.00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28.用款编号67计划支付成都市宇柯包装装潢设计有限公司“西部区域宜宾项目2021年6月常规物料印刷事项（月结）”18,038.00元，该合同于2021年6月签订，合同编号4500454981,合同总金额18,038.00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29.用款编号68计划支付四川鑫北岸广告有限公司“西部区域宜宾项目2021年6月品牌馆制作事项”69,280.00元，该合同于2021年6月签订，合同编号4500450446,合同总金额69,280.00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30.用款编号69计划支付内江市和邦广告有限公司“西部区域宜宾项目2021年6月端午节活动事项”10,248.00元，该合同于2021年6月签订，合同编号4500449347,合同总金额10,248.00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31.用款编号70计划支付内江市和邦广告有限公司“西部区域宜宾项目2021年6月成交礼品采购活动事项”27,056.00元，该合同于2021年6月签订，合同编号4500449340,合同总金额27,056.00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32.用款编号71计划支付宜宾合众传媒有限公司“西部区域宜宾项目2021年6月学霸养成计划整合推广事项”150,000.00元，该合同于2021年6月签订，合同编号4500448568,合同总金额150,000.00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33.用款编号72计划支付成都晟天文化传播有限公司“西部区域宜宾项目2021年6月儿童节专场音乐会活动事项”17,000.00元，该合同于2021年6月签订，合同编号4500445449,合同总金额17,000.00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34.用款编号73计划支付内江市和邦广告有限公司“西部区域宜宾项目2021年7月三期广场开工活动增补事项”16,569.00元，该合同于2021年7月签订，合同编号4500456150,合同总金额16,569.00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35.用款编号74计划支付内江市和邦广告有限公司“西部区域宜宾项目2021年7月广场奠基仪式活动事项”126,283.00元，该合同于2021年7月签订，合同编号4500456146,合同总金额126,283.00元。截至9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36.用款编号75计划支付上海卓迎信息技术有限公司“宜宾翠屏项目2021年下半年全民及老带新合同”佣金30,000.00，该笔资金预估数，后期申请资金支付时，我司会对付款申请、发票、流程等支付依据进行审核。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37.用款编号76计划支付四川智行力度房地产营销策划有限公司“宜宾世茂金座·云锦销售代理合同-智行力度（2021年1-6月）”佣金100,000.00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38.用款编号77计划支付四川方胜人力资源服务有限公司“西部区域宜宾翠屏项目2021年第3季度自渠合同”自渠人员工资及佣金160,000.00元，该笔资金为预估数，后期申请资金支付时，我司会对付款申请、发票、流程等支付依据进行审核。</w:t>
      </w:r>
    </w:p>
    <w:p>
      <w:pPr>
        <w:rPr>
          <w:rFonts w:hint="eastAsia" w:ascii="宋体" w:hAnsi="宋体"/>
          <w:sz w:val="24"/>
          <w:szCs w:val="24"/>
          <w:lang w:val="en-US" w:eastAsia="zh-CN"/>
        </w:rPr>
      </w:pPr>
      <w:r>
        <w:rPr>
          <w:rFonts w:hint="eastAsia" w:ascii="宋体" w:hAnsi="宋体"/>
          <w:sz w:val="24"/>
          <w:szCs w:val="24"/>
          <w:lang w:val="en-US" w:eastAsia="zh-CN"/>
        </w:rPr>
        <w:br w:type="page"/>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39.用款编号78计划支付上海家和信息技术有限公司“宜宾翠屏项目2021年3季度中介分销合同（家和）”佣金500,000.00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40.用款编号79计划支付四川省臻房家企业管理咨询有限公司“宜宾翠屏项目2021年3季度中介分销合同（臻房家）”佣金800,000.00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41.用款编号80计划支付销售费用其他费用预估数200,000.00元，该笔资金预估数，主要为员工报销、其他费用，后期申请资金支付时，我司会对付款申请、发票、流程等支付依据进行审核。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42.用款编号81计划支付退款费用800,000.00元，该笔资金预估数，后期申请资金支付时，我司会对退款申请、发票、流程等支付依据进行审核。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43.用款编号82计划支付四川省臻房家企业管理咨询有限公司“宜宾翠屏项目2021年2季度中介分销合同（臻房家）”佣金抵房退款720,805.00元，该合同于2021年7月签订，抵房总金额720,805.00元。现申请抵房佣金退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10</w:t>
      </w:r>
      <w:r>
        <w:rPr>
          <w:rFonts w:hint="eastAsia" w:ascii="宋体" w:hAnsi="宋体"/>
          <w:sz w:val="24"/>
          <w:szCs w:val="24"/>
        </w:rPr>
        <w:t>月份营销费用</w:t>
      </w:r>
      <w:r>
        <w:rPr>
          <w:rFonts w:hint="eastAsia" w:ascii="宋体" w:hAnsi="宋体"/>
          <w:sz w:val="24"/>
          <w:szCs w:val="24"/>
          <w:lang w:val="en-US" w:eastAsia="zh-CN"/>
        </w:rPr>
        <w:t>43</w:t>
      </w:r>
      <w:r>
        <w:rPr>
          <w:rFonts w:hint="eastAsia" w:ascii="宋体" w:hAnsi="宋体"/>
          <w:sz w:val="24"/>
          <w:szCs w:val="24"/>
        </w:rPr>
        <w:t>笔资金计划编制基本合理，后期申请相关款项支付时，我司会对付款申请、发票、流程、合同等依据进行审核，严格把控，确保资金支付合理、合规。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hint="eastAsia" w:ascii="宋体" w:hAnsi="宋体"/>
          <w:bCs/>
          <w:color w:val="000000"/>
          <w:sz w:val="24"/>
          <w:szCs w:val="24"/>
          <w:lang w:val="en-US" w:bidi="zh-CN"/>
        </w:rPr>
      </w:pPr>
      <w:r>
        <w:rPr>
          <w:rFonts w:hint="eastAsia" w:ascii="宋体" w:hAnsi="宋体"/>
          <w:bCs/>
          <w:color w:val="000000"/>
          <w:sz w:val="24"/>
          <w:szCs w:val="24"/>
          <w:lang w:val="en-US" w:bidi="zh-CN"/>
        </w:rPr>
        <w:t>税费</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2021年10月份项目公司申请税费</w:t>
      </w:r>
      <w:r>
        <w:rPr>
          <w:rFonts w:hint="eastAsia" w:ascii="宋体" w:hAnsi="宋体"/>
          <w:sz w:val="24"/>
          <w:szCs w:val="24"/>
          <w:lang w:val="en-US" w:eastAsia="zh-CN" w:bidi="zh-CN"/>
        </w:rPr>
        <w:t>620,000.00</w:t>
      </w:r>
      <w:r>
        <w:rPr>
          <w:rFonts w:hint="eastAsia" w:ascii="宋体" w:hAnsi="宋体"/>
          <w:sz w:val="24"/>
          <w:szCs w:val="24"/>
          <w:lang w:val="en-US" w:bidi="zh-CN"/>
        </w:rPr>
        <w:t>元，用于支付增值税及附加税、土地增值税等，经核查，此金额为预估金额，待支付时，我司会依据项目公司财务报表等支付依据严格执行。</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val="en-US" w:bidi="zh-CN"/>
        </w:rPr>
        <w:t>其他费用</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2021年10月份</w:t>
      </w:r>
      <w:r>
        <w:rPr>
          <w:rFonts w:hint="eastAsia" w:ascii="宋体" w:hAnsi="宋体"/>
          <w:sz w:val="24"/>
          <w:szCs w:val="24"/>
          <w:lang w:val="en-US" w:eastAsia="zh-CN" w:bidi="zh-CN"/>
        </w:rPr>
        <w:t>其他</w:t>
      </w:r>
      <w:r>
        <w:rPr>
          <w:rFonts w:hint="eastAsia" w:ascii="宋体" w:hAnsi="宋体"/>
          <w:sz w:val="24"/>
          <w:szCs w:val="24"/>
          <w:lang w:val="en-US" w:bidi="zh-CN"/>
        </w:rPr>
        <w:t>费用申请</w:t>
      </w:r>
      <w:r>
        <w:rPr>
          <w:rFonts w:hint="eastAsia" w:ascii="宋体" w:hAnsi="宋体"/>
          <w:sz w:val="24"/>
          <w:szCs w:val="24"/>
          <w:lang w:val="en-US" w:eastAsia="zh-CN" w:bidi="zh-CN"/>
        </w:rPr>
        <w:t>3</w:t>
      </w:r>
      <w:r>
        <w:rPr>
          <w:rFonts w:hint="eastAsia" w:ascii="宋体" w:hAnsi="宋体"/>
          <w:sz w:val="24"/>
          <w:szCs w:val="24"/>
          <w:lang w:val="en-US" w:bidi="zh-CN"/>
        </w:rPr>
        <w:t>笔费用，合计金额900,000.00元，具体分析如下：</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1.用款编号83计划支付宜宾市住房公积金管理中心云锦1#楼住房公积金贷款保证金200,000.00元，该笔资金预估数。</w:t>
      </w:r>
      <w:r>
        <w:rPr>
          <w:rFonts w:hint="default" w:ascii="宋体" w:hAnsi="宋体"/>
          <w:sz w:val="24"/>
          <w:szCs w:val="24"/>
          <w:lang w:val="en-US" w:bidi="zh-CN"/>
        </w:rPr>
        <w:t>云锦1#楼达到形象（12层结构）进度，放款前需根据与宜宾公积金管理中心签订的合作协议，按照贷款发放额4%比例缴纳保证金，后续提供收据（盖财务章确认）。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r>
        <w:rPr>
          <w:rFonts w:hint="default" w:ascii="宋体" w:hAnsi="宋体"/>
          <w:sz w:val="24"/>
          <w:szCs w:val="24"/>
          <w:lang w:val="en-US" w:bidi="zh-CN"/>
        </w:rPr>
        <w:br w:type="textWrapping"/>
      </w:r>
      <w:r>
        <w:rPr>
          <w:rFonts w:hint="eastAsia" w:ascii="宋体" w:hAnsi="宋体"/>
          <w:sz w:val="24"/>
          <w:szCs w:val="24"/>
          <w:lang w:val="en-US" w:bidi="zh-CN"/>
        </w:rPr>
        <w:t xml:space="preserve">    2.用款编号84计划支付宜宾市住房公积金管理中心云锦3#楼住房公积金贷款保证金500,000.00元，该笔资金预估数。</w:t>
      </w:r>
      <w:r>
        <w:rPr>
          <w:rFonts w:hint="default" w:ascii="宋体" w:hAnsi="宋体"/>
          <w:sz w:val="24"/>
          <w:szCs w:val="24"/>
          <w:lang w:val="en-US" w:bidi="zh-CN"/>
        </w:rPr>
        <w:t>云锦</w:t>
      </w:r>
      <w:r>
        <w:rPr>
          <w:rFonts w:hint="eastAsia" w:ascii="宋体" w:hAnsi="宋体"/>
          <w:sz w:val="24"/>
          <w:szCs w:val="24"/>
          <w:lang w:val="en-US" w:bidi="zh-CN"/>
        </w:rPr>
        <w:t>3</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3.用款编号85计划支付宜宾市住房公积金管理中心云锦2#楼住房公积金贷款保证金200,000.00元，该笔资金预估数。</w:t>
      </w:r>
      <w:r>
        <w:rPr>
          <w:rFonts w:hint="default" w:ascii="宋体" w:hAnsi="宋体"/>
          <w:sz w:val="24"/>
          <w:szCs w:val="24"/>
          <w:lang w:val="en-US" w:bidi="zh-CN"/>
        </w:rPr>
        <w:t>云锦</w:t>
      </w:r>
      <w:r>
        <w:rPr>
          <w:rFonts w:hint="eastAsia" w:ascii="宋体" w:hAnsi="宋体"/>
          <w:sz w:val="24"/>
          <w:szCs w:val="24"/>
          <w:lang w:val="en-US" w:bidi="zh-CN"/>
        </w:rPr>
        <w:t>2</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经审核，我司认为10月份其他费用3笔资金计划编制基本合理，后期申请相关款项支付时，我司会对付款申请、发票、流程、合同等依据进行审核，严格把控，确保资金支付合理、合规。</w:t>
      </w:r>
    </w:p>
    <w:p>
      <w:pPr>
        <w:pStyle w:val="11"/>
        <w:spacing w:before="156" w:beforeLines="50" w:after="156" w:afterLines="50" w:line="360" w:lineRule="auto"/>
        <w:ind w:firstLine="482" w:firstLineChars="200"/>
        <w:outlineLvl w:val="0"/>
        <w:rPr>
          <w:rFonts w:hint="eastAsia" w:ascii="宋体" w:hAnsi="宋体" w:cs="宋体"/>
          <w:b/>
          <w:sz w:val="24"/>
        </w:rPr>
      </w:pPr>
      <w:r>
        <w:rPr>
          <w:rFonts w:hint="eastAsia" w:ascii="宋体" w:hAnsi="宋体" w:cs="宋体"/>
          <w:b/>
          <w:sz w:val="24"/>
        </w:rPr>
        <w:t>三、结论：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本次宜宾骏继洪骥置业有限责任公司申报的</w:t>
      </w:r>
      <w:r>
        <w:rPr>
          <w:rFonts w:hint="eastAsia" w:ascii="宋体" w:hAnsi="宋体"/>
          <w:sz w:val="24"/>
          <w:szCs w:val="24"/>
          <w:lang w:val="en-US" w:eastAsia="zh-CN"/>
        </w:rPr>
        <w:t>10</w:t>
      </w:r>
      <w:r>
        <w:rPr>
          <w:rFonts w:hint="eastAsia" w:ascii="宋体" w:hAnsi="宋体"/>
          <w:sz w:val="24"/>
          <w:szCs w:val="24"/>
        </w:rPr>
        <w:t>月资金计划，符合项目实际情况。费用明细与现场实际情况基本吻合，资金计划编制基本合理，我司拟同意项目公司</w:t>
      </w:r>
      <w:r>
        <w:rPr>
          <w:rFonts w:hint="eastAsia" w:ascii="宋体" w:hAnsi="宋体"/>
          <w:sz w:val="24"/>
          <w:szCs w:val="24"/>
          <w:lang w:val="en-US" w:eastAsia="zh-CN"/>
        </w:rPr>
        <w:t>10</w:t>
      </w:r>
      <w:r>
        <w:rPr>
          <w:rFonts w:hint="eastAsia" w:ascii="宋体" w:hAnsi="宋体"/>
          <w:sz w:val="24"/>
          <w:szCs w:val="24"/>
        </w:rPr>
        <w:t>月份资金计划，并以此作为付款的依据。待实际支付时，我司人员将对相关付款资料的合理、合规性一一核实，据实支付，请审批。</w:t>
      </w:r>
    </w:p>
    <w:p>
      <w:pPr>
        <w:spacing w:line="360" w:lineRule="auto"/>
        <w:rPr>
          <w:rFonts w:ascii="宋体" w:hAnsi="宋体"/>
          <w:bCs/>
          <w:color w:val="000000"/>
          <w:sz w:val="24"/>
          <w:lang w:bidi="zh-CN"/>
        </w:rPr>
      </w:pPr>
      <w:r>
        <w:rPr>
          <w:rFonts w:hint="eastAsia" w:ascii="宋体" w:hAnsi="宋体"/>
          <w:b/>
          <w:color w:val="000000"/>
          <w:sz w:val="24"/>
          <w:lang w:bidi="zh-CN"/>
        </w:rPr>
        <w:t xml:space="preserve">      </w:t>
      </w:r>
      <w:r>
        <w:rPr>
          <w:rFonts w:hint="eastAsia" w:ascii="宋体" w:hAnsi="宋体"/>
          <w:bCs/>
          <w:color w:val="000000"/>
          <w:sz w:val="24"/>
          <w:lang w:bidi="zh-CN"/>
        </w:rPr>
        <w:t xml:space="preserve">                                     北京康信君安资产管理有限公司</w:t>
      </w:r>
    </w:p>
    <w:p>
      <w:pPr>
        <w:spacing w:line="360" w:lineRule="auto"/>
        <w:ind w:firstLine="5520" w:firstLineChars="2300"/>
        <w:rPr>
          <w:rFonts w:hint="eastAsia" w:ascii="宋体" w:hAnsi="宋体"/>
          <w:bCs/>
          <w:color w:val="000000"/>
          <w:sz w:val="24"/>
          <w:lang w:bidi="zh-CN"/>
        </w:rPr>
      </w:pPr>
      <w:r>
        <w:rPr>
          <w:rFonts w:hint="eastAsia" w:ascii="宋体" w:hAnsi="宋体"/>
          <w:bCs/>
          <w:color w:val="000000"/>
          <w:sz w:val="24"/>
          <w:lang w:val="en-US" w:bidi="zh-CN"/>
        </w:rPr>
        <w:t xml:space="preserve"> </w:t>
      </w:r>
      <w:r>
        <w:rPr>
          <w:rFonts w:ascii="宋体" w:hAnsi="宋体"/>
          <w:bCs/>
          <w:color w:val="000000"/>
          <w:sz w:val="24"/>
          <w:lang w:bidi="zh-CN"/>
        </w:rPr>
        <w:t xml:space="preserve"> </w:t>
      </w:r>
      <w:r>
        <w:rPr>
          <w:rFonts w:hint="eastAsia" w:ascii="宋体" w:hAnsi="宋体"/>
          <w:bCs/>
          <w:color w:val="000000"/>
          <w:sz w:val="24"/>
          <w:lang w:bidi="zh-CN"/>
        </w:rPr>
        <w:t xml:space="preserve">宜宾站前广场项目组  </w:t>
      </w:r>
    </w:p>
    <w:p>
      <w:pPr>
        <w:spacing w:line="360" w:lineRule="auto"/>
        <w:ind w:firstLine="6000" w:firstLineChars="2500"/>
      </w:pPr>
      <w:bookmarkStart w:id="1" w:name="_GoBack"/>
      <w:bookmarkEnd w:id="1"/>
      <w:r>
        <w:rPr>
          <w:rFonts w:hint="eastAsia" w:ascii="宋体" w:hAnsi="宋体"/>
          <w:color w:val="000000"/>
          <w:sz w:val="24"/>
          <w:lang w:bidi="zh-CN"/>
        </w:rPr>
        <w:t>2021年</w:t>
      </w:r>
      <w:r>
        <w:rPr>
          <w:rFonts w:hint="eastAsia" w:ascii="宋体" w:hAnsi="宋体"/>
          <w:color w:val="000000"/>
          <w:sz w:val="24"/>
          <w:lang w:val="en-US" w:bidi="zh-CN"/>
        </w:rPr>
        <w:t>9</w:t>
      </w:r>
      <w:r>
        <w:rPr>
          <w:rFonts w:hint="eastAsia" w:ascii="宋体" w:hAnsi="宋体"/>
          <w:color w:val="000000"/>
          <w:sz w:val="24"/>
          <w:lang w:bidi="zh-CN"/>
        </w:rPr>
        <w:t>月</w:t>
      </w:r>
      <w:r>
        <w:rPr>
          <w:rFonts w:hint="eastAsia" w:ascii="宋体" w:hAnsi="宋体"/>
          <w:color w:val="000000"/>
          <w:sz w:val="24"/>
          <w:lang w:val="en-US" w:bidi="zh-CN"/>
        </w:rPr>
        <w:t>27</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10</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10</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166F05"/>
    <w:rsid w:val="00175D9B"/>
    <w:rsid w:val="001A77D9"/>
    <w:rsid w:val="00240E4E"/>
    <w:rsid w:val="003F7A43"/>
    <w:rsid w:val="0048705F"/>
    <w:rsid w:val="005A685E"/>
    <w:rsid w:val="005C5BF8"/>
    <w:rsid w:val="005E3750"/>
    <w:rsid w:val="00614021"/>
    <w:rsid w:val="00626167"/>
    <w:rsid w:val="00671AAB"/>
    <w:rsid w:val="007461B7"/>
    <w:rsid w:val="00756FA2"/>
    <w:rsid w:val="007A318C"/>
    <w:rsid w:val="00916AE4"/>
    <w:rsid w:val="009C3196"/>
    <w:rsid w:val="00B872B9"/>
    <w:rsid w:val="00BA0515"/>
    <w:rsid w:val="00C90B88"/>
    <w:rsid w:val="00CD7511"/>
    <w:rsid w:val="013F79DE"/>
    <w:rsid w:val="018A548D"/>
    <w:rsid w:val="02525A1D"/>
    <w:rsid w:val="03267025"/>
    <w:rsid w:val="04143CD3"/>
    <w:rsid w:val="04982717"/>
    <w:rsid w:val="063867A9"/>
    <w:rsid w:val="063D1761"/>
    <w:rsid w:val="065F3157"/>
    <w:rsid w:val="06714663"/>
    <w:rsid w:val="06B45894"/>
    <w:rsid w:val="07667DA9"/>
    <w:rsid w:val="07E03F89"/>
    <w:rsid w:val="08645D8D"/>
    <w:rsid w:val="08956058"/>
    <w:rsid w:val="08D034BB"/>
    <w:rsid w:val="08EE1EC1"/>
    <w:rsid w:val="09EF30AA"/>
    <w:rsid w:val="0A0A161B"/>
    <w:rsid w:val="0B712C9A"/>
    <w:rsid w:val="0C6E5660"/>
    <w:rsid w:val="0CAA3E33"/>
    <w:rsid w:val="0DEB56BA"/>
    <w:rsid w:val="0E741992"/>
    <w:rsid w:val="0EB34B8B"/>
    <w:rsid w:val="0F765705"/>
    <w:rsid w:val="0F9A1FDF"/>
    <w:rsid w:val="0FD154C7"/>
    <w:rsid w:val="11AE0FEA"/>
    <w:rsid w:val="12090F17"/>
    <w:rsid w:val="12220574"/>
    <w:rsid w:val="14432BD8"/>
    <w:rsid w:val="157A3F5D"/>
    <w:rsid w:val="15AD2222"/>
    <w:rsid w:val="16D33883"/>
    <w:rsid w:val="16E5477D"/>
    <w:rsid w:val="178873E1"/>
    <w:rsid w:val="180A04EA"/>
    <w:rsid w:val="185D0939"/>
    <w:rsid w:val="19AC4A69"/>
    <w:rsid w:val="19CF5EA8"/>
    <w:rsid w:val="1A4771F6"/>
    <w:rsid w:val="1A720328"/>
    <w:rsid w:val="1ABB7E35"/>
    <w:rsid w:val="1B66139E"/>
    <w:rsid w:val="1B6C7C2D"/>
    <w:rsid w:val="1BF22679"/>
    <w:rsid w:val="1C962887"/>
    <w:rsid w:val="1E2D3E92"/>
    <w:rsid w:val="1E405230"/>
    <w:rsid w:val="1ED64506"/>
    <w:rsid w:val="1F583190"/>
    <w:rsid w:val="1FF55723"/>
    <w:rsid w:val="205E5D3E"/>
    <w:rsid w:val="20E302A0"/>
    <w:rsid w:val="21113E8C"/>
    <w:rsid w:val="21C954A0"/>
    <w:rsid w:val="229F5FD8"/>
    <w:rsid w:val="23094DEC"/>
    <w:rsid w:val="23D55183"/>
    <w:rsid w:val="25017701"/>
    <w:rsid w:val="25A7230A"/>
    <w:rsid w:val="26311A4A"/>
    <w:rsid w:val="26E10053"/>
    <w:rsid w:val="26E74243"/>
    <w:rsid w:val="27414B5A"/>
    <w:rsid w:val="27711F8B"/>
    <w:rsid w:val="28240ABD"/>
    <w:rsid w:val="28893A16"/>
    <w:rsid w:val="289060F3"/>
    <w:rsid w:val="29472548"/>
    <w:rsid w:val="2A3F0A24"/>
    <w:rsid w:val="2A741F54"/>
    <w:rsid w:val="2A9918BD"/>
    <w:rsid w:val="2E243F4F"/>
    <w:rsid w:val="2EA024BA"/>
    <w:rsid w:val="2EB91F24"/>
    <w:rsid w:val="2F870B16"/>
    <w:rsid w:val="2FA8664F"/>
    <w:rsid w:val="30157DA5"/>
    <w:rsid w:val="312D01C3"/>
    <w:rsid w:val="313472F2"/>
    <w:rsid w:val="3215721B"/>
    <w:rsid w:val="3239198D"/>
    <w:rsid w:val="333F3973"/>
    <w:rsid w:val="33451765"/>
    <w:rsid w:val="351831C5"/>
    <w:rsid w:val="3552414A"/>
    <w:rsid w:val="35826B17"/>
    <w:rsid w:val="37324CCB"/>
    <w:rsid w:val="38D7138E"/>
    <w:rsid w:val="391D7FD1"/>
    <w:rsid w:val="3A5B77C1"/>
    <w:rsid w:val="3AED7E9D"/>
    <w:rsid w:val="3B5D6BA9"/>
    <w:rsid w:val="3C5A46DB"/>
    <w:rsid w:val="3D0135D6"/>
    <w:rsid w:val="3DBF27E5"/>
    <w:rsid w:val="3EE22C8C"/>
    <w:rsid w:val="407961B2"/>
    <w:rsid w:val="408C2296"/>
    <w:rsid w:val="409625E1"/>
    <w:rsid w:val="41B93636"/>
    <w:rsid w:val="42E72137"/>
    <w:rsid w:val="437C7673"/>
    <w:rsid w:val="43E119D4"/>
    <w:rsid w:val="466923B3"/>
    <w:rsid w:val="46922716"/>
    <w:rsid w:val="486A1445"/>
    <w:rsid w:val="4C830EAA"/>
    <w:rsid w:val="4D5C7EA8"/>
    <w:rsid w:val="4E1C091D"/>
    <w:rsid w:val="4E353060"/>
    <w:rsid w:val="4F4E1675"/>
    <w:rsid w:val="4F766ED2"/>
    <w:rsid w:val="513612BC"/>
    <w:rsid w:val="513E4335"/>
    <w:rsid w:val="52506513"/>
    <w:rsid w:val="52587CFA"/>
    <w:rsid w:val="52FF2D89"/>
    <w:rsid w:val="545641A1"/>
    <w:rsid w:val="54572253"/>
    <w:rsid w:val="54BD1A39"/>
    <w:rsid w:val="5602464D"/>
    <w:rsid w:val="56645EA3"/>
    <w:rsid w:val="579D122F"/>
    <w:rsid w:val="59DE52E9"/>
    <w:rsid w:val="5BE371E3"/>
    <w:rsid w:val="5CDD52A4"/>
    <w:rsid w:val="5CE80200"/>
    <w:rsid w:val="5D396518"/>
    <w:rsid w:val="5D8B568C"/>
    <w:rsid w:val="5DAA1C90"/>
    <w:rsid w:val="5E042ABC"/>
    <w:rsid w:val="5EDE0721"/>
    <w:rsid w:val="5EE959FD"/>
    <w:rsid w:val="5F1E1E11"/>
    <w:rsid w:val="5F7B51FD"/>
    <w:rsid w:val="60697F69"/>
    <w:rsid w:val="609F631F"/>
    <w:rsid w:val="60F75F19"/>
    <w:rsid w:val="61115DAB"/>
    <w:rsid w:val="616F2C64"/>
    <w:rsid w:val="62DD3AEC"/>
    <w:rsid w:val="63430018"/>
    <w:rsid w:val="677101B0"/>
    <w:rsid w:val="687E162C"/>
    <w:rsid w:val="689A0D39"/>
    <w:rsid w:val="693A5F5E"/>
    <w:rsid w:val="69A2535D"/>
    <w:rsid w:val="69E46840"/>
    <w:rsid w:val="6A977F0E"/>
    <w:rsid w:val="6AD54014"/>
    <w:rsid w:val="6C41176A"/>
    <w:rsid w:val="6C9C7B61"/>
    <w:rsid w:val="6CE97B36"/>
    <w:rsid w:val="6DD24F6B"/>
    <w:rsid w:val="6E906EBB"/>
    <w:rsid w:val="6EF65F16"/>
    <w:rsid w:val="6F1F1A46"/>
    <w:rsid w:val="702B3E00"/>
    <w:rsid w:val="73F773CD"/>
    <w:rsid w:val="7414318F"/>
    <w:rsid w:val="74663479"/>
    <w:rsid w:val="757358FC"/>
    <w:rsid w:val="7586575E"/>
    <w:rsid w:val="761B4740"/>
    <w:rsid w:val="771B4DDD"/>
    <w:rsid w:val="77745DDC"/>
    <w:rsid w:val="77A92BCA"/>
    <w:rsid w:val="784B37A4"/>
    <w:rsid w:val="79EA0B4D"/>
    <w:rsid w:val="79F177BD"/>
    <w:rsid w:val="7A781298"/>
    <w:rsid w:val="7B1A768A"/>
    <w:rsid w:val="7BB310E9"/>
    <w:rsid w:val="7CAC778D"/>
    <w:rsid w:val="7D297542"/>
    <w:rsid w:val="7D8C28AF"/>
    <w:rsid w:val="7F522792"/>
    <w:rsid w:val="7F90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annotation text"/>
    <w:basedOn w:val="1"/>
    <w:link w:val="25"/>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6"/>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Strong"/>
    <w:basedOn w:val="13"/>
    <w:qFormat/>
    <w:uiPriority w:val="0"/>
    <w:rPr>
      <w:rFonts w:hint="default" w:ascii="Verdana" w:hAnsi="Verdana" w:cs="Verdana"/>
      <w:b/>
      <w:color w:val="FFFFFF"/>
      <w:sz w:val="18"/>
      <w:szCs w:val="18"/>
      <w:shd w:val="clear" w:color="auto" w:fill="000080"/>
    </w:rPr>
  </w:style>
  <w:style w:type="character" w:styleId="15">
    <w:name w:val="FollowedHyperlink"/>
    <w:basedOn w:val="13"/>
    <w:semiHidden/>
    <w:unhideWhenUsed/>
    <w:qFormat/>
    <w:uiPriority w:val="0"/>
    <w:rPr>
      <w:color w:val="1F8CCC"/>
      <w:u w:val="none"/>
    </w:rPr>
  </w:style>
  <w:style w:type="character" w:styleId="16">
    <w:name w:val="Emphasis"/>
    <w:basedOn w:val="13"/>
    <w:qFormat/>
    <w:uiPriority w:val="0"/>
    <w:rPr>
      <w:shd w:val="clear" w:color="auto" w:fill="C5C5C5"/>
    </w:rPr>
  </w:style>
  <w:style w:type="character" w:styleId="17">
    <w:name w:val="HTML Definition"/>
    <w:basedOn w:val="13"/>
    <w:semiHidden/>
    <w:unhideWhenUsed/>
    <w:qFormat/>
    <w:uiPriority w:val="0"/>
    <w:rPr>
      <w:i/>
      <w:bdr w:val="single" w:color="ACACAC" w:sz="6" w:space="0"/>
      <w:shd w:val="clear" w:color="auto" w:fill="FFFFFF"/>
    </w:rPr>
  </w:style>
  <w:style w:type="character" w:styleId="18">
    <w:name w:val="Hyperlink"/>
    <w:basedOn w:val="13"/>
    <w:semiHidden/>
    <w:unhideWhenUsed/>
    <w:qFormat/>
    <w:uiPriority w:val="0"/>
    <w:rPr>
      <w:color w:val="1F8CCC"/>
      <w:u w:val="none"/>
    </w:rPr>
  </w:style>
  <w:style w:type="character" w:styleId="19">
    <w:name w:val="HTML Code"/>
    <w:basedOn w:val="13"/>
    <w:semiHidden/>
    <w:unhideWhenUsed/>
    <w:qFormat/>
    <w:uiPriority w:val="0"/>
    <w:rPr>
      <w:rFonts w:ascii="微软雅黑" w:hAnsi="微软雅黑" w:eastAsia="微软雅黑" w:cs="微软雅黑"/>
      <w:sz w:val="21"/>
      <w:szCs w:val="21"/>
    </w:rPr>
  </w:style>
  <w:style w:type="character" w:styleId="20">
    <w:name w:val="annotation reference"/>
    <w:basedOn w:val="13"/>
    <w:qFormat/>
    <w:uiPriority w:val="0"/>
    <w:rPr>
      <w:sz w:val="21"/>
      <w:szCs w:val="21"/>
    </w:rPr>
  </w:style>
  <w:style w:type="character" w:styleId="21">
    <w:name w:val="HTML Keyboard"/>
    <w:basedOn w:val="13"/>
    <w:semiHidden/>
    <w:unhideWhenUsed/>
    <w:qFormat/>
    <w:uiPriority w:val="0"/>
    <w:rPr>
      <w:rFonts w:ascii="monospace" w:hAnsi="monospace" w:eastAsia="monospace" w:cs="monospace"/>
      <w:sz w:val="21"/>
      <w:szCs w:val="21"/>
    </w:rPr>
  </w:style>
  <w:style w:type="character" w:styleId="22">
    <w:name w:val="HTML Sample"/>
    <w:basedOn w:val="13"/>
    <w:semiHidden/>
    <w:unhideWhenUsed/>
    <w:qFormat/>
    <w:uiPriority w:val="0"/>
    <w:rPr>
      <w:rFonts w:hint="default" w:ascii="monospace" w:hAnsi="monospace" w:eastAsia="monospace" w:cs="monospace"/>
      <w:sz w:val="21"/>
      <w:szCs w:val="21"/>
    </w:rPr>
  </w:style>
  <w:style w:type="paragraph" w:styleId="23">
    <w:name w:val="List Paragraph"/>
    <w:basedOn w:val="1"/>
    <w:qFormat/>
    <w:uiPriority w:val="99"/>
    <w:pPr>
      <w:ind w:firstLine="420" w:firstLineChars="200"/>
    </w:pPr>
  </w:style>
  <w:style w:type="character" w:customStyle="1" w:styleId="24">
    <w:name w:val="批注框文本 Char"/>
    <w:basedOn w:val="13"/>
    <w:link w:val="7"/>
    <w:qFormat/>
    <w:uiPriority w:val="0"/>
    <w:rPr>
      <w:kern w:val="2"/>
      <w:sz w:val="18"/>
      <w:szCs w:val="18"/>
    </w:rPr>
  </w:style>
  <w:style w:type="character" w:customStyle="1" w:styleId="25">
    <w:name w:val="批注文字 Char"/>
    <w:basedOn w:val="13"/>
    <w:link w:val="5"/>
    <w:qFormat/>
    <w:uiPriority w:val="0"/>
    <w:rPr>
      <w:kern w:val="2"/>
      <w:sz w:val="21"/>
      <w:szCs w:val="22"/>
    </w:rPr>
  </w:style>
  <w:style w:type="character" w:customStyle="1" w:styleId="26">
    <w:name w:val="批注主题 Char"/>
    <w:basedOn w:val="25"/>
    <w:link w:val="10"/>
    <w:qFormat/>
    <w:uiPriority w:val="0"/>
    <w:rPr>
      <w:b/>
      <w:bCs/>
      <w:kern w:val="2"/>
      <w:sz w:val="21"/>
      <w:szCs w:val="22"/>
    </w:rPr>
  </w:style>
  <w:style w:type="character" w:customStyle="1" w:styleId="27">
    <w:name w:val="selectedtreerow_lor"/>
    <w:basedOn w:val="13"/>
    <w:qFormat/>
    <w:uiPriority w:val="0"/>
  </w:style>
  <w:style w:type="character" w:customStyle="1" w:styleId="28">
    <w:name w:val="selectedtreerow_lor1"/>
    <w:basedOn w:val="13"/>
    <w:qFormat/>
    <w:uiPriority w:val="0"/>
    <w:rPr>
      <w:rFonts w:ascii="Tahoma" w:hAnsi="Tahoma" w:eastAsia="Tahoma" w:cs="Tahoma"/>
      <w:color w:val="000000"/>
      <w:sz w:val="18"/>
      <w:szCs w:val="18"/>
      <w:shd w:val="clear" w:color="auto" w:fill="ACDAF0"/>
    </w:rPr>
  </w:style>
  <w:style w:type="character" w:customStyle="1" w:styleId="29">
    <w:name w:val="selectedtreerow_lor2"/>
    <w:basedOn w:val="13"/>
    <w:qFormat/>
    <w:uiPriority w:val="0"/>
    <w:rPr>
      <w:rFonts w:ascii="Arial" w:hAnsi="Arial" w:cs="Arial"/>
      <w:color w:val="000000"/>
      <w:sz w:val="19"/>
      <w:szCs w:val="19"/>
      <w:shd w:val="clear" w:color="auto" w:fill="FFF3A1"/>
    </w:rPr>
  </w:style>
  <w:style w:type="character" w:customStyle="1" w:styleId="30">
    <w:name w:val="selectedtreerow"/>
    <w:basedOn w:val="13"/>
    <w:qFormat/>
    <w:uiPriority w:val="0"/>
  </w:style>
  <w:style w:type="character" w:customStyle="1" w:styleId="31">
    <w:name w:val="selectedtreerow1"/>
    <w:basedOn w:val="13"/>
    <w:qFormat/>
    <w:uiPriority w:val="0"/>
    <w:rPr>
      <w:rFonts w:hint="default" w:ascii="Tahoma" w:hAnsi="Tahoma" w:eastAsia="Tahoma" w:cs="Tahoma"/>
      <w:color w:val="000000"/>
      <w:sz w:val="18"/>
      <w:szCs w:val="18"/>
      <w:shd w:val="clear" w:color="auto" w:fill="ACDAF0"/>
    </w:rPr>
  </w:style>
  <w:style w:type="character" w:customStyle="1" w:styleId="32">
    <w:name w:val="selectedtreerow2"/>
    <w:basedOn w:val="13"/>
    <w:qFormat/>
    <w:uiPriority w:val="0"/>
    <w:rPr>
      <w:rFonts w:hint="default" w:ascii="Arial" w:hAnsi="Arial" w:cs="Arial"/>
      <w:color w:val="000000"/>
      <w:sz w:val="19"/>
      <w:szCs w:val="19"/>
      <w:shd w:val="clear" w:color="auto" w:fill="FFF3A1"/>
    </w:rPr>
  </w:style>
  <w:style w:type="character" w:customStyle="1" w:styleId="33">
    <w:name w:val="standarttreerow"/>
    <w:basedOn w:val="13"/>
    <w:qFormat/>
    <w:uiPriority w:val="0"/>
  </w:style>
  <w:style w:type="character" w:customStyle="1" w:styleId="34">
    <w:name w:val="standarttreerow1"/>
    <w:basedOn w:val="13"/>
    <w:qFormat/>
    <w:uiPriority w:val="0"/>
    <w:rPr>
      <w:rFonts w:hint="default" w:ascii="Tahoma" w:hAnsi="Tahoma" w:eastAsia="Tahoma" w:cs="Tahoma"/>
      <w:sz w:val="18"/>
      <w:szCs w:val="18"/>
    </w:rPr>
  </w:style>
  <w:style w:type="character" w:customStyle="1" w:styleId="35">
    <w:name w:val="standarttreerow_lor"/>
    <w:basedOn w:val="13"/>
    <w:qFormat/>
    <w:uiPriority w:val="0"/>
  </w:style>
  <w:style w:type="character" w:customStyle="1" w:styleId="36">
    <w:name w:val="act"/>
    <w:basedOn w:val="13"/>
    <w:qFormat/>
    <w:uiPriority w:val="0"/>
    <w:rPr>
      <w:b/>
      <w:color w:val="2B93ED"/>
      <w:shd w:val="clear" w:color="auto" w:fill="FFFFFF"/>
    </w:rPr>
  </w:style>
  <w:style w:type="character" w:customStyle="1" w:styleId="37">
    <w:name w:val="tmpztreemove_arrow"/>
    <w:basedOn w:val="13"/>
    <w:qFormat/>
    <w:uiPriority w:val="0"/>
  </w:style>
  <w:style w:type="character" w:customStyle="1" w:styleId="38">
    <w:name w:val="l-btn-left"/>
    <w:basedOn w:val="13"/>
    <w:qFormat/>
    <w:uiPriority w:val="0"/>
  </w:style>
  <w:style w:type="character" w:customStyle="1" w:styleId="39">
    <w:name w:val="l-btn-left1"/>
    <w:basedOn w:val="13"/>
    <w:qFormat/>
    <w:uiPriority w:val="0"/>
  </w:style>
  <w:style w:type="character" w:customStyle="1" w:styleId="40">
    <w:name w:val="l-btn-text"/>
    <w:basedOn w:val="13"/>
    <w:qFormat/>
    <w:uiPriority w:val="0"/>
  </w:style>
  <w:style w:type="character" w:customStyle="1" w:styleId="41">
    <w:name w:val="l-btn-empty6"/>
    <w:basedOn w:val="13"/>
    <w:qFormat/>
    <w:uiPriority w:val="0"/>
  </w:style>
  <w:style w:type="character" w:customStyle="1" w:styleId="42">
    <w:name w:val="dhxform_info"/>
    <w:basedOn w:val="13"/>
    <w:qFormat/>
    <w:uiPriority w:val="0"/>
    <w:rPr>
      <w:color w:val="808080"/>
      <w:sz w:val="12"/>
      <w:szCs w:val="12"/>
    </w:rPr>
  </w:style>
  <w:style w:type="character" w:customStyle="1" w:styleId="43">
    <w:name w:val="button"/>
    <w:basedOn w:val="13"/>
    <w:qFormat/>
    <w:uiPriority w:val="0"/>
  </w:style>
  <w:style w:type="character" w:customStyle="1" w:styleId="44">
    <w:name w:val="fa-square-o"/>
    <w:basedOn w:val="13"/>
    <w:qFormat/>
    <w:uiPriority w:val="0"/>
    <w:rPr>
      <w:color w:val="DBDBDB"/>
      <w:sz w:val="22"/>
      <w:szCs w:val="22"/>
      <w:shd w:val="clear" w:color="auto" w:fill="FFFFFF"/>
    </w:rPr>
  </w:style>
  <w:style w:type="character" w:customStyle="1" w:styleId="45">
    <w:name w:val="hover25"/>
    <w:basedOn w:val="13"/>
    <w:qFormat/>
    <w:uiPriority w:val="0"/>
    <w:rPr>
      <w:shd w:val="clear" w:color="auto" w:fill="EEEEEE"/>
    </w:rPr>
  </w:style>
  <w:style w:type="character" w:customStyle="1" w:styleId="46">
    <w:name w:val="hover26"/>
    <w:basedOn w:val="13"/>
    <w:qFormat/>
    <w:uiPriority w:val="0"/>
    <w:rPr>
      <w:shd w:val="clear" w:color="auto" w:fill="1367CE"/>
    </w:rPr>
  </w:style>
  <w:style w:type="character" w:customStyle="1" w:styleId="47">
    <w:name w:val="old"/>
    <w:basedOn w:val="13"/>
    <w:qFormat/>
    <w:uiPriority w:val="0"/>
    <w:rPr>
      <w:color w:val="999999"/>
    </w:rPr>
  </w:style>
  <w:style w:type="character" w:customStyle="1" w:styleId="48">
    <w:name w:val="hour_am"/>
    <w:basedOn w:val="13"/>
    <w:qFormat/>
    <w:uiPriority w:val="0"/>
  </w:style>
  <w:style w:type="character" w:customStyle="1" w:styleId="49">
    <w:name w:val="hour_pm"/>
    <w:basedOn w:val="13"/>
    <w:qFormat/>
    <w:uiPriority w:val="0"/>
  </w:style>
  <w:style w:type="character" w:customStyle="1" w:styleId="50">
    <w:name w:val="layui-layer-tabnow"/>
    <w:basedOn w:val="13"/>
    <w:qFormat/>
    <w:uiPriority w:val="0"/>
    <w:rPr>
      <w:bdr w:val="single" w:color="CCCCCC" w:sz="6" w:space="0"/>
      <w:shd w:val="clear" w:color="auto" w:fill="FFFFFF"/>
    </w:rPr>
  </w:style>
  <w:style w:type="character" w:customStyle="1" w:styleId="51">
    <w:name w:val="dhtmlxcalendar_selected_date"/>
    <w:basedOn w:val="13"/>
    <w:qFormat/>
    <w:uiPriority w:val="0"/>
  </w:style>
  <w:style w:type="character" w:customStyle="1" w:styleId="52">
    <w:name w:val="space"/>
    <w:basedOn w:val="13"/>
    <w:qFormat/>
    <w:uiPriority w:val="0"/>
  </w:style>
  <w:style w:type="character" w:customStyle="1" w:styleId="53">
    <w:name w:val="recordsinfoblock"/>
    <w:basedOn w:val="13"/>
    <w:qFormat/>
    <w:uiPriority w:val="0"/>
    <w:rPr>
      <w:rFonts w:ascii="Verdana" w:hAnsi="Verdana" w:cs="Verdana"/>
      <w:sz w:val="18"/>
      <w:szCs w:val="18"/>
    </w:rPr>
  </w:style>
  <w:style w:type="character" w:customStyle="1" w:styleId="54">
    <w:name w:val="nav_link"/>
    <w:basedOn w:val="13"/>
    <w:qFormat/>
    <w:uiPriority w:val="0"/>
  </w:style>
  <w:style w:type="character" w:customStyle="1" w:styleId="55">
    <w:name w:val="dhxform_item_required"/>
    <w:basedOn w:val="13"/>
    <w:qFormat/>
    <w:uiPriority w:val="0"/>
    <w:rPr>
      <w:color w:val="B1B1B1"/>
    </w:rPr>
  </w:style>
  <w:style w:type="character" w:customStyle="1" w:styleId="56">
    <w:name w:val="dhxform_item_required1"/>
    <w:basedOn w:val="13"/>
    <w:qFormat/>
    <w:uiPriority w:val="0"/>
    <w:rPr>
      <w:color w:val="FF0000"/>
    </w:rPr>
  </w:style>
  <w:style w:type="character" w:customStyle="1" w:styleId="57">
    <w:name w:val="title-txt"/>
    <w:basedOn w:val="13"/>
    <w:qFormat/>
    <w:uiPriority w:val="0"/>
    <w:rPr>
      <w:b/>
      <w:color w:val="4E4E4E"/>
      <w:sz w:val="21"/>
      <w:szCs w:val="21"/>
    </w:rPr>
  </w:style>
  <w:style w:type="character" w:customStyle="1" w:styleId="58">
    <w:name w:val="after"/>
    <w:basedOn w:val="13"/>
    <w:qFormat/>
    <w:uiPriority w:val="0"/>
    <w:rPr>
      <w:shd w:val="clear" w:color="auto" w:fill="2B93ED"/>
    </w:rPr>
  </w:style>
  <w:style w:type="character" w:customStyle="1" w:styleId="59">
    <w:name w:val="hc_verification"/>
    <w:basedOn w:val="13"/>
    <w:qFormat/>
    <w:uiPriority w:val="0"/>
  </w:style>
  <w:style w:type="character" w:customStyle="1" w:styleId="60">
    <w:name w:val="first-child"/>
    <w:basedOn w:val="13"/>
    <w:qFormat/>
    <w:uiPriority w:val="0"/>
  </w:style>
  <w:style w:type="character" w:customStyle="1" w:styleId="61">
    <w:name w:val="selectedtreerow8"/>
    <w:basedOn w:val="13"/>
    <w:qFormat/>
    <w:uiPriority w:val="0"/>
    <w:rPr>
      <w:color w:val="000000"/>
      <w:shd w:val="clear" w:color="auto" w:fill="FFF3A1"/>
    </w:rPr>
  </w:style>
  <w:style w:type="character" w:customStyle="1" w:styleId="62">
    <w:name w:val="selectedtreerow9"/>
    <w:basedOn w:val="13"/>
    <w:qFormat/>
    <w:uiPriority w:val="0"/>
  </w:style>
  <w:style w:type="character" w:customStyle="1" w:styleId="63">
    <w:name w:val="l-btn-text36"/>
    <w:basedOn w:val="13"/>
    <w:qFormat/>
    <w:uiPriority w:val="0"/>
  </w:style>
  <w:style w:type="character" w:customStyle="1" w:styleId="64">
    <w:name w:val="l-btn-empty"/>
    <w:basedOn w:val="13"/>
    <w:qFormat/>
    <w:uiPriority w:val="0"/>
  </w:style>
  <w:style w:type="character" w:customStyle="1" w:styleId="65">
    <w:name w:val="selectedtreerow_lor8"/>
    <w:basedOn w:val="13"/>
    <w:qFormat/>
    <w:uiPriority w:val="0"/>
    <w:rPr>
      <w:color w:val="000000"/>
      <w:shd w:val="clear" w:color="auto" w:fill="FFF3A1"/>
    </w:rPr>
  </w:style>
  <w:style w:type="character" w:customStyle="1" w:styleId="66">
    <w:name w:val="selectedtreerow_lor9"/>
    <w:basedOn w:val="13"/>
    <w:qFormat/>
    <w:uiPriority w:val="0"/>
  </w:style>
  <w:style w:type="character" w:customStyle="1" w:styleId="67">
    <w:name w:val="standarttreerow_lor4"/>
    <w:basedOn w:val="13"/>
    <w:qFormat/>
    <w:uiPriority w:val="0"/>
  </w:style>
  <w:style w:type="character" w:customStyle="1" w:styleId="68">
    <w:name w:val="hover23"/>
    <w:basedOn w:val="13"/>
    <w:qFormat/>
    <w:uiPriority w:val="0"/>
    <w:rPr>
      <w:shd w:val="clear" w:color="auto" w:fill="EEEEEE"/>
    </w:rPr>
  </w:style>
  <w:style w:type="character" w:customStyle="1" w:styleId="69">
    <w:name w:val="hover24"/>
    <w:basedOn w:val="13"/>
    <w:qFormat/>
    <w:uiPriority w:val="0"/>
    <w:rPr>
      <w:shd w:val="clear" w:color="auto" w:fill="1367CE"/>
    </w:rPr>
  </w:style>
  <w:style w:type="character" w:customStyle="1" w:styleId="70">
    <w:name w:val="standarttreerow8"/>
    <w:basedOn w:val="13"/>
    <w:qFormat/>
    <w:uiPriority w:val="0"/>
  </w:style>
  <w:style w:type="character" w:customStyle="1" w:styleId="71">
    <w:name w:val="standarttreerow9"/>
    <w:basedOn w:val="13"/>
    <w:qFormat/>
    <w:uiPriority w:val="0"/>
  </w:style>
  <w:style w:type="character" w:customStyle="1" w:styleId="7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2213</Words>
  <Characters>12618</Characters>
  <Lines>105</Lines>
  <Paragraphs>29</Paragraphs>
  <TotalTime>2</TotalTime>
  <ScaleCrop>false</ScaleCrop>
  <LinksUpToDate>false</LinksUpToDate>
  <CharactersWithSpaces>14802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wenli</cp:lastModifiedBy>
  <dcterms:modified xsi:type="dcterms:W3CDTF">2021-09-23T12:59:45Z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755FF2AA758E47F795E6125630A47A2C</vt:lpwstr>
  </property>
</Properties>
</file>